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14"/>
        <w:gridCol w:w="3440"/>
      </w:tblGrid>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备案号：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查询码：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vMerge w:val="restar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hint="eastAsia" w:ascii="Arial" w:hAnsi="Arial" w:eastAsia="楷体" w:cs="Arial"/>
                <w:sz w:val="32"/>
                <w:szCs w:val="32"/>
              </w:rPr>
              <w:t xml:space="preserve">  </w:t>
            </w:r>
          </w:p>
        </w:tc>
        <w:tc>
          <w:tcPr>
            <w:tcW w:w="1959" w:type="pct"/>
          </w:tcPr>
          <w:p>
            <w:pPr>
              <w:jc w:val="right"/>
              <w:rPr>
                <w:rFonts w:ascii="Arial" w:hAnsi="Arial" w:cs="Arial"/>
              </w:rPr>
            </w:pPr>
          </w:p>
        </w:tc>
      </w:tr>
    </w:tbl>
    <w:p>
      <w:pPr>
        <w:spacing w:line="432" w:lineRule="auto"/>
        <w:jc w:val="center"/>
        <w:rPr>
          <w:rFonts w:ascii="Arial" w:hAnsi="Arial" w:eastAsia="楷体_GB2312" w:cs="Arial"/>
          <w:b/>
          <w:sz w:val="32"/>
        </w:rPr>
      </w:pPr>
    </w:p>
    <w:p>
      <w:pPr>
        <w:spacing w:line="432" w:lineRule="auto"/>
        <w:jc w:val="center"/>
        <w:rPr>
          <w:rFonts w:ascii="Arial" w:hAnsi="Arial" w:eastAsia="楷体_GB2312" w:cs="Arial"/>
          <w:b/>
          <w:sz w:val="32"/>
        </w:rPr>
      </w:pPr>
    </w:p>
    <w:p>
      <w:pPr>
        <w:spacing w:line="432"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432" w:lineRule="auto"/>
        <w:jc w:val="center"/>
        <w:rPr>
          <w:rFonts w:ascii="Arial" w:hAnsi="Arial" w:eastAsia="昆仑仿宋" w:cs="Arial"/>
          <w:b/>
          <w:sz w:val="44"/>
        </w:rPr>
      </w:pPr>
    </w:p>
    <w:p>
      <w:pPr>
        <w:spacing w:line="432" w:lineRule="auto"/>
        <w:jc w:val="center"/>
        <w:rPr>
          <w:rFonts w:ascii="Arial" w:hAnsi="Arial" w:eastAsia="楷体_GB2312" w:cs="Arial"/>
          <w:b/>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432" w:lineRule="auto"/>
        <w:jc w:val="both"/>
        <w:rPr>
          <w:rFonts w:ascii="Arial" w:hAnsi="Arial" w:eastAsia="楷体_GB2312" w:cs="Arial"/>
          <w:b/>
          <w:sz w:val="32"/>
        </w:rPr>
      </w:pPr>
    </w:p>
    <w:p>
      <w:pPr>
        <w:spacing w:line="432" w:lineRule="auto"/>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2021-1-0620-F02TDCR6</w:t>
      </w:r>
    </w:p>
    <w:p>
      <w:pPr>
        <w:spacing w:line="432" w:lineRule="auto"/>
        <w:jc w:val="both"/>
        <w:rPr>
          <w:rFonts w:ascii="Arial" w:hAnsi="Arial" w:eastAsia="楷体_GB2312" w:cs="Arial"/>
          <w:b/>
          <w:sz w:val="32"/>
        </w:rPr>
      </w:pPr>
    </w:p>
    <w:p>
      <w:pPr>
        <w:tabs>
          <w:tab w:val="left" w:pos="6413"/>
        </w:tabs>
        <w:spacing w:line="432" w:lineRule="auto"/>
        <w:jc w:val="both"/>
        <w:rPr>
          <w:rFonts w:ascii="Arial" w:hAnsi="Arial" w:eastAsia="仿宋_GB2312" w:cs="Arial"/>
          <w:sz w:val="44"/>
        </w:rPr>
      </w:pPr>
      <w:r>
        <w:rPr>
          <w:rFonts w:ascii="Arial" w:hAnsi="Arial" w:eastAsia="楷体_GB2312" w:cs="Arial"/>
          <w:b/>
          <w:sz w:val="32"/>
        </w:rPr>
        <w:t>提交估价报告日期：2021年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r>
        <w:rPr>
          <w:rFonts w:ascii="Arial" w:hAnsi="Arial" w:eastAsia="楷体_GB2312" w:cs="Arial"/>
          <w:b/>
          <w:sz w:val="32"/>
        </w:rPr>
        <w:tab/>
      </w:r>
      <w:r>
        <w:rPr>
          <w:rFonts w:ascii="Arial" w:hAnsi="Arial" w:eastAsia="仿宋_GB2312" w:cs="Arial"/>
          <w:sz w:val="44"/>
        </w:rPr>
        <w:tab/>
      </w:r>
    </w:p>
    <w:p>
      <w:pPr>
        <w:widowControl/>
        <w:adjustRightInd/>
        <w:spacing w:line="24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432" w:lineRule="auto"/>
        <w:jc w:val="both"/>
        <w:rPr>
          <w:rFonts w:ascii="Arial" w:hAnsi="Arial" w:eastAsia="仿宋_GB2312" w:cs="Arial"/>
          <w:sz w:val="44"/>
        </w:rPr>
        <w:sectPr>
          <w:footerReference r:id="rId7" w:type="first"/>
          <w:footerReference r:id="rId5" w:type="default"/>
          <w:footerReference r:id="rId6" w:type="even"/>
          <w:pgSz w:w="11907" w:h="16840"/>
          <w:pgMar w:top="1440" w:right="1440" w:bottom="1440" w:left="1803" w:header="851" w:footer="1134" w:gutter="0"/>
          <w:pgNumType w:start="0"/>
          <w:cols w:space="720" w:num="1"/>
          <w:titlePg/>
        </w:sectPr>
      </w:pPr>
    </w:p>
    <w:p>
      <w:pPr>
        <w:spacing w:line="360" w:lineRule="auto"/>
        <w:jc w:val="center"/>
        <w:rPr>
          <w:rFonts w:ascii="Arial" w:hAnsi="Arial" w:cs="Arial"/>
          <w:b/>
          <w:sz w:val="32"/>
          <w:szCs w:val="32"/>
        </w:rPr>
      </w:pPr>
      <w:r>
        <w:rPr>
          <w:rFonts w:ascii="Arial" w:hAnsi="Arial" w:cs="Arial"/>
          <w:b/>
          <w:sz w:val="32"/>
          <w:szCs w:val="32"/>
        </w:rPr>
        <w:t>目录</w:t>
      </w:r>
    </w:p>
    <w:p>
      <w:pPr>
        <w:pStyle w:val="23"/>
        <w:rPr>
          <w:rFonts w:asciiTheme="minorHAnsi" w:hAnsiTheme="minorHAnsi" w:eastAsiaTheme="minorEastAsia" w:cstheme="minorBidi"/>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hint="eastAsia" w:ascii="Arial" w:cs="Arial"/>
          <w:b/>
        </w:rPr>
        <w:t>第一部分</w:t>
      </w:r>
      <w:r>
        <w:rPr>
          <w:rStyle w:val="40"/>
          <w:rFonts w:ascii="Arial" w:cs="Arial"/>
          <w:b/>
        </w:rPr>
        <w:t xml:space="preserve">  </w:t>
      </w:r>
      <w:r>
        <w:rPr>
          <w:rStyle w:val="40"/>
          <w:rFonts w:hint="eastAsia" w:ascii="Arial" w:cs="Arial"/>
          <w:b/>
        </w:rPr>
        <w:t>摘</w:t>
      </w:r>
      <w:r>
        <w:rPr>
          <w:rStyle w:val="40"/>
          <w:rFonts w:ascii="Arial" w:cs="Arial"/>
          <w:b/>
        </w:rPr>
        <w:t xml:space="preserve">  </w:t>
      </w:r>
      <w:r>
        <w:rPr>
          <w:rStyle w:val="40"/>
          <w:rFonts w:hint="eastAsia" w:ascii="Arial" w:cs="Arial"/>
          <w:b/>
        </w:rPr>
        <w:t>要</w:t>
      </w:r>
      <w:r>
        <w:tab/>
      </w:r>
      <w:r>
        <w:fldChar w:fldCharType="begin"/>
      </w:r>
      <w:r>
        <w:instrText xml:space="preserve"> PAGEREF _Toc69393366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"_Toc69393367" </w:instrText>
      </w:r>
      <w:r>
        <w:fldChar w:fldCharType="separate"/>
      </w:r>
      <w:r>
        <w:rPr>
          <w:rStyle w:val="40"/>
          <w:rFonts w:hint="eastAsia" w:ascii="Arial" w:hAnsi="Arial" w:eastAsia="仿宋_GB2312" w:cs="Arial"/>
          <w:b/>
          <w:bCs/>
        </w:rPr>
        <w:t>一、估价项目名称</w:t>
      </w:r>
      <w:r>
        <w:tab/>
      </w:r>
      <w:r>
        <w:fldChar w:fldCharType="begin"/>
      </w:r>
      <w:r>
        <w:instrText xml:space="preserve"> PAGEREF _Toc69393367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"_Toc69393368" </w:instrText>
      </w:r>
      <w:r>
        <w:fldChar w:fldCharType="separate"/>
      </w:r>
      <w:r>
        <w:rPr>
          <w:rStyle w:val="40"/>
          <w:rFonts w:hint="eastAsia" w:ascii="Arial" w:hAnsi="Arial" w:eastAsia="仿宋_GB2312" w:cs="Arial"/>
          <w:b/>
          <w:bCs/>
        </w:rPr>
        <w:t>二、委托估价方</w:t>
      </w:r>
      <w:r>
        <w:tab/>
      </w:r>
      <w:r>
        <w:fldChar w:fldCharType="begin"/>
      </w:r>
      <w:r>
        <w:instrText xml:space="preserve"> PAGEREF _Toc69393368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"_Toc69393369" </w:instrText>
      </w:r>
      <w:r>
        <w:fldChar w:fldCharType="separate"/>
      </w:r>
      <w:r>
        <w:rPr>
          <w:rStyle w:val="40"/>
          <w:rFonts w:hint="eastAsia" w:ascii="Arial" w:hAnsi="Arial" w:eastAsia="仿宋_GB2312" w:cs="Arial"/>
          <w:b/>
          <w:bCs/>
        </w:rPr>
        <w:t>三、估价目的</w:t>
      </w:r>
      <w:r>
        <w:tab/>
      </w:r>
      <w:r>
        <w:fldChar w:fldCharType="begin"/>
      </w:r>
      <w:r>
        <w:instrText xml:space="preserve"> PAGEREF _Toc69393369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"_Toc69393370" </w:instrText>
      </w:r>
      <w:r>
        <w:fldChar w:fldCharType="separate"/>
      </w:r>
      <w:r>
        <w:rPr>
          <w:rStyle w:val="40"/>
          <w:rFonts w:hint="eastAsia" w:ascii="Arial" w:hAnsi="Arial" w:eastAsia="仿宋_GB2312" w:cs="Arial"/>
          <w:b/>
          <w:bCs/>
        </w:rPr>
        <w:t>四、估价期日</w:t>
      </w:r>
      <w:r>
        <w:tab/>
      </w:r>
      <w:r>
        <w:fldChar w:fldCharType="begin"/>
      </w:r>
      <w:r>
        <w:instrText xml:space="preserve"> PAGEREF _Toc69393370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"_Toc69393371" </w:instrText>
      </w:r>
      <w:r>
        <w:fldChar w:fldCharType="separate"/>
      </w:r>
      <w:r>
        <w:rPr>
          <w:rStyle w:val="40"/>
          <w:rFonts w:hint="eastAsia" w:ascii="Arial" w:hAnsi="Arial" w:eastAsia="仿宋_GB2312" w:cs="Arial"/>
          <w:b/>
          <w:bCs/>
        </w:rPr>
        <w:t>五、估价日期</w:t>
      </w:r>
      <w:r>
        <w:tab/>
      </w:r>
      <w:r>
        <w:fldChar w:fldCharType="begin"/>
      </w:r>
      <w:r>
        <w:instrText xml:space="preserve"> PAGEREF _Toc69393371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"_Toc69393372" </w:instrText>
      </w:r>
      <w:r>
        <w:fldChar w:fldCharType="separate"/>
      </w:r>
      <w:r>
        <w:rPr>
          <w:rStyle w:val="40"/>
          <w:rFonts w:hint="eastAsia" w:ascii="Arial" w:hAnsi="Arial" w:eastAsia="仿宋_GB2312" w:cs="Arial"/>
          <w:b/>
          <w:bCs/>
        </w:rPr>
        <w:t>六、地价定义</w:t>
      </w:r>
      <w:r>
        <w:tab/>
      </w:r>
      <w:r>
        <w:fldChar w:fldCharType="begin"/>
      </w:r>
      <w:r>
        <w:instrText xml:space="preserve"> PAGEREF _Toc69393372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"_Toc69393373" </w:instrText>
      </w:r>
      <w:r>
        <w:fldChar w:fldCharType="separate"/>
      </w:r>
      <w:r>
        <w:rPr>
          <w:rStyle w:val="40"/>
          <w:rFonts w:hint="eastAsia" w:ascii="Arial" w:hAnsi="Arial" w:eastAsia="仿宋_GB2312" w:cs="Arial"/>
          <w:b/>
        </w:rPr>
        <w:t>七、估价结果</w:t>
      </w:r>
      <w:r>
        <w:tab/>
      </w:r>
      <w:r>
        <w:fldChar w:fldCharType="begin"/>
      </w:r>
      <w:r>
        <w:instrText xml:space="preserve"> PAGEREF _Toc69393373 \h </w:instrText>
      </w:r>
      <w:r>
        <w:fldChar w:fldCharType="separate"/>
      </w:r>
      <w:r>
        <w:t>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"_Toc69393374" </w:instrText>
      </w:r>
      <w:r>
        <w:fldChar w:fldCharType="separate"/>
      </w:r>
      <w:r>
        <w:rPr>
          <w:rStyle w:val="40"/>
          <w:rFonts w:hint="eastAsia" w:ascii="Arial" w:hAnsi="Arial" w:cs="Arial"/>
          <w:b/>
          <w:bCs/>
        </w:rPr>
        <w:t>八</w:t>
      </w:r>
      <w:r>
        <w:rPr>
          <w:rStyle w:val="40"/>
          <w:rFonts w:hint="eastAsia" w:ascii="Arial" w:hAnsi="Arial" w:eastAsia="仿宋_GB2312" w:cs="Arial"/>
          <w:b/>
          <w:bCs/>
        </w:rPr>
        <w:t>、评估专业人员签字</w:t>
      </w:r>
      <w:r>
        <w:tab/>
      </w:r>
      <w:r>
        <w:fldChar w:fldCharType="begin"/>
      </w:r>
      <w:r>
        <w:instrText xml:space="preserve"> PAGEREF _Toc69393374 \h </w:instrText>
      </w:r>
      <w:r>
        <w:fldChar w:fldCharType="separate"/>
      </w:r>
      <w:r>
        <w:t>12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"_Toc69393375" </w:instrText>
      </w:r>
      <w:r>
        <w:fldChar w:fldCharType="separate"/>
      </w:r>
      <w:r>
        <w:rPr>
          <w:rStyle w:val="40"/>
          <w:rFonts w:hint="eastAsia" w:ascii="Arial" w:hAnsi="Arial" w:eastAsia="仿宋_GB2312" w:cs="Arial"/>
          <w:b/>
        </w:rPr>
        <w:t>九、土地估价机构</w:t>
      </w:r>
      <w:r>
        <w:tab/>
      </w:r>
      <w:r>
        <w:fldChar w:fldCharType="begin"/>
      </w:r>
      <w:r>
        <w:instrText xml:space="preserve"> PAGEREF _Toc69393375 \h </w:instrText>
      </w:r>
      <w:r>
        <w:fldChar w:fldCharType="separate"/>
      </w:r>
      <w:r>
        <w:t>12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"_Toc69393376" </w:instrText>
      </w:r>
      <w:r>
        <w:fldChar w:fldCharType="separate"/>
      </w:r>
      <w:r>
        <w:rPr>
          <w:rStyle w:val="40"/>
          <w:rFonts w:hint="eastAsia" w:ascii="Arial" w:cs="Arial"/>
          <w:b/>
        </w:rPr>
        <w:t>第二部分</w:t>
      </w:r>
      <w:r>
        <w:rPr>
          <w:rStyle w:val="40"/>
          <w:rFonts w:ascii="Arial" w:cs="Arial"/>
          <w:b/>
        </w:rPr>
        <w:t xml:space="preserve">  </w:t>
      </w:r>
      <w:r>
        <w:rPr>
          <w:rStyle w:val="40"/>
          <w:rFonts w:hint="eastAsia" w:ascii="Arial" w:cs="Arial"/>
          <w:b/>
        </w:rPr>
        <w:t>估价对象界定</w:t>
      </w:r>
      <w:r>
        <w:tab/>
      </w:r>
      <w:r>
        <w:fldChar w:fldCharType="begin"/>
      </w:r>
      <w:r>
        <w:instrText xml:space="preserve"> PAGEREF _Toc69393376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"_Toc69393377" </w:instrText>
      </w:r>
      <w:r>
        <w:fldChar w:fldCharType="separate"/>
      </w:r>
      <w:r>
        <w:rPr>
          <w:rStyle w:val="40"/>
          <w:rFonts w:hint="eastAsia" w:ascii="Arial" w:hAnsi="Arial" w:eastAsia="仿宋_GB2312" w:cs="Arial"/>
          <w:b/>
        </w:rPr>
        <w:t>一、委托估价方</w:t>
      </w:r>
      <w:r>
        <w:tab/>
      </w:r>
      <w:r>
        <w:fldChar w:fldCharType="begin"/>
      </w:r>
      <w:r>
        <w:instrText xml:space="preserve"> PAGEREF _Toc69393377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"_Toc69393378" </w:instrText>
      </w:r>
      <w:r>
        <w:fldChar w:fldCharType="separate"/>
      </w:r>
      <w:r>
        <w:rPr>
          <w:rStyle w:val="40"/>
          <w:rFonts w:hint="eastAsia" w:ascii="Arial" w:hAnsi="Arial" w:eastAsia="仿宋_GB2312" w:cs="Arial"/>
          <w:b/>
        </w:rPr>
        <w:t>二、估价对象</w:t>
      </w:r>
      <w:r>
        <w:tab/>
      </w:r>
      <w:r>
        <w:fldChar w:fldCharType="begin"/>
      </w:r>
      <w:r>
        <w:instrText xml:space="preserve"> PAGEREF _Toc69393378 \h </w:instrText>
      </w:r>
      <w:r>
        <w:fldChar w:fldCharType="separate"/>
      </w:r>
      <w:r>
        <w:t>15</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"_Toc69393379" </w:instrText>
      </w:r>
      <w:r>
        <w:fldChar w:fldCharType="separate"/>
      </w:r>
      <w:r>
        <w:rPr>
          <w:rStyle w:val="40"/>
          <w:rFonts w:hint="eastAsia" w:ascii="Arial" w:hAnsi="Arial" w:eastAsia="仿宋_GB2312" w:cs="Arial"/>
          <w:b/>
        </w:rPr>
        <w:t>三、估价对象概况</w:t>
      </w:r>
      <w:r>
        <w:tab/>
      </w:r>
      <w:r>
        <w:fldChar w:fldCharType="begin"/>
      </w:r>
      <w:r>
        <w:instrText xml:space="preserve"> PAGEREF _Toc69393379 \h </w:instrText>
      </w:r>
      <w:r>
        <w:fldChar w:fldCharType="separate"/>
      </w:r>
      <w:r>
        <w:t>17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"_Toc69393380" </w:instrText>
      </w:r>
      <w:r>
        <w:fldChar w:fldCharType="separate"/>
      </w:r>
      <w:r>
        <w:rPr>
          <w:rStyle w:val="40"/>
          <w:rFonts w:hint="eastAsia" w:ascii="Arial" w:hAnsi="Arial" w:eastAsia="仿宋_GB2312" w:cs="Arial"/>
          <w:b/>
          <w:bCs/>
        </w:rPr>
        <w:t>四、影响地价的因素说明</w:t>
      </w:r>
      <w:r>
        <w:tab/>
      </w:r>
      <w:r>
        <w:fldChar w:fldCharType="begin"/>
      </w:r>
      <w:r>
        <w:instrText xml:space="preserve"> PAGEREF _Toc69393380 \h </w:instrText>
      </w:r>
      <w:r>
        <w:fldChar w:fldCharType="separate"/>
      </w:r>
      <w:r>
        <w:t>22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"_Toc69393381" </w:instrText>
      </w:r>
      <w:r>
        <w:fldChar w:fldCharType="separate"/>
      </w:r>
      <w:r>
        <w:rPr>
          <w:rStyle w:val="40"/>
          <w:rFonts w:hint="eastAsia" w:ascii="Arial" w:cs="Arial"/>
          <w:b/>
        </w:rPr>
        <w:t>第三部分</w:t>
      </w:r>
      <w:r>
        <w:rPr>
          <w:rStyle w:val="40"/>
          <w:rFonts w:ascii="Arial" w:cs="Arial"/>
          <w:b/>
        </w:rPr>
        <w:t xml:space="preserve">  </w:t>
      </w:r>
      <w:r>
        <w:rPr>
          <w:rStyle w:val="40"/>
          <w:rFonts w:hint="eastAsia" w:ascii="Arial" w:cs="Arial"/>
          <w:b/>
        </w:rPr>
        <w:t>土地估价结果及其使用</w:t>
      </w:r>
      <w:r>
        <w:tab/>
      </w:r>
      <w:r>
        <w:fldChar w:fldCharType="begin"/>
      </w:r>
      <w:r>
        <w:instrText xml:space="preserve"> PAGEREF _Toc69393381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"_Toc69393382" </w:instrText>
      </w:r>
      <w:r>
        <w:fldChar w:fldCharType="separate"/>
      </w:r>
      <w:r>
        <w:rPr>
          <w:rStyle w:val="40"/>
          <w:rFonts w:hint="eastAsia" w:ascii="Arial" w:hAnsi="Arial" w:eastAsia="仿宋_GB2312" w:cs="Arial"/>
          <w:b/>
        </w:rPr>
        <w:t>一、估价依据</w:t>
      </w:r>
      <w:r>
        <w:tab/>
      </w:r>
      <w:r>
        <w:fldChar w:fldCharType="begin"/>
      </w:r>
      <w:r>
        <w:instrText xml:space="preserve"> PAGEREF _Toc69393382 \h </w:instrText>
      </w:r>
      <w:r>
        <w:fldChar w:fldCharType="separate"/>
      </w:r>
      <w:r>
        <w:t>47</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"_Toc69393383" </w:instrText>
      </w:r>
      <w:r>
        <w:fldChar w:fldCharType="separate"/>
      </w:r>
      <w:r>
        <w:rPr>
          <w:rStyle w:val="40"/>
          <w:rFonts w:hint="eastAsia" w:ascii="Arial" w:hAnsi="Arial" w:eastAsia="仿宋_GB2312" w:cs="Arial"/>
          <w:b/>
        </w:rPr>
        <w:t>二、土地估价原则</w:t>
      </w:r>
      <w:r>
        <w:tab/>
      </w:r>
      <w:r>
        <w:fldChar w:fldCharType="begin"/>
      </w:r>
      <w:r>
        <w:instrText xml:space="preserve"> PAGEREF _Toc69393383 \h </w:instrText>
      </w:r>
      <w:r>
        <w:fldChar w:fldCharType="separate"/>
      </w:r>
      <w:r>
        <w:t>51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"_Toc69393384" </w:instrText>
      </w:r>
      <w:r>
        <w:fldChar w:fldCharType="separate"/>
      </w:r>
      <w:r>
        <w:rPr>
          <w:rStyle w:val="40"/>
          <w:rFonts w:hint="eastAsia" w:ascii="Arial" w:hAnsi="Arial" w:eastAsia="仿宋_GB2312" w:cs="Arial"/>
          <w:b/>
        </w:rPr>
        <w:t>三、估价结果和估价报告的使用</w:t>
      </w:r>
      <w:r>
        <w:tab/>
      </w:r>
      <w:r>
        <w:fldChar w:fldCharType="begin"/>
      </w:r>
      <w:r>
        <w:instrText xml:space="preserve"> PAGEREF _Toc69393384 \h </w:instrText>
      </w:r>
      <w:r>
        <w:fldChar w:fldCharType="separate"/>
      </w:r>
      <w:r>
        <w:t>62</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"_Toc69393385" </w:instrText>
      </w:r>
      <w:r>
        <w:fldChar w:fldCharType="separate"/>
      </w:r>
      <w:r>
        <w:rPr>
          <w:rStyle w:val="40"/>
          <w:rFonts w:hint="eastAsia" w:ascii="Arial" w:cs="Arial"/>
          <w:b/>
        </w:rPr>
        <w:t>第四部分</w:t>
      </w:r>
      <w:r>
        <w:rPr>
          <w:rStyle w:val="40"/>
          <w:rFonts w:ascii="Arial" w:cs="Arial"/>
          <w:b/>
        </w:rPr>
        <w:t xml:space="preserve">  </w:t>
      </w:r>
      <w:r>
        <w:rPr>
          <w:rStyle w:val="40"/>
          <w:rFonts w:hint="eastAsia" w:ascii="Arial" w:cs="Arial"/>
          <w:b/>
        </w:rPr>
        <w:t>附</w:t>
      </w:r>
      <w:r>
        <w:rPr>
          <w:rStyle w:val="40"/>
          <w:rFonts w:ascii="Arial" w:cs="Arial"/>
          <w:b/>
        </w:rPr>
        <w:t xml:space="preserve">  </w:t>
      </w:r>
      <w:r>
        <w:rPr>
          <w:rStyle w:val="40"/>
          <w:rFonts w:hint="eastAsia" w:ascii="Arial" w:cs="Arial"/>
          <w:b/>
        </w:rPr>
        <w:t>件</w:t>
      </w:r>
      <w:r>
        <w:tab/>
      </w:r>
      <w:r>
        <w:fldChar w:fldCharType="begin"/>
      </w:r>
      <w:r>
        <w:instrText xml:space="preserve"> PAGEREF _Toc69393385 \h </w:instrText>
      </w:r>
      <w:r>
        <w:fldChar w:fldCharType="separate"/>
      </w:r>
      <w:r>
        <w:t>70</w:t>
      </w:r>
      <w:r>
        <w:fldChar w:fldCharType="end"/>
      </w:r>
      <w:r>
        <w:fldChar w:fldCharType="end"/>
      </w:r>
    </w:p>
    <w:p>
      <w:pPr>
        <w:spacing w:line="360" w:lineRule="auto"/>
        <w:rPr>
          <w:rFonts w:ascii="Arial" w:hAnsi="Arial" w:eastAsia="仿宋_GB2312" w:cs="Arial"/>
          <w:sz w:val="44"/>
        </w:rPr>
        <w:sectPr>
          <w:headerReference r:id="rId8"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60" w:lineRule="auto"/>
        <w:rPr>
          <w:rFonts w:ascii="Arial" w:hAnsi="Arial" w:eastAsia="仿宋_GB2312" w:cs="Arial"/>
          <w:sz w:val="44"/>
        </w:rPr>
        <w:sectPr>
          <w:headerReference r:id="rId10" w:type="first"/>
          <w:footerReference r:id="rId13" w:type="first"/>
          <w:headerReference r:id="rId9" w:type="default"/>
          <w:footerReference r:id="rId11" w:type="default"/>
          <w:footerReference r:id="rId12" w:type="even"/>
          <w:type w:val="continuous"/>
          <w:pgSz w:w="11907" w:h="16840"/>
          <w:pgMar w:top="1440" w:right="1440" w:bottom="1440" w:left="1803" w:header="851" w:footer="1134" w:gutter="0"/>
          <w:pgNumType w:start="1"/>
          <w:cols w:space="720" w:num="1"/>
          <w:titlePg/>
        </w:sectPr>
      </w:pPr>
    </w:p>
    <w:p>
      <w:pPr>
        <w:spacing w:line="36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60" w:lineRule="auto"/>
        <w:rPr>
          <w:rFonts w:ascii="Arial" w:hAnsi="Arial" w:eastAsia="楷体_GB2312" w:cs="Arial"/>
          <w:b/>
          <w:sz w:val="32"/>
        </w:rPr>
      </w:pPr>
    </w:p>
    <w:p>
      <w:pPr>
        <w:tabs>
          <w:tab w:val="center" w:pos="4332"/>
          <w:tab w:val="right" w:pos="8664"/>
        </w:tabs>
        <w:spacing w:line="360" w:lineRule="auto"/>
        <w:ind w:firstLine="3534" w:firstLineChars="1100"/>
        <w:outlineLvl w:val="0"/>
        <w:rPr>
          <w:rFonts w:ascii="Arial" w:hAnsi="Arial" w:cs="Arial"/>
          <w:sz w:val="32"/>
        </w:rPr>
      </w:pPr>
      <w:bookmarkStart w:id="0" w:name="_Toc524335054"/>
      <w:bookmarkStart w:id="1" w:name="_Toc416783516"/>
      <w:bookmarkStart w:id="2" w:name="_Toc469066300"/>
      <w:bookmarkStart w:id="3" w:name="_Toc69393366"/>
      <w:bookmarkStart w:id="4" w:name="_Toc425250300"/>
      <w:bookmarkStart w:id="5" w:name="_Toc418750878"/>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pPr>
        <w:spacing w:line="360" w:lineRule="auto"/>
        <w:rPr>
          <w:rFonts w:ascii="Arial" w:hAnsi="Arial" w:eastAsia="仿宋_GB2312" w:cs="Arial"/>
          <w:sz w:val="28"/>
        </w:rPr>
      </w:pPr>
    </w:p>
    <w:p>
      <w:pPr>
        <w:spacing w:line="360" w:lineRule="auto"/>
        <w:jc w:val="both"/>
        <w:outlineLvl w:val="1"/>
        <w:rPr>
          <w:rFonts w:ascii="Arial" w:hAnsi="Arial" w:eastAsia="仿宋_GB2312" w:cs="Arial"/>
          <w:b/>
          <w:bCs/>
          <w:sz w:val="28"/>
        </w:rPr>
      </w:pPr>
      <w:bookmarkStart w:id="6" w:name="_Toc515458358"/>
      <w:bookmarkStart w:id="7" w:name="_Toc416783517"/>
      <w:bookmarkStart w:id="8" w:name="_Toc425250301"/>
      <w:bookmarkStart w:id="9" w:name="_Toc469066301"/>
      <w:bookmarkStart w:id="10" w:name="_Toc524335055"/>
      <w:bookmarkStart w:id="11" w:name="_Toc69393367"/>
      <w:bookmarkStart w:id="12" w:name="_Toc418750879"/>
      <w:r>
        <w:rPr>
          <w:rFonts w:ascii="Arial" w:hAnsi="Arial" w:eastAsia="仿宋_GB2312" w:cs="Arial"/>
          <w:b/>
          <w:bCs/>
          <w:sz w:val="28"/>
        </w:rPr>
        <w:t>一、估价项目名称</w:t>
      </w:r>
      <w:bookmarkEnd w:id="6"/>
      <w:bookmarkEnd w:id="7"/>
      <w:bookmarkEnd w:id="8"/>
      <w:bookmarkEnd w:id="9"/>
      <w:bookmarkEnd w:id="10"/>
      <w:bookmarkEnd w:id="11"/>
      <w:bookmarkEnd w:id="12"/>
    </w:p>
    <w:p>
      <w:pPr>
        <w:spacing w:line="360" w:lineRule="auto"/>
        <w:ind w:firstLine="557" w:firstLineChars="199"/>
        <w:jc w:val="both"/>
        <w:rPr>
          <w:rFonts w:ascii="Arial" w:hAnsi="Arial" w:eastAsia="仿宋_GB2312" w:cs="Arial"/>
          <w:sz w:val="28"/>
        </w:rPr>
      </w:pPr>
      <w:bookmarkStart w:id="13" w:name="_Hlk79696906"/>
      <w:bookmarkStart w:id="14" w:name="_Hlk79698272"/>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5" w:name="_Toc69393368"/>
      <w:r>
        <w:rPr>
          <w:rFonts w:ascii="Arial" w:hAnsi="Arial" w:eastAsia="仿宋_GB2312" w:cs="Arial"/>
          <w:b/>
          <w:bCs/>
          <w:sz w:val="28"/>
        </w:rPr>
        <w:t>二、委托估价方</w:t>
      </w:r>
      <w:bookmarkEnd w:id="15"/>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北京市土地利用事务</w:t>
      </w:r>
      <w:r>
        <w:rPr>
          <w:rFonts w:hint="eastAsia" w:ascii="Arial" w:hAnsi="Arial" w:eastAsia="仿宋_GB2312" w:cs="Arial"/>
          <w:bCs/>
          <w:sz w:val="28"/>
        </w:rPr>
        <w:t>中心</w:t>
      </w:r>
      <w:r>
        <w:rPr>
          <w:rFonts w:ascii="Arial" w:hAnsi="Arial" w:eastAsia="仿宋_GB2312" w:cs="Arial"/>
          <w:bCs/>
          <w:sz w:val="28"/>
        </w:rPr>
        <w:t xml:space="preserve"> </w:t>
      </w:r>
    </w:p>
    <w:p>
      <w:pPr>
        <w:spacing w:line="360" w:lineRule="auto"/>
        <w:ind w:left="1" w:right="-85"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6" w:name="_Toc418750881"/>
      <w:bookmarkStart w:id="17" w:name="_Toc515458360"/>
      <w:bookmarkStart w:id="18" w:name="_Toc515261587"/>
      <w:bookmarkStart w:id="19" w:name="_Toc425250303"/>
      <w:bookmarkStart w:id="20" w:name="_Toc524335057"/>
      <w:bookmarkStart w:id="21" w:name="_Toc69393369"/>
      <w:bookmarkStart w:id="22" w:name="_Toc469066303"/>
      <w:bookmarkStart w:id="23" w:name="_Toc416783519"/>
      <w:r>
        <w:rPr>
          <w:rFonts w:ascii="Arial" w:hAnsi="Arial" w:eastAsia="仿宋_GB2312" w:cs="Arial"/>
          <w:b/>
          <w:bCs/>
          <w:sz w:val="28"/>
        </w:rPr>
        <w:t>三、估价目的</w:t>
      </w:r>
      <w:bookmarkEnd w:id="16"/>
      <w:bookmarkEnd w:id="17"/>
      <w:bookmarkEnd w:id="18"/>
      <w:bookmarkEnd w:id="19"/>
      <w:bookmarkEnd w:id="20"/>
      <w:bookmarkEnd w:id="21"/>
      <w:bookmarkEnd w:id="22"/>
      <w:bookmarkEnd w:id="23"/>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ind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4" w:name="_Toc418750882"/>
      <w:bookmarkStart w:id="25" w:name="_Toc425250304"/>
      <w:bookmarkStart w:id="26" w:name="_Toc515458361"/>
      <w:bookmarkStart w:id="27" w:name="_Toc524335058"/>
      <w:bookmarkStart w:id="28" w:name="_Toc416783520"/>
      <w:bookmarkStart w:id="29" w:name="_Toc469066304"/>
      <w:bookmarkStart w:id="30" w:name="_Toc515261588"/>
      <w:bookmarkStart w:id="31" w:name="_Toc69393370"/>
      <w:r>
        <w:rPr>
          <w:rFonts w:ascii="Arial" w:hAnsi="Arial" w:eastAsia="仿宋_GB2312" w:cs="Arial"/>
          <w:b/>
          <w:bCs/>
          <w:sz w:val="28"/>
        </w:rPr>
        <w:t>四、估价期日</w:t>
      </w:r>
      <w:bookmarkEnd w:id="24"/>
      <w:bookmarkEnd w:id="25"/>
      <w:bookmarkEnd w:id="26"/>
      <w:bookmarkEnd w:id="27"/>
      <w:bookmarkEnd w:id="28"/>
      <w:bookmarkEnd w:id="29"/>
      <w:bookmarkEnd w:id="30"/>
      <w:bookmarkEnd w:id="31"/>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32" w:name="_Toc418750883"/>
      <w:bookmarkStart w:id="33" w:name="_Toc515261589"/>
      <w:bookmarkStart w:id="34" w:name="_Toc416783521"/>
      <w:bookmarkStart w:id="35" w:name="_Toc515458362"/>
      <w:bookmarkStart w:id="36" w:name="_Toc469066305"/>
      <w:bookmarkStart w:id="37" w:name="_Toc524335059"/>
      <w:bookmarkStart w:id="38" w:name="_Toc425250305"/>
      <w:bookmarkStart w:id="39" w:name="_Toc69393371"/>
      <w:r>
        <w:rPr>
          <w:rFonts w:ascii="Arial" w:hAnsi="Arial" w:eastAsia="仿宋_GB2312" w:cs="Arial"/>
          <w:b/>
          <w:bCs/>
          <w:sz w:val="28"/>
        </w:rPr>
        <w:t>五、估价日期</w:t>
      </w:r>
      <w:bookmarkEnd w:id="32"/>
      <w:bookmarkEnd w:id="33"/>
      <w:bookmarkEnd w:id="34"/>
      <w:bookmarkEnd w:id="35"/>
      <w:bookmarkEnd w:id="36"/>
      <w:bookmarkEnd w:id="37"/>
      <w:bookmarkEnd w:id="38"/>
      <w:bookmarkEnd w:id="39"/>
      <w:r>
        <w:rPr>
          <w:rFonts w:ascii="Arial" w:hAnsi="Arial" w:eastAsia="仿宋_GB2312" w:cs="Arial"/>
          <w:b/>
          <w:bCs/>
          <w:sz w:val="28"/>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w:t>
      </w:r>
      <w:bookmarkStart w:id="40" w:name="_Toc469066306"/>
      <w:bookmarkStart w:id="41" w:name="_Toc418750884"/>
      <w:bookmarkStart w:id="42" w:name="_Toc416783522"/>
      <w:bookmarkStart w:id="43" w:name="_Toc425250306"/>
      <w:r>
        <w:rPr>
          <w:rFonts w:ascii="Arial" w:hAnsi="Arial" w:eastAsia="仿宋_GB2312" w:cs="Arial"/>
          <w:sz w:val="28"/>
        </w:rPr>
        <w:t>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rPr>
      </w:pPr>
    </w:p>
    <w:p>
      <w:pPr>
        <w:numPr>
          <w:ilvl w:val="0"/>
          <w:numId w:val="5"/>
        </w:numPr>
        <w:tabs>
          <w:tab w:val="left" w:pos="6957"/>
        </w:tabs>
        <w:spacing w:line="360" w:lineRule="auto"/>
        <w:jc w:val="both"/>
        <w:outlineLvl w:val="1"/>
        <w:rPr>
          <w:rFonts w:ascii="Arial" w:hAnsi="Arial" w:eastAsia="仿宋_GB2312" w:cs="Arial"/>
          <w:b/>
          <w:bCs/>
          <w:sz w:val="28"/>
        </w:rPr>
      </w:pPr>
      <w:bookmarkStart w:id="44" w:name="_Toc69393372"/>
      <w:bookmarkStart w:id="45" w:name="_Toc524335060"/>
      <w:r>
        <w:rPr>
          <w:rFonts w:ascii="Arial" w:hAnsi="Arial" w:eastAsia="仿宋_GB2312" w:cs="Arial"/>
          <w:b/>
          <w:bCs/>
          <w:sz w:val="28"/>
        </w:rPr>
        <w:t>地价定义</w:t>
      </w:r>
      <w:bookmarkEnd w:id="40"/>
      <w:bookmarkEnd w:id="41"/>
      <w:bookmarkEnd w:id="42"/>
      <w:bookmarkEnd w:id="43"/>
      <w:bookmarkEnd w:id="44"/>
      <w:bookmarkEnd w:id="45"/>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blPrEx>
          <w:tblCellMar>
            <w:top w:w="57" w:type="dxa"/>
            <w:left w:w="57" w:type="dxa"/>
            <w:bottom w:w="57" w:type="dxa"/>
            <w:right w:w="57" w:type="dxa"/>
          </w:tblCellMar>
        </w:tblPrEx>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blPrEx>
          <w:tblCellMar>
            <w:top w:w="57" w:type="dxa"/>
            <w:left w:w="57" w:type="dxa"/>
            <w:bottom w:w="57" w:type="dxa"/>
            <w:right w:w="57" w:type="dxa"/>
          </w:tblCellMar>
        </w:tblPrEx>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blPrEx>
          <w:tblCellMar>
            <w:top w:w="57" w:type="dxa"/>
            <w:left w:w="57" w:type="dxa"/>
            <w:bottom w:w="57" w:type="dxa"/>
            <w:right w:w="57" w:type="dxa"/>
          </w:tblCellMar>
        </w:tblPrEx>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w:t>
            </w:r>
            <w:r>
              <w:rPr>
                <w:rFonts w:ascii="Arial" w:hAnsi="Arial" w:eastAsia="仿宋_GB2312" w:cs="Arial"/>
                <w:color w:val="000000"/>
                <w:sz w:val="18"/>
                <w:szCs w:val="18"/>
                <w:highlight w:val="none"/>
              </w:rPr>
              <w:t>米，需评估于估价期日的楼面熟地价及政府土地出让收益。另减少地下车库用途建筑面积2994.76平方米</w:t>
            </w:r>
            <w:r>
              <w:rPr>
                <w:rFonts w:hint="eastAsia" w:ascii="Arial" w:hAnsi="Arial" w:eastAsia="仿宋_GB2312" w:cs="Arial"/>
                <w:color w:val="000000"/>
                <w:sz w:val="18"/>
                <w:szCs w:val="18"/>
                <w:highlight w:val="none"/>
              </w:rPr>
              <w:t>，</w:t>
            </w:r>
            <w:r>
              <w:rPr>
                <w:rFonts w:ascii="Arial" w:hAnsi="Arial" w:eastAsia="仿宋_GB2312" w:cs="Arial"/>
                <w:color w:val="000000"/>
                <w:sz w:val="18"/>
                <w:szCs w:val="18"/>
                <w:highlight w:val="none"/>
              </w:rPr>
              <w:t>虽面积</w:t>
            </w:r>
            <w:r>
              <w:rPr>
                <w:rFonts w:hint="eastAsia" w:ascii="Arial" w:hAnsi="Arial" w:eastAsia="仿宋_GB2312" w:cs="Arial"/>
                <w:color w:val="000000"/>
                <w:sz w:val="18"/>
                <w:szCs w:val="18"/>
                <w:highlight w:val="none"/>
              </w:rPr>
              <w:t>减少</w:t>
            </w:r>
            <w:r>
              <w:rPr>
                <w:rFonts w:ascii="Arial" w:hAnsi="Arial" w:eastAsia="仿宋_GB2312" w:cs="Arial"/>
                <w:color w:val="000000"/>
                <w:sz w:val="18"/>
                <w:szCs w:val="18"/>
                <w:highlight w:val="none"/>
              </w:rPr>
              <w:t>幅度超10%，</w:t>
            </w:r>
            <w:r>
              <w:rPr>
                <w:rFonts w:hint="eastAsia" w:ascii="Arial" w:hAnsi="Arial" w:eastAsia="仿宋_GB2312" w:cs="Arial"/>
                <w:color w:val="000000"/>
                <w:sz w:val="18"/>
                <w:szCs w:val="18"/>
                <w:highlight w:val="none"/>
              </w:rPr>
              <w:t>但</w:t>
            </w:r>
            <w:r>
              <w:rPr>
                <w:rFonts w:ascii="Arial" w:hAnsi="Arial" w:eastAsia="仿宋_GB2312" w:cs="Arial"/>
                <w:color w:val="000000"/>
                <w:sz w:val="18"/>
                <w:szCs w:val="18"/>
                <w:highlight w:val="none"/>
              </w:rPr>
              <w:t>用途未变，故不涉及评估</w:t>
            </w:r>
          </w:p>
        </w:tc>
      </w:tr>
      <w:tr>
        <w:tblPrEx>
          <w:tblCellMar>
            <w:top w:w="57" w:type="dxa"/>
            <w:left w:w="57" w:type="dxa"/>
            <w:bottom w:w="57" w:type="dxa"/>
            <w:right w:w="57" w:type="dxa"/>
          </w:tblCellMar>
        </w:tblPrEx>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50</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分别为地下车库50年</w:t>
      </w:r>
      <w:r>
        <w:rPr>
          <w:rFonts w:ascii="Arial" w:hAnsi="Arial" w:eastAsia="仿宋_GB2312" w:cs="Arial"/>
          <w:sz w:val="28"/>
          <w:szCs w:val="28"/>
        </w:rPr>
        <w:t>、</w:t>
      </w:r>
      <w:r>
        <w:rPr>
          <w:rFonts w:hint="eastAsia" w:ascii="Arial" w:hAnsi="Arial" w:eastAsia="仿宋_GB2312" w:cs="Arial"/>
          <w:sz w:val="28"/>
          <w:szCs w:val="28"/>
        </w:rPr>
        <w:t>地下仓储50年。</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地价内涵：</w:t>
      </w:r>
    </w:p>
    <w:p>
      <w:pPr>
        <w:tabs>
          <w:tab w:val="left" w:pos="6957"/>
        </w:tabs>
        <w:spacing w:line="360" w:lineRule="auto"/>
        <w:ind w:firstLine="560" w:firstLineChars="200"/>
        <w:jc w:val="both"/>
        <w:outlineLvl w:val="1"/>
        <w:rPr>
          <w:rFonts w:ascii="Arial" w:hAnsi="Arial" w:eastAsia="仿宋_GB2312" w:cs="Arial"/>
          <w:b/>
          <w:bCs/>
          <w:sz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50</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50年。</w:t>
      </w:r>
      <w:r>
        <w:rPr>
          <w:rFonts w:ascii="Arial" w:hAnsi="Arial" w:eastAsia="仿宋_GB2312" w:cs="Arial"/>
          <w:sz w:val="28"/>
          <w:szCs w:val="28"/>
        </w:rPr>
        <w:t>于设定条件下完整的国有建设用地使用权价格，即出让土地使用权的正常市场价格。</w:t>
      </w:r>
    </w:p>
    <w:p>
      <w:pPr>
        <w:pStyle w:val="52"/>
        <w:rPr>
          <w:rFonts w:ascii="Arial" w:hAnsi="Arial" w:cs="Arial"/>
        </w:rPr>
      </w:pPr>
      <w:bookmarkStart w:id="46" w:name="_Toc524335061"/>
      <w:bookmarkStart w:id="47" w:name="_Toc515458363"/>
    </w:p>
    <w:p>
      <w:pPr>
        <w:spacing w:line="360" w:lineRule="auto"/>
        <w:outlineLvl w:val="1"/>
        <w:rPr>
          <w:rFonts w:ascii="Arial" w:hAnsi="Arial" w:eastAsia="仿宋_GB2312" w:cs="Arial"/>
          <w:b/>
          <w:sz w:val="28"/>
        </w:rPr>
      </w:pPr>
      <w:bookmarkStart w:id="48" w:name="_Toc69393373"/>
      <w:r>
        <w:rPr>
          <w:rFonts w:ascii="Arial" w:hAnsi="Arial" w:eastAsia="仿宋_GB2312" w:cs="Arial"/>
          <w:b/>
          <w:sz w:val="28"/>
        </w:rPr>
        <w:t>七、估价结果</w:t>
      </w:r>
      <w:bookmarkEnd w:id="46"/>
      <w:bookmarkEnd w:id="47"/>
      <w:bookmarkEnd w:id="48"/>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pPr>
      <w:r>
        <w:rPr>
          <w:rFonts w:ascii="Arial" w:hAnsi="Arial" w:eastAsia="仿宋_GB2312" w:cs="Arial"/>
          <w:sz w:val="28"/>
          <w:szCs w:val="28"/>
        </w:rPr>
        <w:t>（转下页）</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77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6"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8309</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872.5916</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6647</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941"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3"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872.5916</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104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2077</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415</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217.8854</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b/>
                <w:bCs/>
                <w:color w:val="000000"/>
                <w:sz w:val="22"/>
                <w:szCs w:val="22"/>
              </w:rPr>
            </w:pPr>
            <w:r>
              <w:rPr>
                <w:rFonts w:ascii="Arial" w:hAnsi="Arial" w:cs="Arial"/>
                <w:b/>
                <w:bCs/>
                <w:color w:val="000000"/>
                <w:sz w:val="22"/>
                <w:szCs w:val="22"/>
                <w:lang w:bidi="ar"/>
              </w:rPr>
              <w:t>217.8854</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pStyle w:val="52"/>
        <w:ind w:firstLine="562"/>
        <w:jc w:val="both"/>
        <w:rPr>
          <w:rFonts w:ascii="Arial" w:hAnsi="Arial" w:cs="Arial"/>
          <w:b/>
          <w:szCs w:val="28"/>
        </w:rPr>
      </w:pPr>
    </w:p>
    <w:p>
      <w:pPr>
        <w:pStyle w:val="52"/>
        <w:jc w:val="both"/>
        <w:rPr>
          <w:rFonts w:ascii="Arial" w:hAnsi="Arial" w:cs="Arial"/>
          <w:szCs w:val="28"/>
        </w:rPr>
      </w:pPr>
      <w:r>
        <w:rPr>
          <w:rFonts w:ascii="Arial" w:hAnsi="Arial" w:cs="Arial"/>
          <w:szCs w:val="28"/>
        </w:rPr>
        <w:t xml:space="preserve">具体结果详见《估价结果一览表》   </w:t>
      </w:r>
      <w:bookmarkStart w:id="49" w:name="_Toc524335062"/>
      <w:bookmarkStart w:id="50" w:name="_Toc416783524"/>
      <w:bookmarkStart w:id="51" w:name="_Toc469066308"/>
      <w:bookmarkStart w:id="52" w:name="_Toc418750886"/>
      <w:bookmarkStart w:id="53" w:name="_Toc425250308"/>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3756</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地下仓储、地下车库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近三年同区域内（海淀区）无地下仓储、地下车库招拍挂成交地块。</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地下仓储</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00420" cy="3855085"/>
            <wp:effectExtent l="5080" t="4445" r="19050" b="762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地下车库</w:t>
      </w:r>
      <w:r>
        <w:rPr>
          <w:rFonts w:ascii="Arial" w:hAnsi="Arial" w:eastAsia="仿宋_GB2312" w:cs="Arial"/>
          <w:sz w:val="28"/>
          <w:szCs w:val="28"/>
        </w:rPr>
        <w:t>用途案例分析</w:t>
      </w:r>
    </w:p>
    <w:p>
      <w:pPr>
        <w:spacing w:line="360" w:lineRule="auto"/>
        <w:rPr>
          <w:rFonts w:ascii="Arial" w:hAnsi="Arial" w:eastAsia="仿宋_GB2312" w:cs="Arial"/>
          <w:sz w:val="28"/>
          <w:szCs w:val="28"/>
        </w:rPr>
      </w:pPr>
      <w:r>
        <w:drawing>
          <wp:inline distT="0" distB="0" distL="114300" distR="114300">
            <wp:extent cx="5900420" cy="3854450"/>
            <wp:effectExtent l="4445" t="4445" r="19685" b="825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综上，本次评估各用途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r>
        <w:rPr>
          <w:rFonts w:hint="eastAsia"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Fonts w:ascii="Arial" w:hAnsi="Arial" w:eastAsia="仿宋_GB2312" w:cs="Arial"/>
          <w:sz w:val="28"/>
          <w:szCs w:val="28"/>
        </w:rPr>
      </w:pPr>
    </w:p>
    <w:p>
      <w:pPr>
        <w:widowControl/>
        <w:adjustRightInd/>
        <w:spacing w:line="240" w:lineRule="auto"/>
        <w:textAlignment w:val="auto"/>
        <w:rPr>
          <w:rStyle w:val="38"/>
          <w:rFonts w:ascii="Arial" w:hAnsi="Arial" w:cs="Arial"/>
        </w:rPr>
      </w:pPr>
    </w:p>
    <w:p>
      <w:pPr>
        <w:spacing w:line="360" w:lineRule="auto"/>
        <w:outlineLvl w:val="1"/>
        <w:rPr>
          <w:rStyle w:val="38"/>
          <w:rFonts w:ascii="Arial" w:hAnsi="Arial" w:cs="Arial"/>
        </w:rPr>
      </w:pPr>
      <w:bookmarkStart w:id="54" w:name="_Toc69393374"/>
      <w:r>
        <w:rPr>
          <w:rStyle w:val="38"/>
          <w:rFonts w:ascii="Arial" w:hAnsi="Arial" w:cs="Arial"/>
        </w:rPr>
        <w:t>八</w:t>
      </w:r>
      <w:r>
        <w:rPr>
          <w:rFonts w:ascii="Arial" w:hAnsi="Arial" w:eastAsia="仿宋_GB2312" w:cs="Arial"/>
          <w:b/>
          <w:bCs/>
          <w:sz w:val="28"/>
        </w:rPr>
        <w:t>、评估专业人员签字</w:t>
      </w:r>
      <w:bookmarkEnd w:id="49"/>
      <w:bookmarkEnd w:id="50"/>
      <w:bookmarkEnd w:id="51"/>
      <w:bookmarkEnd w:id="52"/>
      <w:bookmarkEnd w:id="53"/>
      <w:bookmarkEnd w:id="54"/>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55" w:name="_Toc418750889"/>
      <w:bookmarkStart w:id="56" w:name="_Toc515458364"/>
      <w:bookmarkStart w:id="57" w:name="_Toc416783526"/>
      <w:bookmarkStart w:id="58" w:name="_Toc425250311"/>
      <w:bookmarkStart w:id="59" w:name="_Toc469066309"/>
      <w:bookmarkStart w:id="60" w:name="_Toc69393375"/>
      <w:bookmarkStart w:id="61" w:name="_Toc524335063"/>
      <w:r>
        <w:rPr>
          <w:rFonts w:ascii="Arial" w:hAnsi="Arial" w:eastAsia="仿宋_GB2312" w:cs="Arial"/>
          <w:b/>
          <w:sz w:val="28"/>
        </w:rPr>
        <w:t>九、土地估价机构</w:t>
      </w:r>
      <w:bookmarkEnd w:id="55"/>
      <w:bookmarkEnd w:id="56"/>
      <w:bookmarkEnd w:id="57"/>
      <w:bookmarkEnd w:id="58"/>
      <w:bookmarkEnd w:id="59"/>
      <w:bookmarkEnd w:id="60"/>
      <w:bookmarkEnd w:id="61"/>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rPr>
              <w:t>十二</w:t>
            </w:r>
            <w:r>
              <w:rPr>
                <w:rFonts w:ascii="Arial" w:hAnsi="Arial" w:eastAsia="仿宋_GB2312" w:cs="Arial"/>
                <w:sz w:val="28"/>
                <w:szCs w:val="21"/>
              </w:rPr>
              <w:t>月</w:t>
            </w:r>
            <w:r>
              <w:rPr>
                <w:rFonts w:hint="eastAsia" w:ascii="Arial" w:hAnsi="Arial" w:eastAsia="仿宋_GB2312" w:cs="Arial"/>
                <w:sz w:val="28"/>
                <w:szCs w:val="21"/>
              </w:rPr>
              <w:t>二</w:t>
            </w:r>
            <w:r>
              <w:rPr>
                <w:rFonts w:ascii="Arial" w:hAnsi="Arial" w:eastAsia="仿宋_GB2312" w:cs="Arial"/>
                <w:sz w:val="28"/>
                <w:szCs w:val="21"/>
              </w:rPr>
              <w:t>日</w:t>
            </w:r>
          </w:p>
        </w:tc>
      </w:tr>
    </w:tbl>
    <w:p>
      <w:pPr>
        <w:spacing w:line="360" w:lineRule="auto"/>
        <w:rPr>
          <w:rFonts w:ascii="Arial" w:hAnsi="Arial" w:eastAsia="仿宋_GB2312" w:cs="Arial"/>
          <w:sz w:val="28"/>
        </w:rPr>
        <w:sectPr>
          <w:footerReference r:id="rId14"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2021-1-0620-F02TDCR6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仓储50</w:t>
            </w:r>
            <w:r>
              <w:rPr>
                <w:rFonts w:ascii="Arial" w:hAnsi="Arial" w:eastAsia="仿宋_GB2312" w:cs="Arial"/>
                <w:bCs/>
                <w:sz w:val="18"/>
                <w:szCs w:val="18"/>
              </w:rPr>
              <w:t>年、地下车库</w:t>
            </w:r>
            <w:r>
              <w:rPr>
                <w:rFonts w:hint="eastAsia" w:ascii="Arial" w:hAnsi="Arial" w:eastAsia="仿宋_GB2312" w:cs="Arial"/>
                <w:bCs/>
                <w:sz w:val="18"/>
                <w:szCs w:val="18"/>
              </w:rPr>
              <w:t>50</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bookmarkStart w:id="62" w:name="_Hlk82585566"/>
            <w:r>
              <w:rPr>
                <w:rFonts w:hint="eastAsia" w:ascii="Arial" w:hAnsi="Arial" w:eastAsia="仿宋_GB2312" w:cs="Arial"/>
                <w:bCs/>
                <w:sz w:val="18"/>
                <w:szCs w:val="18"/>
              </w:rPr>
              <w:t>由地下车库转为地下仓储需补缴地价为872.5916万元</w:t>
            </w:r>
            <w:bookmarkEnd w:id="62"/>
            <w:r>
              <w:rPr>
                <w:rFonts w:hint="eastAsia"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pStyle w:val="52"/>
        <w:spacing w:line="240" w:lineRule="auto"/>
        <w:ind w:left="117" w:leftChars="-135" w:right="-408" w:rightChars="-170" w:hanging="441" w:hangingChars="157"/>
        <w:jc w:val="center"/>
        <w:rPr>
          <w:rFonts w:ascii="Arial" w:hAnsi="Arial" w:cs="Arial"/>
          <w:b/>
          <w:szCs w:val="28"/>
        </w:rPr>
        <w:sectPr>
          <w:headerReference r:id="rId16" w:type="first"/>
          <w:headerReference r:id="rId15" w:type="default"/>
          <w:footerReference r:id="rId17" w:type="default"/>
          <w:pgSz w:w="16840" w:h="11907" w:orient="landscape"/>
          <w:pgMar w:top="1508" w:right="1134" w:bottom="1134" w:left="1134" w:header="1134" w:footer="907"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snapToGrid w:val="0"/>
        <w:spacing w:line="360" w:lineRule="auto"/>
        <w:ind w:firstLine="556"/>
        <w:rPr>
          <w:rFonts w:ascii="Arial" w:hAnsi="Arial" w:eastAsia="仿宋_GB2312" w:cs="Arial"/>
          <w:sz w:val="28"/>
          <w:szCs w:val="28"/>
        </w:rPr>
      </w:pPr>
    </w:p>
    <w:p>
      <w:pPr>
        <w:spacing w:line="240" w:lineRule="auto"/>
        <w:ind w:left="1"/>
        <w:jc w:val="both"/>
        <w:rPr>
          <w:rFonts w:ascii="Arial" w:hAnsi="Arial" w:eastAsia="仿宋_GB2312" w:cs="Arial"/>
          <w:b/>
        </w:rPr>
      </w:pPr>
      <w:r>
        <w:rPr>
          <w:rFonts w:ascii="Arial" w:hAnsi="Arial" w:eastAsia="仿宋_GB2312" w:cs="Arial"/>
          <w:b/>
        </w:rPr>
        <w:t>一、上述估价结果的限定条件</w:t>
      </w:r>
    </w:p>
    <w:p>
      <w:pPr>
        <w:spacing w:line="24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w:t>
      </w:r>
      <w:r>
        <w:rPr>
          <w:rFonts w:hint="eastAsia" w:ascii="Arial" w:hAnsi="Arial" w:eastAsia="仿宋_GB2312" w:cs="Arial"/>
          <w:bCs/>
        </w:rPr>
        <w:t>按实测数据签订补充协议</w:t>
      </w:r>
      <w:r>
        <w:rPr>
          <w:rFonts w:ascii="Arial" w:hAnsi="Arial" w:eastAsia="仿宋_GB2312" w:cs="Arial"/>
          <w:bCs/>
        </w:rPr>
        <w:t>），设定待估宗地无抵押权、担保权等他项权利；</w:t>
      </w:r>
    </w:p>
    <w:p>
      <w:pPr>
        <w:spacing w:line="240" w:lineRule="auto"/>
        <w:jc w:val="both"/>
        <w:rPr>
          <w:rFonts w:ascii="Arial" w:hAnsi="Arial" w:eastAsia="仿宋_GB2312" w:cs="Arial"/>
          <w:bCs/>
        </w:rPr>
      </w:pPr>
      <w:r>
        <w:rPr>
          <w:rFonts w:ascii="Arial" w:hAnsi="Arial" w:eastAsia="仿宋_GB2312" w:cs="Arial"/>
          <w:bCs/>
        </w:rPr>
        <w:t>（二）基础设施条件：估价对象实际土地开发程度为宗地外“七通”（即通路、通上水、通下水、通电、通讯、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w:t>
      </w:r>
      <w:r>
        <w:rPr>
          <w:rFonts w:hint="eastAsia" w:ascii="Arial" w:hAnsi="Arial" w:eastAsia="仿宋_GB2312" w:cs="Arial"/>
          <w:bCs/>
        </w:rPr>
        <w:t>建筑物已竣工并投入使用</w:t>
      </w:r>
      <w:r>
        <w:rPr>
          <w:rFonts w:ascii="Arial" w:hAnsi="Arial" w:eastAsia="仿宋_GB2312" w:cs="Arial"/>
          <w:bCs/>
        </w:rPr>
        <w:t>；设定开发程度为宗地外 “七通”（即通路、通上水、通下水、通电、通讯、</w:t>
      </w:r>
      <w:r>
        <w:rPr>
          <w:rFonts w:hint="eastAsia" w:ascii="Arial" w:hAnsi="Arial" w:eastAsia="仿宋_GB2312" w:cs="Arial"/>
          <w:bCs/>
        </w:rPr>
        <w:t>通热</w:t>
      </w:r>
      <w:r>
        <w:rPr>
          <w:rFonts w:ascii="Arial" w:hAnsi="Arial" w:eastAsia="仿宋_GB2312" w:cs="Arial"/>
          <w:bCs/>
        </w:rPr>
        <w:t>、通燃气、通热力）及宗地红线内“场地平整</w:t>
      </w:r>
      <w:r>
        <w:rPr>
          <w:rFonts w:ascii="Arial" w:hAnsi="Arial" w:eastAsia="仿宋_GB2312" w:cs="Arial"/>
          <w:bCs/>
          <w:kern w:val="2"/>
          <w:sz w:val="21"/>
          <w:szCs w:val="21"/>
        </w:rPr>
        <w:t>”；</w:t>
      </w:r>
    </w:p>
    <w:p>
      <w:pPr>
        <w:spacing w:line="240" w:lineRule="auto"/>
        <w:ind w:left="2"/>
        <w:jc w:val="both"/>
        <w:rPr>
          <w:rFonts w:ascii="Arial" w:hAnsi="Arial" w:eastAsia="仿宋_GB2312" w:cs="Arial"/>
          <w:bCs/>
          <w:szCs w:val="24"/>
        </w:rPr>
      </w:pPr>
      <w:r>
        <w:rPr>
          <w:rFonts w:ascii="Arial" w:hAnsi="Arial" w:eastAsia="仿宋_GB2312" w:cs="Arial"/>
          <w:bCs/>
        </w:rPr>
        <w:t>（三）规划限制</w:t>
      </w:r>
      <w:r>
        <w:rPr>
          <w:rFonts w:ascii="Arial" w:hAnsi="Arial" w:eastAsia="仿宋_GB2312" w:cs="Arial"/>
          <w:bCs/>
          <w:szCs w:val="24"/>
        </w:rPr>
        <w:t>条件：</w:t>
      </w:r>
      <w:r>
        <w:rPr>
          <w:rFonts w:ascii="Arial" w:hAnsi="Arial" w:eastAsia="仿宋_GB2312" w:cs="Arial"/>
          <w:bCs/>
          <w:kern w:val="2"/>
          <w:szCs w:val="24"/>
        </w:rPr>
        <w:t>根据</w:t>
      </w:r>
      <w:r>
        <w:rPr>
          <w:rFonts w:hint="eastAsia" w:ascii="Arial" w:hAnsi="Arial" w:eastAsia="仿宋_GB2312" w:cs="Arial"/>
          <w:bCs/>
          <w:kern w:val="2"/>
          <w:szCs w:val="24"/>
        </w:rPr>
        <w:t>《北京市国有土地使用权出让合同》[京地出[合]字（2004）第1251号]及其补充协议、《不动产权证书》[京（2015）海淀区不动产权第0000005号]</w:t>
      </w:r>
      <w:r>
        <w:rPr>
          <w:rFonts w:ascii="Arial" w:hAnsi="Arial" w:eastAsia="仿宋_GB2312" w:cs="Arial"/>
          <w:bCs/>
          <w:kern w:val="2"/>
          <w:szCs w:val="24"/>
        </w:rPr>
        <w:t>、</w:t>
      </w:r>
      <w:r>
        <w:rPr>
          <w:rFonts w:hint="eastAsia" w:ascii="Arial" w:hAnsi="Arial" w:eastAsia="仿宋_GB2312" w:cs="Arial"/>
          <w:bCs/>
          <w:kern w:val="2"/>
          <w:szCs w:val="24"/>
        </w:rPr>
        <w:t>《房屋面积测算技术报告书（商品房类使用）》、《房屋登记表》、《竣工项目测绘成果说明》及《国有建设用地使用权出让地价评估委托书》</w:t>
      </w:r>
      <w:r>
        <w:rPr>
          <w:rFonts w:ascii="Arial" w:hAnsi="Arial" w:eastAsia="仿宋_GB2312" w:cs="Arial"/>
          <w:bCs/>
          <w:kern w:val="2"/>
          <w:szCs w:val="24"/>
        </w:rPr>
        <w:t xml:space="preserve">等； </w:t>
      </w:r>
    </w:p>
    <w:p>
      <w:pPr>
        <w:spacing w:line="240" w:lineRule="auto"/>
        <w:ind w:left="2"/>
        <w:jc w:val="both"/>
        <w:rPr>
          <w:rFonts w:ascii="Arial" w:hAnsi="Arial" w:eastAsia="仿宋_GB2312" w:cs="Arial"/>
          <w:bCs/>
        </w:rPr>
      </w:pPr>
      <w:r>
        <w:rPr>
          <w:rFonts w:ascii="Arial" w:hAnsi="Arial" w:eastAsia="仿宋_GB2312" w:cs="Arial"/>
          <w:bCs/>
          <w:szCs w:val="24"/>
        </w:rPr>
        <w:t>（四）影响土地价格的其他限定条件：无</w:t>
      </w:r>
      <w:r>
        <w:rPr>
          <w:rFonts w:ascii="Arial" w:hAnsi="Arial" w:eastAsia="仿宋_GB2312" w:cs="Arial"/>
          <w:bCs/>
        </w:rPr>
        <w:t>。</w:t>
      </w:r>
    </w:p>
    <w:p>
      <w:pPr>
        <w:spacing w:line="24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240" w:lineRule="auto"/>
        <w:rPr>
          <w:rFonts w:ascii="Arial" w:hAnsi="Arial" w:eastAsia="仿宋_GB2312" w:cs="Arial"/>
          <w:bCs/>
        </w:rPr>
      </w:pPr>
      <w:r>
        <w:rPr>
          <w:rFonts w:ascii="Arial" w:hAnsi="Arial" w:eastAsia="仿宋_GB2312" w:cs="Arial"/>
          <w:bCs/>
        </w:rPr>
        <w:t xml:space="preserve"> </w:t>
      </w:r>
    </w:p>
    <w:p>
      <w:pPr>
        <w:spacing w:line="240" w:lineRule="auto"/>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240" w:lineRule="auto"/>
        <w:ind w:firstLine="7384" w:firstLineChars="3077"/>
        <w:jc w:val="right"/>
        <w:rPr>
          <w:rFonts w:ascii="Arial" w:hAnsi="Arial" w:eastAsia="仿宋_GB2312" w:cs="Arial"/>
          <w:sz w:val="28"/>
        </w:rPr>
      </w:pPr>
      <w:r>
        <w:rPr>
          <w:rFonts w:ascii="Arial" w:hAnsi="Arial" w:eastAsia="仿宋_GB2312" w:cs="Arial"/>
          <w:bCs/>
        </w:rPr>
        <w:t xml:space="preserve">                2021年</w:t>
      </w:r>
      <w:r>
        <w:rPr>
          <w:rFonts w:hint="eastAsia" w:ascii="Arial" w:hAnsi="Arial" w:eastAsia="仿宋_GB2312" w:cs="Arial"/>
          <w:bCs/>
        </w:rPr>
        <w:t>12</w:t>
      </w:r>
      <w:r>
        <w:rPr>
          <w:rFonts w:ascii="Arial" w:hAnsi="Arial" w:eastAsia="仿宋_GB2312" w:cs="Arial"/>
          <w:bCs/>
        </w:rPr>
        <w:t>月</w:t>
      </w:r>
      <w:r>
        <w:rPr>
          <w:rFonts w:hint="eastAsia" w:ascii="Arial" w:hAnsi="Arial" w:eastAsia="仿宋_GB2312" w:cs="Arial"/>
          <w:bCs/>
        </w:rPr>
        <w:t>2</w:t>
      </w:r>
      <w:r>
        <w:rPr>
          <w:rFonts w:ascii="Arial" w:hAnsi="Arial" w:eastAsia="仿宋_GB2312" w:cs="Arial"/>
          <w:bCs/>
        </w:rPr>
        <w:t>日</w:t>
      </w:r>
    </w:p>
    <w:p>
      <w:pPr>
        <w:spacing w:line="240" w:lineRule="auto"/>
        <w:ind w:firstLine="7384" w:firstLineChars="3077"/>
        <w:jc w:val="right"/>
        <w:rPr>
          <w:rFonts w:ascii="Arial" w:hAnsi="Arial" w:eastAsia="仿宋_GB2312" w:cs="Arial"/>
          <w:bCs/>
        </w:rPr>
      </w:pPr>
    </w:p>
    <w:p>
      <w:pPr>
        <w:spacing w:line="240" w:lineRule="auto"/>
        <w:ind w:firstLine="7384" w:firstLineChars="3077"/>
        <w:jc w:val="right"/>
        <w:rPr>
          <w:rFonts w:ascii="Arial" w:hAnsi="Arial" w:eastAsia="仿宋_GB2312" w:cs="Arial"/>
          <w:bCs/>
        </w:rPr>
      </w:pPr>
    </w:p>
    <w:p>
      <w:pPr>
        <w:spacing w:line="240" w:lineRule="auto"/>
        <w:ind w:firstLine="8615" w:firstLineChars="3077"/>
        <w:jc w:val="right"/>
        <w:rPr>
          <w:rFonts w:ascii="Arial" w:hAnsi="Arial" w:eastAsia="仿宋_GB2312" w:cs="Arial"/>
          <w:sz w:val="28"/>
        </w:rPr>
      </w:pPr>
    </w:p>
    <w:p>
      <w:pPr>
        <w:spacing w:line="360" w:lineRule="auto"/>
        <w:ind w:firstLine="4480" w:firstLineChars="1600"/>
        <w:rPr>
          <w:rFonts w:ascii="Arial" w:hAnsi="Arial" w:eastAsia="仿宋_GB2312" w:cs="Arial"/>
          <w:sz w:val="28"/>
        </w:rPr>
        <w:sectPr>
          <w:headerReference r:id="rId18" w:type="first"/>
          <w:pgSz w:w="11907" w:h="16840"/>
          <w:pgMar w:top="1843" w:right="1134" w:bottom="1134" w:left="1134" w:header="1134" w:footer="850" w:gutter="340"/>
          <w:cols w:space="720" w:num="1"/>
          <w:titlePg/>
          <w:docGrid w:linePitch="326" w:charSpace="0"/>
        </w:sectPr>
      </w:pPr>
    </w:p>
    <w:p>
      <w:pPr>
        <w:spacing w:line="360" w:lineRule="auto"/>
        <w:jc w:val="center"/>
        <w:outlineLvl w:val="0"/>
        <w:rPr>
          <w:rFonts w:ascii="Arial" w:hAnsi="Arial" w:cs="Arial"/>
          <w:b/>
          <w:sz w:val="32"/>
        </w:rPr>
      </w:pPr>
      <w:bookmarkStart w:id="63" w:name="_Toc469066311"/>
      <w:bookmarkStart w:id="64" w:name="_Toc515458366"/>
      <w:bookmarkStart w:id="65" w:name="_Toc416783528"/>
      <w:bookmarkStart w:id="66" w:name="_Toc425250313"/>
      <w:bookmarkStart w:id="67" w:name="_Toc69393376"/>
      <w:bookmarkStart w:id="68" w:name="_Toc418750891"/>
      <w:bookmarkStart w:id="69" w:name="_Toc524335065"/>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63"/>
      <w:bookmarkEnd w:id="64"/>
      <w:bookmarkEnd w:id="65"/>
      <w:bookmarkEnd w:id="66"/>
      <w:bookmarkEnd w:id="67"/>
      <w:bookmarkEnd w:id="68"/>
      <w:bookmarkEnd w:id="69"/>
    </w:p>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70" w:name="_Toc469066312"/>
      <w:bookmarkStart w:id="71" w:name="_Toc515458367"/>
      <w:bookmarkStart w:id="72" w:name="_Toc524335066"/>
      <w:bookmarkStart w:id="73" w:name="_Toc425250314"/>
      <w:bookmarkStart w:id="74" w:name="_Toc418750892"/>
      <w:bookmarkStart w:id="75" w:name="_Toc515261594"/>
      <w:bookmarkStart w:id="76" w:name="_Toc416783529"/>
      <w:bookmarkStart w:id="77" w:name="_Toc69393377"/>
      <w:bookmarkStart w:id="78" w:name="_Toc425250317"/>
      <w:bookmarkStart w:id="79" w:name="_Toc469066315"/>
      <w:bookmarkStart w:id="80" w:name="_Toc416783532"/>
      <w:bookmarkStart w:id="81" w:name="_Toc418750895"/>
      <w:r>
        <w:rPr>
          <w:rFonts w:ascii="Arial" w:hAnsi="Arial" w:eastAsia="仿宋_GB2312" w:cs="Arial"/>
          <w:b/>
          <w:sz w:val="28"/>
        </w:rPr>
        <w:t>一、委托估价方</w:t>
      </w:r>
      <w:bookmarkEnd w:id="70"/>
      <w:bookmarkEnd w:id="71"/>
      <w:bookmarkEnd w:id="72"/>
      <w:bookmarkEnd w:id="73"/>
      <w:bookmarkEnd w:id="74"/>
      <w:bookmarkEnd w:id="75"/>
      <w:bookmarkEnd w:id="76"/>
      <w:bookmarkEnd w:id="77"/>
    </w:p>
    <w:p>
      <w:pPr>
        <w:spacing w:line="360" w:lineRule="auto"/>
        <w:ind w:firstLine="570"/>
        <w:jc w:val="both"/>
        <w:rPr>
          <w:rFonts w:ascii="Arial" w:hAnsi="Arial" w:eastAsia="仿宋_GB2312" w:cs="Arial"/>
          <w:sz w:val="28"/>
        </w:rPr>
      </w:pPr>
      <w:r>
        <w:rPr>
          <w:rFonts w:ascii="Arial" w:hAnsi="Arial" w:eastAsia="仿宋_GB2312" w:cs="Arial"/>
          <w:sz w:val="28"/>
        </w:rPr>
        <w:t>本次评估委托估价方为北京市土地利用事务中心，非估价对象的土地使用权人。</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单位名称：北京市土地利用事务中心</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pPr>
      <w:r>
        <w:rPr>
          <w:rFonts w:ascii="Arial" w:hAnsi="Arial" w:eastAsia="仿宋_GB2312" w:cs="Arial"/>
          <w:sz w:val="28"/>
        </w:rPr>
        <w:t>受让方：北京强佑房地产开发有限公司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类型：有限责任公司</w:t>
      </w:r>
      <w:r>
        <w:rPr>
          <w:rFonts w:hint="eastAsia" w:ascii="Arial" w:hAnsi="Arial" w:eastAsia="仿宋_GB2312" w:cs="Arial"/>
          <w:sz w:val="28"/>
        </w:rPr>
        <w:t>（自然人投资或控股）</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住所：北京市</w:t>
      </w:r>
      <w:r>
        <w:rPr>
          <w:rFonts w:hint="eastAsia" w:ascii="Arial" w:hAnsi="Arial" w:eastAsia="仿宋_GB2312" w:cs="Arial"/>
          <w:sz w:val="28"/>
        </w:rPr>
        <w:t>平谷区熊儿寨乡东路16号</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法定代表人：</w:t>
      </w:r>
      <w:r>
        <w:rPr>
          <w:rFonts w:hint="eastAsia" w:ascii="Arial" w:hAnsi="Arial" w:eastAsia="仿宋_GB2312" w:cs="Arial"/>
          <w:sz w:val="28"/>
        </w:rPr>
        <w:t>李小波</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注册资本：</w:t>
      </w:r>
      <w:r>
        <w:rPr>
          <w:rFonts w:hint="eastAsia" w:ascii="Arial" w:hAnsi="Arial" w:eastAsia="仿宋_GB2312" w:cs="Arial"/>
          <w:sz w:val="28"/>
        </w:rPr>
        <w:t>6000</w:t>
      </w:r>
      <w:r>
        <w:rPr>
          <w:rFonts w:ascii="Arial" w:hAnsi="Arial" w:eastAsia="仿宋_GB2312" w:cs="Arial"/>
          <w:sz w:val="28"/>
        </w:rPr>
        <w:t>万元</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成立日期：</w:t>
      </w:r>
      <w:r>
        <w:rPr>
          <w:rFonts w:hint="eastAsia" w:ascii="Arial" w:hAnsi="Arial" w:eastAsia="仿宋_GB2312" w:cs="Arial"/>
          <w:sz w:val="28"/>
        </w:rPr>
        <w:t>1992</w:t>
      </w:r>
      <w:r>
        <w:rPr>
          <w:rFonts w:ascii="Arial" w:hAnsi="Arial" w:eastAsia="仿宋_GB2312" w:cs="Arial"/>
          <w:sz w:val="28"/>
        </w:rPr>
        <w:t>年0</w:t>
      </w:r>
      <w:r>
        <w:rPr>
          <w:rFonts w:hint="eastAsia" w:ascii="Arial" w:hAnsi="Arial" w:eastAsia="仿宋_GB2312" w:cs="Arial"/>
          <w:sz w:val="28"/>
        </w:rPr>
        <w:t>9</w:t>
      </w:r>
      <w:r>
        <w:rPr>
          <w:rFonts w:ascii="Arial" w:hAnsi="Arial" w:eastAsia="仿宋_GB2312" w:cs="Arial"/>
          <w:sz w:val="28"/>
        </w:rPr>
        <w:t>月1</w:t>
      </w:r>
      <w:r>
        <w:rPr>
          <w:rFonts w:hint="eastAsia" w:ascii="Arial" w:hAnsi="Arial" w:eastAsia="仿宋_GB2312" w:cs="Arial"/>
          <w:sz w:val="28"/>
        </w:rPr>
        <w:t>7</w:t>
      </w:r>
      <w:r>
        <w:rPr>
          <w:rFonts w:ascii="Arial" w:hAnsi="Arial" w:eastAsia="仿宋_GB2312" w:cs="Arial"/>
          <w:sz w:val="28"/>
        </w:rPr>
        <w:t>日</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营业期限：</w:t>
      </w:r>
      <w:r>
        <w:rPr>
          <w:rFonts w:hint="eastAsia" w:ascii="Arial" w:hAnsi="Arial" w:eastAsia="仿宋_GB2312" w:cs="Arial"/>
          <w:sz w:val="28"/>
        </w:rPr>
        <w:t>2010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24</w:t>
      </w:r>
      <w:r>
        <w:rPr>
          <w:rFonts w:ascii="Arial" w:hAnsi="Arial" w:eastAsia="仿宋_GB2312" w:cs="Arial"/>
          <w:sz w:val="28"/>
        </w:rPr>
        <w:t>日至203</w:t>
      </w:r>
      <w:r>
        <w:rPr>
          <w:rFonts w:hint="eastAsia" w:ascii="Arial" w:hAnsi="Arial" w:eastAsia="仿宋_GB2312" w:cs="Arial"/>
          <w:sz w:val="28"/>
        </w:rPr>
        <w:t>0</w:t>
      </w:r>
      <w:r>
        <w:rPr>
          <w:rFonts w:ascii="Arial" w:hAnsi="Arial" w:eastAsia="仿宋_GB2312" w:cs="Arial"/>
          <w:sz w:val="28"/>
        </w:rPr>
        <w:t>年</w:t>
      </w:r>
      <w:r>
        <w:rPr>
          <w:rFonts w:hint="eastAsia" w:ascii="Arial" w:hAnsi="Arial" w:eastAsia="仿宋_GB2312" w:cs="Arial"/>
          <w:sz w:val="28"/>
        </w:rPr>
        <w:t>03</w:t>
      </w:r>
      <w:r>
        <w:rPr>
          <w:rFonts w:ascii="Arial" w:hAnsi="Arial" w:eastAsia="仿宋_GB2312" w:cs="Arial"/>
          <w:sz w:val="28"/>
        </w:rPr>
        <w:t>月</w:t>
      </w:r>
      <w:r>
        <w:rPr>
          <w:rFonts w:hint="eastAsia" w:ascii="Arial" w:hAnsi="Arial" w:eastAsia="仿宋_GB2312" w:cs="Arial"/>
          <w:sz w:val="28"/>
        </w:rPr>
        <w:t>23</w:t>
      </w:r>
      <w:r>
        <w:rPr>
          <w:rFonts w:ascii="Arial" w:hAnsi="Arial" w:eastAsia="仿宋_GB2312" w:cs="Arial"/>
          <w:sz w:val="28"/>
        </w:rPr>
        <w:t>日</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经营范围：房地产开发</w:t>
      </w:r>
      <w:r>
        <w:rPr>
          <w:rFonts w:hint="eastAsia" w:ascii="Arial" w:hAnsi="Arial" w:eastAsia="仿宋_GB2312" w:cs="Arial"/>
          <w:sz w:val="28"/>
          <w:szCs w:val="28"/>
        </w:rPr>
        <w:t>及商品房销售；出租商业用房；房屋工程设计；酒店管理；普通货运；专业承包。</w:t>
      </w:r>
      <w:r>
        <w:rPr>
          <w:rFonts w:ascii="Arial" w:hAnsi="Arial" w:eastAsia="仿宋_GB2312" w:cs="Arial"/>
          <w:sz w:val="28"/>
          <w:szCs w:val="28"/>
        </w:rPr>
        <w:t>（</w:t>
      </w:r>
      <w:r>
        <w:rPr>
          <w:rFonts w:hint="eastAsia" w:ascii="Arial" w:hAnsi="Arial" w:eastAsia="仿宋_GB2312" w:cs="Arial"/>
          <w:sz w:val="28"/>
          <w:szCs w:val="28"/>
        </w:rPr>
        <w:t>企业</w:t>
      </w:r>
      <w:r>
        <w:rPr>
          <w:rFonts w:ascii="Arial" w:hAnsi="Arial" w:eastAsia="仿宋_GB2312" w:cs="Arial"/>
          <w:sz w:val="28"/>
          <w:szCs w:val="28"/>
        </w:rPr>
        <w:t>依法自主选择经营项目，开展经营活动；</w:t>
      </w:r>
      <w:r>
        <w:rPr>
          <w:rFonts w:hint="eastAsia" w:ascii="Arial" w:hAnsi="Arial" w:eastAsia="仿宋_GB2312" w:cs="Arial"/>
          <w:sz w:val="28"/>
          <w:szCs w:val="28"/>
        </w:rPr>
        <w:t>普通货运以及</w:t>
      </w:r>
      <w:r>
        <w:rPr>
          <w:rFonts w:ascii="Arial" w:hAnsi="Arial" w:eastAsia="仿宋_GB2312" w:cs="Arial"/>
          <w:sz w:val="28"/>
          <w:szCs w:val="28"/>
        </w:rPr>
        <w:t>依法须经批准的项目，经相关部门批准后依批准的内容开展经营活动；不得从事本市产业政策禁止和限制类项目的经营活动。）</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联系人：</w:t>
      </w:r>
      <w:r>
        <w:rPr>
          <w:rFonts w:hint="eastAsia" w:ascii="Arial" w:hAnsi="Arial" w:eastAsia="仿宋_GB2312" w:cs="Arial"/>
          <w:sz w:val="28"/>
          <w:szCs w:val="28"/>
        </w:rPr>
        <w:t>夏鹏</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w:t>
      </w:r>
      <w:r>
        <w:rPr>
          <w:rFonts w:hint="eastAsia" w:ascii="Arial" w:hAnsi="Arial" w:eastAsia="仿宋_GB2312" w:cs="Arial"/>
          <w:sz w:val="28"/>
          <w:szCs w:val="28"/>
        </w:rPr>
        <w:t>13901026344</w:t>
      </w:r>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82" w:name="_Toc469066313"/>
      <w:bookmarkStart w:id="83" w:name="_Toc416783530"/>
      <w:bookmarkStart w:id="84" w:name="_Toc515458368"/>
      <w:bookmarkStart w:id="85" w:name="_Toc69393378"/>
      <w:bookmarkStart w:id="86" w:name="_Toc418750893"/>
      <w:bookmarkStart w:id="87" w:name="_Toc524335067"/>
      <w:bookmarkStart w:id="88" w:name="_Toc425250315"/>
      <w:bookmarkStart w:id="89" w:name="_Toc515261595"/>
      <w:r>
        <w:rPr>
          <w:rFonts w:ascii="Arial" w:hAnsi="Arial" w:eastAsia="仿宋_GB2312" w:cs="Arial"/>
          <w:b/>
          <w:sz w:val="28"/>
        </w:rPr>
        <w:t>二、估价对象</w:t>
      </w:r>
      <w:bookmarkEnd w:id="82"/>
      <w:bookmarkEnd w:id="83"/>
      <w:bookmarkEnd w:id="84"/>
      <w:bookmarkEnd w:id="85"/>
      <w:bookmarkEnd w:id="86"/>
      <w:bookmarkEnd w:id="87"/>
      <w:bookmarkEnd w:id="88"/>
      <w:bookmarkEnd w:id="89"/>
    </w:p>
    <w:p>
      <w:pPr>
        <w:tabs>
          <w:tab w:val="left" w:pos="9027"/>
        </w:tabs>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估价对象为北京强佑房地产开发有限公司使用的</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项目用地。估价对象所属宗地面积为</w:t>
      </w:r>
      <w:r>
        <w:rPr>
          <w:rFonts w:hint="eastAsia" w:ascii="Arial" w:hAnsi="Arial" w:eastAsia="仿宋_GB2312" w:cs="Arial"/>
          <w:sz w:val="28"/>
        </w:rPr>
        <w:t>17767.39平方米（其中估价对象分摊出让土地面积</w:t>
      </w:r>
      <w:r>
        <w:rPr>
          <w:rFonts w:hint="eastAsia" w:ascii="Arial" w:hAnsi="Arial" w:eastAsia="仿宋_GB2312" w:cs="Arial"/>
          <w:sz w:val="28"/>
          <w:szCs w:val="28"/>
        </w:rPr>
        <w:t>15996.99</w:t>
      </w:r>
      <w:r>
        <w:rPr>
          <w:rFonts w:hint="eastAsia" w:ascii="Arial" w:hAnsi="Arial" w:eastAsia="仿宋_GB2312" w:cs="Arial"/>
          <w:sz w:val="28"/>
        </w:rPr>
        <w:t>平方米）</w:t>
      </w:r>
      <w:r>
        <w:rPr>
          <w:rFonts w:ascii="Arial" w:hAnsi="Arial" w:eastAsia="仿宋_GB2312" w:cs="Arial"/>
          <w:sz w:val="28"/>
        </w:rPr>
        <w:t>，</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b/>
          <w:sz w:val="28"/>
          <w:szCs w:val="28"/>
        </w:rPr>
      </w:pPr>
      <w:r>
        <w:rPr>
          <w:rFonts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该宗地经规划批准调整规划用途，</w:t>
      </w:r>
      <w:r>
        <w:rPr>
          <w:rFonts w:hint="eastAsia" w:ascii="Arial" w:hAnsi="Arial" w:eastAsia="仿宋_GB2312" w:cs="Arial"/>
          <w:sz w:val="28"/>
          <w:szCs w:val="28"/>
        </w:rPr>
        <w:t>住宅</w:t>
      </w:r>
      <w:r>
        <w:rPr>
          <w:rFonts w:ascii="Arial" w:hAnsi="Arial" w:eastAsia="仿宋_GB2312" w:cs="Arial"/>
          <w:sz w:val="28"/>
          <w:szCs w:val="28"/>
        </w:rPr>
        <w:t>用途调整建筑</w:t>
      </w:r>
      <w:r>
        <w:rPr>
          <w:rFonts w:hint="eastAsia" w:ascii="Arial" w:hAnsi="Arial" w:eastAsia="仿宋_GB2312" w:cs="Arial"/>
          <w:sz w:val="28"/>
          <w:szCs w:val="28"/>
        </w:rPr>
        <w:t>面积增加217.53平方米</w:t>
      </w:r>
      <w:r>
        <w:rPr>
          <w:rFonts w:ascii="Arial" w:hAnsi="Arial" w:eastAsia="仿宋_GB2312" w:cs="Arial"/>
          <w:sz w:val="28"/>
          <w:szCs w:val="28"/>
        </w:rPr>
        <w:t>，面积变动幅度为</w:t>
      </w:r>
      <w:r>
        <w:rPr>
          <w:rFonts w:hint="eastAsia" w:ascii="Arial" w:hAnsi="Arial" w:eastAsia="仿宋_GB2312" w:cs="Arial"/>
          <w:sz w:val="28"/>
          <w:szCs w:val="28"/>
        </w:rPr>
        <w:t>0.38</w:t>
      </w:r>
      <w:r>
        <w:rPr>
          <w:rFonts w:ascii="Arial" w:hAnsi="Arial" w:eastAsia="仿宋_GB2312" w:cs="Arial"/>
          <w:sz w:val="28"/>
          <w:szCs w:val="28"/>
        </w:rPr>
        <w:t>%</w:t>
      </w:r>
      <w:r>
        <w:rPr>
          <w:rFonts w:hint="eastAsia" w:ascii="Arial" w:hAnsi="Arial" w:eastAsia="仿宋_GB2312" w:cs="Arial"/>
          <w:sz w:val="28"/>
          <w:szCs w:val="28"/>
        </w:rPr>
        <w:t>，商业</w:t>
      </w:r>
      <w:r>
        <w:rPr>
          <w:rFonts w:ascii="Arial" w:hAnsi="Arial" w:eastAsia="仿宋_GB2312" w:cs="Arial"/>
          <w:sz w:val="28"/>
          <w:szCs w:val="28"/>
        </w:rPr>
        <w:t>用途调整建筑</w:t>
      </w:r>
      <w:r>
        <w:rPr>
          <w:rFonts w:hint="eastAsia" w:ascii="Arial" w:hAnsi="Arial" w:eastAsia="仿宋_GB2312" w:cs="Arial"/>
          <w:sz w:val="28"/>
          <w:szCs w:val="28"/>
        </w:rPr>
        <w:t>面积减少125.50平方米</w:t>
      </w:r>
      <w:r>
        <w:rPr>
          <w:rFonts w:ascii="Arial" w:hAnsi="Arial" w:eastAsia="仿宋_GB2312" w:cs="Arial"/>
          <w:sz w:val="28"/>
          <w:szCs w:val="28"/>
        </w:rPr>
        <w:t>，面积变动幅度为</w:t>
      </w:r>
      <w:r>
        <w:rPr>
          <w:rFonts w:hint="eastAsia" w:ascii="Arial" w:hAnsi="Arial" w:eastAsia="仿宋_GB2312" w:cs="Arial"/>
          <w:sz w:val="28"/>
          <w:szCs w:val="28"/>
        </w:rPr>
        <w:t>0.63</w:t>
      </w:r>
      <w:r>
        <w:rPr>
          <w:rFonts w:ascii="Arial" w:hAnsi="Arial" w:eastAsia="仿宋_GB2312" w:cs="Arial"/>
          <w:sz w:val="28"/>
          <w:szCs w:val="28"/>
        </w:rPr>
        <w:t>%</w:t>
      </w:r>
      <w:r>
        <w:rPr>
          <w:rFonts w:hint="eastAsia" w:ascii="Arial" w:hAnsi="Arial" w:eastAsia="仿宋_GB2312" w:cs="Arial"/>
          <w:sz w:val="28"/>
          <w:szCs w:val="28"/>
        </w:rPr>
        <w:t>，均小于</w:t>
      </w:r>
      <w:r>
        <w:rPr>
          <w:rFonts w:ascii="Arial" w:hAnsi="Arial" w:eastAsia="仿宋_GB2312" w:cs="Arial"/>
          <w:sz w:val="28"/>
          <w:szCs w:val="28"/>
        </w:rPr>
        <w:t>3%</w:t>
      </w:r>
      <w:r>
        <w:rPr>
          <w:rFonts w:hint="eastAsia" w:ascii="Arial" w:hAnsi="Arial" w:eastAsia="仿宋_GB2312" w:cs="Arial"/>
          <w:sz w:val="28"/>
          <w:szCs w:val="28"/>
        </w:rPr>
        <w:t>；地下商业用途</w:t>
      </w:r>
      <w:r>
        <w:rPr>
          <w:rFonts w:ascii="Arial" w:hAnsi="Arial" w:eastAsia="仿宋_GB2312" w:cs="Arial"/>
          <w:sz w:val="28"/>
          <w:szCs w:val="28"/>
        </w:rPr>
        <w:t>调整建筑</w:t>
      </w:r>
      <w:r>
        <w:rPr>
          <w:rFonts w:hint="eastAsia" w:ascii="Arial" w:hAnsi="Arial" w:eastAsia="仿宋_GB2312" w:cs="Arial"/>
          <w:sz w:val="28"/>
          <w:szCs w:val="28"/>
        </w:rPr>
        <w:t>面积减少37.78平方米</w:t>
      </w:r>
      <w:r>
        <w:rPr>
          <w:rFonts w:ascii="Arial" w:hAnsi="Arial" w:eastAsia="仿宋_GB2312" w:cs="Arial"/>
          <w:sz w:val="28"/>
          <w:szCs w:val="28"/>
        </w:rPr>
        <w:t>，面积变动幅度为</w:t>
      </w:r>
      <w:r>
        <w:rPr>
          <w:rFonts w:hint="eastAsia" w:ascii="Arial" w:hAnsi="Arial" w:eastAsia="仿宋_GB2312" w:cs="Arial"/>
          <w:sz w:val="28"/>
          <w:szCs w:val="28"/>
        </w:rPr>
        <w:t>2.52</w:t>
      </w:r>
      <w:r>
        <w:rPr>
          <w:rFonts w:ascii="Arial" w:hAnsi="Arial" w:eastAsia="仿宋_GB2312" w:cs="Arial"/>
          <w:sz w:val="28"/>
          <w:szCs w:val="28"/>
        </w:rPr>
        <w:t>%</w:t>
      </w:r>
      <w:r>
        <w:rPr>
          <w:rFonts w:hint="eastAsia" w:ascii="Arial" w:hAnsi="Arial" w:eastAsia="仿宋_GB2312" w:cs="Arial"/>
          <w:sz w:val="28"/>
          <w:szCs w:val="28"/>
        </w:rPr>
        <w:t>，地下综合</w:t>
      </w:r>
      <w:r>
        <w:rPr>
          <w:rFonts w:ascii="Arial" w:hAnsi="Arial" w:eastAsia="仿宋_GB2312" w:cs="Arial"/>
          <w:sz w:val="28"/>
          <w:szCs w:val="28"/>
        </w:rPr>
        <w:t>用途调整建筑</w:t>
      </w:r>
      <w:r>
        <w:rPr>
          <w:rFonts w:hint="eastAsia" w:ascii="Arial" w:hAnsi="Arial" w:eastAsia="仿宋_GB2312" w:cs="Arial"/>
          <w:sz w:val="28"/>
          <w:szCs w:val="28"/>
        </w:rPr>
        <w:t>面积增加22.99平方米</w:t>
      </w:r>
      <w:r>
        <w:rPr>
          <w:rFonts w:ascii="Arial" w:hAnsi="Arial" w:eastAsia="仿宋_GB2312" w:cs="Arial"/>
          <w:sz w:val="28"/>
          <w:szCs w:val="28"/>
        </w:rPr>
        <w:t>，面积变动幅度为</w:t>
      </w:r>
      <w:r>
        <w:rPr>
          <w:rFonts w:hint="eastAsia" w:ascii="Arial" w:hAnsi="Arial" w:eastAsia="仿宋_GB2312" w:cs="Arial"/>
          <w:sz w:val="28"/>
          <w:szCs w:val="28"/>
        </w:rPr>
        <w:t>7.55</w:t>
      </w:r>
      <w:r>
        <w:rPr>
          <w:rFonts w:ascii="Arial" w:hAnsi="Arial" w:eastAsia="仿宋_GB2312" w:cs="Arial"/>
          <w:sz w:val="28"/>
          <w:szCs w:val="28"/>
        </w:rPr>
        <w:t>%</w:t>
      </w:r>
      <w:r>
        <w:rPr>
          <w:rFonts w:hint="eastAsia" w:ascii="Arial" w:hAnsi="Arial" w:eastAsia="仿宋_GB2312" w:cs="Arial"/>
          <w:sz w:val="28"/>
          <w:szCs w:val="28"/>
        </w:rPr>
        <w:t>，均小</w:t>
      </w:r>
      <w:r>
        <w:rPr>
          <w:rFonts w:hint="eastAsia" w:ascii="Arial" w:hAnsi="Arial" w:eastAsia="仿宋_GB2312" w:cs="Arial"/>
          <w:sz w:val="28"/>
          <w:szCs w:val="28"/>
          <w:highlight w:val="none"/>
        </w:rPr>
        <w:t>于10%；</w:t>
      </w:r>
      <w:r>
        <w:rPr>
          <w:rFonts w:hint="eastAsia" w:ascii="Arial" w:hAnsi="Arial" w:eastAsia="仿宋_GB2312" w:cs="Arial"/>
          <w:sz w:val="28"/>
          <w:szCs w:val="28"/>
          <w:highlight w:val="none"/>
        </w:rPr>
        <w:t>减少地下车库用途建筑面积2994.76平方米，虽面积减少幅度超10%，但用途未变</w:t>
      </w:r>
      <w:r>
        <w:rPr>
          <w:rFonts w:hint="eastAsia" w:ascii="Arial" w:hAnsi="Arial" w:eastAsia="仿宋_GB2312" w:cs="Arial"/>
          <w:sz w:val="28"/>
          <w:szCs w:val="28"/>
          <w:highlight w:val="none"/>
          <w:lang w:eastAsia="zh-CN"/>
        </w:rPr>
        <w:t>，不涉及评估</w:t>
      </w:r>
      <w:r>
        <w:rPr>
          <w:rFonts w:hint="eastAsia" w:ascii="Arial" w:hAnsi="Arial" w:eastAsia="仿宋_GB2312" w:cs="Arial"/>
          <w:sz w:val="28"/>
          <w:szCs w:val="28"/>
          <w:highlight w:val="none"/>
        </w:rPr>
        <w:t>；</w:t>
      </w:r>
      <w:r>
        <w:rPr>
          <w:rFonts w:ascii="Arial" w:hAnsi="Arial" w:eastAsia="仿宋_GB2312" w:cs="Arial"/>
          <w:sz w:val="28"/>
          <w:szCs w:val="28"/>
          <w:highlight w:val="none"/>
        </w:rPr>
        <w:t>故本次评估不包含此部分内容。地下</w:t>
      </w:r>
      <w:r>
        <w:rPr>
          <w:rFonts w:hint="eastAsia" w:ascii="Arial" w:hAnsi="Arial" w:eastAsia="仿宋_GB2312" w:cs="Arial"/>
          <w:sz w:val="28"/>
          <w:szCs w:val="28"/>
          <w:highlight w:val="none"/>
        </w:rPr>
        <w:t>车库</w:t>
      </w:r>
      <w:r>
        <w:rPr>
          <w:rFonts w:ascii="Arial" w:hAnsi="Arial" w:eastAsia="仿宋_GB2312" w:cs="Arial"/>
          <w:sz w:val="28"/>
          <w:szCs w:val="28"/>
          <w:highlight w:val="none"/>
        </w:rPr>
        <w:t>用途</w:t>
      </w:r>
      <w:r>
        <w:rPr>
          <w:rFonts w:hint="eastAsia" w:ascii="Arial" w:hAnsi="Arial" w:eastAsia="仿宋_GB2312" w:cs="Arial"/>
          <w:sz w:val="28"/>
          <w:szCs w:val="28"/>
          <w:highlight w:val="none"/>
        </w:rPr>
        <w:t>出让</w:t>
      </w:r>
      <w:r>
        <w:rPr>
          <w:rFonts w:ascii="Arial" w:hAnsi="Arial" w:eastAsia="仿宋_GB2312" w:cs="Arial"/>
          <w:sz w:val="28"/>
          <w:szCs w:val="28"/>
          <w:highlight w:val="none"/>
        </w:rPr>
        <w:t>建筑面积</w:t>
      </w:r>
      <w:r>
        <w:rPr>
          <w:rFonts w:hint="eastAsia" w:ascii="Arial" w:hAnsi="Arial" w:eastAsia="仿宋_GB2312" w:cs="Arial"/>
          <w:sz w:val="28"/>
          <w:szCs w:val="28"/>
          <w:highlight w:val="none"/>
        </w:rPr>
        <w:t>调整为地下仓储用途</w:t>
      </w:r>
      <w:r>
        <w:rPr>
          <w:rFonts w:hint="eastAsia" w:ascii="Arial" w:hAnsi="Arial" w:eastAsia="仿宋_GB2312" w:cs="Arial"/>
          <w:sz w:val="28"/>
          <w:szCs w:val="28"/>
        </w:rPr>
        <w:t>出让</w:t>
      </w:r>
      <w:r>
        <w:rPr>
          <w:rFonts w:ascii="Arial" w:hAnsi="Arial" w:eastAsia="仿宋_GB2312" w:cs="Arial"/>
          <w:sz w:val="28"/>
          <w:szCs w:val="28"/>
        </w:rPr>
        <w:t>建筑面积</w:t>
      </w:r>
      <w:r>
        <w:rPr>
          <w:rFonts w:hint="eastAsia" w:ascii="Arial" w:hAnsi="Arial" w:eastAsia="仿宋_GB2312" w:cs="Arial"/>
          <w:sz w:val="28"/>
          <w:szCs w:val="28"/>
        </w:rPr>
        <w:t>，调整</w:t>
      </w:r>
      <w:r>
        <w:rPr>
          <w:rFonts w:ascii="Arial" w:hAnsi="Arial" w:eastAsia="仿宋_GB2312" w:cs="Arial"/>
          <w:sz w:val="28"/>
          <w:szCs w:val="28"/>
        </w:rPr>
        <w:t>建筑面积</w:t>
      </w:r>
      <w:r>
        <w:rPr>
          <w:rFonts w:hint="eastAsia" w:ascii="Arial" w:hAnsi="Arial" w:eastAsia="仿宋_GB2312" w:cs="Arial"/>
          <w:sz w:val="28"/>
          <w:szCs w:val="28"/>
        </w:rPr>
        <w:t>为5250.25</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《国有建设用地使用权出让地价评估委托书》仅委托评估规划条件变更前后，各用途变化导致的出让地价的差值，确认是否存在地价增值。</w:t>
      </w:r>
    </w:p>
    <w:p>
      <w:pPr>
        <w:spacing w:line="360" w:lineRule="auto"/>
        <w:jc w:val="both"/>
        <w:rPr>
          <w:rFonts w:ascii="Arial" w:hAnsi="Arial" w:eastAsia="仿宋_GB2312" w:cs="Arial"/>
          <w:b/>
          <w:sz w:val="21"/>
          <w:szCs w:val="21"/>
        </w:rPr>
      </w:pPr>
    </w:p>
    <w:p>
      <w:pPr>
        <w:spacing w:line="360" w:lineRule="auto"/>
        <w:outlineLvl w:val="1"/>
        <w:rPr>
          <w:rFonts w:ascii="Arial" w:hAnsi="Arial" w:eastAsia="仿宋_GB2312" w:cs="Arial"/>
          <w:b/>
          <w:sz w:val="28"/>
        </w:rPr>
      </w:pPr>
      <w:bookmarkStart w:id="90" w:name="_Toc416783531"/>
      <w:bookmarkStart w:id="91" w:name="_Toc425250316"/>
      <w:bookmarkStart w:id="92" w:name="_Toc469066314"/>
      <w:bookmarkStart w:id="93" w:name="_Toc515261596"/>
      <w:bookmarkStart w:id="94" w:name="_Toc524335068"/>
      <w:bookmarkStart w:id="95" w:name="_Toc69393379"/>
      <w:bookmarkStart w:id="96" w:name="_Toc515458369"/>
      <w:bookmarkStart w:id="97" w:name="_Toc418750894"/>
      <w:r>
        <w:rPr>
          <w:rFonts w:ascii="Arial" w:hAnsi="Arial" w:eastAsia="仿宋_GB2312" w:cs="Arial"/>
          <w:b/>
          <w:sz w:val="28"/>
        </w:rPr>
        <w:t>三、估价对象概况</w:t>
      </w:r>
      <w:bookmarkEnd w:id="90"/>
      <w:bookmarkEnd w:id="91"/>
      <w:bookmarkEnd w:id="92"/>
      <w:bookmarkEnd w:id="93"/>
      <w:bookmarkEnd w:id="94"/>
      <w:bookmarkEnd w:id="95"/>
      <w:bookmarkEnd w:id="96"/>
      <w:bookmarkEnd w:id="97"/>
    </w:p>
    <w:p>
      <w:pPr>
        <w:spacing w:line="360" w:lineRule="auto"/>
        <w:jc w:val="both"/>
        <w:rPr>
          <w:rFonts w:ascii="Arial" w:hAnsi="Arial" w:eastAsia="仿宋_GB2312" w:cs="Arial"/>
          <w:sz w:val="28"/>
        </w:rPr>
      </w:pPr>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50</w:t>
      </w:r>
      <w:r>
        <w:rPr>
          <w:rFonts w:ascii="Arial" w:hAnsi="Arial" w:eastAsia="仿宋_GB2312" w:cs="Arial"/>
          <w:sz w:val="28"/>
          <w:szCs w:val="28"/>
        </w:rPr>
        <w:t>年、地下车库土地剩余使用年限为</w:t>
      </w:r>
      <w:r>
        <w:rPr>
          <w:rFonts w:hint="eastAsia" w:ascii="Arial" w:hAnsi="Arial" w:eastAsia="仿宋_GB2312" w:cs="Arial"/>
          <w:sz w:val="28"/>
          <w:szCs w:val="28"/>
        </w:rPr>
        <w:t>50</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bookmarkEnd w:id="13"/>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项目建筑物已竣工并投入使用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为钢筋混凝土结构高层板楼；地上5层至地上24层为住宅用房，1、4单元为2梯6户，2、3单元为2梯4户，主力户型朝向为南北向和纯南向；地上1层至地上4层为商业用房；地下1层为地下仓储用房；地下2、3层为地下仓储用房及设备用房。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为钢筋混凝土结构高层板楼；地上3层至地上18层为住宅用房，1、6单元为1梯6户，2至5单元为1梯2户，主力户型朝向为南北向；地上1层至地上2层为商业用房；地下1层为地下仓储用房；地下2、3层为地下仓储用房及设备用房。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bookmarkEnd w:id="78"/>
    <w:bookmarkEnd w:id="79"/>
    <w:bookmarkEnd w:id="80"/>
    <w:bookmarkEnd w:id="81"/>
    <w:p>
      <w:pPr>
        <w:spacing w:line="360" w:lineRule="auto"/>
        <w:jc w:val="both"/>
        <w:outlineLvl w:val="1"/>
        <w:rPr>
          <w:rFonts w:ascii="Arial" w:hAnsi="Arial" w:eastAsia="仿宋_GB2312" w:cs="Arial"/>
          <w:b/>
          <w:bCs/>
          <w:sz w:val="28"/>
        </w:rPr>
      </w:pPr>
      <w:bookmarkStart w:id="98" w:name="_Toc515458370"/>
      <w:bookmarkStart w:id="99" w:name="_Toc524335069"/>
      <w:bookmarkStart w:id="100" w:name="_Toc515261597"/>
      <w:bookmarkStart w:id="101" w:name="_Toc69393380"/>
      <w:r>
        <w:rPr>
          <w:rFonts w:ascii="Arial" w:hAnsi="Arial" w:eastAsia="仿宋_GB2312" w:cs="Arial"/>
          <w:b/>
          <w:bCs/>
          <w:sz w:val="28"/>
        </w:rPr>
        <w:t>四、影响地价的因素说明</w:t>
      </w:r>
      <w:bookmarkEnd w:id="98"/>
      <w:bookmarkEnd w:id="99"/>
      <w:bookmarkEnd w:id="100"/>
      <w:bookmarkEnd w:id="101"/>
    </w:p>
    <w:p>
      <w:pPr>
        <w:spacing w:line="360" w:lineRule="auto"/>
        <w:jc w:val="both"/>
        <w:rPr>
          <w:rFonts w:ascii="Arial" w:hAnsi="Arial" w:eastAsia="仿宋_GB2312"/>
          <w:sz w:val="28"/>
        </w:rPr>
      </w:pPr>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ascii="Arial" w:hAnsi="Arial" w:eastAsia="仿宋_GB2312"/>
          <w:b/>
          <w:bCs/>
          <w:szCs w:val="24"/>
        </w:rPr>
      </w:pPr>
    </w:p>
    <w:p>
      <w:pPr>
        <w:overflowPunct w:val="0"/>
        <w:spacing w:line="360" w:lineRule="auto"/>
        <w:jc w:val="center"/>
        <w:textAlignment w:val="auto"/>
        <w:rPr>
          <w:rFonts w:ascii="Arial" w:hAnsi="Arial" w:eastAsia="仿宋_GB2312"/>
          <w:b/>
          <w:bCs/>
          <w:szCs w:val="24"/>
        </w:rPr>
      </w:pPr>
    </w:p>
    <w:p>
      <w:pPr>
        <w:overflowPunct w:val="0"/>
        <w:spacing w:line="360" w:lineRule="auto"/>
        <w:jc w:val="center"/>
        <w:textAlignment w:val="auto"/>
        <w:rPr>
          <w:rFonts w:ascii="Arial" w:hAnsi="Arial" w:eastAsia="仿宋_GB2312"/>
          <w:b/>
          <w:bCs/>
          <w:szCs w:val="24"/>
        </w:rPr>
      </w:pP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rPr>
      </w:pPr>
      <w:r>
        <w:drawing>
          <wp:inline distT="0" distB="0" distL="114300" distR="114300">
            <wp:extent cx="5902325" cy="1496060"/>
            <wp:effectExtent l="0" t="0" r="3175" b="889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3"/>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rPr>
      </w:pPr>
      <w:r>
        <w:drawing>
          <wp:inline distT="0" distB="0" distL="114300" distR="114300">
            <wp:extent cx="5909945" cy="1915795"/>
            <wp:effectExtent l="0" t="0" r="14605" b="825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4"/>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5"/>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6"/>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rPr>
      </w:pPr>
      <w:r>
        <w:drawing>
          <wp:inline distT="0" distB="0" distL="114300" distR="114300">
            <wp:extent cx="5899785" cy="1819275"/>
            <wp:effectExtent l="0" t="0" r="571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7"/>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rPr>
      </w:pPr>
      <w:r>
        <w:drawing>
          <wp:inline distT="0" distB="0" distL="114300" distR="114300">
            <wp:extent cx="5897245" cy="1929130"/>
            <wp:effectExtent l="0" t="0" r="8255"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8"/>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rPr>
      </w:pPr>
      <w:r>
        <w:drawing>
          <wp:inline distT="0" distB="0" distL="114300" distR="114300">
            <wp:extent cx="5902960" cy="1722120"/>
            <wp:effectExtent l="0" t="0" r="254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9"/>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rPr>
      </w:pPr>
      <w:r>
        <w:drawing>
          <wp:inline distT="0" distB="0" distL="114300" distR="114300">
            <wp:extent cx="5910580" cy="1847215"/>
            <wp:effectExtent l="0" t="0" r="1397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0"/>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1"/>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rPr>
      </w:pPr>
      <w:r>
        <w:drawing>
          <wp:inline distT="0" distB="0" distL="114300" distR="114300">
            <wp:extent cx="5910580" cy="1570355"/>
            <wp:effectExtent l="0" t="0" r="13970" b="1079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2"/>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3"/>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bookmarkStart w:id="102" w:name="_Hlk79697274"/>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bookmarkEnd w:id="102"/>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该级别平均容积率为2.5。估价对象宗地形状较规则、地形平坦、地质良好。综合评价估价对象土地利用程度较好。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按实测数据</w:t>
      </w:r>
      <w:r>
        <w:rPr>
          <w:rFonts w:ascii="Arial" w:hAnsi="Arial" w:eastAsia="仿宋_GB2312" w:cs="Arial"/>
          <w:sz w:val="28"/>
          <w:szCs w:val="28"/>
        </w:rPr>
        <w:t>签订补充协议。本报告按照</w:t>
      </w:r>
      <w:r>
        <w:rPr>
          <w:rFonts w:hint="eastAsia" w:ascii="Arial" w:hAnsi="Arial" w:eastAsia="仿宋_GB2312" w:cs="Arial"/>
          <w:sz w:val="28"/>
          <w:szCs w:val="28"/>
        </w:rPr>
        <w:t>实测数据</w:t>
      </w:r>
      <w:r>
        <w:rPr>
          <w:rFonts w:ascii="Arial" w:hAnsi="Arial" w:eastAsia="仿宋_GB2312" w:cs="Arial"/>
          <w:sz w:val="28"/>
          <w:szCs w:val="28"/>
        </w:rPr>
        <w:t>设定规划利用条件。</w:t>
      </w:r>
      <w:bookmarkStart w:id="103" w:name="_Toc469066317"/>
      <w:bookmarkStart w:id="104" w:name="_Toc524335079"/>
      <w:bookmarkStart w:id="105" w:name="_Toc416783534"/>
      <w:bookmarkStart w:id="106" w:name="_Toc515458374"/>
      <w:bookmarkStart w:id="107" w:name="_Toc425250319"/>
      <w:bookmarkStart w:id="108" w:name="_Toc418750897"/>
      <w:r>
        <w:rPr>
          <w:rFonts w:ascii="Arial" w:hAnsi="Arial" w:eastAsia="仿宋_GB2312" w:cs="Arial"/>
          <w:sz w:val="28"/>
          <w:szCs w:val="28"/>
        </w:rPr>
        <w:br w:type="page"/>
      </w:r>
    </w:p>
    <w:p>
      <w:pPr>
        <w:spacing w:line="360" w:lineRule="auto"/>
        <w:jc w:val="center"/>
        <w:outlineLvl w:val="0"/>
        <w:rPr>
          <w:rFonts w:ascii="Arial" w:hAnsi="Arial" w:cs="Arial"/>
          <w:b/>
          <w:sz w:val="32"/>
        </w:rPr>
      </w:pPr>
      <w:bookmarkStart w:id="109"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03"/>
      <w:bookmarkEnd w:id="104"/>
      <w:bookmarkEnd w:id="105"/>
      <w:bookmarkEnd w:id="106"/>
      <w:bookmarkEnd w:id="107"/>
      <w:bookmarkEnd w:id="108"/>
      <w:bookmarkEnd w:id="109"/>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110" w:name="_Toc69393382"/>
      <w:bookmarkStart w:id="111" w:name="_Toc524335080"/>
      <w:bookmarkStart w:id="112" w:name="_Toc515458375"/>
      <w:bookmarkStart w:id="113" w:name="_Toc515261602"/>
      <w:bookmarkStart w:id="114" w:name="_Toc418750898"/>
      <w:bookmarkStart w:id="115" w:name="_Toc425250320"/>
      <w:bookmarkStart w:id="116" w:name="_Toc416783535"/>
      <w:bookmarkStart w:id="117" w:name="_Toc469066318"/>
      <w:r>
        <w:rPr>
          <w:rFonts w:ascii="Arial" w:hAnsi="Arial" w:eastAsia="仿宋_GB2312" w:cs="Arial"/>
          <w:b/>
          <w:sz w:val="28"/>
        </w:rPr>
        <w:t>一、估价依据</w:t>
      </w:r>
      <w:bookmarkEnd w:id="110"/>
      <w:bookmarkEnd w:id="111"/>
      <w:bookmarkEnd w:id="112"/>
      <w:bookmarkEnd w:id="113"/>
      <w:bookmarkEnd w:id="114"/>
      <w:bookmarkEnd w:id="115"/>
      <w:bookmarkEnd w:id="116"/>
      <w:bookmarkEnd w:id="117"/>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18" w:name="_Toc416783536"/>
      <w:bookmarkStart w:id="119" w:name="_Toc425250321"/>
      <w:bookmarkStart w:id="120" w:name="_Toc515458376"/>
      <w:bookmarkStart w:id="121" w:name="_Toc418750899"/>
      <w:bookmarkStart w:id="122" w:name="_Toc469066319"/>
      <w:bookmarkStart w:id="123" w:name="_Toc524335081"/>
      <w:bookmarkStart w:id="124" w:name="_Toc69393383"/>
      <w:r>
        <w:rPr>
          <w:rFonts w:ascii="Arial" w:hAnsi="Arial" w:eastAsia="仿宋_GB2312" w:cs="Arial"/>
          <w:b/>
          <w:sz w:val="28"/>
        </w:rPr>
        <w:t>二、土地估价</w:t>
      </w:r>
      <w:bookmarkEnd w:id="118"/>
      <w:bookmarkEnd w:id="119"/>
      <w:bookmarkEnd w:id="120"/>
      <w:bookmarkEnd w:id="121"/>
      <w:bookmarkEnd w:id="122"/>
      <w:r>
        <w:rPr>
          <w:rFonts w:ascii="Arial" w:hAnsi="Arial" w:eastAsia="仿宋_GB2312" w:cs="Arial"/>
          <w:b/>
          <w:sz w:val="28"/>
        </w:rPr>
        <w:t>原则</w:t>
      </w:r>
      <w:bookmarkEnd w:id="123"/>
      <w:bookmarkEnd w:id="124"/>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估价对象拟办理出让合同</w:t>
      </w:r>
      <w:r>
        <w:rPr>
          <w:rFonts w:hint="eastAsia" w:ascii="Arial" w:hAnsi="Arial" w:eastAsia="仿宋_GB2312" w:cs="Arial"/>
          <w:sz w:val="28"/>
          <w:szCs w:val="28"/>
        </w:rPr>
        <w:t>补充</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rPr>
        <w:t>清河镇</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，土地性质为出让国有建设用地使用权。估价对象所处区域内土地资产存在较大增值潜力。评估中剩余法的运用主要考虑此项原则。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rPr>
          <w:rFonts w:ascii="Arial" w:hAnsi="Arial" w:eastAsia="仿宋_GB2312" w:cs="Arial"/>
          <w:sz w:val="28"/>
        </w:rPr>
      </w:pPr>
      <w:r>
        <w:rPr>
          <w:rFonts w:ascii="Arial" w:hAnsi="Arial" w:eastAsia="仿宋_GB2312" w:cs="Arial"/>
          <w:sz w:val="28"/>
        </w:rPr>
        <w:t>（二）估价方法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i/>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hAnsi="宋体" w:cs="宋体"/>
          <w:sz w:val="28"/>
        </w:rPr>
        <w:t>①</w:t>
      </w:r>
      <w:r>
        <w:rPr>
          <w:rFonts w:ascii="Arial" w:hAnsi="Arial" w:eastAsia="仿宋_GB2312" w:cs="Arial"/>
          <w:sz w:val="28"/>
        </w:rPr>
        <w:t>待开发房地产或待拆迁改造后再开发房地产的土地估价；</w:t>
      </w:r>
      <w:r>
        <w:rPr>
          <w:rFonts w:hint="eastAsia" w:hAnsi="宋体" w:cs="宋体"/>
          <w:sz w:val="28"/>
        </w:rPr>
        <w:t>②</w:t>
      </w:r>
      <w:r>
        <w:rPr>
          <w:rFonts w:ascii="Arial" w:hAnsi="Arial" w:eastAsia="仿宋_GB2312" w:cs="Arial"/>
          <w:sz w:val="28"/>
        </w:rPr>
        <w:t>仅将土地开发整理成可供直接利用的土地估价；</w:t>
      </w:r>
      <w:r>
        <w:rPr>
          <w:rFonts w:hint="eastAsia" w:hAnsi="宋体" w:cs="宋体"/>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（4）收益还原法适用于有现实收益或潜在收益的土地或不动产估价。估价对象所在区域内新建</w:t>
      </w:r>
      <w:r>
        <w:rPr>
          <w:rFonts w:hint="eastAsia" w:ascii="Arial" w:hAnsi="Arial" w:eastAsia="仿宋_GB2312" w:cs="Arial"/>
          <w:sz w:val="28"/>
        </w:rPr>
        <w:t>住宅、</w:t>
      </w:r>
      <w:r>
        <w:rPr>
          <w:rFonts w:ascii="Arial" w:hAnsi="Arial" w:eastAsia="仿宋_GB2312" w:cs="Arial"/>
          <w:sz w:val="28"/>
        </w:rPr>
        <w:t>商业</w:t>
      </w:r>
      <w:r>
        <w:rPr>
          <w:rFonts w:hint="eastAsia" w:ascii="Arial" w:hAnsi="Arial" w:eastAsia="仿宋_GB2312" w:cs="Arial"/>
          <w:sz w:val="28"/>
        </w:rPr>
        <w:t>、</w:t>
      </w:r>
      <w:r>
        <w:rPr>
          <w:rFonts w:ascii="Arial" w:hAnsi="Arial" w:eastAsia="仿宋_GB2312" w:cs="Arial"/>
          <w:sz w:val="28"/>
        </w:rPr>
        <w:t>地下商业、地下</w:t>
      </w:r>
      <w:r>
        <w:rPr>
          <w:rFonts w:hint="eastAsia" w:ascii="Arial" w:hAnsi="Arial" w:eastAsia="仿宋_GB2312" w:cs="Arial"/>
          <w:sz w:val="28"/>
        </w:rPr>
        <w:t>综合</w:t>
      </w:r>
      <w:r>
        <w:rPr>
          <w:rFonts w:ascii="Arial" w:hAnsi="Arial" w:eastAsia="仿宋_GB2312" w:cs="Arial"/>
          <w:sz w:val="28"/>
        </w:rPr>
        <w:t>、</w:t>
      </w:r>
      <w:r>
        <w:rPr>
          <w:rFonts w:hint="eastAsia" w:ascii="Arial" w:hAnsi="Arial" w:eastAsia="仿宋_GB2312" w:cs="Arial"/>
          <w:sz w:val="28"/>
        </w:rPr>
        <w:t>地下</w:t>
      </w:r>
      <w:r>
        <w:rPr>
          <w:rFonts w:ascii="Arial" w:hAnsi="Arial" w:eastAsia="仿宋_GB2312" w:cs="Arial"/>
          <w:sz w:val="28"/>
        </w:rPr>
        <w:t>车库、地下</w:t>
      </w:r>
      <w:r>
        <w:rPr>
          <w:rFonts w:hint="eastAsia" w:ascii="Arial" w:hAnsi="Arial" w:eastAsia="仿宋_GB2312" w:cs="Arial"/>
          <w:sz w:val="28"/>
        </w:rPr>
        <w:t>仓储</w:t>
      </w:r>
      <w:r>
        <w:rPr>
          <w:rFonts w:ascii="Arial" w:hAnsi="Arial" w:eastAsia="仿宋_GB2312"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已出让项目变更出让合同所涉及的用途调整，通过对北京市类似经过审定的协议出让的经营性建设用地的调查，未取得</w:t>
      </w:r>
      <w:r>
        <w:rPr>
          <w:rFonts w:hint="eastAsia" w:ascii="Arial" w:hAnsi="Arial" w:eastAsia="仿宋_GB2312" w:cs="Arial"/>
          <w:sz w:val="28"/>
        </w:rPr>
        <w:t>合适的地下仓储、</w:t>
      </w:r>
      <w:r>
        <w:rPr>
          <w:rFonts w:ascii="Arial" w:hAnsi="Arial" w:eastAsia="仿宋_GB2312" w:cs="Arial"/>
          <w:sz w:val="28"/>
        </w:rPr>
        <w:t>地下车库用途案例，不满足市场比较法的要求，本次评估未采用市场比较法。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w:t>
      </w:r>
      <w:r>
        <w:rPr>
          <w:rFonts w:hint="eastAsia" w:ascii="Arial" w:hAnsi="Arial" w:eastAsia="仿宋_GB2312" w:cs="Arial"/>
          <w:sz w:val="28"/>
        </w:rPr>
        <w:t>对居住用途</w:t>
      </w:r>
      <w:r>
        <w:rPr>
          <w:rFonts w:ascii="Arial" w:hAnsi="Arial" w:eastAsia="仿宋_GB2312" w:cs="Arial"/>
          <w:sz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rPr>
        <w:t>接着利用地下空间修正系数求取地下各用途</w:t>
      </w:r>
      <w:r>
        <w:rPr>
          <w:rFonts w:ascii="Arial" w:hAnsi="Arial" w:eastAsia="仿宋_GB2312" w:cs="Arial"/>
          <w:sz w:val="28"/>
        </w:rPr>
        <w:t>的出让国有建设用地使用权价格</w:t>
      </w:r>
      <w:r>
        <w:rPr>
          <w:rFonts w:hint="eastAsia" w:ascii="Arial" w:hAnsi="Arial" w:eastAsia="仿宋_GB2312" w:cs="Arial"/>
          <w:sz w:val="28"/>
        </w:rPr>
        <w:t>；</w:t>
      </w:r>
      <w:r>
        <w:rPr>
          <w:rFonts w:ascii="Arial" w:hAnsi="Arial" w:eastAsia="仿宋_GB2312" w:cs="Arial"/>
          <w:sz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spacing w:line="360" w:lineRule="auto"/>
        <w:ind w:firstLine="560" w:firstLineChars="200"/>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宋体" w:hAnsi="宋体" w:cs="宋体"/>
          <w:sz w:val="28"/>
        </w:rPr>
        <w:t>①</w:t>
      </w:r>
      <w:r>
        <w:rPr>
          <w:rFonts w:ascii="Arial" w:hAnsi="Arial" w:eastAsia="仿宋_GB2312" w:cs="Arial"/>
          <w:sz w:val="28"/>
        </w:rPr>
        <w:t>待开发房地产或待拆迁改造后再开发房地产的土地估价；</w:t>
      </w:r>
      <w:r>
        <w:rPr>
          <w:rFonts w:hint="eastAsia" w:ascii="宋体" w:hAnsi="宋体" w:cs="宋体"/>
          <w:sz w:val="28"/>
        </w:rPr>
        <w:t>②</w:t>
      </w:r>
      <w:r>
        <w:rPr>
          <w:rFonts w:ascii="Arial" w:hAnsi="Arial" w:eastAsia="仿宋_GB2312" w:cs="Arial"/>
          <w:sz w:val="28"/>
        </w:rPr>
        <w:t>仅将土地开发整理成可供直接利用的土地估价；</w:t>
      </w:r>
      <w:r>
        <w:rPr>
          <w:rFonts w:hint="eastAsia" w:ascii="宋体" w:hAnsi="宋体" w:cs="宋体"/>
          <w:sz w:val="28"/>
        </w:rPr>
        <w:t>③</w:t>
      </w:r>
      <w:r>
        <w:rPr>
          <w:rFonts w:ascii="Arial" w:hAnsi="Arial" w:eastAsia="仿宋_GB2312" w:cs="Arial"/>
          <w:sz w:val="28"/>
        </w:rPr>
        <w:t>现有房地产中地价的单独评估。</w:t>
      </w:r>
    </w:p>
    <w:p>
      <w:pPr>
        <w:spacing w:line="360" w:lineRule="auto"/>
        <w:ind w:firstLine="560" w:firstLineChars="200"/>
        <w:rPr>
          <w:rFonts w:ascii="Arial" w:hAnsi="Arial" w:eastAsia="仿宋_GB2312" w:cs="Arial"/>
          <w:sz w:val="28"/>
        </w:rPr>
      </w:pPr>
      <w:r>
        <w:rPr>
          <w:rFonts w:ascii="Arial" w:hAnsi="Arial" w:eastAsia="仿宋_GB2312" w:cs="Arial"/>
          <w:sz w:val="28"/>
        </w:rPr>
        <w:t>1）评估待开发土地价格的公式为：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spacing w:line="360" w:lineRule="auto"/>
        <w:ind w:firstLine="560" w:firstLineChars="200"/>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pPr>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60" w:lineRule="auto"/>
        <w:ind w:firstLine="560" w:firstLineChars="200"/>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77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6"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8309</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872.5916</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6647</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941"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3"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872.5916</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104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2077</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415</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217.8854</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b/>
                <w:bCs/>
                <w:color w:val="000000"/>
                <w:sz w:val="22"/>
                <w:szCs w:val="22"/>
              </w:rPr>
            </w:pPr>
            <w:r>
              <w:rPr>
                <w:rFonts w:ascii="Arial" w:hAnsi="Arial" w:cs="Arial"/>
                <w:b/>
                <w:bCs/>
                <w:color w:val="000000"/>
                <w:sz w:val="22"/>
                <w:szCs w:val="22"/>
                <w:lang w:bidi="ar"/>
              </w:rPr>
              <w:t>217.8854</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pStyle w:val="52"/>
        <w:jc w:val="both"/>
        <w:rPr>
          <w:rFonts w:ascii="Arial" w:hAnsi="Arial" w:cs="Arial"/>
          <w:szCs w:val="28"/>
        </w:rPr>
      </w:pP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3756</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地下仓储、地下车库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近三年同区域内（海淀区）无地下仓储、地下车库招拍挂成交地块。</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地下仓储</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00420" cy="3855085"/>
            <wp:effectExtent l="5080" t="4445" r="19050" b="76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地下车库</w:t>
      </w:r>
      <w:r>
        <w:rPr>
          <w:rFonts w:ascii="Arial" w:hAnsi="Arial" w:eastAsia="仿宋_GB2312" w:cs="Arial"/>
          <w:sz w:val="28"/>
          <w:szCs w:val="28"/>
        </w:rPr>
        <w:t>用途案例分析</w:t>
      </w:r>
    </w:p>
    <w:p>
      <w:pPr>
        <w:spacing w:line="360" w:lineRule="auto"/>
        <w:rPr>
          <w:rFonts w:ascii="Arial" w:hAnsi="Arial" w:eastAsia="仿宋_GB2312" w:cs="Arial"/>
          <w:sz w:val="28"/>
          <w:szCs w:val="28"/>
        </w:rPr>
      </w:pPr>
      <w:r>
        <w:drawing>
          <wp:inline distT="0" distB="0" distL="114300" distR="114300">
            <wp:extent cx="5900420" cy="3854450"/>
            <wp:effectExtent l="4445" t="4445" r="19685" b="825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autoSpaceDE w:val="0"/>
        <w:autoSpaceDN w:val="0"/>
        <w:snapToGrid w:val="0"/>
        <w:spacing w:line="360" w:lineRule="auto"/>
        <w:ind w:firstLine="540"/>
        <w:jc w:val="both"/>
        <w:textAlignment w:val="bottom"/>
        <w:rPr>
          <w:rFonts w:ascii="Arial" w:hAnsi="Arial" w:eastAsia="仿宋_GB2312" w:cs="Arial"/>
          <w:sz w:val="28"/>
        </w:rPr>
      </w:pPr>
      <w:r>
        <w:rPr>
          <w:rFonts w:hint="eastAsia" w:ascii="Arial" w:hAnsi="Arial" w:eastAsia="仿宋_GB2312" w:cs="Arial"/>
          <w:sz w:val="28"/>
          <w:szCs w:val="28"/>
        </w:rPr>
        <w:t>综上，本次评估各用途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outlineLvl w:val="1"/>
        <w:rPr>
          <w:rFonts w:ascii="Arial" w:hAnsi="Arial" w:eastAsia="仿宋_GB2312" w:cs="Arial"/>
          <w:b/>
          <w:sz w:val="28"/>
        </w:rPr>
      </w:pPr>
      <w:bookmarkStart w:id="125" w:name="_Toc515458377"/>
      <w:bookmarkStart w:id="126" w:name="_Toc416783537"/>
      <w:bookmarkStart w:id="127" w:name="_Toc524335082"/>
      <w:bookmarkStart w:id="128" w:name="_Toc469066320"/>
      <w:bookmarkStart w:id="129" w:name="_Toc69393384"/>
      <w:bookmarkStart w:id="130" w:name="_Toc418750900"/>
      <w:bookmarkStart w:id="131" w:name="_Toc425250322"/>
      <w:r>
        <w:rPr>
          <w:rFonts w:ascii="Arial" w:hAnsi="Arial" w:eastAsia="仿宋_GB2312" w:cs="Arial"/>
          <w:b/>
          <w:sz w:val="28"/>
        </w:rPr>
        <w:t>三、估价结果和估价报告的使用</w:t>
      </w:r>
      <w:bookmarkEnd w:id="125"/>
      <w:bookmarkEnd w:id="126"/>
      <w:bookmarkEnd w:id="127"/>
      <w:bookmarkEnd w:id="128"/>
      <w:bookmarkEnd w:id="129"/>
      <w:bookmarkEnd w:id="130"/>
      <w:bookmarkEnd w:id="131"/>
    </w:p>
    <w:p>
      <w:pPr>
        <w:snapToGrid w:val="0"/>
        <w:spacing w:line="360" w:lineRule="auto"/>
        <w:jc w:val="both"/>
        <w:textAlignment w:val="bottom"/>
        <w:rPr>
          <w:rFonts w:ascii="Arial" w:hAnsi="Arial" w:eastAsia="仿宋_GB2312" w:cs="Arial"/>
          <w:sz w:val="28"/>
        </w:rPr>
      </w:pPr>
      <w:bookmarkStart w:id="132" w:name="_Toc469066321"/>
      <w:bookmarkStart w:id="133" w:name="_Toc416783538"/>
      <w:bookmarkStart w:id="134" w:name="_Toc418750901"/>
      <w:bookmarkStart w:id="135" w:name="_Toc425250323"/>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bookmarkStart w:id="136" w:name="_Hlk79697710"/>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bookmarkEnd w:id="136"/>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50</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50年。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bookmarkStart w:id="137" w:name="_Hlk79697750"/>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rPr>
        <w:t>《北京市“地下空间”使用权协议出让地价评估技术更新的说明》[北估秘[2019]002号]</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37"/>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0" w:type="first"/>
          <w:headerReference r:id="rId19" w:type="default"/>
          <w:pgSz w:w="11907" w:h="16840"/>
          <w:pgMar w:top="1843" w:right="1134" w:bottom="1134" w:left="1134" w:header="1134" w:footer="907" w:gutter="340"/>
          <w:cols w:space="425" w:num="1"/>
          <w:docGrid w:linePitch="326" w:charSpace="0"/>
        </w:sect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bookmarkEnd w:id="14"/>
    <w:p>
      <w:pPr>
        <w:spacing w:line="360" w:lineRule="auto"/>
        <w:jc w:val="center"/>
        <w:outlineLvl w:val="0"/>
        <w:rPr>
          <w:rFonts w:ascii="Arial" w:hAnsi="Arial" w:eastAsia="仿宋_GB2312" w:cs="Arial"/>
          <w:sz w:val="28"/>
        </w:rPr>
      </w:pPr>
      <w:bookmarkStart w:id="138" w:name="_Toc69393385"/>
      <w:bookmarkStart w:id="139" w:name="_Toc515458378"/>
      <w:bookmarkStart w:id="140" w:name="_Toc524335083"/>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32"/>
      <w:bookmarkEnd w:id="133"/>
      <w:bookmarkEnd w:id="134"/>
      <w:bookmarkEnd w:id="135"/>
      <w:bookmarkEnd w:id="138"/>
      <w:bookmarkEnd w:id="139"/>
      <w:bookmarkEnd w:id="140"/>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26.</w:t>
      </w:r>
      <w:r>
        <w:rPr>
          <w:rFonts w:ascii="Arial" w:hAnsi="Arial" w:eastAsia="仿宋_GB2312" w:cs="Arial"/>
          <w:sz w:val="28"/>
        </w:rPr>
        <w:t>评估专业人员资质证书复印件</w:t>
      </w:r>
    </w:p>
    <w:p>
      <w:pPr>
        <w:rPr>
          <w:rFonts w:ascii="Arial" w:hAnsi="Arial" w:cs="Arial"/>
        </w:rPr>
      </w:pPr>
    </w:p>
    <w:p>
      <w:pPr>
        <w:spacing w:line="432" w:lineRule="auto"/>
        <w:jc w:val="center"/>
        <w:rPr>
          <w:rFonts w:ascii="Arial" w:hAnsi="Arial" w:cs="Arial"/>
          <w:b/>
          <w:sz w:val="44"/>
        </w:rPr>
      </w:pPr>
      <w:bookmarkStart w:id="141" w:name="_Toc418750902"/>
      <w:bookmarkStart w:id="142" w:name="_Toc416783539"/>
      <w:bookmarkStart w:id="143" w:name="_Toc416783635"/>
    </w:p>
    <w:p>
      <w:pPr>
        <w:spacing w:line="432" w:lineRule="auto"/>
        <w:jc w:val="center"/>
        <w:rPr>
          <w:rFonts w:ascii="Arial" w:hAnsi="Arial" w:cs="Arial"/>
          <w:b/>
          <w:sz w:val="44"/>
        </w:rPr>
        <w:sectPr>
          <w:headerReference r:id="rId21" w:type="first"/>
          <w:footerReference r:id="rId22" w:type="first"/>
          <w:pgSz w:w="11907" w:h="16840"/>
          <w:pgMar w:top="1843" w:right="1134" w:bottom="1134" w:left="1134" w:header="1134" w:footer="907" w:gutter="340"/>
          <w:cols w:space="720" w:num="1"/>
          <w:docGrid w:linePitch="326" w:charSpace="0"/>
        </w:sectPr>
      </w:pPr>
    </w:p>
    <w:p>
      <w:pPr>
        <w:spacing w:line="432"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41"/>
      <w:bookmarkEnd w:id="142"/>
      <w:bookmarkEnd w:id="143"/>
    </w:p>
    <w:p>
      <w:pPr>
        <w:spacing w:line="432" w:lineRule="auto"/>
        <w:jc w:val="center"/>
        <w:rPr>
          <w:rFonts w:ascii="Arial" w:hAnsi="Arial" w:eastAsia="楷体_GB2312" w:cs="Arial"/>
          <w:bCs/>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称：北京市海淀区清河嘉园西区</w:t>
      </w:r>
      <w:r>
        <w:rPr>
          <w:rFonts w:hint="eastAsia" w:ascii="Arial" w:hAnsi="Arial" w:eastAsia="楷体_GB2312" w:cs="Arial"/>
          <w:b/>
          <w:sz w:val="32"/>
        </w:rPr>
        <w:t>1</w:t>
      </w:r>
      <w:r>
        <w:rPr>
          <w:rFonts w:ascii="Arial" w:hAnsi="Arial" w:eastAsia="楷体_GB2312" w:cs="Arial"/>
          <w:b/>
          <w:sz w:val="32"/>
        </w:rPr>
        <w:t>号</w:t>
      </w:r>
      <w:r>
        <w:rPr>
          <w:rFonts w:hint="eastAsia" w:ascii="Arial" w:hAnsi="Arial" w:eastAsia="楷体_GB2312" w:cs="Arial"/>
          <w:b/>
          <w:sz w:val="32"/>
        </w:rPr>
        <w:t>楼</w:t>
      </w:r>
      <w:r>
        <w:rPr>
          <w:rFonts w:ascii="Arial" w:hAnsi="Arial" w:eastAsia="楷体_GB2312" w:cs="Arial"/>
          <w:b/>
          <w:sz w:val="32"/>
        </w:rPr>
        <w:t>、</w:t>
      </w:r>
      <w:r>
        <w:rPr>
          <w:rFonts w:hint="eastAsia" w:ascii="Arial" w:hAnsi="Arial" w:eastAsia="楷体_GB2312" w:cs="Arial"/>
          <w:b/>
          <w:sz w:val="32"/>
        </w:rPr>
        <w:t>3</w:t>
      </w:r>
      <w:r>
        <w:rPr>
          <w:rFonts w:ascii="Arial" w:hAnsi="Arial" w:eastAsia="楷体_GB2312" w:cs="Arial"/>
          <w:b/>
          <w:sz w:val="32"/>
        </w:rPr>
        <w:t>号楼</w:t>
      </w:r>
      <w:r>
        <w:rPr>
          <w:rFonts w:hint="eastAsia" w:ascii="Arial" w:hAnsi="Arial" w:eastAsia="楷体_GB2312" w:cs="Arial"/>
          <w:b/>
          <w:sz w:val="32"/>
        </w:rPr>
        <w:t>、100幢</w:t>
      </w:r>
      <w:r>
        <w:rPr>
          <w:rFonts w:ascii="Arial" w:hAnsi="Arial" w:eastAsia="楷体_GB2312" w:cs="Arial"/>
          <w:b/>
          <w:sz w:val="32"/>
        </w:rPr>
        <w:t>按实测数据签订补充协议项目国有建设用地使用权出让地价评估</w:t>
      </w:r>
    </w:p>
    <w:p>
      <w:pPr>
        <w:spacing w:line="432" w:lineRule="auto"/>
        <w:ind w:left="1925" w:hanging="1925" w:hangingChars="685"/>
        <w:jc w:val="both"/>
        <w:rPr>
          <w:rFonts w:ascii="Arial" w:hAnsi="Arial" w:eastAsia="楷体_GB2312" w:cs="Arial"/>
          <w:b/>
          <w:sz w:val="28"/>
          <w:szCs w:val="28"/>
        </w:rPr>
      </w:pPr>
    </w:p>
    <w:p>
      <w:pPr>
        <w:spacing w:line="432"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432" w:lineRule="auto"/>
        <w:ind w:right="-327"/>
        <w:rPr>
          <w:rFonts w:ascii="Arial" w:hAnsi="Arial" w:eastAsia="楷体_GB2312" w:cs="Arial"/>
          <w:b/>
          <w:bCs/>
          <w:sz w:val="32"/>
        </w:rPr>
      </w:pPr>
      <w:bookmarkStart w:id="144" w:name="_Toc416783540"/>
      <w:bookmarkStart w:id="145" w:name="_Toc416783636"/>
    </w:p>
    <w:bookmarkEnd w:id="144"/>
    <w:bookmarkEnd w:id="145"/>
    <w:p>
      <w:pPr>
        <w:spacing w:line="432" w:lineRule="auto"/>
        <w:ind w:right="-327"/>
        <w:rPr>
          <w:rFonts w:ascii="Arial" w:hAnsi="Arial" w:eastAsia="楷体_GB2312" w:cs="Arial"/>
          <w:b/>
          <w:sz w:val="32"/>
        </w:rPr>
      </w:pPr>
      <w:bookmarkStart w:id="146" w:name="_Toc418750903"/>
      <w:r>
        <w:rPr>
          <w:rFonts w:ascii="Arial" w:hAnsi="Arial" w:eastAsia="楷体_GB2312" w:cs="Arial"/>
          <w:b/>
          <w:sz w:val="32"/>
        </w:rPr>
        <w:t>土地估价报告编号：</w:t>
      </w:r>
      <w:bookmarkEnd w:id="146"/>
      <w:bookmarkStart w:id="147" w:name="_Toc416783637"/>
      <w:bookmarkStart w:id="148" w:name="_Toc416783541"/>
      <w:r>
        <w:rPr>
          <w:rFonts w:hint="eastAsia" w:ascii="Arial" w:hAnsi="Arial" w:eastAsia="楷体_GB2312" w:cs="Arial"/>
          <w:b/>
          <w:sz w:val="32"/>
        </w:rPr>
        <w:t>2021-1-0620-F02TDCR6</w:t>
      </w:r>
    </w:p>
    <w:p>
      <w:pPr>
        <w:spacing w:line="432" w:lineRule="auto"/>
        <w:ind w:right="-327"/>
        <w:rPr>
          <w:rFonts w:ascii="Arial" w:hAnsi="Arial" w:eastAsia="楷体_GB2312" w:cs="Arial"/>
          <w:b/>
          <w:bCs/>
          <w:spacing w:val="-10"/>
          <w:sz w:val="32"/>
        </w:rPr>
      </w:pPr>
    </w:p>
    <w:p>
      <w:pPr>
        <w:spacing w:line="432" w:lineRule="auto"/>
        <w:ind w:right="-207"/>
        <w:rPr>
          <w:rFonts w:ascii="Arial" w:hAnsi="Arial" w:eastAsia="楷体_GB2312" w:cs="Arial"/>
          <w:b/>
          <w:sz w:val="32"/>
        </w:rPr>
      </w:pPr>
      <w:bookmarkStart w:id="149" w:name="_Toc418750904"/>
      <w:r>
        <w:rPr>
          <w:rFonts w:ascii="Arial" w:hAnsi="Arial" w:eastAsia="楷体_GB2312" w:cs="Arial"/>
          <w:b/>
          <w:bCs/>
          <w:spacing w:val="-10"/>
          <w:sz w:val="32"/>
        </w:rPr>
        <w:t>土地估价技术报告编号：</w:t>
      </w:r>
      <w:bookmarkEnd w:id="147"/>
      <w:bookmarkEnd w:id="148"/>
      <w:bookmarkEnd w:id="149"/>
      <w:r>
        <w:rPr>
          <w:rFonts w:hint="eastAsia" w:ascii="Arial" w:hAnsi="Arial" w:eastAsia="楷体_GB2312" w:cs="Arial"/>
          <w:b/>
          <w:sz w:val="32"/>
        </w:rPr>
        <w:t>2021-1-0620-F02TDCR6</w:t>
      </w:r>
    </w:p>
    <w:p>
      <w:pPr>
        <w:spacing w:line="432" w:lineRule="auto"/>
        <w:ind w:right="-207"/>
        <w:rPr>
          <w:rFonts w:ascii="Arial" w:hAnsi="Arial" w:eastAsia="楷体_GB2312" w:cs="Arial"/>
          <w:b/>
          <w:sz w:val="32"/>
        </w:rPr>
      </w:pPr>
    </w:p>
    <w:p>
      <w:pPr>
        <w:spacing w:line="432" w:lineRule="auto"/>
        <w:rPr>
          <w:rFonts w:ascii="Arial" w:hAnsi="Arial" w:eastAsia="楷体_GB2312" w:cs="Arial"/>
          <w:b/>
          <w:bCs/>
          <w:spacing w:val="-20"/>
          <w:sz w:val="32"/>
        </w:rPr>
      </w:pPr>
      <w:r>
        <w:rPr>
          <w:rFonts w:ascii="Arial" w:hAnsi="Arial" w:eastAsia="楷体_GB2312" w:cs="Arial"/>
          <w:b/>
          <w:bCs/>
          <w:sz w:val="32"/>
        </w:rPr>
        <w:t>提交估价报告日期：</w:t>
      </w:r>
      <w:r>
        <w:rPr>
          <w:rFonts w:ascii="Arial" w:hAnsi="Arial" w:eastAsia="楷体_GB2312" w:cs="Arial"/>
          <w:b/>
          <w:sz w:val="32"/>
        </w:rPr>
        <w:t>2021年</w:t>
      </w:r>
      <w:r>
        <w:rPr>
          <w:rFonts w:hint="eastAsia" w:ascii="Arial" w:hAnsi="Arial" w:eastAsia="楷体_GB2312" w:cs="Arial"/>
          <w:b/>
          <w:sz w:val="32"/>
        </w:rPr>
        <w:t>12</w:t>
      </w:r>
      <w:r>
        <w:rPr>
          <w:rFonts w:ascii="Arial" w:hAnsi="Arial" w:eastAsia="楷体_GB2312" w:cs="Arial"/>
          <w:b/>
          <w:sz w:val="32"/>
        </w:rPr>
        <w:t>月</w:t>
      </w:r>
      <w:r>
        <w:rPr>
          <w:rFonts w:hint="eastAsia" w:ascii="Arial" w:hAnsi="Arial" w:eastAsia="楷体_GB2312" w:cs="Arial"/>
          <w:b/>
          <w:sz w:val="32"/>
        </w:rPr>
        <w:t>2</w:t>
      </w:r>
      <w:r>
        <w:rPr>
          <w:rFonts w:ascii="Arial" w:hAnsi="Arial" w:eastAsia="楷体_GB2312" w:cs="Arial"/>
          <w:b/>
          <w:sz w:val="32"/>
        </w:rPr>
        <w:t>日</w:t>
      </w:r>
    </w:p>
    <w:p>
      <w:pPr>
        <w:spacing w:line="432" w:lineRule="auto"/>
        <w:rPr>
          <w:rFonts w:ascii="Arial" w:hAnsi="Arial" w:eastAsia="楷体_GB2312" w:cs="Arial"/>
          <w:b/>
          <w:bCs/>
          <w:sz w:val="32"/>
        </w:rPr>
      </w:pPr>
    </w:p>
    <w:p>
      <w:pPr>
        <w:spacing w:line="240" w:lineRule="auto"/>
        <w:rPr>
          <w:rFonts w:ascii="Arial" w:hAnsi="Arial" w:eastAsia="楷体_GB2312" w:cs="Arial"/>
          <w:b/>
          <w:bCs/>
          <w:sz w:val="32"/>
        </w:rPr>
      </w:pPr>
      <w:r>
        <w:rPr>
          <w:rFonts w:ascii="Arial" w:hAnsi="Arial" w:eastAsia="楷体_GB2312" w:cs="Arial"/>
          <w:b/>
          <w:bCs/>
          <w:sz w:val="32"/>
        </w:rPr>
        <w:t>关键词：北京市、海淀区</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出让地价</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24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二Ｏ二一年</w:t>
      </w:r>
    </w:p>
    <w:p>
      <w:pPr>
        <w:tabs>
          <w:tab w:val="center" w:pos="4649"/>
        </w:tabs>
        <w:spacing w:line="360" w:lineRule="auto"/>
        <w:rPr>
          <w:rFonts w:ascii="Arial" w:hAnsi="Arial" w:eastAsia="楷体" w:cs="Arial"/>
          <w:bCs/>
          <w:sz w:val="32"/>
        </w:rPr>
        <w:sectPr>
          <w:footerReference r:id="rId23" w:type="default"/>
          <w:pgSz w:w="11907" w:h="16840"/>
          <w:pgMar w:top="1843" w:right="1134" w:bottom="1134" w:left="1134" w:header="851" w:footer="1134" w:gutter="340"/>
          <w:cols w:space="720" w:num="1"/>
          <w:docGrid w:linePitch="326" w:charSpace="0"/>
        </w:sectPr>
      </w:pPr>
      <w:r>
        <w:rPr>
          <w:rFonts w:ascii="Arial" w:hAnsi="Arial" w:eastAsia="楷体" w:cs="Arial"/>
          <w:bCs/>
          <w:sz w:val="32"/>
        </w:rPr>
        <w:tab/>
      </w:r>
    </w:p>
    <w:p>
      <w:pPr>
        <w:pStyle w:val="23"/>
        <w:rPr>
          <w:rFonts w:ascii="Arial" w:cs="Arial"/>
        </w:rPr>
      </w:pPr>
      <w:r>
        <w:rPr>
          <w:rFonts w:ascii="Arial" w:cs="Arial"/>
          <w:b/>
          <w:sz w:val="32"/>
          <w:szCs w:val="32"/>
        </w:rPr>
        <w:t>目录</w:t>
      </w: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rPr>
          <w:rFonts w:ascii="Arial" w:cs="Arial" w:eastAsiaTheme="minorEastAsia"/>
          <w:kern w:val="2"/>
          <w:sz w:val="21"/>
          <w:szCs w:val="22"/>
        </w:rPr>
      </w:pPr>
      <w:r>
        <w:fldChar w:fldCharType="begin"/>
      </w:r>
      <w:r>
        <w:instrText xml:space="preserve"> HYPERLINK \l "_Toc524335084" </w:instrText>
      </w:r>
      <w:r>
        <w:fldChar w:fldCharType="separate"/>
      </w:r>
      <w:r>
        <w:rPr>
          <w:rStyle w:val="40"/>
          <w:rFonts w:ascii="Arial" w:cs="Arial"/>
          <w:b/>
          <w:color w:val="auto"/>
        </w:rPr>
        <w:t>第一部分  总  述</w:t>
      </w:r>
      <w:r>
        <w:rPr>
          <w:rFonts w:ascii="Arial" w:cs="Arial"/>
        </w:rPr>
        <w:tab/>
      </w:r>
      <w:r>
        <w:rPr>
          <w:rFonts w:ascii="Arial" w:cs="Arial"/>
        </w:rPr>
        <w:fldChar w:fldCharType="begin"/>
      </w:r>
      <w:r>
        <w:rPr>
          <w:rFonts w:ascii="Arial" w:cs="Arial"/>
        </w:rPr>
        <w:instrText xml:space="preserve"> PAGEREF _Toc524335084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"_Toc524335085" </w:instrText>
      </w:r>
      <w:r>
        <w:fldChar w:fldCharType="separate"/>
      </w:r>
      <w:r>
        <w:rPr>
          <w:rStyle w:val="40"/>
          <w:rFonts w:ascii="Arial" w:hAnsi="Arial" w:eastAsia="仿宋_GB2312" w:cs="Arial"/>
          <w:b/>
          <w:color w:val="auto"/>
        </w:rPr>
        <w:t>一、估价项目名称</w:t>
      </w:r>
      <w:r>
        <w:rPr>
          <w:rFonts w:ascii="Arial" w:hAnsi="Arial" w:cs="Arial"/>
        </w:rPr>
        <w:tab/>
      </w:r>
      <w:r>
        <w:rPr>
          <w:rFonts w:ascii="Arial" w:hAnsi="Arial" w:cs="Arial"/>
        </w:rPr>
        <w:fldChar w:fldCharType="begin"/>
      </w:r>
      <w:r>
        <w:rPr>
          <w:rFonts w:ascii="Arial" w:hAnsi="Arial" w:cs="Arial"/>
        </w:rPr>
        <w:instrText xml:space="preserve"> PAGEREF _Toc524335085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"_Toc524335086" </w:instrText>
      </w:r>
      <w:r>
        <w:fldChar w:fldCharType="separate"/>
      </w:r>
      <w:r>
        <w:rPr>
          <w:rStyle w:val="40"/>
          <w:rFonts w:ascii="Arial" w:hAnsi="Arial" w:eastAsia="仿宋_GB2312" w:cs="Arial"/>
          <w:b/>
          <w:color w:val="auto"/>
        </w:rPr>
        <w:t>二、委托估价方</w:t>
      </w:r>
      <w:r>
        <w:rPr>
          <w:rFonts w:ascii="Arial" w:hAnsi="Arial" w:cs="Arial"/>
        </w:rPr>
        <w:tab/>
      </w:r>
      <w:r>
        <w:rPr>
          <w:rFonts w:ascii="Arial" w:hAnsi="Arial" w:cs="Arial"/>
        </w:rPr>
        <w:fldChar w:fldCharType="begin"/>
      </w:r>
      <w:r>
        <w:rPr>
          <w:rFonts w:ascii="Arial" w:hAnsi="Arial" w:cs="Arial"/>
        </w:rPr>
        <w:instrText xml:space="preserve"> PAGEREF _Toc524335086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"_Toc524335087" </w:instrText>
      </w:r>
      <w:r>
        <w:fldChar w:fldCharType="separate"/>
      </w:r>
      <w:r>
        <w:rPr>
          <w:rStyle w:val="40"/>
          <w:rFonts w:ascii="Arial" w:hAnsi="Arial" w:eastAsia="仿宋_GB2312" w:cs="Arial"/>
          <w:b/>
          <w:color w:val="auto"/>
        </w:rPr>
        <w:t>三、受托估价方</w:t>
      </w:r>
      <w:r>
        <w:rPr>
          <w:rFonts w:ascii="Arial" w:hAnsi="Arial" w:cs="Arial"/>
        </w:rPr>
        <w:tab/>
      </w:r>
      <w:r>
        <w:rPr>
          <w:rFonts w:ascii="Arial" w:hAnsi="Arial" w:cs="Arial"/>
        </w:rPr>
        <w:fldChar w:fldCharType="begin"/>
      </w:r>
      <w:r>
        <w:rPr>
          <w:rFonts w:ascii="Arial" w:hAnsi="Arial" w:cs="Arial"/>
        </w:rPr>
        <w:instrText xml:space="preserve"> PAGEREF _Toc524335087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"_Toc524335088" </w:instrText>
      </w:r>
      <w:r>
        <w:fldChar w:fldCharType="separate"/>
      </w:r>
      <w:r>
        <w:rPr>
          <w:rStyle w:val="40"/>
          <w:rFonts w:ascii="Arial" w:hAnsi="Arial" w:eastAsia="仿宋_GB2312" w:cs="Arial"/>
          <w:b/>
          <w:color w:val="auto"/>
        </w:rPr>
        <w:t>四、估价目的</w:t>
      </w:r>
      <w:r>
        <w:rPr>
          <w:rFonts w:ascii="Arial" w:hAnsi="Arial" w:cs="Arial"/>
        </w:rPr>
        <w:tab/>
      </w:r>
      <w:r>
        <w:rPr>
          <w:rFonts w:ascii="Arial" w:hAnsi="Arial" w:cs="Arial"/>
        </w:rPr>
        <w:fldChar w:fldCharType="begin"/>
      </w:r>
      <w:r>
        <w:rPr>
          <w:rFonts w:ascii="Arial" w:hAnsi="Arial" w:cs="Arial"/>
        </w:rPr>
        <w:instrText xml:space="preserve"> PAGEREF _Toc524335088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"_Toc524335089" </w:instrText>
      </w:r>
      <w:r>
        <w:fldChar w:fldCharType="separate"/>
      </w:r>
      <w:r>
        <w:rPr>
          <w:rStyle w:val="40"/>
          <w:rFonts w:ascii="Arial" w:hAnsi="Arial" w:eastAsia="仿宋_GB2312" w:cs="Arial"/>
          <w:b/>
          <w:color w:val="auto"/>
        </w:rPr>
        <w:t>五、估价依据</w:t>
      </w:r>
      <w:r>
        <w:rPr>
          <w:rFonts w:ascii="Arial" w:hAnsi="Arial" w:cs="Arial"/>
        </w:rPr>
        <w:tab/>
      </w:r>
      <w:r>
        <w:rPr>
          <w:rFonts w:ascii="Arial" w:hAnsi="Arial" w:cs="Arial"/>
        </w:rPr>
        <w:fldChar w:fldCharType="begin"/>
      </w:r>
      <w:r>
        <w:rPr>
          <w:rFonts w:ascii="Arial" w:hAnsi="Arial" w:cs="Arial"/>
        </w:rPr>
        <w:instrText xml:space="preserve"> PAGEREF _Toc524335089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"_Toc524335090" </w:instrText>
      </w:r>
      <w:r>
        <w:fldChar w:fldCharType="separate"/>
      </w:r>
      <w:r>
        <w:rPr>
          <w:rStyle w:val="40"/>
          <w:rFonts w:ascii="Arial" w:hAnsi="Arial" w:eastAsia="仿宋_GB2312" w:cs="Arial"/>
          <w:b/>
          <w:color w:val="auto"/>
        </w:rPr>
        <w:t>六、估价期日</w:t>
      </w:r>
      <w:r>
        <w:rPr>
          <w:rFonts w:ascii="Arial" w:hAnsi="Arial" w:cs="Arial"/>
        </w:rPr>
        <w:tab/>
      </w:r>
      <w:r>
        <w:rPr>
          <w:rFonts w:ascii="Arial" w:hAnsi="Arial" w:cs="Arial"/>
        </w:rPr>
        <w:fldChar w:fldCharType="begin"/>
      </w:r>
      <w:r>
        <w:rPr>
          <w:rFonts w:ascii="Arial" w:hAnsi="Arial" w:cs="Arial"/>
        </w:rPr>
        <w:instrText xml:space="preserve"> PAGEREF _Toc524335090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"_Toc524335091" </w:instrText>
      </w:r>
      <w:r>
        <w:fldChar w:fldCharType="separate"/>
      </w:r>
      <w:r>
        <w:rPr>
          <w:rStyle w:val="40"/>
          <w:rFonts w:ascii="Arial" w:hAnsi="Arial" w:eastAsia="仿宋_GB2312" w:cs="Arial"/>
          <w:b/>
          <w:bCs/>
          <w:color w:val="auto"/>
        </w:rPr>
        <w:t>七、估价日期</w:t>
      </w:r>
      <w:r>
        <w:rPr>
          <w:rFonts w:ascii="Arial" w:hAnsi="Arial" w:cs="Arial"/>
        </w:rPr>
        <w:tab/>
      </w:r>
      <w:r>
        <w:rPr>
          <w:rFonts w:ascii="Arial" w:hAnsi="Arial" w:cs="Arial"/>
        </w:rPr>
        <w:fldChar w:fldCharType="begin"/>
      </w:r>
      <w:r>
        <w:rPr>
          <w:rFonts w:ascii="Arial" w:hAnsi="Arial" w:cs="Arial"/>
        </w:rPr>
        <w:instrText xml:space="preserve"> PAGEREF _Toc524335091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"_Toc524335092" </w:instrText>
      </w:r>
      <w:r>
        <w:fldChar w:fldCharType="separate"/>
      </w:r>
      <w:r>
        <w:rPr>
          <w:rStyle w:val="40"/>
          <w:rFonts w:ascii="Arial" w:hAnsi="Arial" w:eastAsia="仿宋_GB2312" w:cs="Arial"/>
          <w:b/>
          <w:bCs/>
          <w:color w:val="auto"/>
        </w:rPr>
        <w:t>八、地价定义</w:t>
      </w:r>
      <w:r>
        <w:rPr>
          <w:rFonts w:ascii="Arial" w:hAnsi="Arial" w:cs="Arial"/>
        </w:rPr>
        <w:tab/>
      </w:r>
      <w:r>
        <w:rPr>
          <w:rFonts w:ascii="Arial" w:hAnsi="Arial" w:cs="Arial"/>
        </w:rPr>
        <w:fldChar w:fldCharType="begin"/>
      </w:r>
      <w:r>
        <w:rPr>
          <w:rFonts w:ascii="Arial" w:hAnsi="Arial" w:cs="Arial"/>
        </w:rPr>
        <w:instrText xml:space="preserve"> PAGEREF _Toc524335092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"_Toc524335093" </w:instrText>
      </w:r>
      <w:r>
        <w:fldChar w:fldCharType="separate"/>
      </w:r>
      <w:r>
        <w:rPr>
          <w:rStyle w:val="40"/>
          <w:rFonts w:ascii="Arial" w:hAnsi="Arial" w:eastAsia="仿宋_GB2312" w:cs="Arial"/>
          <w:b/>
          <w:color w:val="auto"/>
        </w:rPr>
        <w:t>九、估价结果</w:t>
      </w:r>
      <w:r>
        <w:rPr>
          <w:rFonts w:ascii="Arial" w:hAnsi="Arial" w:cs="Arial"/>
        </w:rPr>
        <w:tab/>
      </w:r>
      <w:r>
        <w:rPr>
          <w:rFonts w:ascii="Arial" w:hAnsi="Arial" w:cs="Arial"/>
        </w:rPr>
        <w:fldChar w:fldCharType="begin"/>
      </w:r>
      <w:r>
        <w:rPr>
          <w:rFonts w:ascii="Arial" w:hAnsi="Arial" w:cs="Arial"/>
        </w:rPr>
        <w:instrText xml:space="preserve"> PAGEREF _Toc524335093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"_Toc524335095" </w:instrText>
      </w:r>
      <w:r>
        <w:fldChar w:fldCharType="separate"/>
      </w:r>
      <w:r>
        <w:rPr>
          <w:rStyle w:val="40"/>
          <w:rFonts w:ascii="Arial" w:hAnsi="Arial" w:eastAsia="仿宋_GB2312" w:cs="Arial"/>
          <w:b/>
          <w:color w:val="auto"/>
        </w:rPr>
        <w:t>十、需要特殊说明的事项</w:t>
      </w:r>
      <w:r>
        <w:rPr>
          <w:rFonts w:ascii="Arial" w:hAnsi="Arial" w:cs="Arial"/>
        </w:rPr>
        <w:tab/>
      </w:r>
      <w:r>
        <w:rPr>
          <w:rFonts w:ascii="Arial" w:hAnsi="Arial" w:cs="Arial"/>
        </w:rPr>
        <w:fldChar w:fldCharType="begin"/>
      </w:r>
      <w:r>
        <w:rPr>
          <w:rFonts w:ascii="Arial" w:hAnsi="Arial" w:cs="Arial"/>
        </w:rPr>
        <w:instrText xml:space="preserve"> PAGEREF _Toc524335095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"_Toc524335096" </w:instrText>
      </w:r>
      <w:r>
        <w:fldChar w:fldCharType="separate"/>
      </w:r>
      <w:r>
        <w:rPr>
          <w:rStyle w:val="40"/>
          <w:rFonts w:ascii="Arial" w:hAnsi="Arial" w:eastAsia="仿宋_GB2312" w:cs="Arial"/>
          <w:b/>
          <w:color w:val="auto"/>
        </w:rPr>
        <w:t>十一、评估专业人员签字</w:t>
      </w:r>
      <w:r>
        <w:rPr>
          <w:rFonts w:ascii="Arial" w:hAnsi="Arial" w:cs="Arial"/>
        </w:rPr>
        <w:tab/>
      </w:r>
      <w:r>
        <w:rPr>
          <w:rFonts w:ascii="Arial" w:hAnsi="Arial" w:cs="Arial"/>
        </w:rPr>
        <w:fldChar w:fldCharType="begin"/>
      </w:r>
      <w:r>
        <w:rPr>
          <w:rFonts w:ascii="Arial" w:hAnsi="Arial" w:cs="Arial"/>
        </w:rPr>
        <w:instrText xml:space="preserve"> PAGEREF _Toc524335096 \h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"_Toc524335097" </w:instrText>
      </w:r>
      <w:r>
        <w:fldChar w:fldCharType="separate"/>
      </w:r>
      <w:r>
        <w:rPr>
          <w:rStyle w:val="40"/>
          <w:rFonts w:ascii="Arial" w:hAnsi="Arial" w:eastAsia="仿宋_GB2312" w:cs="Arial"/>
          <w:b/>
          <w:color w:val="auto"/>
        </w:rPr>
        <w:t>十二、土地估价机构</w:t>
      </w:r>
      <w:r>
        <w:rPr>
          <w:rFonts w:ascii="Arial" w:hAnsi="Arial" w:cs="Arial"/>
        </w:rPr>
        <w:tab/>
      </w:r>
      <w:r>
        <w:rPr>
          <w:rFonts w:ascii="Arial" w:hAnsi="Arial" w:cs="Arial"/>
        </w:rPr>
        <w:fldChar w:fldCharType="begin"/>
      </w:r>
      <w:r>
        <w:rPr>
          <w:rFonts w:ascii="Arial" w:hAnsi="Arial" w:cs="Arial"/>
        </w:rPr>
        <w:instrText xml:space="preserve"> PAGEREF _Toc524335097 \h </w:instrText>
      </w:r>
      <w:r>
        <w:rPr>
          <w:rFonts w:ascii="Arial" w:hAnsi="Arial" w:cs="Arial"/>
        </w:rPr>
        <w:fldChar w:fldCharType="separate"/>
      </w:r>
      <w:r>
        <w:rPr>
          <w:rFonts w:ascii="Arial" w:hAnsi="Arial" w:cs="Arial"/>
        </w:rPr>
        <w:t>26</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"_Toc524335098" </w:instrText>
      </w:r>
      <w:r>
        <w:fldChar w:fldCharType="separate"/>
      </w:r>
      <w:r>
        <w:rPr>
          <w:rStyle w:val="40"/>
          <w:rFonts w:ascii="Arial" w:cs="Arial"/>
          <w:b/>
          <w:color w:val="auto"/>
        </w:rPr>
        <w:t>第二部分  估价对象描述及土地价格影响因素分析</w:t>
      </w:r>
      <w:r>
        <w:rPr>
          <w:rFonts w:ascii="Arial" w:cs="Arial"/>
        </w:rPr>
        <w:tab/>
      </w:r>
      <w:r>
        <w:rPr>
          <w:rFonts w:ascii="Arial" w:cs="Arial"/>
        </w:rPr>
        <w:fldChar w:fldCharType="begin"/>
      </w:r>
      <w:r>
        <w:rPr>
          <w:rFonts w:ascii="Arial" w:cs="Arial"/>
        </w:rPr>
        <w:instrText xml:space="preserve"> PAGEREF _Toc524335098 \h </w:instrText>
      </w:r>
      <w:r>
        <w:rPr>
          <w:rFonts w:ascii="Arial" w:cs="Arial"/>
        </w:rPr>
        <w:fldChar w:fldCharType="separate"/>
      </w:r>
      <w:r>
        <w:rPr>
          <w:rFonts w:ascii="Arial" w:cs="Arial"/>
        </w:rPr>
        <w:t>27</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"_Toc524335099" </w:instrText>
      </w:r>
      <w:r>
        <w:fldChar w:fldCharType="separate"/>
      </w:r>
      <w:r>
        <w:rPr>
          <w:rStyle w:val="40"/>
          <w:rFonts w:ascii="Arial" w:hAnsi="Arial" w:eastAsia="仿宋_GB2312" w:cs="Arial"/>
          <w:b/>
          <w:color w:val="auto"/>
        </w:rPr>
        <w:t>一、估价对象描述</w:t>
      </w:r>
      <w:r>
        <w:rPr>
          <w:rFonts w:ascii="Arial" w:hAnsi="Arial" w:cs="Arial"/>
        </w:rPr>
        <w:tab/>
      </w:r>
      <w:r>
        <w:rPr>
          <w:rFonts w:ascii="Arial" w:hAnsi="Arial" w:cs="Arial"/>
        </w:rPr>
        <w:fldChar w:fldCharType="begin"/>
      </w:r>
      <w:r>
        <w:rPr>
          <w:rFonts w:ascii="Arial" w:hAnsi="Arial" w:cs="Arial"/>
        </w:rPr>
        <w:instrText xml:space="preserve"> PAGEREF _Toc524335099 \h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"_Toc524335100" </w:instrText>
      </w:r>
      <w:r>
        <w:fldChar w:fldCharType="separate"/>
      </w:r>
      <w:r>
        <w:rPr>
          <w:rStyle w:val="40"/>
          <w:rFonts w:ascii="Arial" w:hAnsi="Arial" w:eastAsia="仿宋_GB2312" w:cs="Arial"/>
          <w:b/>
          <w:color w:val="auto"/>
        </w:rPr>
        <w:t>二、地价影响因素分析</w:t>
      </w:r>
      <w:r>
        <w:rPr>
          <w:rFonts w:ascii="Arial" w:hAnsi="Arial" w:cs="Arial"/>
        </w:rPr>
        <w:tab/>
      </w:r>
      <w:r>
        <w:rPr>
          <w:rFonts w:ascii="Arial" w:hAnsi="Arial" w:cs="Arial"/>
        </w:rPr>
        <w:fldChar w:fldCharType="begin"/>
      </w:r>
      <w:r>
        <w:rPr>
          <w:rFonts w:ascii="Arial" w:hAnsi="Arial" w:cs="Arial"/>
        </w:rPr>
        <w:instrText xml:space="preserve"> PAGEREF _Toc524335100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"_Toc524335110" </w:instrText>
      </w:r>
      <w:r>
        <w:fldChar w:fldCharType="separate"/>
      </w:r>
      <w:r>
        <w:rPr>
          <w:rStyle w:val="40"/>
          <w:rFonts w:ascii="Arial" w:cs="Arial"/>
          <w:b/>
          <w:color w:val="auto"/>
        </w:rPr>
        <w:t>第三部分  土地估价</w:t>
      </w:r>
      <w:r>
        <w:rPr>
          <w:rFonts w:ascii="Arial" w:cs="Arial"/>
        </w:rPr>
        <w:tab/>
      </w:r>
      <w:r>
        <w:rPr>
          <w:rFonts w:hint="eastAsia" w:ascii="Arial" w:cs="Arial"/>
        </w:rPr>
        <w:t>52</w:t>
      </w:r>
      <w:r>
        <w:rPr>
          <w:rFonts w:hint="eastAsia"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"_Toc524335111" </w:instrText>
      </w:r>
      <w:r>
        <w:fldChar w:fldCharType="separate"/>
      </w:r>
      <w:r>
        <w:rPr>
          <w:rStyle w:val="40"/>
          <w:rFonts w:ascii="Arial" w:hAnsi="Arial" w:eastAsia="仿宋_GB2312" w:cs="Arial"/>
          <w:b/>
          <w:color w:val="auto"/>
        </w:rPr>
        <w:t>一、估价原则</w:t>
      </w:r>
      <w:r>
        <w:rPr>
          <w:rFonts w:ascii="Arial" w:hAnsi="Arial" w:cs="Arial"/>
        </w:rPr>
        <w:tab/>
      </w:r>
      <w:r>
        <w:rPr>
          <w:rFonts w:hint="eastAsia" w:ascii="Arial" w:hAnsi="Arial" w:cs="Arial"/>
        </w:rPr>
        <w:t>52</w:t>
      </w:r>
      <w:r>
        <w:rPr>
          <w:rFonts w:hint="eastAsia"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"_Toc524335112" </w:instrText>
      </w:r>
      <w:r>
        <w:fldChar w:fldCharType="separate"/>
      </w:r>
      <w:r>
        <w:rPr>
          <w:rStyle w:val="40"/>
          <w:rFonts w:ascii="Arial" w:hAnsi="Arial" w:eastAsia="仿宋_GB2312" w:cs="Arial"/>
          <w:b/>
          <w:color w:val="auto"/>
        </w:rPr>
        <w:t>二、估价方法与估价过程</w:t>
      </w:r>
      <w:r>
        <w:rPr>
          <w:rFonts w:ascii="Arial" w:hAnsi="Arial" w:cs="Arial"/>
        </w:rPr>
        <w:tab/>
      </w:r>
      <w:r>
        <w:rPr>
          <w:rFonts w:hint="eastAsia" w:ascii="Arial" w:hAnsi="Arial" w:cs="Arial"/>
        </w:rPr>
        <w:t>56</w:t>
      </w:r>
      <w:r>
        <w:rPr>
          <w:rFonts w:hint="eastAsia"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"_Toc524335123" </w:instrText>
      </w:r>
      <w:r>
        <w:fldChar w:fldCharType="separate"/>
      </w:r>
      <w:r>
        <w:rPr>
          <w:rStyle w:val="40"/>
          <w:rFonts w:ascii="Arial" w:cs="Arial"/>
          <w:b/>
          <w:color w:val="auto"/>
        </w:rPr>
        <w:t>附  件</w:t>
      </w:r>
      <w:r>
        <w:rPr>
          <w:rFonts w:ascii="Arial" w:cs="Arial"/>
        </w:rPr>
        <w:tab/>
      </w:r>
      <w:r>
        <w:rPr>
          <w:rFonts w:ascii="Arial" w:cs="Arial"/>
        </w:rPr>
        <w:fldChar w:fldCharType="begin"/>
      </w:r>
      <w:r>
        <w:rPr>
          <w:rFonts w:ascii="Arial" w:cs="Arial"/>
        </w:rPr>
        <w:instrText xml:space="preserve"> PAGEREF _Toc524335123 \h </w:instrText>
      </w:r>
      <w:r>
        <w:rPr>
          <w:rFonts w:ascii="Arial" w:cs="Arial"/>
        </w:rPr>
        <w:fldChar w:fldCharType="separate"/>
      </w:r>
      <w:r>
        <w:rPr>
          <w:rFonts w:ascii="Arial" w:cs="Arial"/>
        </w:rPr>
        <w:t>98</w:t>
      </w:r>
      <w:r>
        <w:rPr>
          <w:rFonts w:ascii="Arial" w:cs="Arial"/>
        </w:rPr>
        <w:fldChar w:fldCharType="end"/>
      </w:r>
      <w:r>
        <w:rPr>
          <w:rFonts w:ascii="Arial" w:cs="Arial"/>
        </w:rPr>
        <w:fldChar w:fldCharType="end"/>
      </w:r>
    </w:p>
    <w:p>
      <w:pPr>
        <w:pStyle w:val="28"/>
        <w:rPr>
          <w:rFonts w:ascii="Arial" w:hAnsi="Arial" w:eastAsia="楷体" w:cs="Arial"/>
          <w:sz w:val="32"/>
        </w:rPr>
        <w:sectPr>
          <w:headerReference r:id="rId24" w:type="first"/>
          <w:footerReference r:id="rId25" w:type="first"/>
          <w:pgSz w:w="11907" w:h="16840"/>
          <w:pgMar w:top="1843" w:right="1134" w:bottom="1134" w:left="1134" w:header="1134" w:footer="907" w:gutter="340"/>
          <w:pgNumType w:start="0"/>
          <w:cols w:space="720" w:num="1"/>
          <w:titlePg/>
          <w:docGrid w:linePitch="326" w:charSpace="0"/>
        </w:sectPr>
      </w:pPr>
      <w:r>
        <w:rPr>
          <w:rStyle w:val="40"/>
          <w:rFonts w:ascii="Arial" w:hAnsi="Arial" w:eastAsia="仿宋_GB2312" w:cs="Arial"/>
          <w:color w:val="auto"/>
          <w:szCs w:val="24"/>
        </w:rPr>
        <w:fldChar w:fldCharType="end"/>
      </w:r>
      <w:bookmarkStart w:id="316" w:name="_GoBack"/>
      <w:bookmarkEnd w:id="316"/>
    </w:p>
    <w:p>
      <w:pPr>
        <w:spacing w:line="360" w:lineRule="auto"/>
        <w:jc w:val="center"/>
        <w:rPr>
          <w:rFonts w:ascii="Arial" w:hAnsi="Arial" w:cs="Arial"/>
          <w:sz w:val="32"/>
        </w:rPr>
      </w:pPr>
      <w:bookmarkStart w:id="150" w:name="_Toc416783638"/>
      <w:bookmarkStart w:id="151" w:name="_Toc416783542"/>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50"/>
      <w:bookmarkEnd w:id="151"/>
    </w:p>
    <w:p>
      <w:pPr>
        <w:spacing w:line="360" w:lineRule="auto"/>
        <w:jc w:val="center"/>
        <w:rPr>
          <w:rFonts w:ascii="Arial" w:hAnsi="Arial" w:cs="Arial"/>
          <w:sz w:val="32"/>
        </w:rPr>
      </w:pPr>
    </w:p>
    <w:p>
      <w:pPr>
        <w:spacing w:line="360" w:lineRule="auto"/>
        <w:jc w:val="center"/>
        <w:outlineLvl w:val="0"/>
        <w:rPr>
          <w:rFonts w:ascii="Arial" w:hAnsi="Arial" w:cs="Arial"/>
          <w:sz w:val="32"/>
        </w:rPr>
      </w:pPr>
      <w:bookmarkStart w:id="152" w:name="_Toc516488179"/>
      <w:bookmarkStart w:id="153" w:name="_Toc469066149"/>
      <w:bookmarkStart w:id="154" w:name="_Toc69393386"/>
      <w:bookmarkStart w:id="155" w:name="_Toc416783543"/>
      <w:bookmarkStart w:id="156" w:name="_Toc524335084"/>
      <w:bookmarkStart w:id="157" w:name="_Toc416783639"/>
      <w:bookmarkStart w:id="158" w:name="_Toc66929511"/>
      <w:bookmarkStart w:id="159" w:name="_Toc515457801"/>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52"/>
      <w:bookmarkEnd w:id="153"/>
      <w:bookmarkEnd w:id="154"/>
      <w:bookmarkEnd w:id="155"/>
      <w:bookmarkEnd w:id="156"/>
      <w:bookmarkEnd w:id="157"/>
      <w:bookmarkEnd w:id="158"/>
      <w:bookmarkEnd w:id="159"/>
    </w:p>
    <w:p>
      <w:pPr>
        <w:spacing w:line="360" w:lineRule="auto"/>
        <w:jc w:val="center"/>
        <w:rPr>
          <w:rFonts w:ascii="Arial" w:hAnsi="Arial" w:eastAsia="仿宋_GB2312" w:cs="Arial"/>
          <w:sz w:val="28"/>
        </w:rPr>
      </w:pPr>
    </w:p>
    <w:p>
      <w:pPr>
        <w:spacing w:line="360" w:lineRule="auto"/>
        <w:outlineLvl w:val="1"/>
        <w:rPr>
          <w:rFonts w:ascii="Arial" w:hAnsi="Arial" w:eastAsia="仿宋_GB2312" w:cs="Arial"/>
          <w:b/>
          <w:sz w:val="28"/>
        </w:rPr>
      </w:pPr>
      <w:bookmarkStart w:id="160" w:name="_Toc516488180"/>
      <w:bookmarkStart w:id="161" w:name="_Toc416783544"/>
      <w:bookmarkStart w:id="162" w:name="_Toc66929512"/>
      <w:bookmarkStart w:id="163" w:name="_Toc524335085"/>
      <w:bookmarkStart w:id="164" w:name="_Toc515457802"/>
      <w:bookmarkStart w:id="165" w:name="_Toc469066150"/>
      <w:bookmarkStart w:id="166" w:name="_Toc69393387"/>
      <w:bookmarkStart w:id="167" w:name="_Toc416783640"/>
      <w:r>
        <w:rPr>
          <w:rFonts w:ascii="Arial" w:hAnsi="Arial" w:eastAsia="仿宋_GB2312" w:cs="Arial"/>
          <w:b/>
          <w:sz w:val="28"/>
        </w:rPr>
        <w:t>一、估价项目名称</w:t>
      </w:r>
      <w:bookmarkEnd w:id="160"/>
      <w:bookmarkEnd w:id="161"/>
      <w:bookmarkEnd w:id="162"/>
      <w:bookmarkEnd w:id="163"/>
      <w:bookmarkEnd w:id="164"/>
      <w:bookmarkEnd w:id="165"/>
      <w:bookmarkEnd w:id="166"/>
      <w:bookmarkEnd w:id="167"/>
    </w:p>
    <w:p>
      <w:pPr>
        <w:spacing w:line="360" w:lineRule="auto"/>
        <w:ind w:firstLine="557" w:firstLineChars="199"/>
        <w:jc w:val="both"/>
        <w:rPr>
          <w:rFonts w:ascii="Arial" w:hAnsi="Arial" w:eastAsia="仿宋_GB2312" w:cs="Arial"/>
          <w:sz w:val="28"/>
        </w:rPr>
      </w:pPr>
      <w:r>
        <w:rPr>
          <w:rFonts w:ascii="Arial" w:hAnsi="Arial" w:eastAsia="仿宋_GB2312" w:cs="Arial"/>
          <w:sz w:val="28"/>
        </w:rPr>
        <w:t>北京市海淀区清河嘉园西区</w:t>
      </w:r>
      <w:r>
        <w:rPr>
          <w:rFonts w:hint="eastAsia" w:ascii="Arial" w:hAnsi="Arial" w:eastAsia="仿宋_GB2312" w:cs="Arial"/>
          <w:sz w:val="28"/>
        </w:rPr>
        <w:t>1</w:t>
      </w:r>
      <w:r>
        <w:rPr>
          <w:rFonts w:ascii="Arial" w:hAnsi="Arial" w:eastAsia="仿宋_GB2312" w:cs="Arial"/>
          <w:sz w:val="28"/>
        </w:rPr>
        <w:t>号</w:t>
      </w:r>
      <w:r>
        <w:rPr>
          <w:rFonts w:hint="eastAsia" w:ascii="Arial" w:hAnsi="Arial" w:eastAsia="仿宋_GB2312" w:cs="Arial"/>
          <w:sz w:val="28"/>
        </w:rPr>
        <w:t>楼</w:t>
      </w:r>
      <w:r>
        <w:rPr>
          <w:rFonts w:ascii="Arial" w:hAnsi="Arial" w:eastAsia="仿宋_GB2312" w:cs="Arial"/>
          <w:sz w:val="28"/>
        </w:rPr>
        <w:t>、</w:t>
      </w:r>
      <w:r>
        <w:rPr>
          <w:rFonts w:hint="eastAsia" w:ascii="Arial" w:hAnsi="Arial" w:eastAsia="仿宋_GB2312" w:cs="Arial"/>
          <w:sz w:val="28"/>
        </w:rPr>
        <w:t>3</w:t>
      </w:r>
      <w:r>
        <w:rPr>
          <w:rFonts w:ascii="Arial" w:hAnsi="Arial" w:eastAsia="仿宋_GB2312" w:cs="Arial"/>
          <w:sz w:val="28"/>
        </w:rPr>
        <w:t>号楼</w:t>
      </w:r>
      <w:r>
        <w:rPr>
          <w:rFonts w:hint="eastAsia" w:ascii="Arial" w:hAnsi="Arial" w:eastAsia="仿宋_GB2312" w:cs="Arial"/>
          <w:sz w:val="28"/>
        </w:rPr>
        <w:t>、100幢</w:t>
      </w:r>
      <w:r>
        <w:rPr>
          <w:rFonts w:ascii="Arial" w:hAnsi="Arial" w:eastAsia="仿宋_GB2312" w:cs="Arial"/>
          <w:sz w:val="28"/>
        </w:rPr>
        <w:t>按实测数据签订补充协议项目国有建设用地使用权出让地价评估</w:t>
      </w:r>
    </w:p>
    <w:p>
      <w:pPr>
        <w:spacing w:line="360" w:lineRule="auto"/>
        <w:ind w:right="-327"/>
        <w:rPr>
          <w:rFonts w:ascii="Arial" w:hAnsi="Arial" w:eastAsia="仿宋_GB2312" w:cs="Arial"/>
          <w:sz w:val="28"/>
        </w:rPr>
      </w:pPr>
    </w:p>
    <w:p>
      <w:pPr>
        <w:spacing w:line="360" w:lineRule="auto"/>
        <w:outlineLvl w:val="1"/>
        <w:rPr>
          <w:rFonts w:ascii="Arial" w:hAnsi="Arial" w:eastAsia="仿宋_GB2312" w:cs="Arial"/>
          <w:b/>
          <w:sz w:val="28"/>
        </w:rPr>
      </w:pPr>
      <w:bookmarkStart w:id="168" w:name="_Toc516488181"/>
      <w:bookmarkStart w:id="169" w:name="_Toc69393388"/>
      <w:bookmarkStart w:id="170" w:name="_Toc515457803"/>
      <w:bookmarkStart w:id="171" w:name="_Toc469066151"/>
      <w:bookmarkStart w:id="172" w:name="_Toc416783546"/>
      <w:bookmarkStart w:id="173" w:name="_Toc524335086"/>
      <w:bookmarkStart w:id="174" w:name="_Toc66929513"/>
      <w:bookmarkStart w:id="175" w:name="_Toc416783642"/>
      <w:r>
        <w:rPr>
          <w:rFonts w:ascii="Arial" w:hAnsi="Arial" w:eastAsia="仿宋_GB2312" w:cs="Arial"/>
          <w:b/>
          <w:sz w:val="28"/>
        </w:rPr>
        <w:t>二、委托估价方</w:t>
      </w:r>
      <w:bookmarkEnd w:id="168"/>
      <w:bookmarkEnd w:id="169"/>
      <w:bookmarkEnd w:id="170"/>
      <w:bookmarkEnd w:id="171"/>
      <w:bookmarkEnd w:id="172"/>
      <w:bookmarkEnd w:id="173"/>
      <w:bookmarkEnd w:id="174"/>
      <w:bookmarkEnd w:id="175"/>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176" w:name="_Toc524335087"/>
      <w:bookmarkStart w:id="177" w:name="_Toc469066152"/>
      <w:bookmarkStart w:id="178" w:name="_Toc516488182"/>
      <w:bookmarkStart w:id="179" w:name="_Toc66929514"/>
      <w:bookmarkStart w:id="180" w:name="_Toc515457804"/>
      <w:bookmarkStart w:id="181" w:name="_Toc69393389"/>
      <w:bookmarkStart w:id="182" w:name="_Toc416783547"/>
      <w:bookmarkStart w:id="183" w:name="_Toc416783643"/>
      <w:r>
        <w:rPr>
          <w:rFonts w:ascii="Arial" w:hAnsi="Arial" w:eastAsia="仿宋_GB2312" w:cs="Arial"/>
          <w:b/>
          <w:sz w:val="28"/>
        </w:rPr>
        <w:t>三、受托估价方</w:t>
      </w:r>
      <w:bookmarkEnd w:id="176"/>
      <w:bookmarkEnd w:id="177"/>
      <w:bookmarkEnd w:id="178"/>
      <w:bookmarkEnd w:id="179"/>
      <w:bookmarkEnd w:id="180"/>
      <w:bookmarkEnd w:id="181"/>
      <w:bookmarkEnd w:id="182"/>
      <w:bookmarkEnd w:id="183"/>
    </w:p>
    <w:p>
      <w:pPr>
        <w:spacing w:line="360" w:lineRule="auto"/>
        <w:ind w:firstLine="570"/>
        <w:jc w:val="both"/>
        <w:rPr>
          <w:rFonts w:ascii="Arial" w:hAnsi="Arial" w:eastAsia="仿宋_GB2312" w:cs="Arial"/>
          <w:sz w:val="28"/>
        </w:rPr>
      </w:pPr>
      <w:bookmarkStart w:id="184" w:name="_Toc416783644"/>
      <w:bookmarkStart w:id="185" w:name="_Toc416783548"/>
      <w:r>
        <w:rPr>
          <w:rFonts w:ascii="Arial" w:hAnsi="Arial" w:eastAsia="仿宋_GB2312" w:cs="Arial"/>
          <w:sz w:val="28"/>
        </w:rPr>
        <w:t>受托机构：北京康正宏基房地产评估有限公司</w:t>
      </w:r>
      <w:bookmarkEnd w:id="184"/>
      <w:bookmarkEnd w:id="185"/>
    </w:p>
    <w:p>
      <w:pPr>
        <w:spacing w:line="36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6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60" w:lineRule="auto"/>
        <w:rPr>
          <w:rFonts w:ascii="Arial" w:hAnsi="Arial" w:eastAsia="仿宋_GB2312" w:cs="Arial"/>
          <w:sz w:val="28"/>
        </w:rPr>
      </w:pPr>
      <w:r>
        <w:rPr>
          <w:rFonts w:ascii="Arial" w:hAnsi="Arial" w:eastAsia="仿宋_GB2312" w:cs="Arial"/>
          <w:sz w:val="28"/>
        </w:rPr>
        <w:t xml:space="preserve">    资质证书号：A201111009</w:t>
      </w:r>
    </w:p>
    <w:p>
      <w:pPr>
        <w:spacing w:line="360" w:lineRule="auto"/>
        <w:rPr>
          <w:rFonts w:ascii="Arial" w:hAnsi="Arial" w:eastAsia="仿宋_GB2312" w:cs="Arial"/>
          <w:sz w:val="28"/>
        </w:rPr>
      </w:pPr>
      <w:r>
        <w:rPr>
          <w:rFonts w:ascii="Arial" w:hAnsi="Arial" w:eastAsia="仿宋_GB2312" w:cs="Arial"/>
          <w:sz w:val="28"/>
        </w:rPr>
        <w:t xml:space="preserve">    法人代表：齐  宏</w:t>
      </w:r>
    </w:p>
    <w:p>
      <w:pPr>
        <w:spacing w:line="360" w:lineRule="auto"/>
        <w:rPr>
          <w:rFonts w:ascii="Arial" w:hAnsi="Arial" w:eastAsia="仿宋_GB2312" w:cs="Arial"/>
          <w:sz w:val="28"/>
        </w:rPr>
      </w:pPr>
      <w:r>
        <w:rPr>
          <w:rFonts w:ascii="Arial" w:hAnsi="Arial" w:eastAsia="仿宋_GB2312" w:cs="Arial"/>
          <w:sz w:val="28"/>
        </w:rPr>
        <w:t xml:space="preserve">    </w:t>
      </w:r>
      <w:r>
        <w:rPr>
          <w:rFonts w:ascii="Arial" w:hAnsi="Arial" w:eastAsia="仿宋_GB2312" w:cs="Arial"/>
          <w:spacing w:val="38"/>
          <w:sz w:val="28"/>
        </w:rPr>
        <w:t>联系人：</w:t>
      </w:r>
      <w:r>
        <w:rPr>
          <w:rFonts w:ascii="Arial" w:hAnsi="Arial" w:eastAsia="仿宋_GB2312" w:cs="Arial"/>
          <w:sz w:val="28"/>
        </w:rPr>
        <w:t>陈  颖</w:t>
      </w:r>
    </w:p>
    <w:p>
      <w:pPr>
        <w:spacing w:line="360" w:lineRule="auto"/>
        <w:ind w:firstLine="600"/>
        <w:jc w:val="both"/>
        <w:rPr>
          <w:rFonts w:ascii="Arial" w:hAnsi="Arial" w:eastAsia="仿宋_GB2312" w:cs="Arial"/>
          <w:sz w:val="28"/>
        </w:rPr>
      </w:pPr>
      <w:r>
        <w:rPr>
          <w:rFonts w:ascii="Arial" w:hAnsi="Arial" w:eastAsia="仿宋_GB2312" w:cs="Arial"/>
          <w:sz w:val="28"/>
        </w:rPr>
        <w:t>联系电话：010-82253558-110</w:t>
      </w:r>
    </w:p>
    <w:p>
      <w:pPr>
        <w:spacing w:line="360" w:lineRule="auto"/>
        <w:ind w:firstLine="600"/>
        <w:jc w:val="both"/>
        <w:rPr>
          <w:rFonts w:ascii="Arial" w:hAnsi="Arial" w:eastAsia="仿宋_GB2312" w:cs="Arial"/>
          <w:sz w:val="28"/>
        </w:rPr>
      </w:pPr>
    </w:p>
    <w:p>
      <w:pPr>
        <w:spacing w:line="360" w:lineRule="auto"/>
        <w:outlineLvl w:val="1"/>
        <w:rPr>
          <w:rFonts w:ascii="Arial" w:hAnsi="Arial" w:eastAsia="仿宋_GB2312" w:cs="Arial"/>
          <w:b/>
          <w:sz w:val="28"/>
        </w:rPr>
      </w:pPr>
      <w:bookmarkStart w:id="186" w:name="_Toc69393390"/>
      <w:bookmarkStart w:id="187" w:name="_Toc515457805"/>
      <w:bookmarkStart w:id="188" w:name="_Toc416783645"/>
      <w:bookmarkStart w:id="189" w:name="_Toc516488183"/>
      <w:bookmarkStart w:id="190" w:name="_Toc416783549"/>
      <w:bookmarkStart w:id="191" w:name="_Toc66929515"/>
      <w:bookmarkStart w:id="192" w:name="_Toc469066153"/>
      <w:bookmarkStart w:id="193" w:name="_Toc524335088"/>
      <w:r>
        <w:rPr>
          <w:rFonts w:ascii="Arial" w:hAnsi="Arial" w:eastAsia="仿宋_GB2312" w:cs="Arial"/>
          <w:b/>
          <w:sz w:val="28"/>
        </w:rPr>
        <w:t>四、估价目的</w:t>
      </w:r>
      <w:bookmarkEnd w:id="186"/>
      <w:bookmarkEnd w:id="187"/>
      <w:bookmarkEnd w:id="188"/>
      <w:bookmarkEnd w:id="189"/>
      <w:bookmarkEnd w:id="190"/>
      <w:bookmarkEnd w:id="191"/>
      <w:bookmarkEnd w:id="192"/>
      <w:bookmarkEnd w:id="193"/>
    </w:p>
    <w:p>
      <w:pPr>
        <w:snapToGrid w:val="0"/>
        <w:spacing w:line="360" w:lineRule="auto"/>
        <w:ind w:firstLine="556"/>
        <w:jc w:val="both"/>
        <w:rPr>
          <w:rFonts w:ascii="Arial" w:hAnsi="Arial" w:eastAsia="仿宋_GB2312" w:cs="Arial"/>
          <w:sz w:val="28"/>
        </w:rPr>
      </w:pPr>
      <w:r>
        <w:rPr>
          <w:rFonts w:ascii="Arial" w:hAnsi="Arial" w:eastAsia="仿宋_GB2312" w:cs="Arial"/>
          <w:sz w:val="28"/>
        </w:rPr>
        <w:t>北京强佑房地产开发有限公司向北京市规划和自然资源委员会申请办理北京市海淀区</w:t>
      </w:r>
      <w:r>
        <w:rPr>
          <w:rFonts w:hint="eastAsia" w:ascii="Arial" w:hAnsi="Arial" w:eastAsia="仿宋_GB2312" w:cs="Arial"/>
          <w:sz w:val="28"/>
        </w:rPr>
        <w:t>清河嘉园西区1号楼、3号楼、100幢按实测数据签订补充协议</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w:t>
      </w:r>
      <w:r>
        <w:rPr>
          <w:rFonts w:hint="eastAsia" w:ascii="Arial" w:hAnsi="Arial" w:eastAsia="仿宋_GB2312" w:cs="Arial"/>
          <w:sz w:val="28"/>
        </w:rPr>
        <w:t>竣工实测后签订补充协议</w:t>
      </w:r>
      <w:r>
        <w:rPr>
          <w:rFonts w:ascii="Arial" w:hAnsi="Arial" w:eastAsia="仿宋_GB2312" w:cs="Arial"/>
          <w:sz w:val="28"/>
        </w:rPr>
        <w:t>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rPr>
        <w:t>土地协议出让后按实测数据签订补充协议</w:t>
      </w:r>
      <w:r>
        <w:rPr>
          <w:rFonts w:ascii="Arial" w:hAnsi="Arial" w:eastAsia="仿宋_GB2312" w:cs="Arial"/>
          <w:sz w:val="28"/>
        </w:rPr>
        <w:t>提供参考</w:t>
      </w:r>
      <w:r>
        <w:rPr>
          <w:rFonts w:hint="eastAsia" w:ascii="Arial" w:hAnsi="Arial" w:eastAsia="仿宋_GB2312" w:cs="Arial"/>
          <w:sz w:val="28"/>
        </w:rPr>
        <w:t>依据</w:t>
      </w:r>
      <w:r>
        <w:rPr>
          <w:rFonts w:ascii="Arial" w:hAnsi="Arial" w:eastAsia="仿宋_GB2312" w:cs="Arial"/>
          <w:sz w:val="28"/>
        </w:rPr>
        <w:t>。</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94" w:name="_Toc469066154"/>
      <w:bookmarkStart w:id="195" w:name="_Toc524335089"/>
      <w:bookmarkStart w:id="196" w:name="_Toc416783649"/>
      <w:bookmarkStart w:id="197" w:name="_Toc66929516"/>
      <w:bookmarkStart w:id="198" w:name="_Toc416783553"/>
      <w:bookmarkStart w:id="199" w:name="_Toc69393391"/>
      <w:bookmarkStart w:id="200" w:name="_Toc516488184"/>
      <w:bookmarkStart w:id="201" w:name="_Toc515457806"/>
      <w:r>
        <w:rPr>
          <w:rFonts w:ascii="Arial" w:hAnsi="Arial" w:eastAsia="仿宋_GB2312" w:cs="Arial"/>
          <w:b/>
          <w:sz w:val="28"/>
        </w:rPr>
        <w:t>五、估价依据</w:t>
      </w:r>
      <w:bookmarkEnd w:id="194"/>
      <w:bookmarkEnd w:id="195"/>
      <w:bookmarkEnd w:id="196"/>
      <w:bookmarkEnd w:id="197"/>
      <w:bookmarkEnd w:id="198"/>
      <w:bookmarkEnd w:id="199"/>
      <w:bookmarkEnd w:id="200"/>
      <w:bookmarkEnd w:id="201"/>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15.《土地登记办法》〔国土资源部令第40号，2007年12月30日发布〕；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国土资源部《关于进一步规范土地登记工作的通知》〔国土资发〔2003〕383号，2003年11月14日发布〕；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17.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18.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7</w:t>
      </w:r>
      <w:r>
        <w:rPr>
          <w:rFonts w:ascii="Arial" w:hAnsi="Arial" w:eastAsia="仿宋_GB2312" w:cs="Arial"/>
          <w:sz w:val="28"/>
          <w:szCs w:val="28"/>
        </w:rPr>
        <w:t>.《北京市关于更新出让国有建设用地使用权基准地价的通知》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8</w:t>
      </w:r>
      <w:r>
        <w:rPr>
          <w:rFonts w:ascii="Arial" w:hAnsi="Arial" w:eastAsia="仿宋_GB2312" w:cs="Arial"/>
          <w:sz w:val="28"/>
          <w:szCs w:val="28"/>
        </w:rPr>
        <w:t>.《北京市基准地价更新成果（二Ｏ一四年）》</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9</w:t>
      </w:r>
      <w:r>
        <w:rPr>
          <w:rFonts w:ascii="Arial" w:hAnsi="Arial" w:eastAsia="仿宋_GB2312" w:cs="Arial"/>
          <w:sz w:val="28"/>
          <w:szCs w:val="28"/>
        </w:rPr>
        <w:t>.《关于印发北京市国有建设用地使用权出让地价评审暂行规定的通知》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0</w:t>
      </w:r>
      <w:r>
        <w:rPr>
          <w:rFonts w:ascii="Arial" w:hAnsi="Arial" w:eastAsia="仿宋_GB2312" w:cs="Arial"/>
          <w:sz w:val="28"/>
          <w:szCs w:val="28"/>
        </w:rPr>
        <w:t>.《北京市国土资源局关于出让国有建设用地使用权基准地价应用有关问题的公告》</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1</w:t>
      </w:r>
      <w:r>
        <w:rPr>
          <w:rFonts w:ascii="Arial" w:hAnsi="Arial" w:eastAsia="仿宋_GB2312" w:cs="Arial"/>
          <w:sz w:val="28"/>
          <w:szCs w:val="28"/>
        </w:rPr>
        <w:t>.《北京市地下空间协议出让地价评估技术有关问题的说明》</w:t>
      </w:r>
      <w:r>
        <w:rPr>
          <w:rFonts w:ascii="Arial" w:hAnsi="Arial" w:eastAsia="仿宋_GB2312" w:cs="Arial"/>
          <w:sz w:val="28"/>
        </w:rPr>
        <w:t>[</w:t>
      </w:r>
      <w:r>
        <w:rPr>
          <w:rFonts w:ascii="Arial" w:hAnsi="Arial" w:eastAsia="仿宋_GB2312" w:cs="Arial"/>
          <w:sz w:val="28"/>
          <w:szCs w:val="28"/>
        </w:rPr>
        <w:t>北估秘[2016]019号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w:t>
      </w:r>
      <w:r>
        <w:rPr>
          <w:rFonts w:hint="eastAsia" w:ascii="Arial" w:hAnsi="Arial" w:eastAsia="仿宋_GB2312" w:cs="Arial"/>
          <w:sz w:val="28"/>
          <w:szCs w:val="28"/>
        </w:rPr>
        <w:t>3</w:t>
      </w:r>
      <w:r>
        <w:rPr>
          <w:rFonts w:ascii="Arial" w:hAnsi="Arial" w:eastAsia="仿宋_GB2312" w:cs="Arial"/>
          <w:sz w:val="28"/>
          <w:szCs w:val="28"/>
        </w:rPr>
        <w:t>.《北京工程造价信息》〔北京市建设工程造价管理处定期发布〕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w:t>
      </w:r>
      <w:r>
        <w:rPr>
          <w:rFonts w:hint="eastAsia" w:ascii="Arial" w:hAnsi="Arial" w:eastAsia="仿宋_GB2312" w:cs="Arial"/>
          <w:sz w:val="28"/>
          <w:szCs w:val="28"/>
        </w:rPr>
        <w:t>4</w:t>
      </w:r>
      <w:r>
        <w:rPr>
          <w:rFonts w:ascii="Arial" w:hAnsi="Arial" w:eastAsia="仿宋_GB2312" w:cs="Arial"/>
          <w:sz w:val="28"/>
          <w:szCs w:val="28"/>
        </w:rPr>
        <w:t>.《北京市统计年鉴》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2.</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3.《地价款缴纳情况证明书》[编号：（2014）年0194号]复印件</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4.《不动产权证书》[京（2015）海淀区不动产权第0000005号]复印件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7.《建设工程规划许可证》[2010规（海）建字0040号]及附件复印件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8.《北京市规划委员会规划意见复函》[2012规（海）复函字0018号]复印件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9.《人防工程竣工验收备案通知单》[（2018）京防（海）竣备字0011号]复印件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11.《工程竣工验收备案表》[0599海竣2018（建）0075号]复印件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12.《房屋面积测算技术报告书（商品房类使用）》复印件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14.《北京市门牌、楼牌编号证明信》[（2019）海公牌证字0208号]复印件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16.《关于清河嘉园西区8#住宅楼、9#住宅楼及3#地下车库项目地下车库、仓储面积的说明》复印件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w:t>
      </w:r>
      <w:r>
        <w:rPr>
          <w:rFonts w:ascii="Arial" w:hAnsi="Arial" w:eastAsia="仿宋_GB2312" w:cs="Arial"/>
          <w:sz w:val="28"/>
        </w:rPr>
        <w:t>.</w:t>
      </w:r>
      <w:r>
        <w:rPr>
          <w:rFonts w:hint="eastAsia" w:ascii="Arial" w:hAnsi="Arial" w:eastAsia="仿宋_GB2312" w:cs="Arial"/>
          <w:sz w:val="28"/>
        </w:rPr>
        <w:t>不动产权利人</w:t>
      </w:r>
      <w:r>
        <w:rPr>
          <w:rFonts w:ascii="Arial" w:hAnsi="Arial" w:eastAsia="仿宋_GB2312" w:cs="Arial"/>
          <w:sz w:val="28"/>
        </w:rPr>
        <w:t>《营业执照》复印件</w:t>
      </w:r>
    </w:p>
    <w:p>
      <w:pPr>
        <w:spacing w:line="360" w:lineRule="auto"/>
        <w:jc w:val="both"/>
        <w:rPr>
          <w:rFonts w:ascii="Arial" w:hAnsi="Arial" w:eastAsia="仿宋_GB2312" w:cs="Arial"/>
          <w:sz w:val="28"/>
          <w:szCs w:val="1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202" w:name="_Toc524335090"/>
      <w:bookmarkStart w:id="203" w:name="_Toc69393392"/>
      <w:bookmarkStart w:id="204" w:name="_Toc66929517"/>
      <w:bookmarkStart w:id="205" w:name="_Toc516488185"/>
      <w:bookmarkStart w:id="206" w:name="_Toc469066155"/>
      <w:bookmarkStart w:id="207" w:name="_Toc515457807"/>
      <w:bookmarkStart w:id="208" w:name="_Toc416783670"/>
      <w:bookmarkStart w:id="209" w:name="_Toc416783574"/>
      <w:r>
        <w:rPr>
          <w:rFonts w:ascii="Arial" w:hAnsi="Arial" w:eastAsia="仿宋_GB2312" w:cs="Arial"/>
          <w:b/>
          <w:sz w:val="28"/>
        </w:rPr>
        <w:t>六、估价期日</w:t>
      </w:r>
      <w:bookmarkEnd w:id="202"/>
      <w:bookmarkEnd w:id="203"/>
      <w:bookmarkEnd w:id="204"/>
      <w:bookmarkEnd w:id="205"/>
      <w:bookmarkEnd w:id="206"/>
      <w:bookmarkEnd w:id="207"/>
    </w:p>
    <w:bookmarkEnd w:id="208"/>
    <w:bookmarkEnd w:id="209"/>
    <w:p>
      <w:pPr>
        <w:spacing w:line="360" w:lineRule="auto"/>
        <w:ind w:firstLine="560" w:firstLineChars="200"/>
        <w:jc w:val="both"/>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rPr>
          <w:rFonts w:ascii="Arial" w:hAnsi="Arial" w:eastAsia="仿宋_GB2312" w:cs="Arial"/>
          <w:b/>
          <w:bCs/>
          <w:sz w:val="28"/>
        </w:rPr>
      </w:pPr>
    </w:p>
    <w:p>
      <w:pPr>
        <w:spacing w:line="360" w:lineRule="auto"/>
        <w:outlineLvl w:val="1"/>
        <w:rPr>
          <w:rFonts w:ascii="Arial" w:hAnsi="Arial" w:eastAsia="仿宋_GB2312" w:cs="Arial"/>
          <w:b/>
          <w:bCs/>
          <w:sz w:val="28"/>
        </w:rPr>
      </w:pPr>
      <w:bookmarkStart w:id="210" w:name="_Toc516488186"/>
      <w:bookmarkStart w:id="211" w:name="_Toc469066156"/>
      <w:bookmarkStart w:id="212" w:name="_Toc66929518"/>
      <w:bookmarkStart w:id="213" w:name="_Toc524335091"/>
      <w:bookmarkStart w:id="214" w:name="_Toc69393393"/>
      <w:bookmarkStart w:id="215" w:name="_Toc515457808"/>
      <w:bookmarkStart w:id="216" w:name="_Toc416783575"/>
      <w:bookmarkStart w:id="217" w:name="_Toc416783671"/>
      <w:r>
        <w:rPr>
          <w:rFonts w:ascii="Arial" w:hAnsi="Arial" w:eastAsia="仿宋_GB2312" w:cs="Arial"/>
          <w:b/>
          <w:bCs/>
          <w:sz w:val="28"/>
        </w:rPr>
        <w:t>七、估价日期</w:t>
      </w:r>
      <w:bookmarkEnd w:id="210"/>
      <w:bookmarkEnd w:id="211"/>
      <w:bookmarkEnd w:id="212"/>
      <w:bookmarkEnd w:id="213"/>
      <w:bookmarkEnd w:id="214"/>
      <w:bookmarkEnd w:id="215"/>
    </w:p>
    <w:bookmarkEnd w:id="216"/>
    <w:bookmarkEnd w:id="217"/>
    <w:p>
      <w:pPr>
        <w:spacing w:line="360" w:lineRule="auto"/>
        <w:ind w:firstLine="560" w:firstLineChars="200"/>
        <w:rPr>
          <w:rFonts w:ascii="Arial" w:hAnsi="Arial" w:eastAsia="仿宋_GB2312" w:cs="Arial"/>
          <w:sz w:val="28"/>
        </w:rPr>
      </w:pPr>
      <w:r>
        <w:rPr>
          <w:rFonts w:ascii="Arial" w:hAnsi="Arial" w:eastAsia="仿宋_GB2312" w:cs="Arial"/>
          <w:sz w:val="28"/>
        </w:rPr>
        <w:t>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日至2021年</w:t>
      </w:r>
      <w:r>
        <w:rPr>
          <w:rFonts w:hint="eastAsia" w:ascii="Arial" w:hAnsi="Arial" w:eastAsia="仿宋_GB2312" w:cs="Arial"/>
          <w:sz w:val="28"/>
        </w:rPr>
        <w:t>12</w:t>
      </w:r>
      <w:r>
        <w:rPr>
          <w:rFonts w:ascii="Arial" w:hAnsi="Arial" w:eastAsia="仿宋_GB2312" w:cs="Arial"/>
          <w:sz w:val="28"/>
        </w:rPr>
        <w:t>月</w:t>
      </w:r>
      <w:r>
        <w:rPr>
          <w:rFonts w:hint="eastAsia" w:ascii="Arial" w:hAnsi="Arial" w:eastAsia="仿宋_GB2312" w:cs="Arial"/>
          <w:sz w:val="28"/>
        </w:rPr>
        <w:t>2</w:t>
      </w:r>
      <w:r>
        <w:rPr>
          <w:rFonts w:ascii="Arial" w:hAnsi="Arial" w:eastAsia="仿宋_GB2312" w:cs="Arial"/>
          <w:sz w:val="28"/>
        </w:rPr>
        <w:t>日</w:t>
      </w:r>
    </w:p>
    <w:p>
      <w:pPr>
        <w:pStyle w:val="10"/>
        <w:spacing w:line="360" w:lineRule="auto"/>
        <w:ind w:left="1405" w:hanging="1405" w:hangingChars="500"/>
        <w:jc w:val="left"/>
        <w:rPr>
          <w:rFonts w:ascii="Arial" w:eastAsia="仿宋_GB2312" w:cs="Arial"/>
          <w:b/>
          <w:bCs/>
          <w:sz w:val="28"/>
        </w:rPr>
      </w:pPr>
    </w:p>
    <w:p>
      <w:pPr>
        <w:pStyle w:val="10"/>
        <w:spacing w:line="360" w:lineRule="auto"/>
        <w:ind w:left="1405" w:hanging="1405" w:hangingChars="500"/>
        <w:jc w:val="left"/>
        <w:outlineLvl w:val="1"/>
        <w:rPr>
          <w:rFonts w:ascii="Arial" w:eastAsia="仿宋_GB2312" w:cs="Arial"/>
          <w:b/>
          <w:bCs/>
          <w:sz w:val="28"/>
        </w:rPr>
      </w:pPr>
      <w:bookmarkStart w:id="218" w:name="_Toc66929519"/>
      <w:bookmarkStart w:id="219" w:name="_Toc469066157"/>
      <w:bookmarkStart w:id="220" w:name="_Toc69393394"/>
      <w:bookmarkStart w:id="221" w:name="_Toc516488187"/>
      <w:bookmarkStart w:id="222" w:name="_Toc515457809"/>
      <w:bookmarkStart w:id="223" w:name="_Toc524335092"/>
      <w:r>
        <w:rPr>
          <w:rFonts w:ascii="Arial" w:eastAsia="仿宋_GB2312" w:cs="Arial"/>
          <w:b/>
          <w:bCs/>
          <w:sz w:val="28"/>
        </w:rPr>
        <w:t>八、地价定义</w:t>
      </w:r>
      <w:bookmarkEnd w:id="218"/>
      <w:bookmarkEnd w:id="219"/>
      <w:bookmarkEnd w:id="220"/>
      <w:bookmarkEnd w:id="221"/>
      <w:bookmarkEnd w:id="222"/>
      <w:bookmarkEnd w:id="223"/>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一）</w:t>
      </w:r>
      <w:r>
        <w:rPr>
          <w:rFonts w:ascii="Arial" w:hAnsi="Arial" w:eastAsia="仿宋_GB2312" w:cs="Arial"/>
          <w:sz w:val="28"/>
        </w:rPr>
        <w:t>补缴地价评估分析</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szCs w:val="28"/>
        </w:rPr>
        <w:t>1.</w:t>
      </w:r>
      <w:r>
        <w:rPr>
          <w:rFonts w:ascii="Arial" w:hAnsi="Arial" w:eastAsia="仿宋_GB2312" w:cs="Arial"/>
          <w:sz w:val="28"/>
        </w:rPr>
        <w:t>规划文件调整内容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，估价对象位于</w:t>
      </w:r>
      <w:r>
        <w:rPr>
          <w:rFonts w:hint="eastAsia" w:ascii="Arial" w:hAnsi="Arial" w:eastAsia="仿宋_GB2312" w:cs="Arial"/>
          <w:sz w:val="28"/>
          <w:szCs w:val="28"/>
        </w:rPr>
        <w:t>北京市海淀区清河镇强佑清河新城3#地</w:t>
      </w:r>
      <w:r>
        <w:rPr>
          <w:rFonts w:ascii="Arial" w:hAnsi="Arial" w:eastAsia="仿宋_GB2312" w:cs="Arial"/>
          <w:sz w:val="28"/>
          <w:szCs w:val="28"/>
        </w:rPr>
        <w:t>，为</w:t>
      </w:r>
      <w:r>
        <w:rPr>
          <w:rFonts w:ascii="Arial" w:hAnsi="Arial" w:eastAsia="仿宋_GB2312" w:cs="Arial"/>
          <w:sz w:val="28"/>
        </w:rPr>
        <w:t>北京强佑房地产开发有限公司</w:t>
      </w:r>
      <w:r>
        <w:rPr>
          <w:rFonts w:hint="eastAsia" w:ascii="Arial" w:hAnsi="Arial" w:eastAsia="仿宋_GB2312" w:cs="Arial"/>
          <w:sz w:val="28"/>
        </w:rPr>
        <w:t>开发建设的清河嘉园西区项目</w:t>
      </w:r>
      <w:r>
        <w:rPr>
          <w:rFonts w:ascii="Arial" w:hAnsi="Arial" w:eastAsia="仿宋_GB2312" w:cs="Arial"/>
          <w:sz w:val="28"/>
          <w:szCs w:val="28"/>
        </w:rPr>
        <w:t>，</w:t>
      </w:r>
      <w:r>
        <w:rPr>
          <w:rFonts w:hint="eastAsia" w:ascii="Arial" w:hAnsi="Arial" w:eastAsia="仿宋_GB2312" w:cs="Arial"/>
          <w:sz w:val="28"/>
          <w:szCs w:val="28"/>
        </w:rPr>
        <w:t>根据《房屋面积测算技术报告书（商品房类使用）》、</w:t>
      </w:r>
      <w:r>
        <w:rPr>
          <w:rFonts w:hint="eastAsia" w:ascii="Arial" w:hAnsi="Arial" w:eastAsia="仿宋_GB2312" w:cs="Arial"/>
          <w:sz w:val="28"/>
        </w:rPr>
        <w:t>《房屋登记表》、《竣工项目测绘成果说明》及</w:t>
      </w:r>
      <w:r>
        <w:rPr>
          <w:rFonts w:ascii="Arial" w:hAnsi="Arial" w:eastAsia="仿宋_GB2312" w:cs="Arial"/>
          <w:sz w:val="28"/>
        </w:rPr>
        <w:t>《国有建设用地使用权出让地价评估委托书》</w:t>
      </w:r>
      <w:r>
        <w:rPr>
          <w:rFonts w:hint="eastAsia" w:ascii="Arial" w:hAnsi="Arial" w:eastAsia="仿宋_GB2312" w:cs="Arial"/>
          <w:sz w:val="28"/>
        </w:rPr>
        <w:t>，估价对象为北京市海淀区清河嘉园西区1号楼、3号楼、100幢，</w:t>
      </w:r>
      <w:r>
        <w:rPr>
          <w:rFonts w:ascii="Arial" w:hAnsi="Arial" w:eastAsia="仿宋_GB2312" w:cs="Arial"/>
          <w:sz w:val="28"/>
          <w:szCs w:val="28"/>
        </w:rPr>
        <w:t>故本次评估估价对象按</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描述</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对比《北京市国有土地使用权出让合同》[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sz w:val="28"/>
        </w:rPr>
        <w:t>《竣工项目测绘成果说明》及</w:t>
      </w:r>
      <w:r>
        <w:rPr>
          <w:rFonts w:ascii="Arial" w:hAnsi="Arial" w:eastAsia="仿宋_GB2312" w:cs="Arial"/>
          <w:sz w:val="28"/>
        </w:rPr>
        <w:t>《国有建设用地使用权出让地价评估委托书》</w:t>
      </w:r>
      <w:r>
        <w:rPr>
          <w:rFonts w:ascii="Arial" w:hAnsi="Arial" w:eastAsia="仿宋_GB2312" w:cs="Arial"/>
          <w:sz w:val="28"/>
          <w:szCs w:val="28"/>
        </w:rPr>
        <w:t>等文件，估价对象</w:t>
      </w:r>
      <w:r>
        <w:rPr>
          <w:rFonts w:hint="eastAsia" w:ascii="Arial" w:hAnsi="Arial" w:eastAsia="仿宋_GB2312" w:cs="Arial"/>
          <w:sz w:val="28"/>
          <w:szCs w:val="28"/>
        </w:rPr>
        <w:t>所属</w:t>
      </w:r>
      <w:r>
        <w:rPr>
          <w:rFonts w:ascii="Arial" w:hAnsi="Arial" w:eastAsia="仿宋_GB2312" w:cs="Arial"/>
          <w:sz w:val="28"/>
          <w:szCs w:val="28"/>
        </w:rPr>
        <w:t>项目建设用地面积</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，按规划文件，估价对象</w:t>
      </w:r>
      <w:r>
        <w:rPr>
          <w:rFonts w:hint="eastAsia" w:ascii="Arial" w:hAnsi="Arial" w:eastAsia="仿宋_GB2312" w:cs="Arial"/>
          <w:sz w:val="28"/>
          <w:szCs w:val="28"/>
        </w:rPr>
        <w:t>所属</w:t>
      </w:r>
      <w:r>
        <w:rPr>
          <w:rFonts w:ascii="Arial" w:hAnsi="Arial" w:eastAsia="仿宋_GB2312" w:cs="Arial"/>
          <w:sz w:val="28"/>
          <w:szCs w:val="28"/>
        </w:rPr>
        <w:t>项目建筑面积出现调整，具体如下表：</w:t>
      </w:r>
    </w:p>
    <w:p>
      <w:pPr>
        <w:snapToGrid w:val="0"/>
        <w:spacing w:line="480" w:lineRule="auto"/>
        <w:ind w:firstLine="560" w:firstLineChars="200"/>
        <w:jc w:val="both"/>
        <w:rPr>
          <w:rFonts w:ascii="Arial" w:hAnsi="Arial" w:eastAsia="仿宋_GB2312" w:cs="Arial"/>
          <w:sz w:val="28"/>
          <w:szCs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tbl>
      <w:tblPr>
        <w:tblStyle w:val="35"/>
        <w:tblW w:w="9298" w:type="dxa"/>
        <w:jc w:val="center"/>
        <w:tblLayout w:type="autofit"/>
        <w:tblCellMar>
          <w:top w:w="57" w:type="dxa"/>
          <w:left w:w="57" w:type="dxa"/>
          <w:bottom w:w="57" w:type="dxa"/>
          <w:right w:w="57" w:type="dxa"/>
        </w:tblCellMar>
      </w:tblPr>
      <w:tblGrid>
        <w:gridCol w:w="983"/>
        <w:gridCol w:w="708"/>
        <w:gridCol w:w="851"/>
        <w:gridCol w:w="1276"/>
        <w:gridCol w:w="1275"/>
        <w:gridCol w:w="993"/>
        <w:gridCol w:w="992"/>
        <w:gridCol w:w="2220"/>
      </w:tblGrid>
      <w:tr>
        <w:tblPrEx>
          <w:tblCellMar>
            <w:top w:w="57" w:type="dxa"/>
            <w:left w:w="57" w:type="dxa"/>
            <w:bottom w:w="57" w:type="dxa"/>
            <w:right w:w="57" w:type="dxa"/>
          </w:tblCellMar>
        </w:tblPrEx>
        <w:trPr>
          <w:trHeight w:val="285" w:hRule="atLeast"/>
          <w:tblHeader/>
          <w:jc w:val="center"/>
        </w:trPr>
        <w:tc>
          <w:tcPr>
            <w:tcW w:w="98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70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2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2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993"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备注</w:t>
            </w:r>
          </w:p>
        </w:tc>
      </w:tr>
      <w:tr>
        <w:tblPrEx>
          <w:tblCellMar>
            <w:top w:w="57" w:type="dxa"/>
            <w:left w:w="57" w:type="dxa"/>
            <w:bottom w:w="57" w:type="dxa"/>
            <w:right w:w="57" w:type="dxa"/>
          </w:tblCellMar>
        </w:tblPrEx>
        <w:trPr>
          <w:trHeight w:val="270"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2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99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99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2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92"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983"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地上建筑面积增加，但面积调整幅度不超3%，不涉及评估</w:t>
            </w:r>
          </w:p>
        </w:tc>
      </w:tr>
      <w:tr>
        <w:tblPrEx>
          <w:tblCellMar>
            <w:top w:w="57" w:type="dxa"/>
            <w:left w:w="57" w:type="dxa"/>
            <w:bottom w:w="57" w:type="dxa"/>
            <w:right w:w="57" w:type="dxa"/>
          </w:tblCellMar>
        </w:tblPrEx>
        <w:trPr>
          <w:trHeight w:val="386"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8"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601"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c>
          <w:tcPr>
            <w:tcW w:w="2220" w:type="dxa"/>
            <w:vMerge w:val="restart"/>
            <w:tcBorders>
              <w:top w:val="nil"/>
              <w:left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地下商业建筑面积减少，地下综合建筑面积增加</w:t>
            </w:r>
            <w:r>
              <w:rPr>
                <w:rFonts w:hint="eastAsia" w:ascii="Arial" w:hAnsi="Arial" w:eastAsia="仿宋_GB2312" w:cs="Arial"/>
                <w:color w:val="000000"/>
                <w:sz w:val="18"/>
                <w:szCs w:val="18"/>
              </w:rPr>
              <w:t>，</w:t>
            </w:r>
            <w:r>
              <w:rPr>
                <w:rFonts w:ascii="Arial" w:hAnsi="Arial" w:eastAsia="仿宋_GB2312" w:cs="Arial"/>
                <w:color w:val="000000"/>
                <w:sz w:val="18"/>
                <w:szCs w:val="18"/>
              </w:rPr>
              <w:t>但面积调整幅度</w:t>
            </w:r>
            <w:r>
              <w:rPr>
                <w:rFonts w:hint="eastAsia" w:ascii="Arial" w:hAnsi="Arial" w:eastAsia="仿宋_GB2312" w:cs="Arial"/>
                <w:color w:val="000000"/>
                <w:sz w:val="18"/>
                <w:szCs w:val="18"/>
              </w:rPr>
              <w:t>均</w:t>
            </w:r>
            <w:r>
              <w:rPr>
                <w:rFonts w:ascii="Arial" w:hAnsi="Arial" w:eastAsia="仿宋_GB2312" w:cs="Arial"/>
                <w:color w:val="000000"/>
                <w:sz w:val="18"/>
                <w:szCs w:val="18"/>
              </w:rPr>
              <w:t>不超10%，不涉及评估</w:t>
            </w:r>
          </w:p>
        </w:tc>
      </w:tr>
      <w:tr>
        <w:tblPrEx>
          <w:tblCellMar>
            <w:top w:w="57" w:type="dxa"/>
            <w:left w:w="57" w:type="dxa"/>
            <w:bottom w:w="57" w:type="dxa"/>
            <w:right w:w="57" w:type="dxa"/>
          </w:tblCellMar>
        </w:tblPrEx>
        <w:trPr>
          <w:trHeight w:val="68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c>
          <w:tcPr>
            <w:tcW w:w="2220" w:type="dxa"/>
            <w:vMerge w:val="continue"/>
            <w:tcBorders>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1023"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c>
          <w:tcPr>
            <w:tcW w:w="222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地下用途面积调整，由地下车库用途调整为地下仓储用途建筑面积5250.25平方</w:t>
            </w:r>
            <w:r>
              <w:rPr>
                <w:rFonts w:ascii="Arial" w:hAnsi="Arial" w:eastAsia="仿宋_GB2312" w:cs="Arial"/>
                <w:color w:val="000000"/>
                <w:sz w:val="18"/>
                <w:szCs w:val="18"/>
                <w:highlight w:val="none"/>
              </w:rPr>
              <w:t>米，需评估于估价期日的楼面熟地价及政府土地出让收益。另减少地下车库用途建筑面积2994.76平方米</w:t>
            </w:r>
            <w:r>
              <w:rPr>
                <w:rFonts w:hint="eastAsia" w:ascii="Arial" w:hAnsi="Arial" w:eastAsia="仿宋_GB2312" w:cs="Arial"/>
                <w:color w:val="000000"/>
                <w:sz w:val="18"/>
                <w:szCs w:val="18"/>
                <w:highlight w:val="none"/>
              </w:rPr>
              <w:t>，</w:t>
            </w:r>
            <w:r>
              <w:rPr>
                <w:rFonts w:ascii="Arial" w:hAnsi="Arial" w:eastAsia="仿宋_GB2312" w:cs="Arial"/>
                <w:color w:val="000000"/>
                <w:sz w:val="18"/>
                <w:szCs w:val="18"/>
                <w:highlight w:val="none"/>
              </w:rPr>
              <w:t>虽面积</w:t>
            </w:r>
            <w:r>
              <w:rPr>
                <w:rFonts w:hint="eastAsia" w:ascii="Arial" w:hAnsi="Arial" w:eastAsia="仿宋_GB2312" w:cs="Arial"/>
                <w:color w:val="000000"/>
                <w:sz w:val="18"/>
                <w:szCs w:val="18"/>
                <w:highlight w:val="none"/>
              </w:rPr>
              <w:t>减少</w:t>
            </w:r>
            <w:r>
              <w:rPr>
                <w:rFonts w:ascii="Arial" w:hAnsi="Arial" w:eastAsia="仿宋_GB2312" w:cs="Arial"/>
                <w:color w:val="000000"/>
                <w:sz w:val="18"/>
                <w:szCs w:val="18"/>
                <w:highlight w:val="none"/>
              </w:rPr>
              <w:t>幅度超10%，</w:t>
            </w:r>
            <w:r>
              <w:rPr>
                <w:rFonts w:hint="eastAsia" w:ascii="Arial" w:hAnsi="Arial" w:eastAsia="仿宋_GB2312" w:cs="Arial"/>
                <w:color w:val="000000"/>
                <w:sz w:val="18"/>
                <w:szCs w:val="18"/>
                <w:highlight w:val="none"/>
              </w:rPr>
              <w:t>但</w:t>
            </w:r>
            <w:r>
              <w:rPr>
                <w:rFonts w:ascii="Arial" w:hAnsi="Arial" w:eastAsia="仿宋_GB2312" w:cs="Arial"/>
                <w:color w:val="000000"/>
                <w:sz w:val="18"/>
                <w:szCs w:val="18"/>
                <w:highlight w:val="none"/>
              </w:rPr>
              <w:t>用途未变，故不涉及评估</w:t>
            </w:r>
          </w:p>
        </w:tc>
      </w:tr>
      <w:tr>
        <w:tblPrEx>
          <w:tblCellMar>
            <w:top w:w="57" w:type="dxa"/>
            <w:left w:w="57" w:type="dxa"/>
            <w:bottom w:w="57" w:type="dxa"/>
            <w:right w:w="57" w:type="dxa"/>
          </w:tblCellMar>
        </w:tblPrEx>
        <w:trPr>
          <w:trHeight w:val="1024"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c>
          <w:tcPr>
            <w:tcW w:w="222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7"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根据北京市现行基准地价，暂不收取政府土地出让收益，故无需评估此部分。</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70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地下建筑面积减少</w:t>
            </w:r>
          </w:p>
        </w:tc>
      </w:tr>
      <w:tr>
        <w:tblPrEx>
          <w:tblCellMar>
            <w:top w:w="57" w:type="dxa"/>
            <w:left w:w="57" w:type="dxa"/>
            <w:bottom w:w="57" w:type="dxa"/>
            <w:right w:w="57" w:type="dxa"/>
          </w:tblCellMar>
        </w:tblPrEx>
        <w:trPr>
          <w:trHeight w:val="465" w:hRule="atLeast"/>
          <w:jc w:val="center"/>
        </w:trPr>
        <w:tc>
          <w:tcPr>
            <w:tcW w:w="983"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559"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项目整体建筑面积减少</w:t>
            </w:r>
          </w:p>
        </w:tc>
      </w:tr>
      <w:tr>
        <w:tblPrEx>
          <w:tblCellMar>
            <w:top w:w="57" w:type="dxa"/>
            <w:left w:w="57" w:type="dxa"/>
            <w:bottom w:w="57" w:type="dxa"/>
            <w:right w:w="57" w:type="dxa"/>
          </w:tblCellMar>
        </w:tblPrEx>
        <w:trPr>
          <w:trHeight w:val="270" w:hRule="atLeast"/>
          <w:jc w:val="center"/>
        </w:trPr>
        <w:tc>
          <w:tcPr>
            <w:tcW w:w="98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地上容积率</w:t>
            </w:r>
          </w:p>
        </w:tc>
        <w:tc>
          <w:tcPr>
            <w:tcW w:w="70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851"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2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4.3</w:t>
            </w:r>
            <w:r>
              <w:rPr>
                <w:rFonts w:hint="eastAsia" w:ascii="Arial" w:hAnsi="Arial" w:eastAsia="仿宋_GB2312" w:cs="Arial"/>
                <w:color w:val="000000"/>
                <w:sz w:val="18"/>
                <w:szCs w:val="18"/>
              </w:rPr>
              <w:t>2</w:t>
            </w:r>
          </w:p>
        </w:tc>
        <w:tc>
          <w:tcPr>
            <w:tcW w:w="12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w:t>
            </w:r>
            <w:r>
              <w:rPr>
                <w:rFonts w:hint="eastAsia" w:ascii="Arial" w:hAnsi="Arial" w:eastAsia="仿宋_GB2312" w:cs="Arial"/>
                <w:color w:val="000000"/>
                <w:sz w:val="18"/>
                <w:szCs w:val="18"/>
              </w:rPr>
              <w:t>32</w:t>
            </w:r>
          </w:p>
        </w:tc>
        <w:tc>
          <w:tcPr>
            <w:tcW w:w="993"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992"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222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容积率未调整</w:t>
            </w:r>
          </w:p>
        </w:tc>
      </w:tr>
    </w:tbl>
    <w:p>
      <w:pPr>
        <w:snapToGrid w:val="0"/>
        <w:spacing w:line="240" w:lineRule="auto"/>
        <w:ind w:firstLine="556"/>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2.相关规定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根据估价目的，此次评估在符合《城镇土地估价规程》</w:t>
      </w:r>
      <w:r>
        <w:rPr>
          <w:rFonts w:ascii="Arial" w:hAnsi="Arial" w:eastAsia="仿宋_GB2312" w:cs="Arial"/>
          <w:sz w:val="28"/>
        </w:rPr>
        <w:t>[GB/T 18508-2014]</w:t>
      </w:r>
      <w:r>
        <w:rPr>
          <w:rFonts w:ascii="Arial" w:hAnsi="Arial" w:eastAsia="仿宋_GB2312" w:cs="Arial"/>
          <w:sz w:val="28"/>
          <w:szCs w:val="28"/>
        </w:rPr>
        <w:t>和《国土资源部办公厅关于印发〈国有建设用地使用权出让地价评估技术规范〉的通知》</w:t>
      </w:r>
      <w:r>
        <w:rPr>
          <w:rFonts w:ascii="Arial" w:hAnsi="Arial" w:eastAsia="仿宋_GB2312" w:cs="Arial"/>
          <w:sz w:val="28"/>
        </w:rPr>
        <w:t>[国土资厅发【2018】4号]（以下简称‘4号文’）</w:t>
      </w:r>
      <w:r>
        <w:rPr>
          <w:rFonts w:ascii="Arial" w:hAnsi="Arial" w:eastAsia="仿宋_GB2312" w:cs="Arial"/>
          <w:sz w:val="28"/>
          <w:szCs w:val="28"/>
        </w:rPr>
        <w:t>要求的基础上，还需满足《北京市关于更新出让国有建设用地使用权基准地价的通知》</w:t>
      </w:r>
      <w:r>
        <w:rPr>
          <w:rFonts w:ascii="Arial" w:hAnsi="Arial" w:eastAsia="仿宋_GB2312" w:cs="Arial"/>
          <w:sz w:val="28"/>
        </w:rPr>
        <w:t>[京政发[2014]26号]</w:t>
      </w:r>
      <w:r>
        <w:rPr>
          <w:rFonts w:ascii="Arial" w:hAnsi="Arial" w:eastAsia="仿宋_GB2312" w:cs="Arial"/>
          <w:sz w:val="28"/>
          <w:szCs w:val="28"/>
        </w:rPr>
        <w:t>等地方规定。</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估价对象地上调整涉及的政策规定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颁布）第八条：“对于已协议出让的项目用地，地上建筑规模增加不超过</w:t>
      </w:r>
      <w:r>
        <w:rPr>
          <w:rFonts w:ascii="Arial" w:hAnsi="Arial" w:cs="Arial"/>
          <w:kern w:val="0"/>
          <w:szCs w:val="20"/>
        </w:rPr>
        <w:t>3%</w:t>
      </w:r>
      <w:r>
        <w:rPr>
          <w:rFonts w:ascii="Arial" w:hAnsi="Arial" w:cs="Arial"/>
        </w:rPr>
        <w:t>，其新增建筑规模部分，按原土地出让合同地价水平计收土地出让价款。地上建设规模增加超过</w:t>
      </w:r>
      <w:r>
        <w:rPr>
          <w:rFonts w:ascii="Arial" w:hAnsi="Arial" w:cs="Arial"/>
          <w:kern w:val="0"/>
          <w:szCs w:val="20"/>
        </w:rPr>
        <w:t>3%</w:t>
      </w:r>
      <w:r>
        <w:rPr>
          <w:rFonts w:ascii="Arial" w:hAnsi="Arial" w:cs="Arial"/>
        </w:rPr>
        <w:t>或者调整用途的，均须按评估技术规范有关规定评审出让地价水平，全额计入政府土地出让收益。”估价对象地上建筑面积变更未超过</w:t>
      </w:r>
      <w:r>
        <w:rPr>
          <w:rFonts w:ascii="Arial" w:hAnsi="Arial" w:cs="Arial"/>
          <w:kern w:val="0"/>
          <w:szCs w:val="20"/>
        </w:rPr>
        <w:t>3%</w:t>
      </w:r>
      <w:r>
        <w:rPr>
          <w:rFonts w:ascii="Arial" w:hAnsi="Arial" w:cs="Arial"/>
        </w:rPr>
        <w:t>，不涉及评估。</w:t>
      </w:r>
    </w:p>
    <w:p>
      <w:pPr>
        <w:snapToGrid w:val="0"/>
        <w:spacing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估价对象地下调整涉及的政策规定</w:t>
      </w:r>
      <w:r>
        <w:rPr>
          <w:rFonts w:ascii="Arial" w:hAnsi="Arial" w:eastAsia="仿宋_GB2312" w:cs="Arial"/>
          <w:sz w:val="28"/>
          <w:szCs w:val="28"/>
        </w:rPr>
        <w:t>：</w:t>
      </w:r>
    </w:p>
    <w:p>
      <w:pPr>
        <w:pStyle w:val="52"/>
        <w:rPr>
          <w:rFonts w:ascii="Arial" w:hAnsi="Arial" w:cs="Arial"/>
        </w:rPr>
      </w:pPr>
      <w:r>
        <w:rPr>
          <w:rFonts w:ascii="Arial" w:hAnsi="Arial" w:cs="Arial"/>
        </w:rPr>
        <w:t>根据《关于出让国有建设用地使用权基准地价应用有关问题的公告》（</w:t>
      </w:r>
      <w:r>
        <w:rPr>
          <w:rFonts w:ascii="Arial" w:hAnsi="Arial" w:cs="Arial"/>
          <w:kern w:val="0"/>
          <w:szCs w:val="20"/>
        </w:rPr>
        <w:t>2016年4月20日</w:t>
      </w:r>
      <w:r>
        <w:rPr>
          <w:rFonts w:ascii="Arial" w:hAnsi="Arial" w:cs="Arial"/>
        </w:rPr>
        <w:t>颁布）第九条：“对于已出让用地，土地一级开发费用（或自行开发的征地、拆迁等费用），已在出让时全部分摊、收回，且增加出让地下规模不涉及调整容积率,为促进节约集约用地，鼓励地下空间利用，地下出让建筑规模按政府土地出让收益（不含土地开发取得成本）评审出让地价标准</w:t>
      </w:r>
      <w:r>
        <w:rPr>
          <w:rFonts w:hint="eastAsia" w:ascii="Arial" w:hAnsi="Arial" w:cs="Arial"/>
        </w:rPr>
        <w:t>。</w:t>
      </w:r>
    </w:p>
    <w:p>
      <w:pPr>
        <w:snapToGrid w:val="0"/>
        <w:spacing w:line="360" w:lineRule="auto"/>
        <w:ind w:firstLine="556"/>
        <w:jc w:val="both"/>
        <w:rPr>
          <w:rFonts w:ascii="Arial" w:hAnsi="Arial" w:eastAsia="仿宋_GB2312" w:cs="Arial"/>
          <w:sz w:val="28"/>
        </w:rPr>
      </w:pPr>
      <w:r>
        <w:rPr>
          <w:rFonts w:ascii="Arial" w:hAnsi="Arial" w:eastAsia="仿宋_GB2312" w:cs="Arial"/>
          <w:sz w:val="28"/>
        </w:rPr>
        <w:t>综上，根据估价目的，本次仅需评估估价对象地下</w:t>
      </w:r>
      <w:r>
        <w:rPr>
          <w:rFonts w:hint="eastAsia" w:ascii="Arial" w:hAnsi="Arial" w:eastAsia="仿宋_GB2312" w:cs="Arial"/>
          <w:sz w:val="28"/>
        </w:rPr>
        <w:t>用途面积调整及减少</w:t>
      </w:r>
      <w:r>
        <w:rPr>
          <w:rFonts w:ascii="Arial" w:hAnsi="Arial" w:eastAsia="仿宋_GB2312" w:cs="Arial"/>
          <w:sz w:val="28"/>
        </w:rPr>
        <w:t>用途在新规划条件下的熟地价（</w:t>
      </w:r>
      <w:r>
        <w:rPr>
          <w:rFonts w:ascii="Arial" w:hAnsi="Arial" w:eastAsia="仿宋_GB2312" w:cs="Arial"/>
          <w:sz w:val="28"/>
          <w:szCs w:val="28"/>
        </w:rPr>
        <w:t>正常市场价格</w:t>
      </w:r>
      <w:r>
        <w:rPr>
          <w:rFonts w:ascii="Arial" w:hAnsi="Arial" w:eastAsia="仿宋_GB2312" w:cs="Arial"/>
          <w:sz w:val="28"/>
        </w:rPr>
        <w:t>）及</w:t>
      </w:r>
      <w:r>
        <w:rPr>
          <w:rFonts w:ascii="Arial" w:hAnsi="Arial" w:eastAsia="仿宋_GB2312" w:cs="Arial"/>
          <w:sz w:val="28"/>
          <w:szCs w:val="28"/>
        </w:rPr>
        <w:t>政府土地出让收益，并按照规定核算应补缴地价款。</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二</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1.</w:t>
      </w: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ascii="Arial" w:hAnsi="Arial" w:eastAsia="仿宋_GB2312" w:cs="Arial"/>
          <w:sz w:val="28"/>
        </w:rPr>
        <w:t>北京市海淀区</w:t>
      </w:r>
      <w:r>
        <w:rPr>
          <w:rFonts w:hint="eastAsia" w:ascii="Arial" w:hAnsi="Arial" w:eastAsia="仿宋_GB2312" w:cs="Arial"/>
          <w:sz w:val="28"/>
        </w:rPr>
        <w:t>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地下车库、地下仓储</w:t>
      </w:r>
      <w:r>
        <w:rPr>
          <w:rFonts w:ascii="Arial" w:hAnsi="Arial" w:eastAsia="仿宋_GB2312" w:cs="Arial"/>
          <w:sz w:val="28"/>
          <w:szCs w:val="28"/>
        </w:rPr>
        <w:t>。</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2.</w:t>
      </w: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为出让用地，此次拟</w:t>
      </w:r>
      <w:r>
        <w:rPr>
          <w:rFonts w:hint="eastAsia" w:ascii="Arial" w:hAnsi="Arial" w:eastAsia="仿宋_GB2312" w:cs="Arial"/>
          <w:sz w:val="28"/>
          <w:szCs w:val="28"/>
        </w:rPr>
        <w:t>按实测数据签订补充协议</w:t>
      </w:r>
      <w:r>
        <w:rPr>
          <w:rFonts w:ascii="Arial" w:hAnsi="Arial" w:eastAsia="仿宋_GB2312" w:cs="Arial"/>
          <w:sz w:val="28"/>
          <w:szCs w:val="28"/>
        </w:rPr>
        <w:t xml:space="preserve">，根据估价目的，设定估价对象土地使用权类型为出让。    </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3.</w:t>
      </w: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4.</w:t>
      </w: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rPr>
        <w:t>，</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住宅</w:t>
      </w:r>
      <w:r>
        <w:rPr>
          <w:rFonts w:ascii="Arial" w:hAnsi="Arial" w:eastAsia="仿宋_GB2312" w:cs="Arial"/>
          <w:sz w:val="28"/>
          <w:szCs w:val="28"/>
        </w:rPr>
        <w:t>用途土地</w:t>
      </w:r>
      <w:r>
        <w:rPr>
          <w:rFonts w:ascii="Arial" w:hAnsi="Arial" w:eastAsia="仿宋_GB2312" w:cs="Arial"/>
          <w:sz w:val="28"/>
        </w:rPr>
        <w:t>使用期限至</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商业、地下商业</w:t>
      </w:r>
      <w:r>
        <w:rPr>
          <w:rFonts w:ascii="Arial" w:hAnsi="Arial" w:eastAsia="仿宋_GB2312" w:cs="Arial"/>
          <w:sz w:val="28"/>
        </w:rPr>
        <w:t>用途土地使用期限至</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于估价期日2021年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w:t>
      </w:r>
      <w:r>
        <w:rPr>
          <w:rFonts w:hint="eastAsia" w:ascii="Arial" w:hAnsi="Arial" w:eastAsia="仿宋_GB2312" w:cs="Arial"/>
          <w:sz w:val="28"/>
        </w:rPr>
        <w:t>住宅</w:t>
      </w:r>
      <w:r>
        <w:rPr>
          <w:rFonts w:ascii="Arial" w:hAnsi="Arial" w:eastAsia="仿宋_GB2312" w:cs="Arial"/>
          <w:sz w:val="28"/>
        </w:rPr>
        <w:t>用途土地剩余使用年限为</w:t>
      </w:r>
      <w:r>
        <w:rPr>
          <w:rFonts w:hint="eastAsia" w:ascii="Arial" w:hAnsi="Arial" w:eastAsia="仿宋_GB2312" w:cs="Arial"/>
          <w:sz w:val="28"/>
        </w:rPr>
        <w:t>52.7</w:t>
      </w:r>
      <w:r>
        <w:rPr>
          <w:rFonts w:ascii="Arial" w:hAnsi="Arial" w:eastAsia="仿宋_GB2312" w:cs="Arial"/>
          <w:sz w:val="28"/>
        </w:rPr>
        <w:t>年</w:t>
      </w:r>
      <w:r>
        <w:rPr>
          <w:rFonts w:hint="eastAsia" w:ascii="Arial" w:hAnsi="Arial" w:eastAsia="仿宋_GB2312" w:cs="Arial"/>
          <w:sz w:val="28"/>
        </w:rPr>
        <w:t>，</w:t>
      </w:r>
      <w:r>
        <w:rPr>
          <w:rFonts w:ascii="Arial" w:hAnsi="Arial" w:eastAsia="仿宋_GB2312" w:cs="Arial"/>
          <w:sz w:val="28"/>
        </w:rPr>
        <w:t>商业</w:t>
      </w:r>
      <w:r>
        <w:rPr>
          <w:rFonts w:hint="eastAsia" w:ascii="Arial" w:hAnsi="Arial" w:eastAsia="仿宋_GB2312" w:cs="Arial"/>
          <w:sz w:val="28"/>
        </w:rPr>
        <w:t>、地下商业</w:t>
      </w:r>
      <w:r>
        <w:rPr>
          <w:rFonts w:ascii="Arial" w:hAnsi="Arial" w:eastAsia="仿宋_GB2312" w:cs="Arial"/>
          <w:sz w:val="28"/>
        </w:rPr>
        <w:t>用途土地剩余使用年限为</w:t>
      </w:r>
      <w:r>
        <w:rPr>
          <w:rFonts w:hint="eastAsia" w:ascii="Arial" w:hAnsi="Arial" w:eastAsia="仿宋_GB2312" w:cs="Arial"/>
          <w:sz w:val="28"/>
        </w:rPr>
        <w:t>22.7</w:t>
      </w:r>
      <w:r>
        <w:rPr>
          <w:rFonts w:ascii="Arial" w:hAnsi="Arial" w:eastAsia="仿宋_GB2312" w:cs="Arial"/>
          <w:sz w:val="28"/>
        </w:rPr>
        <w:t>年，</w:t>
      </w:r>
      <w:r>
        <w:rPr>
          <w:rFonts w:hint="eastAsia" w:ascii="Arial" w:hAnsi="Arial" w:eastAsia="仿宋_GB2312" w:cs="Arial"/>
          <w:sz w:val="28"/>
        </w:rPr>
        <w:t>地下车库、地下综合、地下仓储</w:t>
      </w:r>
      <w:r>
        <w:rPr>
          <w:rFonts w:ascii="Arial" w:hAnsi="Arial" w:eastAsia="仿宋_GB2312" w:cs="Arial"/>
          <w:sz w:val="28"/>
        </w:rPr>
        <w:t>用途土地剩余使用年限为</w:t>
      </w:r>
      <w:r>
        <w:rPr>
          <w:rFonts w:hint="eastAsia" w:ascii="Arial" w:hAnsi="Arial" w:eastAsia="仿宋_GB2312" w:cs="Arial"/>
          <w:sz w:val="28"/>
        </w:rPr>
        <w:t>50</w:t>
      </w:r>
      <w:r>
        <w:rPr>
          <w:rFonts w:ascii="Arial" w:hAnsi="Arial" w:eastAsia="仿宋_GB2312" w:cs="Arial"/>
          <w:sz w:val="28"/>
        </w:rPr>
        <w:t>年。按照</w:t>
      </w:r>
      <w:r>
        <w:rPr>
          <w:rFonts w:ascii="Arial" w:hAnsi="Arial" w:eastAsia="仿宋_GB2312" w:cs="Arial"/>
          <w:sz w:val="28"/>
          <w:szCs w:val="28"/>
        </w:rPr>
        <w:t>《中华人民共和国城镇国有土地使用权出让和转让暂行条例》（国务院令第55号）的有关规定，</w:t>
      </w:r>
      <w:r>
        <w:rPr>
          <w:rFonts w:ascii="Arial" w:hAnsi="Arial" w:eastAsia="仿宋_GB2312" w:cs="Arial"/>
          <w:sz w:val="28"/>
        </w:rPr>
        <w:t>根据估价目的</w:t>
      </w:r>
      <w:r>
        <w:rPr>
          <w:rFonts w:ascii="Arial" w:hAnsi="Arial" w:eastAsia="仿宋_GB2312" w:cs="Arial"/>
          <w:sz w:val="28"/>
          <w:szCs w:val="28"/>
        </w:rPr>
        <w:t>，</w:t>
      </w:r>
      <w:r>
        <w:rPr>
          <w:rFonts w:hint="eastAsia" w:ascii="Arial" w:hAnsi="Arial" w:eastAsia="仿宋_GB2312" w:cs="Arial"/>
          <w:sz w:val="28"/>
          <w:szCs w:val="28"/>
        </w:rPr>
        <w:t>结合</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szCs w:val="28"/>
        </w:rPr>
        <w:t>本次评估设定估价对象国有建设用地</w:t>
      </w:r>
      <w:r>
        <w:rPr>
          <w:rFonts w:hint="eastAsia" w:ascii="Arial" w:hAnsi="Arial" w:eastAsia="仿宋_GB2312" w:cs="Arial"/>
          <w:sz w:val="28"/>
          <w:szCs w:val="28"/>
        </w:rPr>
        <w:t>各用途剩余</w:t>
      </w:r>
      <w:r>
        <w:rPr>
          <w:rFonts w:ascii="Arial" w:hAnsi="Arial" w:eastAsia="仿宋_GB2312" w:cs="Arial"/>
          <w:sz w:val="28"/>
          <w:szCs w:val="28"/>
        </w:rPr>
        <w:t>使用年限</w:t>
      </w:r>
      <w:r>
        <w:rPr>
          <w:rFonts w:hint="eastAsia" w:ascii="Arial" w:hAnsi="Arial" w:eastAsia="仿宋_GB2312" w:cs="Arial"/>
          <w:sz w:val="28"/>
          <w:szCs w:val="28"/>
        </w:rPr>
        <w:t>分别为地下车库50年</w:t>
      </w:r>
      <w:r>
        <w:rPr>
          <w:rFonts w:ascii="Arial" w:hAnsi="Arial" w:eastAsia="仿宋_GB2312" w:cs="Arial"/>
          <w:sz w:val="28"/>
          <w:szCs w:val="28"/>
        </w:rPr>
        <w:t>、</w:t>
      </w:r>
      <w:r>
        <w:rPr>
          <w:rFonts w:hint="eastAsia" w:ascii="Arial" w:hAnsi="Arial" w:eastAsia="仿宋_GB2312" w:cs="Arial"/>
          <w:sz w:val="28"/>
          <w:szCs w:val="28"/>
        </w:rPr>
        <w:t>地下仓储50年。</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5.</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（其中估价对象分摊的出让土地面积为15996.99平方米）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pStyle w:val="51"/>
        <w:adjustRightInd/>
        <w:snapToGrid w:val="0"/>
        <w:spacing w:line="360" w:lineRule="auto"/>
        <w:ind w:left="560" w:firstLine="0" w:firstLineChars="0"/>
        <w:jc w:val="both"/>
        <w:textAlignment w:val="auto"/>
        <w:rPr>
          <w:rFonts w:ascii="Arial" w:hAnsi="Arial" w:eastAsia="仿宋_GB2312" w:cs="Arial"/>
          <w:sz w:val="28"/>
          <w:szCs w:val="28"/>
        </w:rPr>
      </w:pPr>
      <w:r>
        <w:rPr>
          <w:rFonts w:hint="eastAsia" w:ascii="Arial" w:hAnsi="Arial" w:eastAsia="仿宋_GB2312" w:cs="Arial"/>
          <w:sz w:val="28"/>
          <w:szCs w:val="28"/>
        </w:rPr>
        <w:t>6.</w:t>
      </w:r>
      <w:r>
        <w:rPr>
          <w:rFonts w:ascii="Arial" w:hAnsi="Arial" w:eastAsia="仿宋_GB2312" w:cs="Arial"/>
          <w:sz w:val="28"/>
          <w:szCs w:val="28"/>
        </w:rPr>
        <w:t>地价内涵：</w:t>
      </w:r>
    </w:p>
    <w:p>
      <w:pPr>
        <w:pStyle w:val="52"/>
        <w:rPr>
          <w:rFonts w:ascii="Arial" w:hAnsi="Arial" w:cs="Arial"/>
        </w:rPr>
      </w:pPr>
      <w:r>
        <w:rPr>
          <w:rFonts w:ascii="Arial" w:hAnsi="Arial" w:cs="Arial"/>
          <w:szCs w:val="28"/>
        </w:rPr>
        <w:t>本报告所评估的熟地价为：估价对象在估价期日2021年</w:t>
      </w:r>
      <w:r>
        <w:rPr>
          <w:rFonts w:hint="eastAsia" w:ascii="Arial" w:hAnsi="Arial" w:cs="Arial"/>
          <w:szCs w:val="28"/>
        </w:rPr>
        <w:t>11</w:t>
      </w:r>
      <w:r>
        <w:rPr>
          <w:rFonts w:ascii="Arial" w:hAnsi="Arial" w:cs="Arial"/>
          <w:szCs w:val="28"/>
        </w:rPr>
        <w:t>月</w:t>
      </w:r>
      <w:r>
        <w:rPr>
          <w:rFonts w:hint="eastAsia" w:ascii="Arial" w:hAnsi="Arial" w:cs="Arial"/>
          <w:szCs w:val="28"/>
        </w:rPr>
        <w:t>26</w:t>
      </w:r>
      <w:r>
        <w:rPr>
          <w:rFonts w:ascii="Arial" w:hAnsi="Arial" w:cs="Arial"/>
          <w:szCs w:val="28"/>
        </w:rPr>
        <w:t>日，在北京市基准地价居住类五级V-0</w:t>
      </w:r>
      <w:r>
        <w:rPr>
          <w:rFonts w:hint="eastAsia" w:ascii="Arial" w:hAnsi="Arial" w:cs="Arial"/>
          <w:szCs w:val="28"/>
        </w:rPr>
        <w:t>3</w:t>
      </w:r>
      <w:r>
        <w:rPr>
          <w:rFonts w:ascii="Arial" w:hAnsi="Arial" w:cs="Arial"/>
          <w:szCs w:val="28"/>
        </w:rPr>
        <w:t>区片地价区内，评估设定土地使用权类型为出让；设定开发程度为宗地外</w:t>
      </w:r>
      <w:r>
        <w:rPr>
          <w:rFonts w:hint="eastAsia" w:ascii="Arial" w:hAnsi="Arial" w:cs="Arial"/>
          <w:szCs w:val="28"/>
        </w:rPr>
        <w:t>“七通”（即通路、通上水、通下水、通电、通讯、通热、通燃气）</w:t>
      </w:r>
      <w:r>
        <w:rPr>
          <w:rFonts w:ascii="Arial" w:hAnsi="Arial" w:cs="Arial"/>
          <w:szCs w:val="28"/>
        </w:rPr>
        <w:t>，宗地内“场地平整”；设定土地用途为</w:t>
      </w:r>
      <w:r>
        <w:rPr>
          <w:rFonts w:hint="eastAsia" w:ascii="Arial" w:hAnsi="Arial" w:cs="Arial"/>
          <w:szCs w:val="28"/>
        </w:rPr>
        <w:t>地下车库、地下仓储</w:t>
      </w:r>
      <w:r>
        <w:rPr>
          <w:rFonts w:ascii="Arial" w:hAnsi="Arial" w:cs="Arial"/>
          <w:szCs w:val="28"/>
        </w:rPr>
        <w:t>；地上容积率为</w:t>
      </w:r>
      <w:r>
        <w:rPr>
          <w:rFonts w:hint="eastAsia" w:ascii="Arial" w:hAnsi="Arial" w:cs="Arial"/>
          <w:szCs w:val="28"/>
        </w:rPr>
        <w:t>4.32</w:t>
      </w:r>
      <w:r>
        <w:rPr>
          <w:rFonts w:ascii="Arial" w:hAnsi="Arial" w:cs="Arial"/>
        </w:rPr>
        <w:t>，地下</w:t>
      </w:r>
      <w:r>
        <w:rPr>
          <w:rFonts w:hint="eastAsia" w:ascii="Arial" w:hAnsi="Arial" w:cs="Arial"/>
        </w:rPr>
        <w:t>车库</w:t>
      </w:r>
      <w:r>
        <w:rPr>
          <w:rFonts w:ascii="Arial" w:hAnsi="Arial" w:cs="Arial"/>
        </w:rPr>
        <w:t>用途土地剩余使用年限为</w:t>
      </w:r>
      <w:r>
        <w:rPr>
          <w:rFonts w:hint="eastAsia" w:ascii="Arial" w:hAnsi="Arial" w:cs="Arial"/>
          <w:szCs w:val="28"/>
        </w:rPr>
        <w:t>50</w:t>
      </w:r>
      <w:r>
        <w:rPr>
          <w:rFonts w:hint="eastAsia" w:ascii="Arial" w:hAnsi="Arial" w:cs="Arial"/>
        </w:rPr>
        <w:t>年，</w:t>
      </w:r>
      <w:r>
        <w:rPr>
          <w:rFonts w:hint="eastAsia" w:ascii="Arial" w:hAnsi="Arial" w:cs="Arial"/>
          <w:szCs w:val="28"/>
        </w:rPr>
        <w:t>地下仓储</w:t>
      </w:r>
      <w:r>
        <w:rPr>
          <w:rFonts w:ascii="Arial" w:hAnsi="Arial" w:cs="Arial"/>
        </w:rPr>
        <w:t>用途土地剩余使用年限为</w:t>
      </w:r>
      <w:r>
        <w:rPr>
          <w:rFonts w:hint="eastAsia" w:ascii="Arial" w:hAnsi="Arial" w:cs="Arial"/>
          <w:szCs w:val="28"/>
        </w:rPr>
        <w:t>50年。</w:t>
      </w:r>
      <w:r>
        <w:rPr>
          <w:rFonts w:ascii="Arial" w:hAnsi="Arial" w:cs="Arial"/>
          <w:szCs w:val="28"/>
        </w:rPr>
        <w:t>于设定条件下完整的国有建设用地使用权价格，即出让土地使用权的正常市场价格。</w:t>
      </w:r>
    </w:p>
    <w:p>
      <w:pPr>
        <w:pStyle w:val="52"/>
        <w:rPr>
          <w:rFonts w:ascii="Arial" w:hAnsi="Arial" w:cs="Arial"/>
        </w:rPr>
      </w:pPr>
    </w:p>
    <w:p>
      <w:pPr>
        <w:spacing w:line="360" w:lineRule="auto"/>
        <w:jc w:val="both"/>
        <w:outlineLvl w:val="1"/>
        <w:rPr>
          <w:rFonts w:ascii="Arial" w:hAnsi="Arial" w:eastAsia="仿宋_GB2312" w:cs="Arial"/>
          <w:sz w:val="28"/>
        </w:rPr>
      </w:pPr>
      <w:bookmarkStart w:id="224" w:name="_Toc516488188"/>
      <w:bookmarkStart w:id="225" w:name="_Toc416783672"/>
      <w:bookmarkStart w:id="226" w:name="_Toc69393395"/>
      <w:bookmarkStart w:id="227" w:name="_Toc469066158"/>
      <w:bookmarkStart w:id="228" w:name="_Toc416783576"/>
      <w:bookmarkStart w:id="229" w:name="_Toc66929520"/>
      <w:bookmarkStart w:id="230" w:name="_Toc515457810"/>
      <w:bookmarkStart w:id="231" w:name="_Toc524335093"/>
      <w:r>
        <w:rPr>
          <w:rFonts w:ascii="Arial" w:hAnsi="Arial" w:eastAsia="仿宋_GB2312" w:cs="Arial"/>
          <w:b/>
          <w:sz w:val="28"/>
        </w:rPr>
        <w:t>九、估价结果</w:t>
      </w:r>
      <w:bookmarkEnd w:id="224"/>
      <w:bookmarkEnd w:id="225"/>
      <w:bookmarkEnd w:id="226"/>
      <w:bookmarkEnd w:id="227"/>
      <w:bookmarkEnd w:id="228"/>
      <w:bookmarkEnd w:id="229"/>
      <w:bookmarkEnd w:id="230"/>
      <w:bookmarkEnd w:id="231"/>
    </w:p>
    <w:p>
      <w:pPr>
        <w:spacing w:line="360" w:lineRule="auto"/>
        <w:ind w:firstLine="560" w:firstLineChars="200"/>
        <w:jc w:val="both"/>
        <w:rPr>
          <w:rFonts w:ascii="Arial" w:hAnsi="Arial" w:eastAsia="仿宋_GB2312" w:cs="Arial"/>
          <w:sz w:val="28"/>
        </w:rPr>
      </w:pPr>
      <w:bookmarkStart w:id="232" w:name="_Toc416783580"/>
      <w:bookmarkStart w:id="233" w:name="_Toc416783676"/>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77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6"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8309</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872.5916</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6647</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941"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3"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872.5916</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104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2077</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415</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217.8854</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b/>
                <w:bCs/>
                <w:color w:val="000000"/>
                <w:sz w:val="22"/>
                <w:szCs w:val="22"/>
              </w:rPr>
            </w:pPr>
            <w:r>
              <w:rPr>
                <w:rFonts w:ascii="Arial" w:hAnsi="Arial" w:cs="Arial"/>
                <w:b/>
                <w:bCs/>
                <w:color w:val="000000"/>
                <w:sz w:val="22"/>
                <w:szCs w:val="22"/>
                <w:lang w:bidi="ar"/>
              </w:rPr>
              <w:t>217.8854</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pStyle w:val="52"/>
        <w:ind w:firstLine="562"/>
        <w:jc w:val="both"/>
        <w:rPr>
          <w:rFonts w:ascii="Arial" w:hAnsi="Arial" w:cs="Arial"/>
          <w:b/>
          <w:szCs w:val="28"/>
        </w:rPr>
      </w:pP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3756</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地下仓储、地下车库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近三年同区域内（海淀区）无地下仓储、地下车库招拍挂成交地块。</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地下仓储</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00420" cy="3855085"/>
            <wp:effectExtent l="5080" t="4445" r="19050" b="762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地下车库</w:t>
      </w:r>
      <w:r>
        <w:rPr>
          <w:rFonts w:ascii="Arial" w:hAnsi="Arial" w:eastAsia="仿宋_GB2312" w:cs="Arial"/>
          <w:sz w:val="28"/>
          <w:szCs w:val="28"/>
        </w:rPr>
        <w:t>用途案例分析</w:t>
      </w:r>
    </w:p>
    <w:p>
      <w:pPr>
        <w:spacing w:line="360" w:lineRule="auto"/>
        <w:rPr>
          <w:rFonts w:ascii="Arial" w:hAnsi="Arial" w:eastAsia="仿宋_GB2312" w:cs="Arial"/>
          <w:sz w:val="28"/>
          <w:szCs w:val="28"/>
        </w:rPr>
      </w:pPr>
      <w:r>
        <w:drawing>
          <wp:inline distT="0" distB="0" distL="114300" distR="114300">
            <wp:extent cx="5900420" cy="3854450"/>
            <wp:effectExtent l="4445" t="4445" r="19685" b="8255"/>
            <wp:docPr id="3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adjustRightInd/>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综上，本次评估各用途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w:t>
      </w:r>
    </w:p>
    <w:p>
      <w:pPr>
        <w:adjustRightInd/>
        <w:spacing w:line="360" w:lineRule="auto"/>
        <w:ind w:firstLine="560" w:firstLineChars="200"/>
        <w:rPr>
          <w:rFonts w:ascii="Arial" w:hAnsi="Arial" w:eastAsia="仿宋_GB2312" w:cs="Arial"/>
          <w:sz w:val="28"/>
          <w:szCs w:val="28"/>
        </w:rPr>
      </w:pPr>
    </w:p>
    <w:p>
      <w:pPr>
        <w:adjustRightInd/>
        <w:spacing w:line="360" w:lineRule="auto"/>
        <w:ind w:firstLine="560" w:firstLineChars="200"/>
        <w:rPr>
          <w:rFonts w:ascii="Arial" w:hAnsi="Arial" w:eastAsia="仿宋_GB2312" w:cs="Arial"/>
          <w:sz w:val="28"/>
          <w:szCs w:val="28"/>
        </w:rPr>
      </w:pPr>
    </w:p>
    <w:p>
      <w:pPr>
        <w:adjustRightInd/>
        <w:spacing w:line="360" w:lineRule="auto"/>
        <w:ind w:firstLine="560" w:firstLineChars="200"/>
        <w:rPr>
          <w:rFonts w:ascii="Arial" w:hAnsi="Arial" w:eastAsia="仿宋_GB2312" w:cs="Arial"/>
          <w:sz w:val="28"/>
          <w:szCs w:val="28"/>
        </w:rPr>
      </w:pPr>
    </w:p>
    <w:p>
      <w:pPr>
        <w:adjustRightInd/>
        <w:spacing w:line="360" w:lineRule="auto"/>
        <w:ind w:firstLine="560" w:firstLineChars="200"/>
        <w:rPr>
          <w:rFonts w:ascii="Arial" w:hAnsi="Arial" w:eastAsia="仿宋_GB2312" w:cs="Arial"/>
          <w:sz w:val="28"/>
          <w:szCs w:val="28"/>
        </w:rPr>
      </w:pPr>
    </w:p>
    <w:p>
      <w:pPr>
        <w:adjustRightInd/>
        <w:spacing w:line="360" w:lineRule="auto"/>
        <w:rPr>
          <w:rFonts w:ascii="Arial" w:hAnsi="Arial" w:eastAsia="仿宋_GB2312" w:cs="Arial"/>
          <w:sz w:val="28"/>
          <w:szCs w:val="28"/>
        </w:rPr>
        <w:sectPr>
          <w:footerReference r:id="rId26" w:type="first"/>
          <w:pgSz w:w="11907" w:h="16840"/>
          <w:pgMar w:top="1843" w:right="1134" w:bottom="1134" w:left="1134" w:header="1134" w:footer="907" w:gutter="340"/>
          <w:pgNumType w:start="1"/>
          <w:cols w:space="720" w:num="1"/>
          <w:titlePg/>
          <w:docGrid w:linePitch="326" w:charSpace="0"/>
        </w:sectPr>
      </w:pPr>
      <w:r>
        <w:rPr>
          <w:rFonts w:hint="eastAsia" w:ascii="Arial" w:hAnsi="Arial" w:eastAsia="仿宋_GB2312" w:cs="Arial"/>
          <w:sz w:val="28"/>
          <w:szCs w:val="28"/>
        </w:rPr>
        <w:t>（转下页）</w:t>
      </w: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2021-1-0620-F02TDCR6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仓储50</w:t>
            </w:r>
            <w:r>
              <w:rPr>
                <w:rFonts w:ascii="Arial" w:hAnsi="Arial" w:eastAsia="仿宋_GB2312" w:cs="Arial"/>
                <w:bCs/>
                <w:sz w:val="18"/>
                <w:szCs w:val="18"/>
              </w:rPr>
              <w:t>年、地下车库</w:t>
            </w:r>
            <w:r>
              <w:rPr>
                <w:rFonts w:hint="eastAsia" w:ascii="Arial" w:hAnsi="Arial" w:eastAsia="仿宋_GB2312" w:cs="Arial"/>
                <w:bCs/>
                <w:sz w:val="18"/>
                <w:szCs w:val="18"/>
              </w:rPr>
              <w:t>50</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由地下车库转为地下仓储需补缴地价为872.5916万元。</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spacing w:line="360" w:lineRule="auto"/>
        <w:rPr>
          <w:rFonts w:ascii="Arial" w:hAnsi="Arial" w:eastAsia="仿宋_GB2312" w:cs="Arial"/>
          <w:sz w:val="28"/>
          <w:szCs w:val="28"/>
        </w:rPr>
        <w:sectPr>
          <w:headerReference r:id="rId27" w:type="first"/>
          <w:pgSz w:w="16840" w:h="11907" w:orient="landscape"/>
          <w:pgMar w:top="1508" w:right="1134" w:bottom="1134" w:left="1134" w:header="1134" w:footer="907"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snapToGrid w:val="0"/>
        <w:spacing w:line="360" w:lineRule="auto"/>
        <w:ind w:firstLine="556"/>
        <w:rPr>
          <w:rFonts w:ascii="Arial" w:hAnsi="Arial" w:eastAsia="仿宋_GB2312" w:cs="Arial"/>
          <w:sz w:val="28"/>
          <w:szCs w:val="28"/>
        </w:rPr>
      </w:pPr>
    </w:p>
    <w:p>
      <w:pPr>
        <w:pStyle w:val="52"/>
        <w:ind w:firstLine="562"/>
        <w:jc w:val="center"/>
        <w:rPr>
          <w:rFonts w:ascii="Arial" w:hAnsi="Arial" w:cs="Arial"/>
          <w:b/>
          <w:szCs w:val="28"/>
        </w:rPr>
      </w:pP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sectPr>
          <w:pgSz w:w="11907" w:h="16840"/>
          <w:pgMar w:top="1134" w:right="1134" w:bottom="1134" w:left="1134" w:header="1134" w:footer="907" w:gutter="340"/>
          <w:cols w:space="720" w:num="1"/>
          <w:titlePg/>
          <w:docGrid w:linePitch="326" w:charSpace="0"/>
        </w:sectPr>
      </w:pPr>
      <w:r>
        <w:rPr>
          <w:rFonts w:hint="eastAsia" w:ascii="Arial" w:hAnsi="Arial" w:eastAsia="仿宋_GB2312" w:cs="Arial"/>
          <w:sz w:val="28"/>
          <w:szCs w:val="28"/>
        </w:rPr>
        <w:t>（转下页）</w:t>
      </w:r>
    </w:p>
    <w:p>
      <w:pPr>
        <w:spacing w:line="360" w:lineRule="auto"/>
        <w:outlineLvl w:val="1"/>
        <w:rPr>
          <w:rFonts w:ascii="Arial" w:hAnsi="Arial" w:eastAsia="仿宋_GB2312" w:cs="Arial"/>
          <w:b/>
          <w:sz w:val="28"/>
        </w:rPr>
      </w:pPr>
      <w:bookmarkStart w:id="234" w:name="_Toc469066160"/>
      <w:bookmarkStart w:id="235" w:name="_Toc516488190"/>
      <w:bookmarkStart w:id="236" w:name="_Toc66929521"/>
      <w:bookmarkStart w:id="237" w:name="_Toc69393396"/>
      <w:bookmarkStart w:id="238" w:name="_Toc524335095"/>
      <w:bookmarkStart w:id="239" w:name="_Toc515457812"/>
      <w:r>
        <w:rPr>
          <w:rFonts w:ascii="Arial" w:hAnsi="Arial" w:eastAsia="仿宋_GB2312" w:cs="Arial"/>
          <w:b/>
          <w:sz w:val="28"/>
        </w:rPr>
        <w:t>十、需要特殊说明的事项</w:t>
      </w:r>
      <w:bookmarkEnd w:id="232"/>
      <w:bookmarkEnd w:id="233"/>
      <w:bookmarkEnd w:id="234"/>
      <w:bookmarkEnd w:id="235"/>
      <w:bookmarkEnd w:id="236"/>
      <w:bookmarkEnd w:id="237"/>
      <w:bookmarkEnd w:id="238"/>
      <w:bookmarkEnd w:id="239"/>
    </w:p>
    <w:p>
      <w:pPr>
        <w:snapToGrid w:val="0"/>
        <w:spacing w:line="360" w:lineRule="auto"/>
        <w:jc w:val="both"/>
        <w:textAlignment w:val="bottom"/>
        <w:rPr>
          <w:rFonts w:ascii="Arial" w:hAnsi="Arial" w:eastAsia="仿宋_GB2312" w:cs="Arial"/>
          <w:sz w:val="28"/>
        </w:rPr>
      </w:pPr>
      <w:bookmarkStart w:id="240" w:name="_Toc469066161"/>
      <w:bookmarkStart w:id="241" w:name="_Toc416783677"/>
      <w:bookmarkStart w:id="242" w:name="_Toc41678358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w:t>
      </w:r>
      <w:r>
        <w:rPr>
          <w:rFonts w:hint="eastAsia" w:ascii="Arial" w:hAnsi="Arial" w:eastAsia="仿宋_GB2312" w:cs="Arial"/>
          <w:sz w:val="28"/>
        </w:rPr>
        <w:t>所属项目</w:t>
      </w:r>
      <w:r>
        <w:rPr>
          <w:rFonts w:ascii="Arial" w:hAnsi="Arial" w:eastAsia="仿宋_GB2312" w:cs="Arial"/>
          <w:sz w:val="28"/>
        </w:rPr>
        <w:t>作为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5.土地使用权人合法取得估价对象出让国有建设用地使用权，并支付全部相关税费。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根据《北京市国有土地使用权出让合同》[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《不动产权证书》[京（2015）海淀区不动产权第0000005号]复印件</w:t>
      </w:r>
      <w:r>
        <w:rPr>
          <w:rFonts w:ascii="Arial" w:hAnsi="Arial" w:eastAsia="仿宋_GB2312" w:cs="Arial"/>
          <w:sz w:val="28"/>
          <w:szCs w:val="28"/>
        </w:rPr>
        <w:t>记载，</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的土地用途为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此次拟变更出让合同</w:t>
      </w:r>
      <w:r>
        <w:rPr>
          <w:rFonts w:hint="eastAsia" w:ascii="Arial" w:hAnsi="Arial" w:eastAsia="仿宋_GB2312" w:cs="Arial"/>
          <w:sz w:val="28"/>
          <w:szCs w:val="28"/>
        </w:rPr>
        <w:t>内容</w:t>
      </w:r>
      <w:r>
        <w:rPr>
          <w:rFonts w:ascii="Arial" w:hAnsi="Arial" w:eastAsia="仿宋_GB2312" w:cs="Arial"/>
          <w:sz w:val="28"/>
        </w:rPr>
        <w:t>，根据评估委托书，此次估价设定估价对象用途为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北京市海淀区清河嘉园西区1号楼、3号楼、100幢地块</w:t>
      </w:r>
      <w:r>
        <w:rPr>
          <w:rFonts w:ascii="Arial" w:hAnsi="Arial" w:eastAsia="仿宋_GB2312" w:cs="Arial"/>
          <w:sz w:val="28"/>
          <w:szCs w:val="28"/>
        </w:rPr>
        <w:t>现状开发程度为宗地外“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w:t>
      </w:r>
      <w:r>
        <w:rPr>
          <w:rFonts w:hint="eastAsia" w:ascii="Arial" w:hAnsi="Arial" w:eastAsia="仿宋_GB2312" w:cs="Arial"/>
          <w:sz w:val="28"/>
          <w:szCs w:val="28"/>
        </w:rPr>
        <w:t>，</w:t>
      </w:r>
      <w:r>
        <w:rPr>
          <w:rFonts w:ascii="Arial" w:hAnsi="Arial" w:eastAsia="仿宋_GB2312" w:cs="Arial"/>
          <w:sz w:val="28"/>
          <w:szCs w:val="28"/>
        </w:rPr>
        <w:t>宗地内</w:t>
      </w:r>
      <w:r>
        <w:rPr>
          <w:rFonts w:hint="eastAsia" w:ascii="Arial" w:hAnsi="Arial" w:eastAsia="仿宋_GB2312" w:cs="Arial"/>
          <w:sz w:val="28"/>
          <w:szCs w:val="28"/>
        </w:rPr>
        <w:t>建筑物已竣工并投入使用</w:t>
      </w:r>
      <w:r>
        <w:rPr>
          <w:rFonts w:ascii="Arial" w:hAnsi="Arial" w:eastAsia="仿宋_GB2312" w:cs="Arial"/>
          <w:sz w:val="28"/>
          <w:szCs w:val="28"/>
        </w:rPr>
        <w:t>。此次拟</w:t>
      </w:r>
      <w:r>
        <w:rPr>
          <w:rFonts w:hint="eastAsia" w:ascii="Arial" w:hAnsi="Arial" w:eastAsia="仿宋_GB2312" w:cs="Arial"/>
          <w:sz w:val="28"/>
          <w:szCs w:val="28"/>
        </w:rPr>
        <w:t>按实测数据签订补充协议</w:t>
      </w:r>
      <w:r>
        <w:rPr>
          <w:rFonts w:ascii="Arial" w:hAnsi="Arial" w:eastAsia="仿宋_GB2312" w:cs="Arial"/>
          <w:sz w:val="28"/>
          <w:szCs w:val="28"/>
        </w:rPr>
        <w:t>，根据估价目的，本次评估设定估价对象开发程度为宗地外“</w:t>
      </w:r>
      <w:r>
        <w:rPr>
          <w:rFonts w:hint="eastAsia" w:ascii="Arial" w:hAnsi="Arial" w:eastAsia="仿宋_GB2312" w:cs="Arial"/>
          <w:sz w:val="28"/>
          <w:szCs w:val="28"/>
        </w:rPr>
        <w:t>七</w:t>
      </w:r>
      <w:r>
        <w:rPr>
          <w:rFonts w:ascii="Arial" w:hAnsi="Arial" w:eastAsia="仿宋_GB2312" w:cs="Arial"/>
          <w:sz w:val="28"/>
          <w:szCs w:val="28"/>
        </w:rPr>
        <w:t>通”（即通路、通上水、通下水、通电、通讯、</w:t>
      </w:r>
      <w:r>
        <w:rPr>
          <w:rFonts w:hint="eastAsia" w:ascii="Arial" w:hAnsi="Arial" w:eastAsia="仿宋_GB2312" w:cs="Arial"/>
          <w:sz w:val="28"/>
          <w:szCs w:val="28"/>
        </w:rPr>
        <w:t>通热</w:t>
      </w:r>
      <w:r>
        <w:rPr>
          <w:rFonts w:ascii="Arial" w:hAnsi="Arial" w:eastAsia="仿宋_GB2312" w:cs="Arial"/>
          <w:sz w:val="28"/>
          <w:szCs w:val="28"/>
        </w:rPr>
        <w:t>、通燃气），宗地内“场地平整”。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容积率设定：</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原容积率：《北京市国有土地使用权出让合同》[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]及其补充协议签订所依据的规划条件，宗地出让面积为</w:t>
      </w:r>
      <w:r>
        <w:rPr>
          <w:rFonts w:hint="eastAsia" w:ascii="Arial" w:hAnsi="Arial" w:eastAsia="仿宋_GB2312" w:cs="Arial"/>
          <w:sz w:val="28"/>
          <w:szCs w:val="28"/>
        </w:rPr>
        <w:t>17767.39</w:t>
      </w:r>
      <w:r>
        <w:rPr>
          <w:rFonts w:ascii="Arial" w:hAnsi="Arial" w:eastAsia="仿宋_GB2312" w:cs="Arial"/>
          <w:sz w:val="28"/>
          <w:szCs w:val="28"/>
        </w:rPr>
        <w:t>平方米，规划总出让建筑面积为</w:t>
      </w:r>
      <w:r>
        <w:rPr>
          <w:rFonts w:hint="eastAsia" w:ascii="Arial" w:hAnsi="Arial" w:eastAsia="仿宋_GB2312" w:cs="Arial"/>
          <w:sz w:val="28"/>
          <w:szCs w:val="28"/>
        </w:rPr>
        <w:t>118528.70</w:t>
      </w:r>
      <w:r>
        <w:rPr>
          <w:rFonts w:ascii="Arial" w:hAnsi="Arial" w:eastAsia="仿宋_GB2312" w:cs="Arial"/>
          <w:sz w:val="28"/>
          <w:szCs w:val="28"/>
        </w:rPr>
        <w:t>平方米</w:t>
      </w:r>
      <w:r>
        <w:rPr>
          <w:rFonts w:hint="eastAsia" w:ascii="Arial" w:hAnsi="Arial" w:eastAsia="仿宋_GB2312" w:cs="Arial"/>
          <w:sz w:val="28"/>
          <w:szCs w:val="28"/>
        </w:rPr>
        <w:t>，地上建筑面积76714.70平方米</w:t>
      </w:r>
      <w:r>
        <w:rPr>
          <w:rFonts w:ascii="Arial" w:hAnsi="Arial" w:eastAsia="仿宋_GB2312" w:cs="Arial"/>
          <w:sz w:val="28"/>
          <w:szCs w:val="28"/>
        </w:rPr>
        <w:t>（其中</w:t>
      </w:r>
      <w:r>
        <w:rPr>
          <w:rFonts w:hint="eastAsia" w:ascii="Arial" w:hAnsi="Arial" w:eastAsia="仿宋_GB2312" w:cs="Arial"/>
          <w:sz w:val="28"/>
          <w:szCs w:val="28"/>
        </w:rPr>
        <w:t>住宅56682.72平方米，商业20031.98平方米</w:t>
      </w:r>
      <w:r>
        <w:rPr>
          <w:rFonts w:ascii="Arial" w:hAnsi="Arial" w:eastAsia="仿宋_GB2312" w:cs="Arial"/>
          <w:sz w:val="28"/>
          <w:szCs w:val="28"/>
        </w:rPr>
        <w:t>）</w:t>
      </w:r>
      <w:r>
        <w:rPr>
          <w:rFonts w:hint="eastAsia" w:ascii="Arial" w:hAnsi="Arial" w:eastAsia="仿宋_GB2312" w:cs="Arial"/>
          <w:sz w:val="28"/>
          <w:szCs w:val="28"/>
        </w:rPr>
        <w:t>，地下建筑面积41814平方米（其中地下商业1500平方米、地下车库24373.88平方米，地下综合304.5平方米（含综合服务部120平方米、再生资源回收站点15平方米、社区服务中心165平方米、有线电视机房4.5平方米），地下仓储2821.56平方米）</w:t>
      </w:r>
      <w:r>
        <w:rPr>
          <w:rFonts w:ascii="Arial" w:hAnsi="Arial" w:eastAsia="仿宋_GB2312" w:cs="Arial"/>
          <w:sz w:val="28"/>
          <w:szCs w:val="28"/>
        </w:rPr>
        <w:t>，原地上容积率为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新容积率：根据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），新地上容积率为</w:t>
      </w:r>
      <w:r>
        <w:rPr>
          <w:rFonts w:hint="eastAsia" w:ascii="Arial" w:hAnsi="Arial" w:eastAsia="仿宋_GB2312" w:cs="Arial"/>
          <w:sz w:val="28"/>
          <w:szCs w:val="28"/>
        </w:rPr>
        <w:t>4.32</w:t>
      </w:r>
      <w:r>
        <w:rPr>
          <w:rFonts w:ascii="Arial" w:hAnsi="Arial" w:eastAsia="仿宋_GB2312" w:cs="Arial"/>
          <w:sz w:val="28"/>
          <w:szCs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容积率在规划调整前后未发生变动，</w:t>
      </w:r>
      <w:r>
        <w:rPr>
          <w:rFonts w:ascii="Arial" w:hAnsi="Arial" w:eastAsia="仿宋_GB2312" w:cs="Arial"/>
          <w:sz w:val="28"/>
          <w:szCs w:val="28"/>
        </w:rPr>
        <w:t>故本次评估设定估价对象地上容积率为</w:t>
      </w:r>
      <w:r>
        <w:rPr>
          <w:rFonts w:hint="eastAsia" w:ascii="Arial" w:hAnsi="Arial" w:eastAsia="仿宋_GB2312" w:cs="Arial"/>
          <w:sz w:val="28"/>
          <w:szCs w:val="28"/>
        </w:rPr>
        <w:t>4.32</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26</w:t>
      </w:r>
      <w:r>
        <w:rPr>
          <w:rFonts w:ascii="Arial" w:hAnsi="Arial" w:eastAsia="仿宋_GB2312" w:cs="Arial"/>
          <w:sz w:val="28"/>
          <w:szCs w:val="28"/>
        </w:rPr>
        <w:t>日，在北京市基准地价居住类五级V-0</w:t>
      </w:r>
      <w:r>
        <w:rPr>
          <w:rFonts w:hint="eastAsia" w:ascii="Arial" w:hAnsi="Arial" w:eastAsia="仿宋_GB2312" w:cs="Arial"/>
          <w:sz w:val="28"/>
          <w:szCs w:val="28"/>
        </w:rPr>
        <w:t>3</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，宗地内“场地平整”；设定土地用途为</w:t>
      </w:r>
      <w:r>
        <w:rPr>
          <w:rFonts w:hint="eastAsia" w:ascii="Arial" w:hAnsi="Arial" w:eastAsia="仿宋_GB2312" w:cs="Arial"/>
          <w:sz w:val="28"/>
          <w:szCs w:val="28"/>
        </w:rPr>
        <w:t>地下车库、地下仓储</w:t>
      </w:r>
      <w:r>
        <w:rPr>
          <w:rFonts w:ascii="Arial" w:hAnsi="Arial" w:eastAsia="仿宋_GB2312" w:cs="Arial"/>
          <w:sz w:val="28"/>
          <w:szCs w:val="28"/>
        </w:rPr>
        <w:t>；地上容积率为</w:t>
      </w:r>
      <w:r>
        <w:rPr>
          <w:rFonts w:hint="eastAsia" w:ascii="Arial" w:hAnsi="Arial" w:eastAsia="仿宋_GB2312" w:cs="Arial"/>
          <w:sz w:val="28"/>
          <w:szCs w:val="28"/>
        </w:rPr>
        <w:t>4.32</w:t>
      </w:r>
      <w:r>
        <w:rPr>
          <w:rFonts w:ascii="Arial" w:hAnsi="Arial" w:eastAsia="仿宋_GB2312" w:cs="Arial"/>
          <w:sz w:val="28"/>
        </w:rPr>
        <w:t>，地下</w:t>
      </w:r>
      <w:r>
        <w:rPr>
          <w:rFonts w:hint="eastAsia" w:ascii="Arial" w:hAnsi="Arial" w:eastAsia="仿宋_GB2312" w:cs="Arial"/>
          <w:sz w:val="28"/>
        </w:rPr>
        <w:t>车库</w:t>
      </w:r>
      <w:r>
        <w:rPr>
          <w:rFonts w:ascii="Arial" w:hAnsi="Arial" w:eastAsia="仿宋_GB2312" w:cs="Arial"/>
          <w:sz w:val="28"/>
        </w:rPr>
        <w:t>用途土地剩余使用年限为</w:t>
      </w:r>
      <w:r>
        <w:rPr>
          <w:rFonts w:hint="eastAsia" w:ascii="Arial" w:hAnsi="Arial" w:eastAsia="仿宋_GB2312" w:cs="Arial"/>
          <w:sz w:val="28"/>
          <w:szCs w:val="28"/>
        </w:rPr>
        <w:t>50</w:t>
      </w:r>
      <w:r>
        <w:rPr>
          <w:rFonts w:hint="eastAsia" w:ascii="Arial" w:hAnsi="Arial" w:eastAsia="仿宋_GB2312" w:cs="Arial"/>
          <w:sz w:val="28"/>
        </w:rPr>
        <w:t>年，</w:t>
      </w:r>
      <w:r>
        <w:rPr>
          <w:rFonts w:hint="eastAsia" w:ascii="Arial" w:hAnsi="Arial" w:eastAsia="仿宋_GB2312" w:cs="Arial"/>
          <w:sz w:val="28"/>
          <w:szCs w:val="28"/>
        </w:rPr>
        <w:t>地下仓储</w:t>
      </w:r>
      <w:r>
        <w:rPr>
          <w:rFonts w:ascii="Arial" w:hAnsi="Arial" w:eastAsia="仿宋_GB2312" w:cs="Arial"/>
          <w:sz w:val="28"/>
        </w:rPr>
        <w:t>用途土地剩余使用年限为</w:t>
      </w:r>
      <w:r>
        <w:rPr>
          <w:rFonts w:hint="eastAsia" w:ascii="Arial" w:hAnsi="Arial" w:eastAsia="仿宋_GB2312" w:cs="Arial"/>
          <w:sz w:val="28"/>
          <w:szCs w:val="28"/>
        </w:rPr>
        <w:t>50年。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10.本报告所确定的土地价格为出让方通过集体决策核定应该补缴的地价款提供参考依据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本估价报告自报告出具日起计算，至2022年</w:t>
      </w:r>
      <w:r>
        <w:rPr>
          <w:rFonts w:hint="eastAsia" w:ascii="Arial" w:hAnsi="Arial" w:eastAsia="仿宋_GB2312" w:cs="Arial"/>
          <w:kern w:val="2"/>
          <w:sz w:val="28"/>
        </w:rPr>
        <w:t>12</w:t>
      </w:r>
      <w:r>
        <w:rPr>
          <w:rFonts w:ascii="Arial" w:hAnsi="Arial" w:eastAsia="仿宋_GB2312" w:cs="Arial"/>
          <w:kern w:val="2"/>
          <w:sz w:val="28"/>
        </w:rPr>
        <w:t>月1日有效。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hint="eastAsia" w:ascii="Arial" w:hAnsi="Arial" w:eastAsia="仿宋_GB2312" w:cs="Arial"/>
          <w:sz w:val="28"/>
          <w:szCs w:val="28"/>
        </w:rPr>
        <w:t>、</w:t>
      </w:r>
      <w:r>
        <w:rPr>
          <w:rFonts w:hint="eastAsia" w:ascii="Arial" w:hAnsi="Arial" w:eastAsia="仿宋_GB2312" w:cs="Arial"/>
          <w:sz w:val="28"/>
        </w:rPr>
        <w:t>《北京市海淀区清河嘉园西区1号楼、3号楼、100幢土地分摊说明》、</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szCs w:val="28"/>
        </w:rPr>
        <w:t>宗地</w:t>
      </w:r>
      <w:r>
        <w:rPr>
          <w:rFonts w:hint="eastAsia" w:ascii="Arial" w:hAnsi="Arial" w:eastAsia="仿宋_GB2312" w:cs="Arial"/>
          <w:sz w:val="28"/>
          <w:szCs w:val="28"/>
        </w:rPr>
        <w:t>总</w:t>
      </w:r>
      <w:r>
        <w:rPr>
          <w:rFonts w:ascii="Arial" w:hAnsi="Arial" w:eastAsia="仿宋_GB2312" w:cs="Arial"/>
          <w:sz w:val="28"/>
          <w:szCs w:val="28"/>
        </w:rPr>
        <w:t>面积为</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r>
        <w:rPr>
          <w:rFonts w:ascii="Arial" w:hAnsi="Arial" w:eastAsia="仿宋_GB2312" w:cs="Arial"/>
          <w:sz w:val="28"/>
          <w:szCs w:val="28"/>
        </w:rPr>
        <w:t>，总建筑面积调整为</w:t>
      </w:r>
      <w:r>
        <w:rPr>
          <w:rFonts w:hint="eastAsia" w:ascii="Arial" w:hAnsi="Arial" w:eastAsia="仿宋_GB2312" w:cs="Arial"/>
          <w:sz w:val="28"/>
          <w:szCs w:val="28"/>
        </w:rPr>
        <w:t>106589.13</w:t>
      </w:r>
      <w:r>
        <w:rPr>
          <w:rFonts w:ascii="Arial" w:hAnsi="Arial" w:eastAsia="仿宋_GB2312" w:cs="Arial"/>
          <w:sz w:val="28"/>
          <w:szCs w:val="28"/>
        </w:rPr>
        <w:t>平方米，地上</w:t>
      </w:r>
      <w:r>
        <w:rPr>
          <w:rFonts w:hint="eastAsia" w:ascii="Arial" w:hAnsi="Arial" w:eastAsia="仿宋_GB2312" w:cs="Arial"/>
          <w:sz w:val="28"/>
          <w:szCs w:val="28"/>
        </w:rPr>
        <w:t>规划</w:t>
      </w:r>
      <w:r>
        <w:rPr>
          <w:rFonts w:ascii="Arial" w:hAnsi="Arial" w:eastAsia="仿宋_GB2312" w:cs="Arial"/>
          <w:sz w:val="28"/>
          <w:szCs w:val="28"/>
        </w:rPr>
        <w:t>建筑面积</w:t>
      </w:r>
      <w:r>
        <w:rPr>
          <w:rFonts w:hint="eastAsia" w:ascii="Arial" w:hAnsi="Arial" w:eastAsia="仿宋_GB2312" w:cs="Arial"/>
          <w:sz w:val="28"/>
          <w:szCs w:val="28"/>
        </w:rPr>
        <w:t>76806.73</w:t>
      </w:r>
      <w:r>
        <w:rPr>
          <w:rFonts w:ascii="Arial" w:hAnsi="Arial" w:eastAsia="仿宋_GB2312" w:cs="Arial"/>
          <w:sz w:val="28"/>
          <w:szCs w:val="28"/>
        </w:rPr>
        <w:t>平方米（其中</w:t>
      </w:r>
      <w:r>
        <w:rPr>
          <w:rFonts w:hint="eastAsia" w:ascii="Arial" w:hAnsi="Arial" w:eastAsia="仿宋_GB2312" w:cs="Arial"/>
          <w:sz w:val="28"/>
          <w:szCs w:val="28"/>
        </w:rPr>
        <w:t>住宅56900.25平方米，商业（配套）19906.48平方米</w:t>
      </w:r>
      <w:r>
        <w:rPr>
          <w:rFonts w:ascii="Arial" w:hAnsi="Arial" w:eastAsia="仿宋_GB2312" w:cs="Arial"/>
          <w:sz w:val="28"/>
          <w:szCs w:val="28"/>
        </w:rPr>
        <w:t>），地下规划建筑面积为</w:t>
      </w:r>
      <w:r>
        <w:rPr>
          <w:rFonts w:hint="eastAsia" w:ascii="Arial" w:hAnsi="Arial" w:eastAsia="仿宋_GB2312" w:cs="Arial"/>
          <w:sz w:val="28"/>
          <w:szCs w:val="28"/>
        </w:rPr>
        <w:t>29782.40</w:t>
      </w:r>
      <w:r>
        <w:rPr>
          <w:rFonts w:ascii="Arial" w:hAnsi="Arial" w:eastAsia="仿宋_GB2312" w:cs="Arial"/>
          <w:sz w:val="28"/>
          <w:szCs w:val="28"/>
        </w:rPr>
        <w:t>平方米（其中</w:t>
      </w:r>
      <w:r>
        <w:rPr>
          <w:rFonts w:hint="eastAsia" w:ascii="Arial" w:hAnsi="Arial" w:eastAsia="仿宋_GB2312" w:cs="Arial"/>
          <w:sz w:val="28"/>
          <w:szCs w:val="28"/>
        </w:rPr>
        <w:t>地下商业1462.22</w:t>
      </w:r>
      <w:r>
        <w:rPr>
          <w:rFonts w:ascii="Arial" w:hAnsi="Arial" w:eastAsia="仿宋_GB2312" w:cs="Arial"/>
          <w:sz w:val="28"/>
          <w:szCs w:val="28"/>
        </w:rPr>
        <w:t>平方米</w:t>
      </w:r>
      <w:r>
        <w:rPr>
          <w:rFonts w:hint="eastAsia" w:ascii="Arial" w:hAnsi="Arial" w:eastAsia="仿宋_GB2312" w:cs="Arial"/>
          <w:sz w:val="28"/>
          <w:szCs w:val="28"/>
        </w:rPr>
        <w:t>，</w:t>
      </w:r>
      <w:r>
        <w:rPr>
          <w:rFonts w:ascii="Arial" w:hAnsi="Arial" w:eastAsia="仿宋_GB2312" w:cs="Arial"/>
          <w:sz w:val="28"/>
          <w:szCs w:val="28"/>
        </w:rPr>
        <w:t>地下</w:t>
      </w:r>
      <w:r>
        <w:rPr>
          <w:rFonts w:hint="eastAsia" w:ascii="Arial" w:hAnsi="Arial" w:eastAsia="仿宋_GB2312" w:cs="Arial"/>
          <w:sz w:val="28"/>
          <w:szCs w:val="28"/>
        </w:rPr>
        <w:t>车库16128.87</w:t>
      </w:r>
      <w:r>
        <w:rPr>
          <w:rFonts w:ascii="Arial" w:hAnsi="Arial" w:eastAsia="仿宋_GB2312" w:cs="Arial"/>
          <w:sz w:val="28"/>
          <w:szCs w:val="28"/>
        </w:rPr>
        <w:t>平方米，</w:t>
      </w:r>
      <w:r>
        <w:rPr>
          <w:rFonts w:hint="eastAsia" w:ascii="Arial" w:hAnsi="Arial" w:eastAsia="仿宋_GB2312" w:cs="Arial"/>
          <w:sz w:val="28"/>
          <w:szCs w:val="28"/>
        </w:rPr>
        <w:t>再生资源回收站点35.62平方米，有线电视机房4.73平方米，非燃品库房8071.81平方米，水泵房41.11平方米，变配电室225.47平方米，设备用房3812.57平方米。另有人防建筑面积11509.13平方米，综合服务中心建筑面积120.50平方米，社区服务中心建筑面积166.64平方米不在以上建筑面积内</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（2）本次需评估</w:t>
      </w:r>
      <w:r>
        <w:rPr>
          <w:rFonts w:hint="eastAsia" w:ascii="Arial" w:hAnsi="Arial" w:eastAsia="仿宋_GB2312" w:cs="Arial"/>
          <w:sz w:val="28"/>
        </w:rPr>
        <w:t>地下仓储、地下车库</w:t>
      </w:r>
      <w:r>
        <w:rPr>
          <w:rFonts w:ascii="Arial" w:hAnsi="Arial" w:eastAsia="仿宋_GB2312" w:cs="Arial"/>
          <w:sz w:val="28"/>
        </w:rPr>
        <w:t>地价，依据北京房地产估价师和土地估价师与不动产登记代理人协会下发的</w:t>
      </w:r>
      <w:r>
        <w:rPr>
          <w:rFonts w:hint="eastAsia" w:ascii="Arial" w:hAnsi="Arial" w:eastAsia="仿宋_GB2312" w:cs="Arial"/>
          <w:sz w:val="28"/>
        </w:rPr>
        <w:t>《北京市“地下空间”使用权协议出让地价评估技术更新的说明》[北估秘[2019]002号]</w:t>
      </w:r>
      <w:r>
        <w:rPr>
          <w:rFonts w:ascii="Arial" w:hAnsi="Arial" w:eastAsia="仿宋_GB2312" w:cs="Arial"/>
          <w:sz w:val="28"/>
        </w:rPr>
        <w:t>》技术文件，先评估地上</w:t>
      </w:r>
      <w:r>
        <w:rPr>
          <w:rFonts w:hint="eastAsia" w:ascii="Arial" w:hAnsi="Arial" w:eastAsia="仿宋_GB2312" w:cs="Arial"/>
          <w:sz w:val="28"/>
        </w:rPr>
        <w:t>办公</w:t>
      </w:r>
      <w:r>
        <w:rPr>
          <w:rFonts w:ascii="Arial" w:hAnsi="Arial" w:eastAsia="仿宋_GB2312" w:cs="Arial"/>
          <w:sz w:val="28"/>
        </w:rPr>
        <w:t>楼面地价，然后进行地下空间修正后确定地下楼面熟地价。地下空间修正系数参照《北京市关于更新出让国有建设用地使用权基准地价的通知》[京政发（2014）26号]确定。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（3）根据2014年第46期北京市国土资源局局长专题会议纪要的具体要求，地下设备用房等非经营性用途暂不收取政府土地出让收益，故委托估价对象不包含此部分内容。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w:t>
      </w:r>
      <w:r>
        <w:rPr>
          <w:rFonts w:ascii="Arial" w:hAnsi="Arial" w:eastAsia="仿宋_GB2312" w:cs="Arial"/>
          <w:sz w:val="28"/>
        </w:rPr>
        <w:t>）根据《北京市关于更新出让国有建设用地使用权基准地价的通知》[京政发（2014）26号]的要求，评估专业人员以北京市地价动态监测成果公布的地价增长率为准，对基准地价中的熟地价进行期日修正。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w:t>
      </w:r>
      <w:r>
        <w:rPr>
          <w:rFonts w:ascii="Arial" w:hAnsi="Arial" w:eastAsia="仿宋_GB2312" w:cs="Arial"/>
          <w:sz w:val="28"/>
        </w:rPr>
        <w:t>）关于土地还原率的确定。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居住5.0%</w:t>
      </w:r>
      <w:r>
        <w:rPr>
          <w:rFonts w:ascii="Arial" w:hAnsi="Arial" w:eastAsia="仿宋_GB2312" w:cs="Arial"/>
          <w:kern w:val="2"/>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（1）估价对象房屋坐落根据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ascii="Arial" w:hAnsi="Arial" w:eastAsia="仿宋_GB2312" w:cs="Arial"/>
          <w:sz w:val="28"/>
        </w:rPr>
        <w:t>描述确定，项目坐落确定为</w:t>
      </w:r>
      <w:r>
        <w:rPr>
          <w:rFonts w:hint="eastAsia" w:ascii="Arial" w:hAnsi="Arial" w:eastAsia="仿宋_GB2312" w:cs="Arial"/>
          <w:sz w:val="28"/>
        </w:rPr>
        <w:t>北京市海淀区清河嘉园西区1号楼、3号楼、100幢地块</w:t>
      </w:r>
      <w:r>
        <w:rPr>
          <w:rFonts w:ascii="Arial" w:hAnsi="Arial" w:eastAsia="仿宋_GB2312" w:cs="Arial"/>
          <w:sz w:val="28"/>
        </w:rPr>
        <w:t>。</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rPr>
        <w:t>土地协议出让后按实测数据</w:t>
      </w:r>
      <w:r>
        <w:rPr>
          <w:rFonts w:ascii="Arial" w:hAnsi="Arial" w:eastAsia="仿宋_GB2312" w:cs="Arial"/>
          <w:sz w:val="28"/>
        </w:rPr>
        <w:t>签订补充协议提供参考依据。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（3）委托估价方于2021年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日正式委托进行评估，确定估价期日为2021年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26</w:t>
      </w:r>
      <w:r>
        <w:rPr>
          <w:rFonts w:ascii="Arial" w:hAnsi="Arial" w:eastAsia="仿宋_GB2312" w:cs="Arial"/>
          <w:sz w:val="28"/>
        </w:rPr>
        <w:t>日。评估专业人员于2021年</w:t>
      </w:r>
      <w:r>
        <w:rPr>
          <w:rFonts w:hint="eastAsia" w:ascii="Arial" w:hAnsi="Arial" w:eastAsia="仿宋_GB2312" w:cs="Arial"/>
          <w:sz w:val="28"/>
        </w:rPr>
        <w:t>11</w:t>
      </w:r>
      <w:r>
        <w:rPr>
          <w:rFonts w:ascii="Arial" w:hAnsi="Arial" w:eastAsia="仿宋_GB2312" w:cs="Arial"/>
          <w:sz w:val="28"/>
        </w:rPr>
        <w:t>月</w:t>
      </w:r>
      <w:r>
        <w:rPr>
          <w:rFonts w:hint="eastAsia" w:ascii="Arial" w:hAnsi="Arial" w:eastAsia="仿宋_GB2312" w:cs="Arial"/>
          <w:sz w:val="28"/>
        </w:rPr>
        <w:t>29</w:t>
      </w:r>
      <w:r>
        <w:rPr>
          <w:rFonts w:ascii="Arial" w:hAnsi="Arial" w:eastAsia="仿宋_GB2312" w:cs="Arial"/>
          <w:sz w:val="28"/>
        </w:rPr>
        <w:t>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和《北京市地下空间协议出让地价评估技术有关问题的说明》[北估秘[2016]019号]的要求，故报告格式和具体表述在《城镇土地估价规程》[GB/T 18508-2014]规范格式基础上，有所拓展和补充。</w:t>
      </w: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napToGrid w:val="0"/>
        <w:spacing w:line="360" w:lineRule="auto"/>
        <w:ind w:firstLine="560" w:firstLineChars="200"/>
        <w:jc w:val="both"/>
        <w:textAlignment w:val="bottom"/>
        <w:rPr>
          <w:rFonts w:ascii="Arial" w:hAnsi="Arial" w:eastAsia="仿宋_GB2312" w:cs="Arial"/>
          <w:sz w:val="28"/>
        </w:rPr>
      </w:pPr>
    </w:p>
    <w:p>
      <w:pPr>
        <w:spacing w:line="360" w:lineRule="auto"/>
        <w:outlineLvl w:val="1"/>
        <w:rPr>
          <w:rFonts w:ascii="Arial" w:hAnsi="Arial" w:eastAsia="仿宋_GB2312" w:cs="Arial"/>
          <w:sz w:val="28"/>
        </w:rPr>
      </w:pPr>
      <w:bookmarkStart w:id="243" w:name="_Toc524335096"/>
      <w:bookmarkStart w:id="244" w:name="_Toc515457814"/>
      <w:bookmarkStart w:id="245" w:name="_Toc516488192"/>
      <w:bookmarkStart w:id="246" w:name="_Toc66929522"/>
      <w:bookmarkStart w:id="247" w:name="_Toc69393397"/>
      <w:r>
        <w:rPr>
          <w:rFonts w:ascii="Arial" w:hAnsi="Arial" w:eastAsia="仿宋_GB2312" w:cs="Arial"/>
          <w:b/>
          <w:sz w:val="28"/>
        </w:rPr>
        <w:t>十一、评估专业人员签字</w:t>
      </w:r>
      <w:bookmarkEnd w:id="240"/>
      <w:bookmarkEnd w:id="241"/>
      <w:bookmarkEnd w:id="242"/>
      <w:bookmarkEnd w:id="243"/>
      <w:bookmarkEnd w:id="244"/>
      <w:bookmarkEnd w:id="245"/>
      <w:bookmarkEnd w:id="246"/>
      <w:bookmarkEnd w:id="247"/>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叶  凌</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94010078</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248" w:name="_Toc524335097"/>
      <w:bookmarkStart w:id="249" w:name="_Toc69393398"/>
      <w:bookmarkStart w:id="250" w:name="_Toc66929523"/>
      <w:bookmarkStart w:id="251" w:name="_Toc516488193"/>
      <w:bookmarkStart w:id="252" w:name="_Toc515457815"/>
      <w:r>
        <w:rPr>
          <w:rFonts w:ascii="Arial" w:hAnsi="Arial" w:eastAsia="仿宋_GB2312" w:cs="Arial"/>
          <w:b/>
          <w:sz w:val="28"/>
        </w:rPr>
        <w:t>十二、土地估价机构</w:t>
      </w:r>
      <w:bookmarkEnd w:id="248"/>
      <w:bookmarkEnd w:id="249"/>
      <w:bookmarkEnd w:id="250"/>
      <w:bookmarkEnd w:id="251"/>
      <w:bookmarkEnd w:id="252"/>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二〇二一年</w:t>
            </w:r>
            <w:r>
              <w:rPr>
                <w:rFonts w:hint="eastAsia" w:ascii="Arial" w:hAnsi="Arial" w:eastAsia="仿宋_GB2312" w:cs="Arial"/>
                <w:sz w:val="28"/>
                <w:szCs w:val="21"/>
              </w:rPr>
              <w:t>十二</w:t>
            </w:r>
            <w:r>
              <w:rPr>
                <w:rFonts w:ascii="Arial" w:hAnsi="Arial" w:eastAsia="仿宋_GB2312" w:cs="Arial"/>
                <w:sz w:val="28"/>
                <w:szCs w:val="21"/>
              </w:rPr>
              <w:t>月</w:t>
            </w:r>
            <w:r>
              <w:rPr>
                <w:rFonts w:hint="eastAsia" w:ascii="Arial" w:hAnsi="Arial" w:eastAsia="仿宋_GB2312" w:cs="Arial"/>
                <w:sz w:val="28"/>
                <w:szCs w:val="21"/>
              </w:rPr>
              <w:t>二</w:t>
            </w:r>
            <w:r>
              <w:rPr>
                <w:rFonts w:ascii="Arial" w:hAnsi="Arial" w:eastAsia="仿宋_GB2312" w:cs="Arial"/>
                <w:sz w:val="28"/>
                <w:szCs w:val="21"/>
              </w:rPr>
              <w:t>日</w:t>
            </w:r>
          </w:p>
        </w:tc>
      </w:tr>
    </w:tbl>
    <w:p>
      <w:pPr>
        <w:spacing w:line="360" w:lineRule="auto"/>
        <w:jc w:val="center"/>
        <w:outlineLvl w:val="0"/>
        <w:rPr>
          <w:rFonts w:ascii="Arial" w:hAnsi="Arial" w:cs="Arial"/>
          <w:b/>
          <w:sz w:val="32"/>
        </w:rPr>
      </w:pPr>
      <w:r>
        <w:rPr>
          <w:rFonts w:ascii="Arial" w:hAnsi="Arial" w:eastAsia="仿宋_GB2312" w:cs="Arial"/>
          <w:sz w:val="28"/>
        </w:rPr>
        <w:br w:type="page"/>
      </w:r>
      <w:bookmarkStart w:id="253" w:name="_Toc516488194"/>
      <w:bookmarkStart w:id="254" w:name="_Toc66929524"/>
      <w:bookmarkStart w:id="255" w:name="_Toc469066164"/>
      <w:bookmarkStart w:id="256" w:name="_Toc416783682"/>
      <w:bookmarkStart w:id="257" w:name="_Toc69393399"/>
      <w:bookmarkStart w:id="258" w:name="_Toc515457816"/>
      <w:bookmarkStart w:id="259" w:name="_Toc416783586"/>
      <w:bookmarkStart w:id="260" w:name="_Toc524335098"/>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53"/>
      <w:bookmarkEnd w:id="254"/>
      <w:bookmarkEnd w:id="255"/>
      <w:bookmarkEnd w:id="256"/>
      <w:bookmarkEnd w:id="257"/>
      <w:bookmarkEnd w:id="258"/>
      <w:bookmarkEnd w:id="259"/>
      <w:bookmarkEnd w:id="260"/>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61" w:name="_Toc524335099"/>
      <w:bookmarkStart w:id="262" w:name="_Toc416783587"/>
      <w:bookmarkStart w:id="263" w:name="_Toc66929525"/>
      <w:bookmarkStart w:id="264" w:name="_Toc516488195"/>
      <w:bookmarkStart w:id="265" w:name="_Toc469066165"/>
      <w:bookmarkStart w:id="266" w:name="_Toc515457817"/>
      <w:bookmarkStart w:id="267" w:name="_Toc69393400"/>
      <w:bookmarkStart w:id="268" w:name="_Toc416783683"/>
      <w:r>
        <w:rPr>
          <w:rFonts w:ascii="Arial" w:hAnsi="Arial" w:eastAsia="仿宋_GB2312" w:cs="Arial"/>
          <w:b/>
          <w:sz w:val="28"/>
        </w:rPr>
        <w:t>一、估价对象描述</w:t>
      </w:r>
      <w:bookmarkEnd w:id="261"/>
      <w:bookmarkEnd w:id="262"/>
      <w:bookmarkEnd w:id="263"/>
      <w:bookmarkEnd w:id="264"/>
      <w:bookmarkEnd w:id="265"/>
      <w:bookmarkEnd w:id="266"/>
      <w:bookmarkEnd w:id="267"/>
      <w:bookmarkEnd w:id="268"/>
    </w:p>
    <w:p>
      <w:pPr>
        <w:spacing w:line="360" w:lineRule="auto"/>
        <w:jc w:val="both"/>
        <w:rPr>
          <w:rFonts w:ascii="Arial" w:hAnsi="Arial" w:eastAsia="仿宋_GB2312" w:cs="Arial"/>
          <w:sz w:val="28"/>
        </w:rPr>
      </w:pPr>
      <w:bookmarkStart w:id="269" w:name="_Toc416783690"/>
      <w:bookmarkStart w:id="270" w:name="_Toc469066166"/>
      <w:bookmarkStart w:id="271" w:name="_Toc416783594"/>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ascii="Arial" w:hAnsi="Arial" w:eastAsia="仿宋_GB2312" w:cs="Arial"/>
          <w:sz w:val="28"/>
        </w:rPr>
        <w:t>、</w:t>
      </w:r>
      <w:r>
        <w:rPr>
          <w:rFonts w:hint="eastAsia" w:ascii="Arial" w:hAnsi="Arial" w:eastAsia="仿宋_GB2312" w:cs="Arial"/>
          <w:sz w:val="28"/>
          <w:szCs w:val="28"/>
        </w:rPr>
        <w:t>《不动产权证书》[京（2015）海淀区不动产权第0000005号]</w:t>
      </w:r>
      <w:r>
        <w:rPr>
          <w:rFonts w:ascii="Arial" w:hAnsi="Arial" w:eastAsia="仿宋_GB2312" w:cs="Arial"/>
          <w:sz w:val="28"/>
        </w:rPr>
        <w:t>，现登记情况如下:</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土地使用权：</w:t>
      </w:r>
      <w:r>
        <w:rPr>
          <w:rFonts w:ascii="Arial" w:hAnsi="Arial" w:eastAsia="仿宋_GB2312" w:cs="Arial"/>
          <w:sz w:val="28"/>
        </w:rPr>
        <w:t xml:space="preserve"> 北京强佑房地产开发有限公司</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坐落：</w:t>
      </w:r>
      <w:r>
        <w:rPr>
          <w:rFonts w:hint="eastAsia" w:ascii="Arial" w:hAnsi="Arial" w:eastAsia="仿宋_GB2312" w:cs="Arial"/>
          <w:sz w:val="28"/>
          <w:szCs w:val="28"/>
        </w:rPr>
        <w:t>北京市海淀区清河镇强佑清河新城3#地</w:t>
      </w:r>
    </w:p>
    <w:p>
      <w:pPr>
        <w:spacing w:line="360" w:lineRule="auto"/>
        <w:ind w:firstLine="560" w:firstLineChars="200"/>
        <w:jc w:val="both"/>
        <w:rPr>
          <w:rFonts w:ascii="Arial" w:hAnsi="Arial" w:eastAsia="仿宋_GB2312" w:cs="Arial"/>
          <w:spacing w:val="-6"/>
          <w:sz w:val="28"/>
        </w:rPr>
      </w:pPr>
      <w:r>
        <w:rPr>
          <w:rFonts w:ascii="Arial" w:hAnsi="Arial" w:eastAsia="仿宋_GB2312" w:cs="Arial"/>
          <w:sz w:val="28"/>
        </w:rPr>
        <w:t>土地宗数：1宗</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不动产单元号</w:t>
      </w:r>
      <w:r>
        <w:rPr>
          <w:rFonts w:ascii="Arial" w:hAnsi="Arial" w:eastAsia="仿宋_GB2312" w:cs="Arial"/>
          <w:sz w:val="28"/>
        </w:rPr>
        <w:t>：</w:t>
      </w:r>
      <w:r>
        <w:rPr>
          <w:rFonts w:hint="eastAsia" w:ascii="Arial" w:hAnsi="Arial" w:eastAsia="仿宋_GB2312" w:cs="Arial"/>
          <w:sz w:val="28"/>
        </w:rPr>
        <w:t>110108017001GB00359W00000000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地号：110108017001GB00359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用途：</w:t>
      </w:r>
      <w:r>
        <w:rPr>
          <w:rFonts w:hint="eastAsia" w:ascii="Arial" w:hAnsi="Arial" w:eastAsia="仿宋_GB2312" w:cs="Arial"/>
          <w:sz w:val="28"/>
          <w:szCs w:val="28"/>
        </w:rPr>
        <w:t>住宅、商业、地下商业、地下车库、地下综合、地下仓储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土地面积：</w:t>
      </w:r>
      <w:r>
        <w:rPr>
          <w:rFonts w:hint="eastAsia" w:ascii="Arial" w:hAnsi="Arial" w:eastAsia="仿宋_GB2312" w:cs="Arial"/>
          <w:sz w:val="28"/>
        </w:rPr>
        <w:t>17767.39</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证载四至：东至</w:t>
      </w:r>
      <w:r>
        <w:rPr>
          <w:rFonts w:hint="eastAsia" w:ascii="Arial" w:hAnsi="Arial" w:eastAsia="仿宋_GB2312" w:cs="Arial"/>
          <w:sz w:val="28"/>
        </w:rPr>
        <w:t>清河镇路</w:t>
      </w:r>
      <w:r>
        <w:rPr>
          <w:rFonts w:ascii="Arial" w:hAnsi="Arial" w:eastAsia="仿宋_GB2312" w:cs="Arial"/>
          <w:sz w:val="28"/>
        </w:rPr>
        <w:t>，南至</w:t>
      </w:r>
      <w:r>
        <w:rPr>
          <w:rFonts w:hint="eastAsia" w:ascii="Arial" w:hAnsi="Arial" w:eastAsia="仿宋_GB2312" w:cs="Arial"/>
          <w:sz w:val="28"/>
        </w:rPr>
        <w:t>清河南路</w:t>
      </w:r>
      <w:r>
        <w:rPr>
          <w:rFonts w:ascii="Arial" w:hAnsi="Arial" w:eastAsia="仿宋_GB2312" w:cs="Arial"/>
          <w:sz w:val="28"/>
        </w:rPr>
        <w:t>，西至</w:t>
      </w:r>
      <w:r>
        <w:rPr>
          <w:rFonts w:hint="eastAsia" w:ascii="Arial" w:hAnsi="Arial" w:eastAsia="仿宋_GB2312" w:cs="Arial"/>
          <w:sz w:val="28"/>
        </w:rPr>
        <w:t>北京市海淀区清河农工商工商、北京强佑房地产开发公司</w:t>
      </w:r>
      <w:r>
        <w:rPr>
          <w:rFonts w:ascii="Arial" w:hAnsi="Arial" w:eastAsia="仿宋_GB2312" w:cs="Arial"/>
          <w:sz w:val="28"/>
        </w:rPr>
        <w:t>，北至</w:t>
      </w:r>
      <w:r>
        <w:rPr>
          <w:rFonts w:hint="eastAsia" w:ascii="Arial" w:hAnsi="Arial" w:eastAsia="仿宋_GB2312" w:cs="Arial"/>
          <w:sz w:val="28"/>
        </w:rPr>
        <w:t>清河北路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现状四至：东至</w:t>
      </w:r>
      <w:r>
        <w:rPr>
          <w:rFonts w:hint="eastAsia" w:ascii="Arial" w:hAnsi="Arial" w:eastAsia="仿宋_GB2312" w:cs="Arial"/>
          <w:sz w:val="28"/>
        </w:rPr>
        <w:t>小区内道路</w:t>
      </w:r>
      <w:r>
        <w:rPr>
          <w:rFonts w:ascii="Arial" w:hAnsi="Arial" w:eastAsia="仿宋_GB2312" w:cs="Arial"/>
          <w:sz w:val="28"/>
        </w:rPr>
        <w:t>，南至</w:t>
      </w:r>
      <w:r>
        <w:rPr>
          <w:rFonts w:hint="eastAsia" w:ascii="Arial" w:hAnsi="Arial" w:eastAsia="仿宋_GB2312" w:cs="Arial"/>
          <w:sz w:val="28"/>
        </w:rPr>
        <w:t>小区内道路</w:t>
      </w:r>
      <w:r>
        <w:rPr>
          <w:rFonts w:ascii="Arial" w:hAnsi="Arial" w:eastAsia="仿宋_GB2312" w:cs="Arial"/>
          <w:sz w:val="28"/>
        </w:rPr>
        <w:t>，西至</w:t>
      </w:r>
      <w:r>
        <w:rPr>
          <w:rFonts w:hint="eastAsia" w:ascii="Arial" w:hAnsi="Arial" w:eastAsia="仿宋_GB2312" w:cs="Arial"/>
          <w:sz w:val="28"/>
        </w:rPr>
        <w:t>小区内道路</w:t>
      </w:r>
      <w:r>
        <w:rPr>
          <w:rFonts w:ascii="Arial" w:hAnsi="Arial" w:eastAsia="仿宋_GB2312" w:cs="Arial"/>
          <w:sz w:val="28"/>
        </w:rPr>
        <w:t>，北至</w:t>
      </w:r>
      <w:r>
        <w:rPr>
          <w:rFonts w:hint="eastAsia" w:ascii="Arial" w:hAnsi="Arial" w:eastAsia="仿宋_GB2312" w:cs="Arial"/>
          <w:sz w:val="28"/>
        </w:rPr>
        <w:t>清河中路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估价对象为国有土地，土地所有权为国家所有，土地使用权人为北京强佑房地产开发有限公司。根据</w:t>
      </w:r>
      <w:r>
        <w:rPr>
          <w:rFonts w:hint="eastAsia" w:ascii="Arial" w:hAnsi="Arial" w:eastAsia="仿宋_GB2312" w:cs="Arial"/>
          <w:sz w:val="28"/>
          <w:szCs w:val="28"/>
        </w:rPr>
        <w:t>《不动产权证书》[京（2015）海淀区不动产权第0000005号]</w:t>
      </w:r>
      <w:r>
        <w:rPr>
          <w:rFonts w:ascii="Arial" w:hAnsi="Arial" w:eastAsia="仿宋_GB2312" w:cs="Arial"/>
          <w:sz w:val="28"/>
        </w:rPr>
        <w:t>，土地用途为</w:t>
      </w:r>
      <w:r>
        <w:rPr>
          <w:rFonts w:hint="eastAsia" w:ascii="Arial" w:hAnsi="Arial" w:eastAsia="仿宋_GB2312" w:cs="Arial"/>
          <w:sz w:val="28"/>
          <w:szCs w:val="28"/>
        </w:rPr>
        <w:t>住宅、商业、地下商业、地下车库、地下综合、地下仓储</w:t>
      </w:r>
      <w:r>
        <w:rPr>
          <w:rFonts w:hint="eastAsia" w:ascii="Arial" w:hAnsi="Arial" w:eastAsia="仿宋_GB2312" w:cs="Arial"/>
          <w:sz w:val="28"/>
        </w:rPr>
        <w:t>；</w:t>
      </w:r>
      <w:r>
        <w:rPr>
          <w:rFonts w:ascii="Arial" w:hAnsi="Arial" w:eastAsia="仿宋_GB2312" w:cs="Arial"/>
          <w:sz w:val="28"/>
        </w:rPr>
        <w:t>批准使用年限为</w:t>
      </w:r>
      <w:r>
        <w:rPr>
          <w:rFonts w:hint="eastAsia" w:ascii="Arial" w:hAnsi="Arial" w:eastAsia="仿宋_GB2312" w:cs="Arial"/>
          <w:sz w:val="28"/>
        </w:rPr>
        <w:t>住宅70年，</w:t>
      </w:r>
      <w:r>
        <w:rPr>
          <w:rFonts w:ascii="Arial" w:hAnsi="Arial" w:eastAsia="仿宋_GB2312" w:cs="Arial"/>
          <w:sz w:val="28"/>
        </w:rPr>
        <w:t>商业</w:t>
      </w:r>
      <w:r>
        <w:rPr>
          <w:rFonts w:hint="eastAsia" w:ascii="Arial" w:hAnsi="Arial" w:eastAsia="仿宋_GB2312" w:cs="Arial"/>
          <w:sz w:val="28"/>
        </w:rPr>
        <w:t>、地下商业40年，地下车库、地下综合、地下仓储50年；住宅</w:t>
      </w:r>
      <w:r>
        <w:rPr>
          <w:rFonts w:ascii="Arial" w:hAnsi="Arial" w:eastAsia="仿宋_GB2312" w:cs="Arial"/>
          <w:sz w:val="28"/>
        </w:rPr>
        <w:t>终止日期为</w:t>
      </w:r>
      <w:r>
        <w:rPr>
          <w:rFonts w:hint="eastAsia" w:ascii="Arial" w:hAnsi="Arial" w:eastAsia="仿宋_GB2312" w:cs="Arial"/>
          <w:sz w:val="28"/>
        </w:rPr>
        <w:t>2074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日，商业</w:t>
      </w:r>
      <w:r>
        <w:rPr>
          <w:rFonts w:hint="eastAsia" w:ascii="Arial" w:hAnsi="Arial" w:eastAsia="仿宋_GB2312" w:cs="Arial"/>
          <w:sz w:val="28"/>
        </w:rPr>
        <w:t>、地下商业</w:t>
      </w:r>
      <w:r>
        <w:rPr>
          <w:rFonts w:ascii="Arial" w:hAnsi="Arial" w:eastAsia="仿宋_GB2312" w:cs="Arial"/>
          <w:sz w:val="28"/>
        </w:rPr>
        <w:t>终止日期为</w:t>
      </w:r>
      <w:r>
        <w:rPr>
          <w:rFonts w:hint="eastAsia" w:ascii="Arial" w:hAnsi="Arial" w:eastAsia="仿宋_GB2312" w:cs="Arial"/>
          <w:sz w:val="28"/>
        </w:rPr>
        <w:t>2044</w:t>
      </w:r>
      <w:r>
        <w:rPr>
          <w:rFonts w:ascii="Arial" w:hAnsi="Arial" w:eastAsia="仿宋_GB2312" w:cs="Arial"/>
          <w:sz w:val="28"/>
        </w:rPr>
        <w:t>年</w:t>
      </w:r>
      <w:r>
        <w:rPr>
          <w:rFonts w:hint="eastAsia" w:ascii="Arial" w:hAnsi="Arial" w:eastAsia="仿宋_GB2312" w:cs="Arial"/>
          <w:sz w:val="28"/>
        </w:rPr>
        <w:t>8</w:t>
      </w:r>
      <w:r>
        <w:rPr>
          <w:rFonts w:ascii="Arial" w:hAnsi="Arial" w:eastAsia="仿宋_GB2312" w:cs="Arial"/>
          <w:sz w:val="28"/>
        </w:rPr>
        <w:t>月</w:t>
      </w:r>
      <w:r>
        <w:rPr>
          <w:rFonts w:hint="eastAsia" w:ascii="Arial" w:hAnsi="Arial" w:eastAsia="仿宋_GB2312" w:cs="Arial"/>
          <w:sz w:val="28"/>
        </w:rPr>
        <w:t>30</w:t>
      </w:r>
      <w:r>
        <w:rPr>
          <w:rFonts w:ascii="Arial" w:hAnsi="Arial" w:eastAsia="仿宋_GB2312" w:cs="Arial"/>
          <w:sz w:val="28"/>
        </w:rPr>
        <w:t>日，</w:t>
      </w:r>
      <w:r>
        <w:rPr>
          <w:rFonts w:hint="eastAsia" w:ascii="Arial" w:hAnsi="Arial" w:eastAsia="仿宋_GB2312" w:cs="Arial"/>
          <w:sz w:val="28"/>
        </w:rPr>
        <w:t>地下车库、地下综合、地下仓储用途土地使用期限至2054年8月30日</w:t>
      </w:r>
      <w:r>
        <w:rPr>
          <w:rFonts w:ascii="Arial" w:hAnsi="Arial" w:eastAsia="仿宋_GB2312" w:cs="Arial"/>
          <w:sz w:val="28"/>
        </w:rPr>
        <w:t>。</w:t>
      </w:r>
      <w:r>
        <w:rPr>
          <w:rFonts w:hint="eastAsia" w:ascii="Arial" w:hAnsi="Arial" w:eastAsia="仿宋_GB2312" w:cs="Arial"/>
          <w:sz w:val="28"/>
        </w:rPr>
        <w:t>根据估价目的及本次拟补充出让内容，</w:t>
      </w:r>
      <w:r>
        <w:rPr>
          <w:rFonts w:ascii="Arial" w:hAnsi="Arial" w:eastAsia="仿宋_GB2312" w:cs="Arial"/>
          <w:sz w:val="28"/>
        </w:rPr>
        <w:t>本次评估设定</w:t>
      </w: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土地剩余使用年限为</w:t>
      </w:r>
      <w:r>
        <w:rPr>
          <w:rFonts w:hint="eastAsia" w:ascii="Arial" w:hAnsi="Arial" w:eastAsia="仿宋_GB2312" w:cs="Arial"/>
          <w:sz w:val="28"/>
          <w:szCs w:val="28"/>
        </w:rPr>
        <w:t>50</w:t>
      </w:r>
      <w:r>
        <w:rPr>
          <w:rFonts w:ascii="Arial" w:hAnsi="Arial" w:eastAsia="仿宋_GB2312" w:cs="Arial"/>
          <w:sz w:val="28"/>
          <w:szCs w:val="28"/>
        </w:rPr>
        <w:t>年、地下车库土地剩余使用年限为</w:t>
      </w:r>
      <w:r>
        <w:rPr>
          <w:rFonts w:hint="eastAsia" w:ascii="Arial" w:hAnsi="Arial" w:eastAsia="仿宋_GB2312" w:cs="Arial"/>
          <w:sz w:val="28"/>
          <w:szCs w:val="28"/>
        </w:rPr>
        <w:t>50</w:t>
      </w:r>
      <w:r>
        <w:rPr>
          <w:rFonts w:ascii="Arial" w:hAnsi="Arial" w:eastAsia="仿宋_GB2312" w:cs="Arial"/>
          <w:sz w:val="28"/>
          <w:szCs w:val="28"/>
        </w:rPr>
        <w:t>年</w:t>
      </w:r>
      <w:r>
        <w:rPr>
          <w:rFonts w:ascii="Arial" w:hAnsi="Arial" w:eastAsia="仿宋_GB2312" w:cs="Arial"/>
          <w:sz w:val="28"/>
        </w:rPr>
        <w:t>。规划</w:t>
      </w:r>
      <w:r>
        <w:rPr>
          <w:rFonts w:hint="eastAsia" w:ascii="Arial" w:hAnsi="Arial" w:eastAsia="仿宋_GB2312" w:cs="Arial"/>
          <w:sz w:val="28"/>
        </w:rPr>
        <w:t>总</w:t>
      </w:r>
      <w:r>
        <w:rPr>
          <w:rFonts w:ascii="Arial" w:hAnsi="Arial" w:eastAsia="仿宋_GB2312" w:cs="Arial"/>
          <w:sz w:val="28"/>
        </w:rPr>
        <w:t>建筑面积调整为</w:t>
      </w:r>
      <w:r>
        <w:rPr>
          <w:rFonts w:hint="eastAsia" w:ascii="Arial" w:hAnsi="Arial" w:eastAsia="仿宋_GB2312" w:cs="Arial"/>
          <w:sz w:val="28"/>
        </w:rPr>
        <w:t>106589.13</w:t>
      </w:r>
      <w:r>
        <w:rPr>
          <w:rFonts w:ascii="Arial" w:hAnsi="Arial" w:eastAsia="仿宋_GB2312" w:cs="Arial"/>
          <w:sz w:val="28"/>
        </w:rPr>
        <w:t>平方米，地上规划建筑面积</w:t>
      </w:r>
      <w:r>
        <w:rPr>
          <w:rFonts w:hint="eastAsia" w:ascii="Arial" w:hAnsi="Arial" w:eastAsia="仿宋_GB2312" w:cs="Arial"/>
          <w:sz w:val="28"/>
        </w:rPr>
        <w:t>76806.73</w:t>
      </w:r>
      <w:r>
        <w:rPr>
          <w:rFonts w:ascii="Arial" w:hAnsi="Arial" w:eastAsia="仿宋_GB2312" w:cs="Arial"/>
          <w:sz w:val="28"/>
        </w:rPr>
        <w:t>平方米（其中</w:t>
      </w:r>
      <w:r>
        <w:rPr>
          <w:rFonts w:hint="eastAsia" w:ascii="Arial" w:hAnsi="Arial" w:eastAsia="仿宋_GB2312" w:cs="Arial"/>
          <w:sz w:val="28"/>
        </w:rPr>
        <w:t>住宅56900.25</w:t>
      </w:r>
      <w:r>
        <w:rPr>
          <w:rFonts w:ascii="Arial" w:hAnsi="Arial" w:eastAsia="仿宋_GB2312" w:cs="Arial"/>
          <w:sz w:val="28"/>
        </w:rPr>
        <w:t>平方米，</w:t>
      </w:r>
      <w:r>
        <w:rPr>
          <w:rFonts w:hint="eastAsia" w:ascii="Arial" w:hAnsi="Arial" w:eastAsia="仿宋_GB2312" w:cs="Arial"/>
          <w:sz w:val="28"/>
        </w:rPr>
        <w:t>商业19906.48</w:t>
      </w:r>
      <w:r>
        <w:rPr>
          <w:rFonts w:ascii="Arial" w:hAnsi="Arial" w:eastAsia="仿宋_GB2312" w:cs="Arial"/>
          <w:sz w:val="28"/>
        </w:rPr>
        <w:t>平方米），地下规划建筑面积为</w:t>
      </w:r>
      <w:r>
        <w:rPr>
          <w:rFonts w:hint="eastAsia" w:ascii="Arial" w:hAnsi="Arial" w:eastAsia="仿宋_GB2312" w:cs="Arial"/>
          <w:sz w:val="28"/>
        </w:rPr>
        <w:t>29782.40</w:t>
      </w:r>
      <w:r>
        <w:rPr>
          <w:rFonts w:ascii="Arial" w:hAnsi="Arial" w:eastAsia="仿宋_GB2312" w:cs="Arial"/>
          <w:sz w:val="28"/>
        </w:rPr>
        <w:t>平方米（其中地下</w:t>
      </w:r>
      <w:r>
        <w:rPr>
          <w:rFonts w:hint="eastAsia" w:ascii="Arial" w:hAnsi="Arial" w:eastAsia="仿宋_GB2312" w:cs="Arial"/>
          <w:sz w:val="28"/>
        </w:rPr>
        <w:t>商业1462.22</w:t>
      </w:r>
      <w:r>
        <w:rPr>
          <w:rFonts w:ascii="Arial" w:hAnsi="Arial" w:eastAsia="仿宋_GB2312" w:cs="Arial"/>
          <w:sz w:val="28"/>
        </w:rPr>
        <w:t>平方米，地下</w:t>
      </w:r>
      <w:r>
        <w:rPr>
          <w:rFonts w:hint="eastAsia" w:ascii="Arial" w:hAnsi="Arial" w:eastAsia="仿宋_GB2312" w:cs="Arial"/>
          <w:sz w:val="28"/>
        </w:rPr>
        <w:t>车库16128.87</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仓储8071.81</w:t>
      </w:r>
      <w:r>
        <w:rPr>
          <w:rFonts w:ascii="Arial" w:hAnsi="Arial" w:eastAsia="仿宋_GB2312" w:cs="Arial"/>
          <w:sz w:val="28"/>
        </w:rPr>
        <w:t>平方米</w:t>
      </w:r>
      <w:r>
        <w:rPr>
          <w:rFonts w:hint="eastAsia" w:ascii="Arial" w:hAnsi="Arial" w:eastAsia="仿宋_GB2312" w:cs="Arial"/>
          <w:sz w:val="28"/>
        </w:rPr>
        <w:t>，</w:t>
      </w:r>
      <w:r>
        <w:rPr>
          <w:rFonts w:ascii="Arial" w:hAnsi="Arial" w:eastAsia="仿宋_GB2312" w:cs="Arial"/>
          <w:sz w:val="28"/>
        </w:rPr>
        <w:t>地下</w:t>
      </w:r>
      <w:r>
        <w:rPr>
          <w:rFonts w:hint="eastAsia" w:ascii="Arial" w:hAnsi="Arial" w:eastAsia="仿宋_GB2312" w:cs="Arial"/>
          <w:sz w:val="28"/>
        </w:rPr>
        <w:t>综合327.49</w:t>
      </w:r>
      <w:r>
        <w:rPr>
          <w:rFonts w:ascii="Arial" w:hAnsi="Arial" w:eastAsia="仿宋_GB2312" w:cs="Arial"/>
          <w:sz w:val="28"/>
        </w:rPr>
        <w:t>平方米，非经营性用途</w:t>
      </w:r>
      <w:r>
        <w:rPr>
          <w:rFonts w:hint="eastAsia" w:ascii="Arial" w:hAnsi="Arial" w:eastAsia="仿宋_GB2312" w:cs="Arial"/>
          <w:sz w:val="28"/>
        </w:rPr>
        <w:t>4079.15</w:t>
      </w:r>
      <w:r>
        <w:rPr>
          <w:rFonts w:ascii="Arial" w:hAnsi="Arial" w:eastAsia="仿宋_GB2312" w:cs="Arial"/>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《北京市国有土地使用权出让合同》</w:t>
      </w:r>
      <w:r>
        <w:rPr>
          <w:rFonts w:ascii="Arial" w:hAnsi="Arial" w:eastAsia="仿宋_GB2312" w:cs="Arial"/>
          <w:sz w:val="28"/>
          <w:szCs w:val="28"/>
        </w:rPr>
        <w:t>[</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w:t>
      </w:r>
      <w:r>
        <w:rPr>
          <w:rFonts w:hint="eastAsia" w:ascii="Arial" w:hAnsi="Arial" w:eastAsia="仿宋_GB2312" w:cs="Arial"/>
          <w:sz w:val="28"/>
          <w:szCs w:val="28"/>
        </w:rPr>
        <w:t>，</w:t>
      </w:r>
      <w:r>
        <w:rPr>
          <w:rFonts w:ascii="Arial" w:hAnsi="Arial" w:eastAsia="仿宋_GB2312" w:cs="Arial"/>
          <w:sz w:val="28"/>
        </w:rPr>
        <w:t>估价对象</w:t>
      </w:r>
      <w:r>
        <w:rPr>
          <w:rFonts w:ascii="Arial" w:hAnsi="Arial" w:eastAsia="仿宋_GB2312" w:cs="Arial"/>
          <w:sz w:val="28"/>
          <w:szCs w:val="28"/>
        </w:rPr>
        <w:t>规划调整</w:t>
      </w:r>
      <w:r>
        <w:rPr>
          <w:rFonts w:hint="eastAsia" w:ascii="Arial" w:hAnsi="Arial" w:eastAsia="仿宋_GB2312" w:cs="Arial"/>
          <w:sz w:val="28"/>
          <w:szCs w:val="28"/>
        </w:rPr>
        <w:t>由地下车库用途调整为地下仓储用途</w:t>
      </w:r>
      <w:r>
        <w:rPr>
          <w:rFonts w:ascii="Arial" w:hAnsi="Arial" w:eastAsia="仿宋_GB2312" w:cs="Arial"/>
          <w:sz w:val="28"/>
          <w:szCs w:val="28"/>
        </w:rPr>
        <w:t>出让建筑面积</w:t>
      </w:r>
      <w:r>
        <w:rPr>
          <w:rFonts w:hint="eastAsia" w:ascii="Arial" w:hAnsi="Arial" w:eastAsia="仿宋_GB2312" w:cs="Arial"/>
          <w:sz w:val="28"/>
          <w:szCs w:val="28"/>
        </w:rPr>
        <w:t>5250.25</w:t>
      </w:r>
      <w:r>
        <w:rPr>
          <w:rFonts w:ascii="Arial" w:hAnsi="Arial" w:eastAsia="仿宋_GB2312" w:cs="Arial"/>
          <w:sz w:val="28"/>
          <w:szCs w:val="28"/>
        </w:rPr>
        <w:t>平方米，</w:t>
      </w:r>
      <w:r>
        <w:rPr>
          <w:rFonts w:hint="eastAsia" w:ascii="Arial" w:hAnsi="Arial" w:eastAsia="仿宋_GB2312" w:cs="Arial"/>
          <w:sz w:val="28"/>
          <w:szCs w:val="28"/>
        </w:rPr>
        <w:t>减少地下车库</w:t>
      </w:r>
      <w:r>
        <w:rPr>
          <w:rFonts w:ascii="Arial" w:hAnsi="Arial" w:eastAsia="仿宋_GB2312" w:cs="Arial"/>
          <w:sz w:val="28"/>
          <w:szCs w:val="28"/>
        </w:rPr>
        <w:t>用途出让建筑面积</w:t>
      </w:r>
      <w:r>
        <w:rPr>
          <w:rFonts w:hint="eastAsia" w:ascii="Arial" w:hAnsi="Arial" w:eastAsia="仿宋_GB2312" w:cs="Arial"/>
          <w:sz w:val="28"/>
        </w:rPr>
        <w:t>2994.76</w:t>
      </w:r>
      <w:r>
        <w:rPr>
          <w:rFonts w:ascii="Arial" w:hAnsi="Arial" w:eastAsia="仿宋_GB2312" w:cs="Arial"/>
          <w:sz w:val="28"/>
          <w:szCs w:val="28"/>
        </w:rPr>
        <w:t>平方米</w:t>
      </w:r>
      <w:r>
        <w:rPr>
          <w:rFonts w:ascii="Arial" w:hAnsi="Arial" w:eastAsia="仿宋_GB2312" w:cs="Arial"/>
          <w:sz w:val="28"/>
        </w:rPr>
        <w:t>。</w:t>
      </w:r>
      <w:r>
        <w:rPr>
          <w:rFonts w:ascii="Arial" w:hAnsi="Arial" w:eastAsia="仿宋_GB2312" w:cs="Arial"/>
          <w:sz w:val="28"/>
          <w:szCs w:val="28"/>
        </w:rPr>
        <w:t>经此次签订补充协议，可完善面积调整的出让手续。</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004</w:t>
      </w:r>
      <w:r>
        <w:rPr>
          <w:rFonts w:ascii="Arial" w:hAnsi="Arial" w:eastAsia="仿宋_GB2312" w:cs="Arial"/>
          <w:sz w:val="28"/>
          <w:szCs w:val="28"/>
        </w:rPr>
        <w:t>年</w:t>
      </w:r>
      <w:r>
        <w:rPr>
          <w:rFonts w:hint="eastAsia" w:ascii="Arial" w:hAnsi="Arial" w:eastAsia="仿宋_GB2312" w:cs="Arial"/>
          <w:sz w:val="28"/>
          <w:szCs w:val="28"/>
        </w:rPr>
        <w:t>8</w:t>
      </w:r>
      <w:r>
        <w:rPr>
          <w:rFonts w:ascii="Arial" w:hAnsi="Arial" w:eastAsia="仿宋_GB2312" w:cs="Arial"/>
          <w:sz w:val="28"/>
          <w:szCs w:val="28"/>
        </w:rPr>
        <w:t>月</w:t>
      </w:r>
      <w:r>
        <w:rPr>
          <w:rFonts w:hint="eastAsia" w:ascii="Arial" w:hAnsi="Arial" w:eastAsia="仿宋_GB2312" w:cs="Arial"/>
          <w:sz w:val="28"/>
          <w:szCs w:val="28"/>
        </w:rPr>
        <w:t>31</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w:t>
      </w:r>
      <w:r>
        <w:rPr>
          <w:rFonts w:hint="eastAsia" w:ascii="Arial" w:hAnsi="Arial" w:eastAsia="仿宋_GB2312" w:cs="Arial"/>
          <w:sz w:val="28"/>
          <w:szCs w:val="28"/>
        </w:rPr>
        <w:t>附件</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海淀区清河镇</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商业、住宅、地下车库</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总用地面积：</w:t>
      </w:r>
      <w:r>
        <w:rPr>
          <w:rFonts w:hint="eastAsia" w:ascii="Arial" w:hAnsi="Arial" w:eastAsia="仿宋_GB2312" w:cs="Arial"/>
          <w:sz w:val="28"/>
          <w:szCs w:val="28"/>
        </w:rPr>
        <w:t>18580.37</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128332</w:t>
      </w:r>
      <w:r>
        <w:rPr>
          <w:rFonts w:ascii="Arial" w:hAnsi="Arial" w:eastAsia="仿宋_GB2312" w:cs="Arial"/>
          <w:sz w:val="28"/>
          <w:szCs w:val="28"/>
        </w:rPr>
        <w:t>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81050</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其中住宅：57750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商业：23300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47282平方米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其中地下商业：2350</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地下车库：27186</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4.36</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●2005年8月23日，北京强佑房地产开发有限公司与北京市国土资源局签订《北京市国有土地使用权出让合同》[京地出[合]字（2004）第1251号]补充协议，变更内容如下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将出让合同第三章第6条及附件一第3条所约定的宗地出让面积18580.37平方米，变更为宗地出让面积17767.39平方米。</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2</w:t>
      </w:r>
      <w:r>
        <w:rPr>
          <w:rFonts w:hint="eastAsia" w:ascii="Arial" w:hAnsi="Arial" w:eastAsia="仿宋_GB2312" w:cs="Arial"/>
          <w:sz w:val="28"/>
          <w:szCs w:val="28"/>
        </w:rPr>
        <w:t>014</w:t>
      </w:r>
      <w:r>
        <w:rPr>
          <w:rFonts w:ascii="Arial" w:hAnsi="Arial" w:eastAsia="仿宋_GB2312" w:cs="Arial"/>
          <w:sz w:val="28"/>
          <w:szCs w:val="28"/>
        </w:rPr>
        <w:t>年</w:t>
      </w:r>
      <w:r>
        <w:rPr>
          <w:rFonts w:hint="eastAsia" w:ascii="Arial" w:hAnsi="Arial" w:eastAsia="仿宋_GB2312" w:cs="Arial"/>
          <w:sz w:val="28"/>
          <w:szCs w:val="28"/>
        </w:rPr>
        <w:t>3</w:t>
      </w:r>
      <w:r>
        <w:rPr>
          <w:rFonts w:ascii="Arial" w:hAnsi="Arial" w:eastAsia="仿宋_GB2312" w:cs="Arial"/>
          <w:sz w:val="28"/>
          <w:szCs w:val="28"/>
        </w:rPr>
        <w:t>月</w:t>
      </w:r>
      <w:r>
        <w:rPr>
          <w:rFonts w:hint="eastAsia" w:ascii="Arial" w:hAnsi="Arial" w:eastAsia="仿宋_GB2312" w:cs="Arial"/>
          <w:sz w:val="28"/>
          <w:szCs w:val="28"/>
        </w:rPr>
        <w:t>18</w:t>
      </w:r>
      <w:r>
        <w:rPr>
          <w:rFonts w:ascii="Arial" w:hAnsi="Arial" w:eastAsia="仿宋_GB2312" w:cs="Arial"/>
          <w:sz w:val="28"/>
          <w:szCs w:val="28"/>
        </w:rPr>
        <w:t>日，</w:t>
      </w:r>
      <w:r>
        <w:rPr>
          <w:rFonts w:ascii="Arial" w:hAnsi="Arial" w:eastAsia="仿宋_GB2312" w:cs="Arial"/>
          <w:sz w:val="28"/>
        </w:rPr>
        <w:t>北京强佑房地产开发有限公司</w:t>
      </w:r>
      <w:r>
        <w:rPr>
          <w:rFonts w:ascii="Arial" w:hAnsi="Arial" w:eastAsia="仿宋_GB2312" w:cs="Arial"/>
          <w:sz w:val="28"/>
          <w:szCs w:val="28"/>
        </w:rPr>
        <w:t>与北京市国土资源局签订《北京市国有土地使用权出让合同》[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w:t>
      </w:r>
      <w:r>
        <w:rPr>
          <w:rFonts w:hint="eastAsia" w:ascii="Arial" w:hAnsi="Arial" w:eastAsia="仿宋_GB2312" w:cs="Arial"/>
          <w:sz w:val="28"/>
          <w:szCs w:val="28"/>
        </w:rPr>
        <w:t>补充协议，变更内容如下</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一、将岀让合同所约定的岀让总建筑面积128332平方米，地上建筑面积81050平方米（其中住宅55750平方米、商业23300平方米），地下建筑面积47282平方米（其中地下车库27186平方米、地下商业2350平方米）变更为出让总建筑面积118528.70平方米，地上建筑面积76714.70平方米（其中住宅56682.72平方米，商业20031.98平方米），地下建筑面积41814平方米（其中地下商业1500平方米、地下车库24373.88平方米，地下综合304.5平方米（含综合服务部120平方米、再生资源回收站点15平方米、社区服务中心165平方米、有线电视机房4.5平方米），地下仓储2821.56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二、将岀让合同所约定的土地规划用途变更为：住宅、商业、地下商业、地下车库、地下综合、地下仓储。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三、将出让合同所约定的土地使用权出让年限变更为：住宅柒拾年、商业肆拾年、地下商业肆拾年、地下车库伍拾年、地下综合伍拾年、地下仓储伍拾年。</w:t>
      </w:r>
    </w:p>
    <w:p>
      <w:pPr>
        <w:snapToGrid w:val="0"/>
        <w:spacing w:line="360" w:lineRule="auto"/>
        <w:ind w:firstLine="560" w:firstLineChars="200"/>
        <w:rPr>
          <w:rFonts w:ascii="Arial" w:hAnsi="Arial" w:eastAsia="仿宋_GB2312" w:cs="Arial"/>
          <w:sz w:val="28"/>
          <w:szCs w:val="28"/>
        </w:rPr>
      </w:pPr>
      <w:r>
        <w:rPr>
          <w:rFonts w:hint="eastAsia" w:ascii="等线" w:hAnsi="等线" w:eastAsia="等线" w:cs="Arial"/>
          <w:sz w:val="28"/>
          <w:szCs w:val="28"/>
        </w:rPr>
        <w:t>●</w:t>
      </w:r>
      <w:r>
        <w:rPr>
          <w:rFonts w:ascii="Arial" w:hAnsi="Arial" w:eastAsia="仿宋_GB2312" w:cs="Arial"/>
          <w:sz w:val="28"/>
          <w:szCs w:val="28"/>
        </w:rPr>
        <w:t>根据</w:t>
      </w:r>
      <w:r>
        <w:rPr>
          <w:rFonts w:hint="eastAsia" w:ascii="Arial" w:hAnsi="Arial" w:eastAsia="仿宋_GB2312" w:cs="Arial"/>
          <w:sz w:val="28"/>
        </w:rPr>
        <w:t>《房屋面积测算技术报告书（商品房类使用）》、《房屋登记表》、</w:t>
      </w:r>
      <w:r>
        <w:rPr>
          <w:rFonts w:ascii="Arial" w:hAnsi="Arial" w:eastAsia="仿宋_GB2312" w:cs="Arial"/>
          <w:sz w:val="28"/>
          <w:szCs w:val="28"/>
        </w:rPr>
        <w:t>《</w:t>
      </w:r>
      <w:r>
        <w:rPr>
          <w:rFonts w:hint="eastAsia" w:ascii="Arial" w:hAnsi="Arial" w:eastAsia="仿宋_GB2312" w:cs="Arial"/>
          <w:sz w:val="28"/>
          <w:szCs w:val="28"/>
        </w:rPr>
        <w:t>竣工项目测绘成果说明</w:t>
      </w:r>
      <w:r>
        <w:rPr>
          <w:rFonts w:ascii="Arial" w:hAnsi="Arial" w:eastAsia="仿宋_GB2312" w:cs="Arial"/>
          <w:sz w:val="28"/>
          <w:szCs w:val="28"/>
        </w:rPr>
        <w:t>》</w:t>
      </w:r>
      <w:r>
        <w:rPr>
          <w:rFonts w:hint="eastAsia" w:ascii="Arial" w:hAnsi="Arial" w:eastAsia="仿宋_GB2312" w:cs="Arial"/>
          <w:sz w:val="28"/>
          <w:szCs w:val="28"/>
        </w:rPr>
        <w:t>及</w:t>
      </w:r>
      <w:r>
        <w:rPr>
          <w:rFonts w:ascii="Arial" w:hAnsi="Arial" w:eastAsia="仿宋_GB2312" w:cs="Arial"/>
          <w:sz w:val="28"/>
          <w:szCs w:val="28"/>
        </w:rPr>
        <w:t>《国有建设用地使用权出让地价评估委托书》，本次土地利用情况如下：</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rPr>
        <w:t>北京市海淀区清河嘉园西区1号楼、3号楼、100幢地块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住宅、商业、地下商业、地下车库、地下综合、地下仓储</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宗地</w:t>
      </w:r>
      <w:r>
        <w:rPr>
          <w:rFonts w:ascii="Arial" w:hAnsi="Arial" w:eastAsia="仿宋_GB2312" w:cs="Arial"/>
          <w:sz w:val="28"/>
          <w:szCs w:val="28"/>
        </w:rPr>
        <w:t>面积：</w:t>
      </w:r>
      <w:r>
        <w:rPr>
          <w:rFonts w:hint="eastAsia" w:ascii="Arial" w:hAnsi="Arial" w:eastAsia="仿宋_GB2312" w:cs="Arial"/>
          <w:sz w:val="28"/>
        </w:rPr>
        <w:t>17767.39</w:t>
      </w:r>
      <w:r>
        <w:rPr>
          <w:rFonts w:ascii="Arial" w:hAnsi="Arial" w:eastAsia="仿宋_GB2312" w:cs="Arial"/>
          <w:sz w:val="28"/>
          <w:szCs w:val="28"/>
        </w:rPr>
        <w:t>平方米</w:t>
      </w:r>
      <w:r>
        <w:rPr>
          <w:rFonts w:hint="eastAsia" w:ascii="Arial" w:hAnsi="Arial" w:eastAsia="仿宋_GB2312" w:cs="Arial"/>
          <w:sz w:val="28"/>
          <w:szCs w:val="28"/>
        </w:rPr>
        <w:t>（其中分摊的出让土地面积为15996.99平方米）；</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总建设面积：</w:t>
      </w:r>
      <w:r>
        <w:rPr>
          <w:rFonts w:hint="eastAsia" w:ascii="Arial" w:hAnsi="Arial" w:eastAsia="仿宋_GB2312" w:cs="Arial"/>
          <w:sz w:val="28"/>
          <w:szCs w:val="28"/>
        </w:rPr>
        <w:t>106589.13</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地上建筑面积：</w:t>
      </w:r>
      <w:r>
        <w:rPr>
          <w:rFonts w:hint="eastAsia" w:ascii="Arial" w:hAnsi="Arial" w:eastAsia="仿宋_GB2312" w:cs="Arial"/>
          <w:sz w:val="28"/>
          <w:szCs w:val="28"/>
        </w:rPr>
        <w:t>76806.73</w:t>
      </w:r>
      <w:r>
        <w:rPr>
          <w:rFonts w:ascii="Arial" w:hAnsi="Arial" w:eastAsia="仿宋_GB2312" w:cs="Arial"/>
          <w:sz w:val="28"/>
          <w:szCs w:val="28"/>
        </w:rPr>
        <w:t xml:space="preserve">平方米  </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其中住宅：56900.25</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商业：19906.48</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w:t>
      </w:r>
      <w:r>
        <w:rPr>
          <w:rFonts w:ascii="Arial" w:hAnsi="Arial" w:eastAsia="仿宋_GB2312" w:cs="Arial"/>
          <w:sz w:val="28"/>
          <w:szCs w:val="28"/>
        </w:rPr>
        <w:t>建筑面积：</w:t>
      </w:r>
      <w:r>
        <w:rPr>
          <w:rFonts w:hint="eastAsia" w:ascii="Arial" w:hAnsi="Arial" w:eastAsia="仿宋_GB2312" w:cs="Arial"/>
          <w:sz w:val="28"/>
          <w:szCs w:val="28"/>
        </w:rPr>
        <w:t>29782.40平方米</w:t>
      </w:r>
    </w:p>
    <w:p>
      <w:pPr>
        <w:snapToGrid w:val="0"/>
        <w:spacing w:line="360" w:lineRule="auto"/>
        <w:ind w:firstLine="1680" w:firstLineChars="600"/>
        <w:rPr>
          <w:rFonts w:ascii="Arial" w:hAnsi="Arial" w:eastAsia="仿宋_GB2312" w:cs="Arial"/>
          <w:sz w:val="28"/>
          <w:szCs w:val="28"/>
        </w:rPr>
      </w:pPr>
      <w:r>
        <w:rPr>
          <w:rFonts w:hint="eastAsia" w:ascii="Arial" w:hAnsi="Arial" w:eastAsia="仿宋_GB2312" w:cs="Arial"/>
          <w:sz w:val="28"/>
          <w:szCs w:val="28"/>
        </w:rPr>
        <w:t>其中商业：16128.87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地下车库：16128.87</w:t>
      </w:r>
      <w:r>
        <w:rPr>
          <w:rFonts w:ascii="Arial" w:hAnsi="Arial" w:eastAsia="仿宋_GB2312" w:cs="Arial"/>
          <w:sz w:val="28"/>
          <w:szCs w:val="28"/>
        </w:rPr>
        <w:t>平方米</w:t>
      </w:r>
      <w:r>
        <w:rPr>
          <w:rFonts w:hint="eastAsia" w:ascii="Arial" w:hAnsi="Arial" w:eastAsia="仿宋_GB2312" w:cs="Arial"/>
          <w:sz w:val="28"/>
          <w:szCs w:val="28"/>
        </w:rPr>
        <w:t>；</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再生资源回收站点35.62平方米；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有线电视机房4.73平方米；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非燃品库房8071.81平方米；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水泵房41.11平方米；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变配电室225.47平方米；</w:t>
      </w:r>
    </w:p>
    <w:p>
      <w:pPr>
        <w:snapToGrid w:val="0"/>
        <w:spacing w:line="360" w:lineRule="auto"/>
        <w:ind w:firstLine="2240" w:firstLineChars="800"/>
        <w:rPr>
          <w:rFonts w:ascii="Arial" w:hAnsi="Arial" w:eastAsia="仿宋_GB2312" w:cs="Arial"/>
          <w:sz w:val="28"/>
          <w:szCs w:val="28"/>
        </w:rPr>
      </w:pPr>
      <w:r>
        <w:rPr>
          <w:rFonts w:hint="eastAsia" w:ascii="Arial" w:hAnsi="Arial" w:eastAsia="仿宋_GB2312" w:cs="Arial"/>
          <w:sz w:val="28"/>
          <w:szCs w:val="28"/>
        </w:rPr>
        <w:t>设备用房3812.57平方米；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另有人防建筑面积11509.13平方米，综合服务中心建筑面积120.50平方米，社区服务中心建筑面积166.64平方米不在以上建筑面积内。</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4.32</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w:t>
      </w:r>
      <w:r>
        <w:rPr>
          <w:rFonts w:hint="eastAsia" w:ascii="Arial" w:hAnsi="Arial" w:eastAsia="仿宋_GB2312" w:cs="Arial"/>
          <w:sz w:val="28"/>
          <w:szCs w:val="28"/>
        </w:rPr>
        <w:t>11</w:t>
      </w:r>
      <w:r>
        <w:rPr>
          <w:rFonts w:ascii="Arial" w:hAnsi="Arial" w:eastAsia="仿宋_GB2312" w:cs="Arial"/>
          <w:sz w:val="28"/>
          <w:szCs w:val="28"/>
        </w:rPr>
        <w:t>月</w:t>
      </w:r>
      <w:r>
        <w:rPr>
          <w:rFonts w:hint="eastAsia" w:ascii="Arial" w:hAnsi="Arial" w:eastAsia="仿宋_GB2312" w:cs="Arial"/>
          <w:sz w:val="28"/>
          <w:szCs w:val="28"/>
        </w:rPr>
        <w:t>29</w:t>
      </w:r>
      <w:r>
        <w:rPr>
          <w:rFonts w:ascii="Arial" w:hAnsi="Arial" w:eastAsia="仿宋_GB2312" w:cs="Arial"/>
          <w:sz w:val="28"/>
          <w:szCs w:val="28"/>
        </w:rPr>
        <w:t>日评估专业人员对该项目现场踏勘，</w:t>
      </w:r>
      <w:r>
        <w:rPr>
          <w:rFonts w:hint="eastAsia" w:ascii="Arial" w:hAnsi="Arial" w:eastAsia="仿宋_GB2312" w:cs="Arial"/>
          <w:sz w:val="28"/>
        </w:rPr>
        <w:t>北京市海淀区清河嘉园西区1号楼、3号楼、100幢地块</w:t>
      </w:r>
      <w:r>
        <w:rPr>
          <w:rFonts w:hint="eastAsia" w:ascii="Arial" w:hAnsi="Arial" w:eastAsia="仿宋_GB2312" w:cs="Arial"/>
          <w:sz w:val="28"/>
          <w:szCs w:val="28"/>
        </w:rPr>
        <w:t>项目建筑物已竣工并投入使用</w:t>
      </w:r>
      <w:r>
        <w:rPr>
          <w:rFonts w:ascii="Arial" w:hAnsi="Arial" w:eastAsia="仿宋_GB2312" w:cs="Arial"/>
          <w:sz w:val="28"/>
          <w:szCs w:val="28"/>
        </w:rPr>
        <w:t>。</w:t>
      </w:r>
      <w:r>
        <w:rPr>
          <w:rFonts w:hint="eastAsia" w:ascii="Arial" w:hAnsi="Arial" w:eastAsia="仿宋_GB2312" w:cs="Arial"/>
          <w:sz w:val="28"/>
          <w:szCs w:val="28"/>
        </w:rPr>
        <w:t>估价对象分为海淀区清河嘉园西区1号楼、3号楼、100幢，其中1号楼</w:t>
      </w:r>
      <w:r>
        <w:rPr>
          <w:rFonts w:ascii="Arial" w:hAnsi="Arial" w:eastAsia="仿宋_GB2312" w:cs="Arial"/>
          <w:sz w:val="28"/>
          <w:szCs w:val="28"/>
        </w:rPr>
        <w:t>地上</w:t>
      </w:r>
      <w:r>
        <w:rPr>
          <w:rFonts w:hint="eastAsia" w:ascii="Arial" w:hAnsi="Arial" w:eastAsia="仿宋_GB2312" w:cs="Arial"/>
          <w:sz w:val="28"/>
          <w:szCs w:val="28"/>
        </w:rPr>
        <w:t>24</w:t>
      </w:r>
      <w:r>
        <w:rPr>
          <w:rFonts w:ascii="Arial" w:hAnsi="Arial" w:eastAsia="仿宋_GB2312" w:cs="Arial"/>
          <w:sz w:val="28"/>
          <w:szCs w:val="28"/>
        </w:rPr>
        <w:t>层，</w:t>
      </w:r>
      <w:r>
        <w:rPr>
          <w:rFonts w:hint="eastAsia" w:ascii="Arial" w:hAnsi="Arial" w:eastAsia="仿宋_GB2312" w:cs="Arial"/>
          <w:sz w:val="28"/>
          <w:szCs w:val="28"/>
        </w:rPr>
        <w:t>地下3层，为钢筋混凝土结构高层板楼；地上5层至地上24层为住宅用房，1、4单元为2梯6户，2、3单元为2梯4户，主力户型朝向为南北向和纯南向；地上1层至地上4层为商业用房；地下1层为地下仓储用房；地下2、3层为地下仓储用房及设备用房。3号楼</w:t>
      </w:r>
      <w:r>
        <w:rPr>
          <w:rFonts w:ascii="Arial" w:hAnsi="Arial" w:eastAsia="仿宋_GB2312" w:cs="Arial"/>
          <w:sz w:val="28"/>
          <w:szCs w:val="28"/>
        </w:rPr>
        <w:t>地上</w:t>
      </w:r>
      <w:r>
        <w:rPr>
          <w:rFonts w:hint="eastAsia" w:ascii="Arial" w:hAnsi="Arial" w:eastAsia="仿宋_GB2312" w:cs="Arial"/>
          <w:sz w:val="28"/>
          <w:szCs w:val="28"/>
        </w:rPr>
        <w:t>18</w:t>
      </w:r>
      <w:r>
        <w:rPr>
          <w:rFonts w:ascii="Arial" w:hAnsi="Arial" w:eastAsia="仿宋_GB2312" w:cs="Arial"/>
          <w:sz w:val="28"/>
          <w:szCs w:val="28"/>
        </w:rPr>
        <w:t>层，</w:t>
      </w:r>
      <w:r>
        <w:rPr>
          <w:rFonts w:hint="eastAsia" w:ascii="Arial" w:hAnsi="Arial" w:eastAsia="仿宋_GB2312" w:cs="Arial"/>
          <w:sz w:val="28"/>
          <w:szCs w:val="28"/>
        </w:rPr>
        <w:t>地下3层，为钢筋混凝土结构高层板楼；地上3层至地上18层为住宅用房，1、6单元为1梯6户，2至5单元为1梯2户，主力户型朝向为南北向；地上1层至地上2层为商业用房；地下1层为地下仓储用房；地下2、3层为地下仓储用房及设备用房。100幢</w:t>
      </w:r>
      <w:r>
        <w:rPr>
          <w:rFonts w:ascii="Arial" w:hAnsi="Arial" w:eastAsia="仿宋_GB2312" w:cs="Arial"/>
          <w:sz w:val="28"/>
          <w:szCs w:val="28"/>
        </w:rPr>
        <w:t>地上</w:t>
      </w:r>
      <w:r>
        <w:rPr>
          <w:rFonts w:hint="eastAsia" w:ascii="Arial" w:hAnsi="Arial" w:eastAsia="仿宋_GB2312" w:cs="Arial"/>
          <w:sz w:val="28"/>
          <w:szCs w:val="28"/>
        </w:rPr>
        <w:t>0</w:t>
      </w:r>
      <w:r>
        <w:rPr>
          <w:rFonts w:ascii="Arial" w:hAnsi="Arial" w:eastAsia="仿宋_GB2312" w:cs="Arial"/>
          <w:sz w:val="28"/>
          <w:szCs w:val="28"/>
        </w:rPr>
        <w:t>层，</w:t>
      </w:r>
      <w:r>
        <w:rPr>
          <w:rFonts w:hint="eastAsia" w:ascii="Arial" w:hAnsi="Arial" w:eastAsia="仿宋_GB2312" w:cs="Arial"/>
          <w:sz w:val="28"/>
          <w:szCs w:val="28"/>
        </w:rPr>
        <w:t>地下3层，地下2、3层为地下车库用房及设备用房；</w:t>
      </w:r>
      <w:r>
        <w:rPr>
          <w:rFonts w:ascii="Arial" w:hAnsi="Arial" w:eastAsia="仿宋_GB2312" w:cs="Arial"/>
          <w:sz w:val="28"/>
          <w:szCs w:val="28"/>
        </w:rPr>
        <w:t>根据联系人介绍，宗地红线外基础设施已达到</w:t>
      </w:r>
      <w:r>
        <w:rPr>
          <w:rFonts w:hint="eastAsia" w:ascii="Arial" w:hAnsi="Arial" w:eastAsia="仿宋_GB2312" w:cs="Arial"/>
          <w:sz w:val="28"/>
          <w:szCs w:val="28"/>
        </w:rPr>
        <w:t>“七通”（即通路、通上水、通下水、通电、通讯、通热、通燃气）</w:t>
      </w:r>
      <w:r>
        <w:rPr>
          <w:rFonts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szCs w:val="28"/>
        </w:rPr>
      </w:pPr>
    </w:p>
    <w:p>
      <w:pPr>
        <w:snapToGrid w:val="0"/>
        <w:spacing w:line="360" w:lineRule="auto"/>
        <w:ind w:firstLine="560" w:firstLineChars="200"/>
        <w:jc w:val="both"/>
        <w:rPr>
          <w:rFonts w:ascii="Arial" w:hAnsi="Arial" w:eastAsia="仿宋_GB2312" w:cs="Arial"/>
          <w:sz w:val="28"/>
          <w:szCs w:val="28"/>
        </w:rPr>
      </w:pPr>
    </w:p>
    <w:p>
      <w:pPr>
        <w:spacing w:line="360" w:lineRule="auto"/>
        <w:outlineLvl w:val="1"/>
        <w:rPr>
          <w:rFonts w:ascii="Arial" w:hAnsi="Arial" w:eastAsia="仿宋_GB2312" w:cs="Arial"/>
          <w:b/>
          <w:sz w:val="28"/>
        </w:rPr>
      </w:pPr>
      <w:bookmarkStart w:id="272" w:name="_Toc515457818"/>
      <w:bookmarkStart w:id="273" w:name="_Toc69393401"/>
      <w:bookmarkStart w:id="274" w:name="_Toc66929526"/>
      <w:bookmarkStart w:id="275" w:name="_Toc516488196"/>
      <w:bookmarkStart w:id="276" w:name="_Toc524335100"/>
      <w:r>
        <w:rPr>
          <w:rFonts w:ascii="Arial" w:hAnsi="Arial" w:eastAsia="仿宋_GB2312" w:cs="Arial"/>
          <w:b/>
          <w:sz w:val="28"/>
        </w:rPr>
        <w:t>二、地价影响因素分析</w:t>
      </w:r>
      <w:bookmarkEnd w:id="269"/>
      <w:bookmarkEnd w:id="270"/>
      <w:bookmarkEnd w:id="271"/>
      <w:bookmarkEnd w:id="272"/>
      <w:bookmarkEnd w:id="273"/>
      <w:bookmarkEnd w:id="274"/>
      <w:bookmarkEnd w:id="275"/>
      <w:bookmarkEnd w:id="276"/>
    </w:p>
    <w:p>
      <w:pPr>
        <w:spacing w:line="360" w:lineRule="auto"/>
        <w:jc w:val="both"/>
        <w:rPr>
          <w:rFonts w:ascii="Arial" w:hAnsi="Arial" w:eastAsia="仿宋_GB2312"/>
          <w:sz w:val="28"/>
        </w:rPr>
      </w:pPr>
      <w:bookmarkStart w:id="277" w:name="_Toc416783599"/>
      <w:bookmarkStart w:id="278" w:name="_Toc516488204"/>
      <w:bookmarkStart w:id="279" w:name="_Toc515457822"/>
      <w:bookmarkStart w:id="280" w:name="_Toc469066168"/>
      <w:bookmarkStart w:id="281" w:name="_Toc416783695"/>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hint="eastAsia" w:ascii="Arial" w:hAnsi="Arial" w:eastAsia="仿宋_GB2312"/>
          <w:bCs/>
          <w:sz w:val="28"/>
          <w:szCs w:val="28"/>
        </w:rPr>
        <w:t>1.城市资源状况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2020年10月末，北京市常住人口为2189.3万人，从年龄构成看，0-14岁常住人口259.1万人，占全市常住人口的比重为11.9%；15-59岁常住人口1500.3万人，占68.5%；60岁及以上常住人口429.9万人，占19.6%。</w:t>
      </w:r>
    </w:p>
    <w:p>
      <w:pPr>
        <w:overflowPunct w:val="0"/>
        <w:spacing w:line="360" w:lineRule="auto"/>
        <w:jc w:val="center"/>
        <w:textAlignment w:val="auto"/>
        <w:rPr>
          <w:rFonts w:ascii="Arial" w:hAnsi="Arial" w:eastAsia="仿宋_GB2312"/>
          <w:b/>
          <w:bCs/>
          <w:szCs w:val="24"/>
        </w:rPr>
      </w:pPr>
      <w:r>
        <w:rPr>
          <w:rFonts w:hint="eastAsia" w:ascii="Arial" w:hAnsi="Arial" w:eastAsia="仿宋_GB2312"/>
          <w:b/>
          <w:bCs/>
          <w:szCs w:val="24"/>
        </w:rPr>
        <w:t>2016-2020年常住人口增量及增长速度</w:t>
      </w:r>
    </w:p>
    <w:p>
      <w:pPr>
        <w:widowControl/>
        <w:adjustRightInd/>
        <w:spacing w:line="375" w:lineRule="atLeast"/>
        <w:jc w:val="center"/>
        <w:textAlignment w:val="auto"/>
        <w:rPr>
          <w:rFonts w:ascii="宋体" w:hAnsi="宋体" w:cs="宋体"/>
          <w:sz w:val="21"/>
          <w:szCs w:val="21"/>
        </w:rPr>
      </w:pPr>
      <w:r>
        <w:drawing>
          <wp:inline distT="0" distB="0" distL="114300" distR="114300">
            <wp:extent cx="5427345" cy="2609215"/>
            <wp:effectExtent l="4445" t="4445" r="16510" b="1524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2.房地产市场状况</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（1）土地市场</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1）土地供求情况</w:t>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前三季度北京商品住宅用地（含共有产权房）共推出80宗，累计供应规划建面934.22万平方米，同比增长73%，供应总量已达近五年次高位的水平；受二批集中供地入市节点影响，前三季度北京宅地成交规模不及去年同期，累计成交37宗商品住宅用地（含共有产权房），成交规划建面436.88万平方米，同比减少16%，但成交总量已达2020年成交规模的72%。</w:t>
      </w:r>
    </w:p>
    <w:p>
      <w:pPr>
        <w:widowControl/>
        <w:overflowPunct w:val="0"/>
        <w:adjustRightInd/>
        <w:spacing w:line="480" w:lineRule="auto"/>
        <w:jc w:val="center"/>
        <w:textAlignment w:val="auto"/>
        <w:rPr>
          <w:rFonts w:ascii="Arial" w:hAnsi="Arial"/>
          <w:color w:val="984806"/>
          <w:sz w:val="21"/>
          <w:szCs w:val="21"/>
        </w:rPr>
      </w:pPr>
      <w:r>
        <w:drawing>
          <wp:inline distT="0" distB="0" distL="114300" distR="114300">
            <wp:extent cx="5902325" cy="1496060"/>
            <wp:effectExtent l="0" t="0" r="317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3"/>
                    <a:stretch>
                      <a:fillRect/>
                    </a:stretch>
                  </pic:blipFill>
                  <pic:spPr>
                    <a:xfrm>
                      <a:off x="0" y="0"/>
                      <a:ext cx="5902325" cy="1496060"/>
                    </a:xfrm>
                    <a:prstGeom prst="rect">
                      <a:avLst/>
                    </a:prstGeom>
                    <a:noFill/>
                    <a:ln>
                      <a:noFill/>
                    </a:ln>
                  </pic:spPr>
                </pic:pic>
              </a:graphicData>
            </a:graphic>
          </wp:inline>
        </w:drawing>
      </w:r>
    </w:p>
    <w:p>
      <w:pPr>
        <w:widowControl/>
        <w:overflowPunct w:val="0"/>
        <w:adjustRightInd/>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 xml:space="preserve">近两年，北京住宅用地成交楼面均价明显上涨，主要原因是2020年为提振市场情绪，北京推出了多宗不限价、优质地块，带动整体成交楼面均价上涨，同时今年首批集中供地大多为主城区，区位优势明显，楼面均价居高位，前三季度北京住宅用地整体成交楼面均价30324元/平方米，同比微增0.1%。成交溢价率方面，前三季度住宅用地成交溢价率约8%，同比减少9个百分点，主要是因为北京严格落实“房地联动、一地一策”机制，并通过两集中多元土拍规则对地价进行严控，使得整体溢价率保持低位。 </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3）区域成交情况</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2021年前三季度近郊六区仍为北京住宅用地成交主力区域，累计成交规模236.01万平方米，占比54%，其中大兴、顺义、通州为成交主力区域，累计成交规模均超50万平方米；中心城区成交规模157.16万平方米，朝阳为成交主力区，累计成交规模94.97万平方米；远郊四区成交规模43.72万平方米，其中怀柔成交规模21.17万平方米，为远郊成交最多区域。另外，受集中供地节点影响，3季度北京仅平谷区成交1宗住宅用地。</w:t>
      </w:r>
    </w:p>
    <w:p>
      <w:pPr>
        <w:spacing w:line="360" w:lineRule="auto"/>
        <w:jc w:val="center"/>
        <w:rPr>
          <w:rFonts w:ascii="Arial" w:hAnsi="Arial" w:eastAsia="仿宋_GB2312"/>
          <w:bCs/>
          <w:color w:val="984806"/>
          <w:sz w:val="28"/>
          <w:szCs w:val="28"/>
        </w:rPr>
      </w:pPr>
      <w:r>
        <w:drawing>
          <wp:inline distT="0" distB="0" distL="114300" distR="114300">
            <wp:extent cx="5909945" cy="1915795"/>
            <wp:effectExtent l="0" t="0" r="1460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4"/>
                    <a:stretch>
                      <a:fillRect/>
                    </a:stretch>
                  </pic:blipFill>
                  <pic:spPr>
                    <a:xfrm>
                      <a:off x="0" y="0"/>
                      <a:ext cx="5909945" cy="191579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4万元/平方米以上，且高于北京整体楼面均价，其中海淀树村成交的2宗宅地楼面价超过6万/平方米。石景山衙门口及北辛安地块，朝阳东坝、金盏、崔各庄宅地，成交楼面均价突破4万元/平方米。从楼面均价变化来看，中心城区的海淀、石景山成交楼面价同比涨幅较大，涨幅均超过40%，丰台成交楼面价同比领跌，跌幅达39%。</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19%，为北京今年以来住宅用地市场竞争最激烈区域，其次为远郊区密云，平均溢价率达15%，但顺义和密云成交总数较少，分别成交3宗和1宗地块。</w:t>
      </w:r>
    </w:p>
    <w:p>
      <w:pPr>
        <w:spacing w:line="360" w:lineRule="auto"/>
        <w:jc w:val="center"/>
        <w:rPr>
          <w:rFonts w:ascii="Arial" w:hAnsi="Arial" w:eastAsia="仿宋_GB2312"/>
          <w:bCs/>
          <w:color w:val="984806"/>
          <w:sz w:val="28"/>
          <w:szCs w:val="28"/>
        </w:rPr>
      </w:pPr>
      <w:r>
        <w:drawing>
          <wp:inline distT="0" distB="0" distL="114300" distR="114300">
            <wp:extent cx="5896610" cy="1857375"/>
            <wp:effectExtent l="0" t="0" r="8890"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5"/>
                    <a:stretch>
                      <a:fillRect/>
                    </a:stretch>
                  </pic:blipFill>
                  <pic:spPr>
                    <a:xfrm>
                      <a:off x="0" y="0"/>
                      <a:ext cx="5896610"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4）集中供地</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截至目前，2021年北京一、二批次已累计供应73宗宅地，累计推出规划建面840.94万平方米，已超2020年全年供应量（648.23万平方米）的30%，合计推出总用地面积约414公顷，已完成2021年北京全年土地供应计划（1060公顷）的39%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30宗上升到此次43宗，环比增长43%；从供应规模来看，二批次供应总量由首批供应的约345万平方米到此次约496万平方米，环比增长约44%，整体供应节奏较首批次明显加快。与首批供地相比，中心城区供地比例下降7个百分点至37%；多点及副中心地区供地比例仍为44%，成为此次集中供地主力区域；远郊生态涵养区供地增多，供应比例较首批土地供应增加7个百分点至19%。</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10%以内，单宗溢价率不高于15%。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ascii="Arial" w:hAnsi="Arial" w:eastAsia="仿宋_GB2312" w:cs="Arial"/>
          <w:bCs/>
          <w:color w:val="000000"/>
          <w:sz w:val="28"/>
          <w:szCs w:val="28"/>
        </w:rPr>
        <w:t>（2）商品房住宅市场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1）商品住宅供给状况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北京商品住宅供应规模同比增幅超一成，为年内单季度供应规模最高季度。3季度初期，北京新房供应保持供应节奏明显放缓，7月新增供应规模不足60万平方米，9月供应节奏明显加快，新取证30个项目，累计供应154.27万平方米，创年内单月供应规模新高。整体来看，3季度累计供应280.54万平，为年内单季度供应规模最高值，同比增长15%。2021年3季度商品住宅市场销供比为0.92，同比上升0.04个点，整体处于供求弱平衡状态。</w:t>
      </w:r>
    </w:p>
    <w:p>
      <w:pPr>
        <w:overflowPunct w:val="0"/>
        <w:spacing w:line="360" w:lineRule="auto"/>
        <w:jc w:val="both"/>
        <w:textAlignment w:val="auto"/>
        <w:rPr>
          <w:color w:val="984806"/>
        </w:rPr>
      </w:pPr>
      <w:r>
        <w:drawing>
          <wp:inline distT="0" distB="0" distL="114300" distR="114300">
            <wp:extent cx="5903595" cy="1836420"/>
            <wp:effectExtent l="0" t="0" r="190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6"/>
                    <a:stretch>
                      <a:fillRect/>
                    </a:stretch>
                  </pic:blipFill>
                  <pic:spPr>
                    <a:xfrm>
                      <a:off x="0" y="0"/>
                      <a:ext cx="5903595" cy="18364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截至9月底，北京商品住宅（不含保障房）库存量为1141.45万平方米，较去年同期微降3%，降幅较2季度扩大2个百分点；3季度商品住宅库存规模相对平稳，库存出清周期维持在12.7个月（9月底出清周期），结构性库存风险仍存在。</w:t>
      </w:r>
    </w:p>
    <w:p>
      <w:pPr>
        <w:overflowPunct w:val="0"/>
        <w:spacing w:line="360" w:lineRule="auto"/>
        <w:jc w:val="center"/>
        <w:textAlignment w:val="auto"/>
        <w:rPr>
          <w:rFonts w:ascii="Arial" w:hAnsi="Arial" w:eastAsia="仿宋_GB2312"/>
          <w:bCs/>
          <w:color w:val="984806"/>
          <w:sz w:val="28"/>
          <w:szCs w:val="28"/>
        </w:rPr>
      </w:pPr>
      <w:r>
        <w:drawing>
          <wp:inline distT="0" distB="0" distL="114300" distR="114300">
            <wp:extent cx="5899785" cy="1819275"/>
            <wp:effectExtent l="0" t="0" r="571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7"/>
                    <a:stretch>
                      <a:fillRect/>
                    </a:stretch>
                  </pic:blipFill>
                  <pic:spPr>
                    <a:xfrm>
                      <a:off x="0" y="0"/>
                      <a:ext cx="5899785" cy="181927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2）商品住宅成交情况</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A.成交量</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北京市山品住宅成交规模保持高位运行，同比增速进一步收窄。3季度北京经济化调控政策进一步推进，在严禁炒作学区房、严格规范市场销售行为、限定离婚购房资格、房贷放款时间延长等多举措共同推动影响下，新房市场情绪逐步回归理性，月度商品住宅成交规模逐步回调，7月、8月单月成交规模环比两连降，3季度累计成交266.07万平，同比增长20%，较上季度收窄69个百分点。</w:t>
      </w:r>
    </w:p>
    <w:p>
      <w:pPr>
        <w:widowControl/>
        <w:overflowPunct w:val="0"/>
        <w:adjustRightInd/>
        <w:spacing w:line="480" w:lineRule="auto"/>
        <w:jc w:val="center"/>
        <w:textAlignment w:val="auto"/>
        <w:rPr>
          <w:rFonts w:ascii="Arial" w:hAnsi="Arial"/>
          <w:bCs/>
          <w:color w:val="984806"/>
          <w:sz w:val="21"/>
          <w:szCs w:val="28"/>
        </w:rPr>
      </w:pPr>
      <w:r>
        <w:drawing>
          <wp:inline distT="0" distB="0" distL="114300" distR="114300">
            <wp:extent cx="5897245" cy="1929130"/>
            <wp:effectExtent l="0" t="0" r="825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8"/>
                    <a:stretch>
                      <a:fillRect/>
                    </a:stretch>
                  </pic:blipFill>
                  <pic:spPr>
                    <a:xfrm>
                      <a:off x="0" y="0"/>
                      <a:ext cx="5897245" cy="1929130"/>
                    </a:xfrm>
                    <a:prstGeom prst="rect">
                      <a:avLst/>
                    </a:prstGeom>
                    <a:noFill/>
                    <a:ln>
                      <a:noFill/>
                    </a:ln>
                  </pic:spPr>
                </pic:pic>
              </a:graphicData>
            </a:graphic>
          </wp:inline>
        </w:drawing>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w:t>
      </w:r>
      <w:r>
        <w:rPr>
          <w:rFonts w:hint="eastAsia"/>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a.成交价格</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价格涨幅明显收窄，处近三年同期低位。伴随不限价地块项目逐步入市、改善型项目成交不断增加，新建商品住宅价格结构性小幅上涨。整体来看，3季度北京新建商品住宅价格为44168元/平方米，累计上涨0.52%，但在政策严控、房地联动、设置上限指导价格等多因素综合影响下，3季度价格涨幅明显收窄，较2季度收窄0.21个百分点，累计涨幅处近三年同期低位。</w:t>
      </w:r>
    </w:p>
    <w:p>
      <w:pPr>
        <w:overflowPunct w:val="0"/>
        <w:spacing w:line="480" w:lineRule="auto"/>
        <w:jc w:val="center"/>
        <w:textAlignment w:val="auto"/>
        <w:rPr>
          <w:rFonts w:ascii="Arial" w:hAnsi="Arial"/>
          <w:color w:val="984806"/>
          <w:sz w:val="21"/>
          <w:szCs w:val="28"/>
        </w:rPr>
      </w:pPr>
      <w:r>
        <w:drawing>
          <wp:inline distT="0" distB="0" distL="114300" distR="114300">
            <wp:extent cx="5902960" cy="1722120"/>
            <wp:effectExtent l="0" t="0" r="2540"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9"/>
                    <a:stretch>
                      <a:fillRect/>
                    </a:stretch>
                  </pic:blipFill>
                  <pic:spPr>
                    <a:xfrm>
                      <a:off x="0" y="0"/>
                      <a:ext cx="5902960" cy="1722120"/>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b.成交结构</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季度商品住宅成交面积段主要集中在80-90平方米，成交套数占比30%，市场成交整体仍以90平方米以下刚需产品为主；成交总价段主要集中在300-500万总价段，成交套数占比34%，整体仍以总价500万以下产品为主。改善型需求逐步释放，叠加不限价地块项目入市、改善型产品供应改善影响，新房成交逐步向中高面积段转移，中高面积段产品成交占比提升5.7个百分点；成交总价段向高价位产品上移，成交套数占比提升2.9个百分点。</w:t>
      </w:r>
    </w:p>
    <w:p>
      <w:pPr>
        <w:tabs>
          <w:tab w:val="left" w:pos="426"/>
        </w:tabs>
        <w:overflowPunct w:val="0"/>
        <w:spacing w:line="360" w:lineRule="auto"/>
        <w:jc w:val="center"/>
        <w:textAlignment w:val="auto"/>
        <w:rPr>
          <w:rFonts w:ascii="Arial" w:hAnsi="Arial" w:eastAsia="仿宋_GB2312"/>
          <w:bCs/>
          <w:color w:val="984806"/>
          <w:sz w:val="28"/>
          <w:szCs w:val="28"/>
        </w:rPr>
      </w:pPr>
      <w:r>
        <w:drawing>
          <wp:inline distT="0" distB="0" distL="114300" distR="114300">
            <wp:extent cx="5910580" cy="1847215"/>
            <wp:effectExtent l="0" t="0" r="13970" b="63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50"/>
                    <a:stretch>
                      <a:fillRect/>
                    </a:stretch>
                  </pic:blipFill>
                  <pic:spPr>
                    <a:xfrm>
                      <a:off x="0" y="0"/>
                      <a:ext cx="5910580" cy="1847215"/>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C.区域成交</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2021年3季度近郊六区累计成交161.61万平方米，占比达58.7%；其中，顺义、大兴等区域累计成交均超过40万平方米，分列北京各区销售规模第一、第二位。</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2021年3季度中心城区商品住宅（不含保障房）成交均价最高，其中东、西城成交均价最高，均超100000元/平方米，远郊区整体成交均价最低，其中密云成交均价最低，3季度成交均价不足15000元/平方米。2021年3季度中心城区商品住宅成交均价同比涨幅最大，其中东、西城成交价格同比涨幅均超过70%，涨幅居全市前二；近郊区成交均价同比增长5%，其中，大兴、顺义成交均价同比降幅较大，均在15%及以上。</w:t>
      </w:r>
    </w:p>
    <w:p>
      <w:pPr>
        <w:widowControl/>
        <w:adjustRightInd/>
        <w:spacing w:line="360" w:lineRule="auto"/>
        <w:jc w:val="both"/>
        <w:textAlignment w:val="auto"/>
        <w:rPr>
          <w:rFonts w:ascii="Arial" w:hAnsi="Arial" w:eastAsia="仿宋_GB2312" w:cs="Arial"/>
          <w:bCs/>
          <w:color w:val="984806"/>
          <w:sz w:val="28"/>
          <w:szCs w:val="28"/>
        </w:rPr>
      </w:pPr>
      <w:r>
        <w:drawing>
          <wp:inline distT="0" distB="0" distL="114300" distR="114300">
            <wp:extent cx="5903595" cy="2011680"/>
            <wp:effectExtent l="0" t="0" r="1905" b="762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1"/>
                    <a:stretch>
                      <a:fillRect/>
                    </a:stretch>
                  </pic:blipFill>
                  <pic:spPr>
                    <a:xfrm>
                      <a:off x="0" y="0"/>
                      <a:ext cx="5903595" cy="201168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（3）存量房住宅市场</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1）市场运行状况</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严格落实学区房政策，并严禁学区房炒作，加上二手房贷款审批相对新房更为严苛、放款周期延长、二套首付60%或80%等因素影响，二手房市场观望情绪增加，整体市场成交规模明显回调。整体来看，3季度二手房累计成交4.59万套，环比下降19%，同比下降7%。</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3季度北京二手房成交均价约为73009元/平方米，同比增长2.81%，较2季度涨幅收窄0.62个百分点。单月来看，在信贷收紧、监管趋严、新房增加等综合影响下，3季度单月二手房价格环比涨幅持续收窄，9月环比涨幅0.79%，较上月收窄0.2个百分点。</w:t>
      </w:r>
    </w:p>
    <w:p>
      <w:pPr>
        <w:tabs>
          <w:tab w:val="left" w:pos="426"/>
        </w:tabs>
        <w:overflowPunct w:val="0"/>
        <w:spacing w:line="360" w:lineRule="auto"/>
        <w:jc w:val="both"/>
        <w:textAlignment w:val="auto"/>
        <w:rPr>
          <w:rFonts w:ascii="Arial" w:hAnsi="Arial" w:eastAsia="仿宋_GB2312"/>
          <w:bCs/>
          <w:color w:val="984806"/>
          <w:sz w:val="28"/>
          <w:szCs w:val="28"/>
        </w:rPr>
      </w:pPr>
      <w:r>
        <w:drawing>
          <wp:inline distT="0" distB="0" distL="114300" distR="114300">
            <wp:extent cx="5910580" cy="1570355"/>
            <wp:effectExtent l="0" t="0" r="13970" b="1079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52"/>
                    <a:stretch>
                      <a:fillRect/>
                    </a:stretch>
                  </pic:blipFill>
                  <pic:spPr>
                    <a:xfrm>
                      <a:off x="0" y="0"/>
                      <a:ext cx="5910580" cy="1570355"/>
                    </a:xfrm>
                    <a:prstGeom prst="rect">
                      <a:avLst/>
                    </a:prstGeom>
                    <a:noFill/>
                    <a:ln>
                      <a:noFill/>
                    </a:ln>
                  </pic:spPr>
                </pic:pic>
              </a:graphicData>
            </a:graphic>
          </wp:inline>
        </w:drawing>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2）各区县统计</w:t>
      </w:r>
    </w:p>
    <w:p>
      <w:pPr>
        <w:tabs>
          <w:tab w:val="left" w:pos="426"/>
        </w:tabs>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分区域来看，3季度西城成交价格最高，达116668元/平方米，其次为东城区，为100346元/平方米；朝阳二手房成交规模较大，成交面积超过110万平方米，居各区第一位；3季度除丰台、东城、大兴外，其余各区县二手房成交规模同比均呈下降态势，密云成交规模同比领跌，跌幅超50%。</w:t>
      </w:r>
    </w:p>
    <w:p>
      <w:pPr>
        <w:tabs>
          <w:tab w:val="left" w:pos="426"/>
        </w:tabs>
        <w:overflowPunct w:val="0"/>
        <w:spacing w:line="360" w:lineRule="auto"/>
        <w:jc w:val="center"/>
        <w:textAlignment w:val="auto"/>
        <w:rPr>
          <w:color w:val="984806"/>
        </w:rPr>
      </w:pPr>
      <w:r>
        <w:drawing>
          <wp:inline distT="0" distB="0" distL="114300" distR="114300">
            <wp:extent cx="5907405" cy="2273300"/>
            <wp:effectExtent l="0" t="0" r="17145" b="1270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53"/>
                    <a:stretch>
                      <a:fillRect/>
                    </a:stretch>
                  </pic:blipFill>
                  <pic:spPr>
                    <a:xfrm>
                      <a:off x="0" y="0"/>
                      <a:ext cx="5907405" cy="2273300"/>
                    </a:xfrm>
                    <a:prstGeom prst="rect">
                      <a:avLst/>
                    </a:prstGeom>
                    <a:noFill/>
                    <a:ln>
                      <a:noFill/>
                    </a:ln>
                  </pic:spPr>
                </pic:pic>
              </a:graphicData>
            </a:graphic>
          </wp:inline>
        </w:drawing>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（4）产业政策</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政府工作报告中，关于房地产调控内容整体延续了往年提法，除了“房住不炒”外，“稳地价、稳房价、稳预期”目标亦写入政府工作报告，2021年“房住不炒”总基调不变，短期调控政策仍将保持连续性和稳定性，整个政策环境的松紧程度仍将体现在因城施策方面。</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2021年2月底，按照自然资源部住宅用地分类调控文件要求，22个重点城市实现“两集中”，2021年发布住宅用地公告不能超过3次。</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13日，全国人大通过《中华人民共和国国民经济和社会发展第十四个五年规划和2035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2016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6月1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2021年9月24日，中国人民银行货币政策委员会召开2021年第三季度例会。会议指出，维护房地产市场的健康发展，维护住房消费者的合法权益。</w:t>
      </w:r>
    </w:p>
    <w:p>
      <w:pPr>
        <w:overflowPunct w:val="0"/>
        <w:spacing w:line="360" w:lineRule="auto"/>
        <w:ind w:firstLine="703" w:firstLineChars="250"/>
        <w:jc w:val="both"/>
        <w:textAlignment w:val="auto"/>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2021年1月5日，北京市住建委等部门联合印发了《关于进一步加强全市集体土地租赁住房规划建设管理的意见》。</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1月13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2021年2月20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日，北京发布《关于规范本市住房租赁企业经营活动的通知》，住房租赁企业向承租人预收的租金数额原则上不得超过3个月租金，收、付租金的周期应当匹配；住房租赁企业向承租人收取的押金应当通过北京房地产中介行业协会建立的专用账户托管，收取的押金数额不得超过1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2月22日，北京市住建委发布《北京市共有产权住房规划设计宜居建设导则（2020年修订版）》（征求意见稿），对共有产权房的项目选址和套型面积等11个方面作出新的修订。与原文件相比，修订版不仅放宽了中心城区共有产权房的套型面积上限，且对于城六区以外的其他区，允许开发建设单位按市场调查合理确定共有产权房项目中大套型的比例。此次层数+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9日，北京发改委及规自委联合发布《北京市2021年度建设用地供地计划》。2021年度安排建设用地供应总量与2020年持平，住宅用地计划供应量较2020年供应计划增加60公顷，并且土地供应更像租赁住宅倾斜，占比由2020年的13%提高到30%。未来北京将继续大力发展租赁住房，积极解决来京人员的租住问题。</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3月23日，北京银保监局发布消息称，涉嫌违规流入北京房地产市场的个人经营性贷款金额约3.4亿元，约占经营贷自查业务总量的0.35%。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4家银行的行政处罚立案程序和调查取证工作。</w:t>
      </w:r>
    </w:p>
    <w:p>
      <w:pPr>
        <w:overflowPunct w:val="0"/>
        <w:spacing w:line="360" w:lineRule="auto"/>
        <w:ind w:firstLine="700" w:firstLineChars="25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4月22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textAlignment w:val="auto"/>
        <w:rPr>
          <w:rFonts w:ascii="Arial" w:hAnsi="Arial" w:eastAsia="仿宋_GB2312"/>
          <w:bCs/>
          <w:color w:val="000000"/>
          <w:sz w:val="28"/>
          <w:szCs w:val="28"/>
        </w:rPr>
      </w:pPr>
      <w:r>
        <w:rPr>
          <w:rFonts w:hint="eastAsia" w:ascii="Arial" w:hAnsi="Arial" w:eastAsia="仿宋_GB2312"/>
          <w:bCs/>
          <w:color w:val="000000"/>
          <w:sz w:val="28"/>
          <w:szCs w:val="28"/>
        </w:rPr>
        <w:t>2021年8月5日，北京市住建委发布《关于进一步完善商品住房限购政策的公告》，明确自8月5日起，夫妻离异的，原家庭在离异前拥有住房套数不符合本市商品住房限购政策规定的，自离异之日起3年内，任何一方均不得在本市购买商品住房。</w:t>
      </w:r>
    </w:p>
    <w:p>
      <w:pPr>
        <w:spacing w:line="360" w:lineRule="auto"/>
        <w:ind w:firstLine="560" w:firstLineChars="200"/>
        <w:rPr>
          <w:rFonts w:ascii="Arial" w:hAnsi="Arial" w:eastAsia="仿宋_GB2312"/>
          <w:bCs/>
          <w:color w:val="000000"/>
          <w:sz w:val="28"/>
          <w:szCs w:val="28"/>
        </w:rPr>
      </w:pPr>
      <w:r>
        <w:rPr>
          <w:rFonts w:hint="eastAsia" w:ascii="Arial" w:hAnsi="Arial" w:eastAsia="仿宋_GB2312"/>
          <w:bCs/>
          <w:color w:val="000000"/>
          <w:sz w:val="28"/>
          <w:szCs w:val="28"/>
        </w:rPr>
        <w:t>2021年8月16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textAlignment w:val="auto"/>
        <w:rPr>
          <w:rFonts w:ascii="Arial" w:hAnsi="Arial" w:eastAsia="仿宋_GB2312" w:cs="Arial"/>
          <w:bCs/>
          <w:color w:val="000000"/>
          <w:sz w:val="28"/>
          <w:szCs w:val="28"/>
        </w:rPr>
      </w:pPr>
      <w:r>
        <w:rPr>
          <w:rFonts w:hint="eastAsia" w:ascii="Arial" w:hAnsi="Arial" w:eastAsia="仿宋_GB2312" w:cs="Arial"/>
          <w:bCs/>
          <w:color w:val="000000"/>
          <w:sz w:val="28"/>
          <w:szCs w:val="28"/>
        </w:rPr>
        <w:t>（5）未来市场预期</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9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3.城市规划与发展目标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1.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2.</w:t>
      </w:r>
      <w:r>
        <w:rPr>
          <w:rFonts w:ascii="Arial" w:hAnsi="Arial" w:eastAsia="仿宋_GB2312"/>
          <w:bCs/>
          <w:sz w:val="28"/>
          <w:szCs w:val="28"/>
        </w:rPr>
        <w:t>突破怀柔科学城</w:t>
      </w:r>
      <w:r>
        <w:rPr>
          <w:rFonts w:hint="eastAsia" w:ascii="Arial" w:hAnsi="Arial" w:eastAsia="仿宋_GB2312"/>
          <w:bCs/>
          <w:sz w:val="28"/>
          <w:szCs w:val="28"/>
        </w:rPr>
        <w:t>，</w:t>
      </w:r>
      <w:r>
        <w:rPr>
          <w:rFonts w:ascii="Arial" w:hAnsi="Arial" w:eastAsia="仿宋_GB2312"/>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hint="eastAsia" w:ascii="Arial" w:hAnsi="Arial" w:eastAsia="仿宋_GB2312"/>
          <w:bCs/>
          <w:sz w:val="28"/>
          <w:szCs w:val="28"/>
        </w:rPr>
        <w:t>，</w:t>
      </w:r>
      <w:r>
        <w:rPr>
          <w:rFonts w:ascii="Arial" w:hAnsi="Arial" w:eastAsia="仿宋_GB2312"/>
          <w:bCs/>
          <w:sz w:val="28"/>
          <w:szCs w:val="28"/>
        </w:rPr>
        <w:t>布局雁栖小镇等重大项目，推进雁栖国际人才社区建设，完善多类型分层次住房保障体系。</w:t>
      </w:r>
      <w:r>
        <w:rPr>
          <w:rFonts w:hint="eastAsia" w:ascii="Arial" w:hAnsi="Arial" w:eastAsia="仿宋_GB2312"/>
          <w:bCs/>
          <w:sz w:val="28"/>
          <w:szCs w:val="28"/>
        </w:rPr>
        <w:t>3.</w:t>
      </w:r>
      <w:r>
        <w:rPr>
          <w:rFonts w:ascii="Arial" w:hAnsi="Arial" w:eastAsia="仿宋_GB2312"/>
          <w:bCs/>
          <w:sz w:val="28"/>
          <w:szCs w:val="28"/>
        </w:rPr>
        <w:t xml:space="preserve"> 搞活未来科学城</w:t>
      </w:r>
      <w:r>
        <w:rPr>
          <w:rFonts w:hint="eastAsia" w:ascii="Arial" w:hAnsi="Arial" w:eastAsia="仿宋_GB2312"/>
          <w:bCs/>
          <w:sz w:val="28"/>
          <w:szCs w:val="28"/>
        </w:rPr>
        <w:t>，</w:t>
      </w:r>
      <w:r>
        <w:rPr>
          <w:rFonts w:ascii="Arial" w:hAnsi="Arial" w:eastAsia="仿宋_GB2312"/>
          <w:bCs/>
          <w:sz w:val="28"/>
          <w:szCs w:val="28"/>
        </w:rPr>
        <w:t>依托“两谷一园”，积极营造“龙头企业+中小创新企业 +公共服务平台+高校”的创新生态。加快“能源谷”建设，“一企一策”盘活央企存量资源，加速形成更具活力的创新空间。提 升“生命谷”创新能级，推进生命园三期建设，进一步拓展居住、产业和商业配套空间。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w:t>
      </w:r>
      <w:r>
        <w:rPr>
          <w:rFonts w:ascii="Arial" w:hAnsi="Arial" w:eastAsia="仿宋_GB2312"/>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构建特色与活力兼备的现代化经济体系，探索构建新发展格局的有效路径，激发“两区”新活力，全方位打造“产业+园区”协同开放，优化产业空间布局；</w:t>
      </w:r>
      <w:r>
        <w:rPr>
          <w:rFonts w:ascii="Arial" w:hAnsi="Arial" w:eastAsia="仿宋_GB2312"/>
          <w:bCs/>
          <w:sz w:val="28"/>
          <w:szCs w:val="28"/>
        </w:rPr>
        <w:t>全力建设好国家服务业扩大开放综合示范区和中国(北京)自由贸易试验区</w:t>
      </w:r>
      <w:r>
        <w:rPr>
          <w:rFonts w:hint="eastAsia" w:ascii="Arial" w:hAnsi="Arial" w:eastAsia="仿宋_GB2312"/>
          <w:bCs/>
          <w:sz w:val="28"/>
          <w:szCs w:val="28"/>
        </w:rPr>
        <w:t>。</w:t>
      </w:r>
      <w:r>
        <w:rPr>
          <w:rFonts w:ascii="Arial" w:hAnsi="Arial" w:eastAsia="仿宋_GB2312"/>
          <w:bCs/>
          <w:sz w:val="28"/>
          <w:szCs w:val="28"/>
        </w:rPr>
        <w:t>国家服务业扩大开放综合示范区 突出金融街、丽泽金融商务区、通州文旅区、CBD 等重点园 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w:t>
      </w:r>
      <w:r>
        <w:rPr>
          <w:rFonts w:ascii="Arial" w:hAnsi="Arial" w:eastAsia="仿宋_GB2312"/>
          <w:bCs/>
          <w:sz w:val="28"/>
          <w:szCs w:val="28"/>
        </w:rPr>
        <w:t>大力推进老旧小区改造</w:t>
      </w:r>
      <w:r>
        <w:rPr>
          <w:rFonts w:hint="eastAsia" w:ascii="Arial" w:hAnsi="Arial" w:eastAsia="仿宋_GB2312"/>
          <w:bCs/>
          <w:sz w:val="28"/>
          <w:szCs w:val="28"/>
        </w:rPr>
        <w:t>，</w:t>
      </w:r>
      <w:r>
        <w:rPr>
          <w:rFonts w:ascii="Arial" w:hAnsi="Arial" w:eastAsia="仿宋_GB2312"/>
          <w:bCs/>
          <w:sz w:val="28"/>
          <w:szCs w:val="28"/>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w:t>
      </w:r>
      <w:r>
        <w:rPr>
          <w:rFonts w:ascii="Arial" w:hAnsi="Arial" w:eastAsia="仿宋_GB2312"/>
          <w:bCs/>
          <w:sz w:val="28"/>
          <w:szCs w:val="28"/>
        </w:rPr>
        <w:t>坚持“房住不炒”，完善房地产市场平稳健康发展长效机制，构建与城市功能定位和发展需求相适应的住房体系，努力实现住有所居、居有所安。加大住房有效供给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rPr>
        <w:t>，</w:t>
      </w:r>
      <w:r>
        <w:rPr>
          <w:rFonts w:ascii="Arial" w:hAnsi="Arial" w:eastAsia="仿宋_GB2312"/>
          <w:bCs/>
          <w:sz w:val="28"/>
          <w:szCs w:val="28"/>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rPr>
        <w:t>，</w:t>
      </w:r>
      <w:r>
        <w:rPr>
          <w:rFonts w:ascii="Arial" w:hAnsi="Arial" w:eastAsia="仿宋_GB2312"/>
          <w:bCs/>
          <w:sz w:val="28"/>
          <w:szCs w:val="28"/>
        </w:rPr>
        <w:t>保持调控政策连 续性稳定性，坚决遏制投机炒房，按照“全市统筹、因区施策”原则，逐步完善各区域调控长效机制，合理设定调控目标，全面落实稳地价、稳房价、稳预期。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推进土地要素集约高效配置。建立健全城乡统一的建设用地市场。推广大兴区集体建设用地改革试点经验，稳妥推进集体建设用地入市，健全“村地区管”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预 申请”方式供应，推进标准厂房建设。健全长期租赁、先租后 让、租让结合、弹性出让、作价出资（入股）等制度。推行 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25%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1-3季度北京市实现地区生产总值29753.0亿元，按可比价格计算，同比增长10.7%，比上半年回落2.7个百分点，与2019年同期相比，两年平均增长5.3%，高于上半年0.5个百分点。分产业看，第一产业实现增加值71.3亿元，同比增长0.2%，两年平均下降5.6%；第二产业实现增加值5206.6亿元，同比增长29.4%，两年平均增长13.8%；第三产业实现增加值24475.1亿元，同比增长7.4%，两年平均增长3.7%。</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（1）农业生产稳步发展，休闲农业和乡村旅游持续向好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实现农林牧渔业总产值171.3亿元，按可比价格计算，同比下降0.6%；其中，农业和牧业产值较快增长。实现农业（种植业）产值82.0亿元，同比增长13.8%，蔬菜及食用菌产量104.2万吨，增长27.3%；实现牧业产值34.6亿元，同比增长13.4%，生猪出栏22.0万头、存栏34.2万头，分别增长87.3%和1.1倍。休闲农业和乡村旅游接待人次为1790.4万人次，恢复到2019年同期的68.8%，高于上半年2.7个百分点，实现收入24.0亿元，恢复到2019年同期的近9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（2）</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规模以上工业增加值按可比价格计算，同比增长38.7%，两年平均增长17.7%。重点行业中，医药制造业同比增长3.3倍，两年平均增长1倍；计算机、通信和其他电子设备制造业同比增长21.1%，两年平均增长18.9%；电力、热力生产和供应业同比增长5.6%，两年平均增长5.5%；汽车制造业同比下降6.7%，两年平均下降2.2%。高端产业引领工业发展，高技术制造业、战略性新兴产业增加值同比分别增长1.4倍和1.1倍，两年平均增速达到59.1%和48.8%。</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（3）</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第三产业增加值按可比价格计算，同比增长7.4%，两年平均增长3.7%。其中，信息传输、软件和信息技术服务业实现增加值5090.9亿元，同比增长12.4%，两年平均增长12.6%；金融业、科学研究和技术服务业、批发和零售业分别实现增加值5685.9亿元、2410.3亿元和2141.9亿元，同比分别增长5.0%、2.9%和11.4%，两年平均分别增长6.0%、1.5%和0.9%，两年平均增速比上半年分别提高0.7个、1.0个和0.6个百分点。四个行业对第三产业增长贡献率超过6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（4）</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固定资产投资（不含农户）同比增长7.9%，两年平均增长4.8%。分产业看，第一产业投资同比下降64.0%，两年平均下降45.4%；第二产业投资同比增长35.8%，两年平均增长40.8%；第三产业投资同比增长6.8%，两年平均增长3.3%。分行业看，制造业投资同比增长64.5%，两年平均增长81.3%，其中高技术制造业投资同比增长85.7%，两年平均增长1.1倍；金融业投资同比增长1.2倍，两年平均增长39.3%；社会领域中，卫生和社会工作投资同比增长11.5%，两年平均增长19.6%。分领域看，基础设施投资同比下降6.2%，降幅连续3个月收窄，两年平均下降13.1%，比上半年收窄3.2个百分点；房地产开发投资同比增长10.8%，两年平均增长8.6%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9月末，北京市商品房施工面积13509.5万平方米，同比增长3.4%，其中住宅施工面积6591.6万平方米，增长6.0%。1-3季度，全市商品房销售面积777.4万平方米，同比增长28.2%，两年平均增长15.3%，其中住宅销售面积638.9万平方米，同比增长34.7%，两年平均增长13.6%。</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（5）</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1-3季度，北京市市场总消费额同比增长16.8%，两年平均增长2.4%。其中，服务性消费额同比增长19.2%，两年平均增长4.9%；实现社会消费品零售总额10701.6亿元，同比增长14.0%，两年平均下降0.5%。分商品类别看，限额以上批发和零售业中，与基本生活消费相关的饮料类、服装鞋帽针纺织类商品零售额同比分别增长43.9%和32.3%；与升级类消费相关的文化办公用品类、通讯器材类商品零售额同比分别增长27.9%和21.3%。1-3季度，限额以上批发和零售业、住宿和餐饮业实现网上零售额3614.2亿元，同比增长20.7%，两年平均增长23.0%。</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（6）</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消费价格同比上涨0.8%。其中，消费品价格上涨0.5%，服务价格上涨1.1%。八大类商品和服务项目价格“四升四降”：交通通信类价格上涨4.4%，居住类价格上涨1.0%，教育文化娱乐类价格上涨0.5%，其他用品和服务类价格上涨0.1%；医疗保健类价格下降0.5%,衣着类价格下降0.3%，生活用品及服务类价格下降0.3%，食品烟酒类价格下降0.2%。9月份，居民消费价格同比上涨1.2%，涨幅比上月回落0.2个百分点；环比下降0.1%。</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1-3季度，北京市工业生产者出厂价格同比上涨0.9%，购进价格同比上涨2.6%。9月份，工业生产者出厂价格同比上涨1.6%，环比下降0.1%；购进价格同比上涨6.0%，环比上涨0.9%。</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（7）居民收入稳步增加</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1-3季度，北京市居民人均可支配收入56498元，同比名义增长9.1%，两年平均增长5.7%；扣除价格因素后，同比实际增长8.2%，两年平均增长4.2%。从收入来源看，工资性收入同比名义增长10.8%，经营净收入同比名义增长16.8%，财产净收入同比名义增长8.7%，转移净收入同比名义增长4.4%。</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总的来看，1-3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w:t>
      </w:r>
      <w:r>
        <w:rPr>
          <w:rFonts w:hint="eastAsia" w:ascii="Arial" w:hAnsi="Arial" w:eastAsia="仿宋_GB2312" w:cs="Arial"/>
          <w:bCs/>
          <w:sz w:val="28"/>
          <w:szCs w:val="28"/>
        </w:rPr>
        <w:t>1</w:t>
      </w:r>
      <w:r>
        <w:rPr>
          <w:rFonts w:ascii="Arial" w:hAnsi="Arial" w:eastAsia="仿宋_GB2312" w:cs="Arial"/>
          <w:bCs/>
          <w:sz w:val="28"/>
          <w:szCs w:val="28"/>
        </w:rPr>
        <w:t>年</w:t>
      </w:r>
      <w:r>
        <w:rPr>
          <w:rFonts w:hint="eastAsia" w:ascii="Arial" w:hAnsi="Arial" w:eastAsia="仿宋_GB2312" w:cs="Arial"/>
          <w:bCs/>
          <w:sz w:val="28"/>
          <w:szCs w:val="28"/>
        </w:rPr>
        <w:t>上半年</w:t>
      </w:r>
      <w:r>
        <w:rPr>
          <w:rFonts w:ascii="Arial" w:hAnsi="Arial" w:eastAsia="仿宋_GB2312" w:cs="Arial"/>
          <w:bCs/>
          <w:sz w:val="28"/>
          <w:szCs w:val="28"/>
        </w:rPr>
        <w:t>海淀实现地区生产总值</w:t>
      </w:r>
      <w:r>
        <w:rPr>
          <w:rFonts w:hint="eastAsia" w:ascii="Arial" w:hAnsi="Arial" w:eastAsia="仿宋_GB2312" w:cs="Arial"/>
          <w:bCs/>
          <w:sz w:val="28"/>
          <w:szCs w:val="28"/>
        </w:rPr>
        <w:t>4689.3</w:t>
      </w:r>
      <w:r>
        <w:rPr>
          <w:rFonts w:ascii="Arial" w:hAnsi="Arial" w:eastAsia="仿宋_GB2312" w:cs="Arial"/>
          <w:bCs/>
          <w:sz w:val="28"/>
          <w:szCs w:val="28"/>
        </w:rPr>
        <w:t>亿元，同比增长</w:t>
      </w:r>
      <w:r>
        <w:rPr>
          <w:rFonts w:hint="eastAsia" w:ascii="Arial" w:hAnsi="Arial" w:eastAsia="仿宋_GB2312" w:cs="Arial"/>
          <w:bCs/>
          <w:sz w:val="28"/>
          <w:szCs w:val="28"/>
        </w:rPr>
        <w:t>17</w:t>
      </w:r>
      <w:r>
        <w:rPr>
          <w:rFonts w:ascii="Arial" w:hAnsi="Arial" w:eastAsia="仿宋_GB2312" w:cs="Arial"/>
          <w:bCs/>
          <w:sz w:val="28"/>
          <w:szCs w:val="28"/>
        </w:rPr>
        <w:t>%，</w:t>
      </w:r>
      <w:r>
        <w:rPr>
          <w:rFonts w:hint="eastAsia" w:ascii="Arial" w:hAnsi="Arial" w:eastAsia="仿宋_GB2312" w:cs="Arial"/>
          <w:bCs/>
          <w:sz w:val="28"/>
          <w:szCs w:val="28"/>
        </w:rPr>
        <w:t>两年平均增长9.6%，两年平均增速分别比全国和北京市高出4.3和4.8个百分点，也超过了海淀区2019年的同期水平</w:t>
      </w:r>
      <w:r>
        <w:rPr>
          <w:rFonts w:ascii="Arial" w:hAnsi="Arial" w:eastAsia="仿宋_GB2312" w:cs="Arial"/>
          <w:bCs/>
          <w:sz w:val="28"/>
          <w:szCs w:val="28"/>
        </w:rPr>
        <w:t>。其中，</w:t>
      </w:r>
      <w:r>
        <w:rPr>
          <w:rFonts w:hint="eastAsia" w:ascii="Arial" w:hAnsi="Arial" w:eastAsia="仿宋_GB2312" w:cs="Arial"/>
          <w:bCs/>
          <w:sz w:val="28"/>
          <w:szCs w:val="28"/>
        </w:rPr>
        <w:t>第一产业实现增加值0.8亿元，同比增长64.0%，两年平均增长21.5%；第二产业实现增加值365.2亿元，同比增长28.2%，两年平均增长8.1%；第三产业实现增加值4323.3亿元，同比增长16.1%，两年平均增长9.7%。2021年上半年，海淀区规模以上工业企业累计实现工业总产值1505.0亿元，同比增长46.3%，两年平均增长21.8%</w:t>
      </w:r>
      <w:r>
        <w:rPr>
          <w:rFonts w:ascii="Arial" w:hAnsi="Arial" w:eastAsia="仿宋_GB2312" w:cs="Arial"/>
          <w:bCs/>
          <w:sz w:val="28"/>
          <w:szCs w:val="28"/>
        </w:rPr>
        <w:t>。海淀区居民人均可支配收入84733元，同比增长8.4%；</w:t>
      </w:r>
      <w:r>
        <w:rPr>
          <w:rFonts w:hint="eastAsia" w:ascii="Arial" w:hAnsi="Arial" w:eastAsia="仿宋_GB2312" w:cs="Arial"/>
          <w:bCs/>
          <w:sz w:val="28"/>
          <w:szCs w:val="28"/>
        </w:rPr>
        <w:t>2021年上半年海淀区居民收入稳步增加，居民人均可支配收入实现4.7万元，同比增长9.9%</w:t>
      </w:r>
      <w:r>
        <w:rPr>
          <w:rFonts w:ascii="Arial" w:hAnsi="Arial" w:eastAsia="仿宋_GB2312" w:cs="Arial"/>
          <w:bCs/>
          <w:sz w:val="28"/>
          <w:szCs w:val="28"/>
        </w:rPr>
        <w:t>。</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清河镇</w:t>
      </w:r>
      <w:r>
        <w:rPr>
          <w:rFonts w:ascii="Arial" w:hAnsi="Arial" w:eastAsia="仿宋_GB2312" w:cs="Arial"/>
          <w:bCs/>
          <w:sz w:val="28"/>
          <w:szCs w:val="28"/>
        </w:rPr>
        <w:t>。估价对象所在区域有</w:t>
      </w:r>
      <w:r>
        <w:rPr>
          <w:rFonts w:hint="eastAsia" w:ascii="Arial" w:hAnsi="Arial" w:eastAsia="仿宋_GB2312" w:cs="Arial"/>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Pr>
          <w:rFonts w:ascii="Arial" w:hAnsi="Arial" w:eastAsia="仿宋_GB2312" w:cs="Arial"/>
          <w:bCs/>
          <w:sz w:val="28"/>
          <w:szCs w:val="28"/>
        </w:rPr>
        <w:t>，</w:t>
      </w:r>
      <w:r>
        <w:rPr>
          <w:rFonts w:ascii="Arial" w:hAnsi="Arial" w:eastAsia="仿宋_GB2312" w:cs="Arial"/>
          <w:sz w:val="28"/>
          <w:szCs w:val="28"/>
        </w:rPr>
        <w:t>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估价对象紧邻城市</w:t>
      </w:r>
      <w:r>
        <w:rPr>
          <w:rFonts w:hint="eastAsia" w:ascii="Arial" w:hAnsi="Arial" w:eastAsia="仿宋_GB2312" w:cs="Arial"/>
          <w:sz w:val="28"/>
          <w:szCs w:val="28"/>
        </w:rPr>
        <w:t>支路</w:t>
      </w:r>
      <w:r>
        <w:rPr>
          <w:rFonts w:ascii="Arial" w:hAnsi="Arial" w:eastAsia="仿宋_GB2312" w:cs="Arial"/>
          <w:sz w:val="28"/>
          <w:szCs w:val="28"/>
        </w:rPr>
        <w:t>—</w:t>
      </w:r>
      <w:r>
        <w:rPr>
          <w:rFonts w:hint="eastAsia" w:ascii="Arial" w:hAnsi="Arial" w:eastAsia="仿宋_GB2312" w:cs="Arial"/>
          <w:sz w:val="28"/>
          <w:szCs w:val="28"/>
        </w:rPr>
        <w:t>清河中街，东距京藏高速不足300米</w:t>
      </w:r>
      <w:r>
        <w:rPr>
          <w:rFonts w:ascii="Arial" w:hAnsi="Arial" w:eastAsia="仿宋_GB2312" w:cs="Arial"/>
          <w:sz w:val="28"/>
          <w:szCs w:val="28"/>
        </w:rPr>
        <w:t>，</w:t>
      </w:r>
      <w:r>
        <w:rPr>
          <w:rFonts w:hint="eastAsia" w:ascii="Arial" w:hAnsi="Arial" w:eastAsia="仿宋_GB2312" w:cs="Arial"/>
          <w:sz w:val="28"/>
          <w:szCs w:val="28"/>
        </w:rPr>
        <w:t>距北京首都国际机场约22.6公里，距清河火车站约2.9公里，距北京北站约9.3公里</w:t>
      </w:r>
      <w:r>
        <w:rPr>
          <w:rFonts w:ascii="Arial" w:hAnsi="Arial" w:eastAsia="仿宋_GB2312" w:cs="Arial"/>
          <w:sz w:val="28"/>
          <w:szCs w:val="28"/>
        </w:rPr>
        <w:t>，</w:t>
      </w:r>
      <w:r>
        <w:rPr>
          <w:rFonts w:hint="eastAsia" w:ascii="Arial" w:hAnsi="Arial" w:eastAsia="仿宋_GB2312" w:cs="Arial"/>
          <w:sz w:val="28"/>
          <w:szCs w:val="28"/>
        </w:rPr>
        <w:t>周边1公里内无轨道交通站点，周边有307路、345路、355路、392路、398路、490路等</w:t>
      </w:r>
      <w:r>
        <w:rPr>
          <w:rFonts w:ascii="Arial" w:hAnsi="Arial" w:eastAsia="仿宋_GB2312" w:cs="Arial"/>
          <w:sz w:val="28"/>
          <w:szCs w:val="28"/>
        </w:rPr>
        <w:t>多条公交线路通过，综合评价交通便捷度</w:t>
      </w:r>
      <w:r>
        <w:rPr>
          <w:rFonts w:hint="eastAsia" w:ascii="Arial" w:hAnsi="Arial" w:eastAsia="仿宋_GB2312" w:cs="Arial"/>
          <w:sz w:val="28"/>
          <w:szCs w:val="28"/>
        </w:rPr>
        <w:t>一般</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估价对象所在</w:t>
      </w:r>
      <w:r>
        <w:rPr>
          <w:rFonts w:hint="eastAsia" w:ascii="Arial" w:hAnsi="Arial" w:eastAsia="仿宋_GB2312" w:cs="Arial"/>
          <w:sz w:val="28"/>
          <w:szCs w:val="28"/>
        </w:rPr>
        <w:t>清河镇</w:t>
      </w:r>
      <w:r>
        <w:rPr>
          <w:rFonts w:ascii="Arial" w:hAnsi="Arial" w:eastAsia="仿宋_GB2312" w:cs="Arial"/>
          <w:sz w:val="28"/>
          <w:szCs w:val="28"/>
        </w:rPr>
        <w:t>周边绿化条件较好，周边2公里内</w:t>
      </w:r>
      <w:r>
        <w:rPr>
          <w:rFonts w:hint="eastAsia" w:ascii="Arial" w:hAnsi="Arial" w:eastAsia="仿宋_GB2312" w:cs="Arial"/>
          <w:sz w:val="28"/>
          <w:szCs w:val="28"/>
        </w:rPr>
        <w:t>东升八家郊野公园、碧水风荷公园、西三旗公园等</w:t>
      </w:r>
      <w:r>
        <w:rPr>
          <w:rFonts w:ascii="Arial" w:hAnsi="Arial" w:eastAsia="仿宋_GB2312" w:cs="Arial"/>
          <w:sz w:val="28"/>
          <w:szCs w:val="28"/>
        </w:rPr>
        <w:t>；</w:t>
      </w:r>
      <w:r>
        <w:rPr>
          <w:rFonts w:hint="eastAsia" w:ascii="Arial" w:hAnsi="Arial" w:eastAsia="仿宋_GB2312" w:cs="Arial"/>
          <w:sz w:val="28"/>
          <w:szCs w:val="28"/>
        </w:rPr>
        <w:t>清河燕清体育文化公园、清河清真寺</w:t>
      </w:r>
      <w:r>
        <w:rPr>
          <w:rFonts w:ascii="Arial" w:hAnsi="Arial" w:eastAsia="仿宋_GB2312" w:cs="Arial"/>
          <w:sz w:val="28"/>
          <w:szCs w:val="28"/>
        </w:rPr>
        <w:t>等人文设施，综合考虑自然环境与人文环境</w:t>
      </w:r>
      <w:r>
        <w:rPr>
          <w:rFonts w:hint="eastAsia" w:ascii="Arial" w:hAnsi="Arial" w:eastAsia="仿宋_GB2312" w:cs="Arial"/>
          <w:sz w:val="28"/>
          <w:szCs w:val="28"/>
        </w:rPr>
        <w:t>较</w:t>
      </w:r>
      <w:r>
        <w:rPr>
          <w:rFonts w:ascii="Arial" w:hAnsi="Arial" w:eastAsia="仿宋_GB2312" w:cs="Arial"/>
          <w:sz w:val="28"/>
          <w:szCs w:val="28"/>
        </w:rPr>
        <w:t>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ascii="Arial" w:hAnsi="Arial" w:eastAsia="仿宋_GB2312" w:cs="Arial"/>
          <w:sz w:val="28"/>
          <w:szCs w:val="28"/>
          <w:lang w:val="en-US" w:eastAsia="zh-CN"/>
        </w:rPr>
        <w:t>估价对象位于</w:t>
      </w:r>
      <w:r>
        <w:rPr>
          <w:rFonts w:hint="eastAsia" w:ascii="Arial" w:hAnsi="Arial" w:eastAsia="仿宋_GB2312" w:cs="Arial"/>
          <w:sz w:val="28"/>
          <w:szCs w:val="28"/>
          <w:lang w:val="en-US" w:eastAsia="zh-CN"/>
        </w:rPr>
        <w:t>海淀区清河镇</w:t>
      </w:r>
      <w:r>
        <w:rPr>
          <w:rFonts w:ascii="Arial" w:hAnsi="Arial" w:eastAsia="仿宋_GB2312" w:cs="Arial"/>
          <w:sz w:val="28"/>
          <w:szCs w:val="28"/>
          <w:lang w:val="en-US" w:eastAsia="zh-CN"/>
        </w:rPr>
        <w:t>，估价对象周边有</w:t>
      </w:r>
      <w:r>
        <w:rPr>
          <w:rFonts w:hint="eastAsia" w:ascii="Arial" w:hAnsi="Arial" w:eastAsia="仿宋_GB2312" w:cs="Arial"/>
          <w:sz w:val="28"/>
          <w:szCs w:val="28"/>
          <w:lang w:val="en-US" w:eastAsia="zh-CN"/>
        </w:rPr>
        <w:t>清景园、毛纺路16号院、力度家园</w:t>
      </w:r>
      <w:r>
        <w:rPr>
          <w:rFonts w:ascii="Arial" w:hAnsi="Arial" w:eastAsia="仿宋_GB2312" w:cs="Arial"/>
          <w:sz w:val="28"/>
          <w:szCs w:val="28"/>
          <w:lang w:val="en-US" w:eastAsia="zh-CN"/>
        </w:rPr>
        <w:t>等</w:t>
      </w:r>
      <w:r>
        <w:rPr>
          <w:rFonts w:hint="eastAsia" w:ascii="Arial" w:hAnsi="Arial" w:eastAsia="仿宋_GB2312" w:cs="Arial"/>
          <w:sz w:val="28"/>
          <w:szCs w:val="28"/>
          <w:lang w:val="en-US" w:eastAsia="zh-CN"/>
        </w:rPr>
        <w:t>居住小区，入住率较好</w:t>
      </w:r>
      <w:r>
        <w:rPr>
          <w:rFonts w:ascii="Arial" w:hAnsi="Arial" w:eastAsia="仿宋_GB2312" w:cs="Arial"/>
          <w:sz w:val="28"/>
          <w:szCs w:val="28"/>
          <w:lang w:val="en-US" w:eastAsia="zh-CN"/>
        </w:rPr>
        <w:t>，</w:t>
      </w:r>
      <w:r>
        <w:rPr>
          <w:rFonts w:hint="eastAsia" w:ascii="Arial" w:hAnsi="Arial" w:eastAsia="仿宋_GB2312" w:cs="Arial"/>
          <w:sz w:val="28"/>
          <w:lang w:eastAsia="zh-CN"/>
        </w:rPr>
        <w:t>居住社区成熟度</w:t>
      </w:r>
      <w:r>
        <w:rPr>
          <w:rFonts w:ascii="Arial" w:hAnsi="Arial" w:eastAsia="仿宋_GB2312" w:cs="Arial"/>
          <w:sz w:val="28"/>
          <w:szCs w:val="28"/>
          <w:lang w:val="en-US" w:eastAsia="zh-CN"/>
        </w:rPr>
        <w:t>较好。</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w:t>
      </w:r>
      <w:r>
        <w:rPr>
          <w:rFonts w:ascii="Arial" w:hAnsi="Arial" w:eastAsia="仿宋_GB2312" w:cs="Arial"/>
          <w:sz w:val="28"/>
        </w:rPr>
        <w:t>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hint="eastAsia" w:ascii="Arial" w:hAnsi="Arial" w:eastAsia="仿宋_GB2312" w:cs="Arial"/>
          <w:sz w:val="28"/>
          <w:szCs w:val="28"/>
        </w:rPr>
        <w:t>海淀区清河镇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综上所述，估价对象所处区域地理位置条件好、</w:t>
      </w:r>
      <w:r>
        <w:rPr>
          <w:rFonts w:hint="eastAsia" w:ascii="Arial" w:hAnsi="Arial" w:eastAsia="仿宋_GB2312" w:cs="Arial"/>
          <w:sz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，公共配套设施较好，基础设施水平为七通，</w:t>
      </w:r>
      <w:r>
        <w:rPr>
          <w:rFonts w:hint="eastAsia" w:ascii="Arial" w:hAnsi="Arial" w:eastAsia="仿宋_GB2312" w:cs="Arial"/>
          <w:sz w:val="28"/>
        </w:rPr>
        <w:t>自然和人文</w:t>
      </w:r>
      <w:r>
        <w:rPr>
          <w:rFonts w:ascii="Arial" w:hAnsi="Arial" w:eastAsia="仿宋_GB2312" w:cs="Arial"/>
          <w:sz w:val="28"/>
        </w:rPr>
        <w:t>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w:t>
      </w:r>
      <w:r>
        <w:rPr>
          <w:rFonts w:hint="eastAsia" w:ascii="Arial" w:hAnsi="Arial" w:eastAsia="仿宋_GB2312" w:cs="Arial"/>
          <w:sz w:val="28"/>
        </w:rPr>
        <w:t>北京市海淀区清河嘉园西区1号楼、3号楼、100幢地块</w:t>
      </w:r>
      <w:r>
        <w:rPr>
          <w:rFonts w:ascii="Arial" w:hAnsi="Arial" w:eastAsia="仿宋_GB2312" w:cs="Arial"/>
          <w:sz w:val="28"/>
        </w:rPr>
        <w:t>，为北京强佑房地产开发有限公司开发建设的</w:t>
      </w:r>
      <w:r>
        <w:rPr>
          <w:rFonts w:hint="eastAsia" w:ascii="Arial" w:hAnsi="Arial" w:eastAsia="仿宋_GB2312" w:cs="Arial"/>
          <w:sz w:val="28"/>
        </w:rPr>
        <w:t>居住</w:t>
      </w:r>
      <w:r>
        <w:rPr>
          <w:rFonts w:ascii="Arial" w:hAnsi="Arial" w:eastAsia="仿宋_GB2312" w:cs="Arial"/>
          <w:sz w:val="28"/>
        </w:rPr>
        <w:t>项目。根据《北京市人民政府关于更新出让国有建设用地使用权基准地价的通知》[京政发[2014]26号]的规定，估价对象属于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所属项目</w:t>
      </w:r>
      <w:r>
        <w:rPr>
          <w:rFonts w:ascii="Arial" w:hAnsi="Arial" w:eastAsia="仿宋_GB2312" w:cs="Arial"/>
          <w:sz w:val="28"/>
        </w:rPr>
        <w:t>规划土地用途为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《不动产权证书》[京（2015）海淀区不动产权第0000005号]</w:t>
      </w:r>
      <w:r>
        <w:rPr>
          <w:rFonts w:ascii="Arial" w:hAnsi="Arial" w:eastAsia="仿宋_GB2312" w:cs="Arial"/>
          <w:sz w:val="28"/>
          <w:szCs w:val="28"/>
        </w:rPr>
        <w:t>记载</w:t>
      </w:r>
      <w:r>
        <w:rPr>
          <w:rFonts w:ascii="Arial" w:hAnsi="Arial" w:eastAsia="仿宋_GB2312" w:cs="Arial"/>
          <w:spacing w:val="-12"/>
          <w:sz w:val="28"/>
        </w:rPr>
        <w:t>，估价对象所属宗地</w:t>
      </w:r>
      <w:r>
        <w:rPr>
          <w:rFonts w:ascii="Arial" w:hAnsi="Arial" w:eastAsia="仿宋_GB2312" w:cs="Arial"/>
          <w:bCs/>
          <w:kern w:val="2"/>
          <w:sz w:val="28"/>
        </w:rPr>
        <w:t>面积为</w:t>
      </w:r>
      <w:r>
        <w:rPr>
          <w:rFonts w:hint="eastAsia" w:ascii="Arial" w:hAnsi="Arial" w:eastAsia="仿宋_GB2312" w:cs="Arial"/>
          <w:bCs/>
          <w:kern w:val="2"/>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w:t>
      </w:r>
      <w:r>
        <w:rPr>
          <w:rFonts w:hint="eastAsia" w:ascii="Arial" w:hAnsi="Arial" w:eastAsia="仿宋_GB2312" w:cs="Arial"/>
          <w:sz w:val="28"/>
          <w:szCs w:val="28"/>
        </w:rPr>
        <w:t>《北京市海淀区清河嘉园西区1号楼、3号楼、100幢土地分摊说明》</w:t>
      </w:r>
      <w:r>
        <w:rPr>
          <w:rFonts w:hint="eastAsia" w:ascii="Arial" w:hAnsi="Arial" w:eastAsia="仿宋_GB2312" w:cs="Arial"/>
          <w:bCs/>
          <w:kern w:val="2"/>
          <w:sz w:val="28"/>
        </w:rPr>
        <w:t>，</w:t>
      </w:r>
      <w:r>
        <w:rPr>
          <w:rFonts w:ascii="Arial" w:hAnsi="Arial" w:eastAsia="仿宋_GB2312" w:cs="Arial"/>
          <w:bCs/>
          <w:kern w:val="2"/>
          <w:sz w:val="28"/>
        </w:rPr>
        <w:t>本次估价对象分摊土地面积为</w:t>
      </w:r>
      <w:r>
        <w:rPr>
          <w:rFonts w:hint="eastAsia" w:ascii="Arial" w:hAnsi="Arial" w:eastAsia="仿宋_GB2312" w:cs="Arial"/>
          <w:bCs/>
          <w:kern w:val="2"/>
          <w:sz w:val="28"/>
        </w:rPr>
        <w:t>15996.99平方米</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估价对象所属项目总建筑面积为</w:t>
      </w:r>
      <w:r>
        <w:rPr>
          <w:rFonts w:hint="eastAsia" w:ascii="Arial" w:hAnsi="Arial" w:eastAsia="仿宋_GB2312" w:cs="Arial"/>
          <w:sz w:val="28"/>
        </w:rPr>
        <w:t>106589.13</w:t>
      </w:r>
      <w:r>
        <w:rPr>
          <w:rFonts w:ascii="Arial" w:hAnsi="Arial" w:eastAsia="仿宋_GB2312" w:cs="Arial"/>
          <w:sz w:val="28"/>
        </w:rPr>
        <w:t>平方米，地上容积率为</w:t>
      </w:r>
      <w:r>
        <w:rPr>
          <w:rFonts w:hint="eastAsia" w:ascii="Arial" w:hAnsi="Arial" w:eastAsia="仿宋_GB2312" w:cs="Arial"/>
          <w:sz w:val="28"/>
        </w:rPr>
        <w:t>4.</w:t>
      </w:r>
      <w:r>
        <w:rPr>
          <w:rFonts w:ascii="Arial" w:hAnsi="Arial" w:eastAsia="仿宋_GB2312" w:cs="Arial"/>
          <w:sz w:val="28"/>
        </w:rPr>
        <w:t>32，具体详见下表：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12"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12"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rPr>
          <w:rFonts w:ascii="Arial" w:hAnsi="Arial" w:eastAsia="仿宋_GB2312" w:cs="Arial"/>
          <w:sz w:val="21"/>
          <w:szCs w:val="21"/>
        </w:rPr>
      </w:pPr>
      <w:r>
        <w:rPr>
          <w:rFonts w:ascii="Arial" w:hAnsi="Arial" w:eastAsia="仿宋_GB2312" w:cs="Arial"/>
          <w:sz w:val="21"/>
          <w:szCs w:val="21"/>
        </w:rPr>
        <w:t>单位：平方米</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居住用途</w:t>
      </w:r>
      <w:r>
        <w:rPr>
          <w:rFonts w:ascii="Arial" w:hAnsi="Arial" w:eastAsia="仿宋_GB2312" w:cs="Arial"/>
          <w:sz w:val="28"/>
        </w:rPr>
        <w:t>该级别平均容积率为2.5。估价对象宗地形状较规则、地形平坦、地质良好。综合评价估价对象土地利用程度较好。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根据联系人介绍，估价对象现状红线外市政基础设施条件为“七通”</w:t>
      </w:r>
      <w:r>
        <w:rPr>
          <w:rFonts w:ascii="Arial" w:hAnsi="Arial" w:eastAsia="仿宋_GB2312" w:cs="Arial"/>
          <w:sz w:val="28"/>
        </w:rPr>
        <w:t>。</w:t>
      </w:r>
    </w:p>
    <w:p>
      <w:pPr>
        <w:pStyle w:val="52"/>
        <w:rPr>
          <w:rFonts w:ascii="Arial" w:hAnsi="Arial" w:cs="Arial"/>
          <w:szCs w:val="18"/>
        </w:rPr>
        <w:sectPr>
          <w:headerReference r:id="rId29" w:type="first"/>
          <w:headerReference r:id="rId28" w:type="default"/>
          <w:footerReference r:id="rId30" w:type="default"/>
          <w:pgSz w:w="11907" w:h="16840"/>
          <w:pgMar w:top="1843" w:right="1134" w:bottom="1134" w:left="1134" w:header="1134" w:footer="907" w:gutter="340"/>
          <w:cols w:space="425" w:num="1"/>
          <w:docGrid w:linePitch="326" w:charSpace="0"/>
        </w:sectPr>
      </w:pPr>
      <w:r>
        <w:rPr>
          <w:rFonts w:ascii="Arial" w:hAnsi="Arial" w:cs="Arial"/>
          <w:szCs w:val="28"/>
        </w:rPr>
        <w:t>本次评估目的为</w:t>
      </w:r>
      <w:r>
        <w:rPr>
          <w:rFonts w:hint="eastAsia" w:ascii="Arial" w:hAnsi="Arial" w:cs="Arial"/>
          <w:szCs w:val="28"/>
        </w:rPr>
        <w:t>按实测数据</w:t>
      </w:r>
      <w:r>
        <w:rPr>
          <w:rFonts w:ascii="Arial" w:hAnsi="Arial" w:cs="Arial"/>
          <w:szCs w:val="28"/>
        </w:rPr>
        <w:t>签订补充协议。本报告按照</w:t>
      </w:r>
      <w:r>
        <w:rPr>
          <w:rFonts w:hint="eastAsia" w:ascii="Arial" w:hAnsi="Arial" w:cs="Arial"/>
          <w:szCs w:val="28"/>
        </w:rPr>
        <w:t>实测数据</w:t>
      </w:r>
      <w:r>
        <w:rPr>
          <w:rFonts w:ascii="Arial" w:hAnsi="Arial" w:cs="Arial"/>
          <w:szCs w:val="28"/>
        </w:rPr>
        <w:t>设定规划利用条件。</w:t>
      </w:r>
    </w:p>
    <w:p>
      <w:pPr>
        <w:spacing w:line="360" w:lineRule="auto"/>
        <w:jc w:val="center"/>
        <w:outlineLvl w:val="0"/>
        <w:rPr>
          <w:rFonts w:ascii="Arial" w:hAnsi="Arial" w:cs="Arial"/>
          <w:sz w:val="32"/>
        </w:rPr>
      </w:pPr>
      <w:bookmarkStart w:id="282" w:name="_Toc69393402"/>
      <w:bookmarkStart w:id="283" w:name="_Toc66929527"/>
      <w:bookmarkStart w:id="284" w:name="_Toc524335110"/>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277"/>
      <w:bookmarkEnd w:id="278"/>
      <w:bookmarkEnd w:id="279"/>
      <w:bookmarkEnd w:id="280"/>
      <w:bookmarkEnd w:id="281"/>
      <w:bookmarkEnd w:id="282"/>
      <w:bookmarkEnd w:id="283"/>
      <w:bookmarkEnd w:id="284"/>
    </w:p>
    <w:p>
      <w:pPr>
        <w:spacing w:line="360" w:lineRule="auto"/>
        <w:rPr>
          <w:rFonts w:ascii="Arial" w:hAnsi="Arial" w:eastAsia="仿宋_GB2312" w:cs="Arial"/>
          <w:b/>
          <w:sz w:val="28"/>
        </w:rPr>
      </w:pPr>
    </w:p>
    <w:p>
      <w:pPr>
        <w:spacing w:line="360" w:lineRule="auto"/>
        <w:outlineLvl w:val="1"/>
        <w:rPr>
          <w:rFonts w:ascii="Arial" w:hAnsi="Arial" w:eastAsia="仿宋_GB2312" w:cs="Arial"/>
          <w:sz w:val="28"/>
        </w:rPr>
      </w:pPr>
      <w:bookmarkStart w:id="285" w:name="_Toc416783600"/>
      <w:bookmarkStart w:id="286" w:name="_Toc66929528"/>
      <w:bookmarkStart w:id="287" w:name="_Toc515457823"/>
      <w:bookmarkStart w:id="288" w:name="_Toc69393403"/>
      <w:bookmarkStart w:id="289" w:name="_Toc524335111"/>
      <w:bookmarkStart w:id="290" w:name="_Toc416783696"/>
      <w:bookmarkStart w:id="291" w:name="_Toc469066169"/>
      <w:bookmarkStart w:id="292" w:name="_Toc516488205"/>
      <w:r>
        <w:rPr>
          <w:rFonts w:ascii="Arial" w:hAnsi="Arial" w:eastAsia="仿宋_GB2312" w:cs="Arial"/>
          <w:b/>
          <w:sz w:val="28"/>
        </w:rPr>
        <w:t>一、估价原则</w:t>
      </w:r>
      <w:bookmarkEnd w:id="285"/>
      <w:bookmarkEnd w:id="286"/>
      <w:bookmarkEnd w:id="287"/>
      <w:bookmarkEnd w:id="288"/>
      <w:bookmarkEnd w:id="289"/>
      <w:bookmarkEnd w:id="290"/>
      <w:bookmarkEnd w:id="291"/>
      <w:bookmarkEnd w:id="292"/>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替代原则的适用范围广，是本次估价剩余法中嵌套的市场比较法的理论基础。</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2.最有效利用原则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估价对象拟办理出让合同</w:t>
      </w:r>
      <w:r>
        <w:rPr>
          <w:rFonts w:hint="eastAsia" w:ascii="Arial" w:hAnsi="Arial" w:eastAsia="仿宋_GB2312" w:cs="Arial"/>
          <w:sz w:val="28"/>
          <w:szCs w:val="28"/>
        </w:rPr>
        <w:t>补充</w:t>
      </w:r>
      <w:r>
        <w:rPr>
          <w:rFonts w:ascii="Arial" w:hAnsi="Arial" w:eastAsia="仿宋_GB2312" w:cs="Arial"/>
          <w:sz w:val="28"/>
          <w:szCs w:val="28"/>
        </w:rPr>
        <w:t>手续，本次评估以设定规划条件符合最有效使用原则为前提。</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3.预期收益原则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4.供需原则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hint="eastAsia" w:ascii="Arial" w:hAnsi="Arial" w:eastAsia="仿宋_GB2312" w:cs="Arial"/>
          <w:sz w:val="28"/>
          <w:szCs w:val="28"/>
        </w:rPr>
        <w:t>清河镇</w:t>
      </w:r>
      <w:r>
        <w:rPr>
          <w:rFonts w:ascii="Arial" w:hAnsi="Arial" w:eastAsia="仿宋_GB2312" w:cs="Arial"/>
          <w:sz w:val="28"/>
          <w:szCs w:val="28"/>
        </w:rPr>
        <w:t>，土地用途为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szCs w:val="28"/>
        </w:rPr>
        <w:t>，土地性质为出让国有建设用地使用权。估价对象所处区域内土地资产存在较大增值潜力。评估中剩余法的运用主要考虑此项原则。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5.贡献原则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6.价值主导原则</w:t>
      </w:r>
    </w:p>
    <w:p>
      <w:pPr>
        <w:kinsoku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价值主导原则是指土地综合质量优劣是对土地价格产生影响的主要因素。</w:t>
      </w:r>
    </w:p>
    <w:p>
      <w:pPr>
        <w:kinsoku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北京市海淀区清河嘉园西区1号楼、3号楼、100幢地块</w:t>
      </w:r>
      <w:r>
        <w:rPr>
          <w:rFonts w:ascii="Arial" w:hAnsi="Arial" w:eastAsia="仿宋_GB2312" w:cs="Arial"/>
          <w:sz w:val="28"/>
          <w:szCs w:val="28"/>
        </w:rPr>
        <w:t>，属于</w:t>
      </w:r>
      <w:r>
        <w:rPr>
          <w:rFonts w:hint="eastAsia" w:ascii="Arial" w:hAnsi="Arial" w:eastAsia="仿宋_GB2312" w:cs="Arial"/>
          <w:sz w:val="28"/>
          <w:szCs w:val="28"/>
        </w:rPr>
        <w:t>居住类五</w:t>
      </w:r>
      <w:r>
        <w:rPr>
          <w:rFonts w:ascii="Arial" w:hAnsi="Arial" w:eastAsia="仿宋_GB2312" w:cs="Arial"/>
          <w:sz w:val="28"/>
          <w:szCs w:val="28"/>
        </w:rPr>
        <w:t>级地区，估价中评估专业人员是根据现场查勘，并依据《城镇土地分等定级规程》对估价对象进行综合判断。</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 xml:space="preserve">7.审慎原则 </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8.公开市场原则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公开市场原则是指评估结果在公平、公正、公开的土地市场上可实现。</w:t>
      </w:r>
    </w:p>
    <w:p>
      <w:pPr>
        <w:kinsoku w:val="0"/>
        <w:overflowPunct w:val="0"/>
        <w:autoSpaceDE w:val="0"/>
        <w:autoSpaceDN w:val="0"/>
        <w:snapToGrid w:val="0"/>
        <w:spacing w:line="360" w:lineRule="auto"/>
        <w:ind w:firstLine="560" w:firstLineChars="200"/>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outlineLvl w:val="1"/>
        <w:rPr>
          <w:rFonts w:ascii="Arial" w:hAnsi="Arial" w:eastAsia="仿宋_GB2312" w:cs="Arial"/>
          <w:b/>
          <w:sz w:val="28"/>
        </w:rPr>
      </w:pPr>
      <w:bookmarkStart w:id="293" w:name="_Toc524335112"/>
      <w:bookmarkStart w:id="294" w:name="_Toc66929529"/>
      <w:bookmarkStart w:id="295" w:name="_Toc515457824"/>
      <w:bookmarkStart w:id="296" w:name="_Toc416783697"/>
      <w:bookmarkStart w:id="297" w:name="_Toc516488206"/>
      <w:bookmarkStart w:id="298" w:name="_Toc69393404"/>
      <w:bookmarkStart w:id="299" w:name="_Toc416783601"/>
      <w:bookmarkStart w:id="300" w:name="_Toc469066170"/>
      <w:r>
        <w:rPr>
          <w:rFonts w:ascii="Arial" w:hAnsi="Arial" w:eastAsia="仿宋_GB2312" w:cs="Arial"/>
          <w:b/>
          <w:sz w:val="28"/>
        </w:rPr>
        <w:t>二、估价方法与估价过程</w:t>
      </w:r>
      <w:bookmarkEnd w:id="293"/>
      <w:bookmarkEnd w:id="294"/>
      <w:bookmarkEnd w:id="295"/>
      <w:bookmarkEnd w:id="296"/>
      <w:bookmarkEnd w:id="297"/>
      <w:bookmarkEnd w:id="298"/>
      <w:bookmarkEnd w:id="299"/>
      <w:bookmarkEnd w:id="300"/>
    </w:p>
    <w:p>
      <w:pPr>
        <w:pStyle w:val="55"/>
        <w:autoSpaceDE w:val="0"/>
        <w:autoSpaceDN w:val="0"/>
        <w:spacing w:line="360" w:lineRule="auto"/>
        <w:ind w:right="140"/>
        <w:jc w:val="both"/>
        <w:textAlignment w:val="bottom"/>
        <w:rPr>
          <w:rFonts w:ascii="Arial" w:hAnsi="Arial" w:eastAsia="仿宋_GB2312" w:cs="Arial"/>
          <w:bCs/>
          <w:sz w:val="28"/>
        </w:rPr>
      </w:pPr>
      <w:r>
        <w:rPr>
          <w:rFonts w:ascii="Arial" w:hAnsi="Arial" w:eastAsia="仿宋_GB2312" w:cs="Arial"/>
          <w:bCs/>
          <w:sz w:val="28"/>
        </w:rPr>
        <w:t>（一）估价方法选择</w:t>
      </w:r>
    </w:p>
    <w:p>
      <w:pPr>
        <w:spacing w:line="360" w:lineRule="auto"/>
        <w:ind w:firstLine="560" w:firstLineChars="200"/>
        <w:jc w:val="both"/>
        <w:rPr>
          <w:rFonts w:ascii="Arial" w:hAnsi="Arial" w:eastAsia="仿宋_GB2312" w:cs="Arial"/>
          <w:sz w:val="28"/>
        </w:rPr>
      </w:pPr>
      <w:bookmarkStart w:id="301" w:name="_Toc416783698"/>
      <w:bookmarkStart w:id="302" w:name="_Toc416783602"/>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首先需根据《城镇土地估价规程》[GB/T 18508-2014]和《国土资源部办公厅关于印发〈国有建设用地使用权出让地价评估技术规范〉的通知》[国土资厅发（2018）4号]的要求，评估出让土地使用权的正常市场价格（熟地价）。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w:t>
      </w:r>
      <w:r>
        <w:rPr>
          <w:rFonts w:hint="eastAsia" w:ascii="Arial" w:hAnsi="Arial" w:eastAsia="仿宋_GB2312" w:cs="Arial"/>
          <w:sz w:val="28"/>
          <w:szCs w:val="28"/>
        </w:rPr>
        <w:t>住宅、</w:t>
      </w:r>
      <w:r>
        <w:rPr>
          <w:rFonts w:ascii="Arial" w:hAnsi="Arial" w:eastAsia="仿宋_GB2312" w:cs="Arial"/>
          <w:sz w:val="28"/>
          <w:szCs w:val="28"/>
        </w:rPr>
        <w:t>商业、办公、地下办公、地下</w:t>
      </w:r>
      <w:r>
        <w:rPr>
          <w:rFonts w:hint="eastAsia" w:ascii="Arial" w:hAnsi="Arial" w:eastAsia="仿宋_GB2312" w:cs="Arial"/>
          <w:sz w:val="28"/>
          <w:szCs w:val="28"/>
        </w:rPr>
        <w:t>仓储</w:t>
      </w:r>
      <w:r>
        <w:rPr>
          <w:rFonts w:ascii="Arial" w:hAnsi="Arial" w:eastAsia="仿宋_GB2312" w:cs="Arial"/>
          <w:sz w:val="28"/>
          <w:szCs w:val="28"/>
        </w:rPr>
        <w:t>用途政府土地收益比例为25%。</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2.方法选择</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根据《城镇土地估价规程》[GB/T18508-2014]，估价方法通常有剩余法、基准地价系数修正法、成本逼近法、收益还原法及市场比较法共五种估价方法。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评估专业人员根据估价对象的特点、实际情况以及估价目的，对上述估价方法分析如下：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（1）剩余法：剩余法适用于具有投资开发或再开发潜力的土地估价。允许运用于以下情形：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现有房地产中地价的单独评估。此次估价按待开发土地的价格进行评估，符合剩余法的适用条件，故可采用剩余法估算估价对象的熟地价。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基准地价系数修正法：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三年，但在更新成果公布之前，应北京市国土管理部门要求，必须继续使用该基准地价。故本次估价选取基准地价系数修正法作为估价方法之一。</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（4）收益还原法适用于有现实收益或潜在收益的土地或不动产估价。估价对象所在区域内新建</w:t>
      </w:r>
      <w:r>
        <w:rPr>
          <w:rFonts w:hint="eastAsia" w:ascii="Arial" w:hAnsi="Arial" w:eastAsia="仿宋_GB2312" w:cs="Arial"/>
          <w:sz w:val="28"/>
          <w:szCs w:val="28"/>
        </w:rPr>
        <w:t>住宅、</w:t>
      </w:r>
      <w:r>
        <w:rPr>
          <w:rFonts w:ascii="Arial" w:hAnsi="Arial" w:eastAsia="仿宋_GB2312" w:cs="Arial"/>
          <w:sz w:val="28"/>
          <w:szCs w:val="28"/>
        </w:rPr>
        <w:t>商业</w:t>
      </w:r>
      <w:r>
        <w:rPr>
          <w:rFonts w:hint="eastAsia" w:ascii="Arial" w:hAnsi="Arial" w:eastAsia="仿宋_GB2312" w:cs="Arial"/>
          <w:sz w:val="28"/>
          <w:szCs w:val="28"/>
        </w:rPr>
        <w:t>、</w:t>
      </w:r>
      <w:r>
        <w:rPr>
          <w:rFonts w:ascii="Arial" w:hAnsi="Arial" w:eastAsia="仿宋_GB2312" w:cs="Arial"/>
          <w:sz w:val="28"/>
          <w:szCs w:val="28"/>
        </w:rPr>
        <w:t>地下商业、地下</w:t>
      </w:r>
      <w:r>
        <w:rPr>
          <w:rFonts w:hint="eastAsia" w:ascii="Arial" w:hAnsi="Arial" w:eastAsia="仿宋_GB2312" w:cs="Arial"/>
          <w:sz w:val="28"/>
          <w:szCs w:val="28"/>
        </w:rPr>
        <w:t>综合</w:t>
      </w:r>
      <w:r>
        <w:rPr>
          <w:rFonts w:ascii="Arial" w:hAnsi="Arial" w:eastAsia="仿宋_GB2312" w:cs="Arial"/>
          <w:sz w:val="28"/>
          <w:szCs w:val="28"/>
        </w:rPr>
        <w:t>、</w:t>
      </w:r>
      <w:r>
        <w:rPr>
          <w:rFonts w:hint="eastAsia" w:ascii="Arial" w:hAnsi="Arial" w:eastAsia="仿宋_GB2312" w:cs="Arial"/>
          <w:sz w:val="28"/>
          <w:szCs w:val="28"/>
        </w:rPr>
        <w:t>地下</w:t>
      </w:r>
      <w:r>
        <w:rPr>
          <w:rFonts w:ascii="Arial" w:hAnsi="Arial" w:eastAsia="仿宋_GB2312" w:cs="Arial"/>
          <w:sz w:val="28"/>
          <w:szCs w:val="28"/>
        </w:rPr>
        <w:t>车库、地下</w:t>
      </w:r>
      <w:r>
        <w:rPr>
          <w:rFonts w:hint="eastAsia" w:ascii="Arial" w:hAnsi="Arial" w:eastAsia="仿宋_GB2312" w:cs="Arial"/>
          <w:sz w:val="28"/>
          <w:szCs w:val="28"/>
        </w:rPr>
        <w:t>仓储</w:t>
      </w:r>
      <w:r>
        <w:rPr>
          <w:rFonts w:ascii="Arial" w:hAnsi="Arial" w:eastAsia="仿宋_GB2312" w:cs="Arial"/>
          <w:sz w:val="28"/>
          <w:szCs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5）市场比较法：市场比较法主要用于土地市场发达，有充足的具有替代性的土地交易实例的地区。估价对象为已出让项目变更出让合同所涉及的用途调整，通过对北京市类似经过审定的协议出让的经营性建设用地的调查，未取得</w:t>
      </w:r>
      <w:r>
        <w:rPr>
          <w:rFonts w:hint="eastAsia" w:ascii="Arial" w:hAnsi="Arial" w:eastAsia="仿宋_GB2312" w:cs="Arial"/>
          <w:sz w:val="28"/>
          <w:szCs w:val="28"/>
        </w:rPr>
        <w:t>合适的地下仓储、</w:t>
      </w:r>
      <w:r>
        <w:rPr>
          <w:rFonts w:ascii="Arial" w:hAnsi="Arial" w:eastAsia="仿宋_GB2312" w:cs="Arial"/>
          <w:sz w:val="28"/>
          <w:szCs w:val="28"/>
        </w:rPr>
        <w:t>地下车库用途案例，不满足市场比较法的要求，本次评估未采用市场比较法。</w:t>
      </w:r>
    </w:p>
    <w:p>
      <w:pPr>
        <w:snapToGrid w:val="0"/>
        <w:spacing w:line="360" w:lineRule="auto"/>
        <w:ind w:firstLine="556"/>
        <w:rPr>
          <w:rFonts w:ascii="Arial" w:hAnsi="Arial" w:eastAsia="仿宋_GB2312" w:cs="Arial"/>
          <w:sz w:val="28"/>
        </w:rPr>
      </w:pPr>
      <w:r>
        <w:rPr>
          <w:rFonts w:ascii="Arial" w:hAnsi="Arial" w:eastAsia="仿宋_GB2312" w:cs="Arial"/>
          <w:sz w:val="28"/>
          <w:szCs w:val="28"/>
        </w:rPr>
        <w:t>综上所述，本次评估根据估价对象的特点和实际状况，采用剩余法和基准地价系数修正法</w:t>
      </w:r>
      <w:r>
        <w:rPr>
          <w:rFonts w:hint="eastAsia" w:ascii="Arial" w:hAnsi="Arial" w:eastAsia="仿宋_GB2312" w:cs="Arial"/>
          <w:sz w:val="28"/>
          <w:szCs w:val="28"/>
        </w:rPr>
        <w:t>两</w:t>
      </w:r>
      <w:r>
        <w:rPr>
          <w:rFonts w:ascii="Arial" w:hAnsi="Arial" w:eastAsia="仿宋_GB2312" w:cs="Arial"/>
          <w:sz w:val="28"/>
          <w:szCs w:val="28"/>
        </w:rPr>
        <w:t>种方法</w:t>
      </w:r>
      <w:r>
        <w:rPr>
          <w:rFonts w:hint="eastAsia" w:ascii="Arial" w:hAnsi="Arial" w:eastAsia="仿宋_GB2312" w:cs="Arial"/>
          <w:sz w:val="28"/>
          <w:szCs w:val="28"/>
        </w:rPr>
        <w:t>对居住用途</w:t>
      </w:r>
      <w:r>
        <w:rPr>
          <w:rFonts w:ascii="Arial" w:hAnsi="Arial" w:eastAsia="仿宋_GB2312" w:cs="Arial"/>
          <w:sz w:val="28"/>
          <w:szCs w:val="28"/>
        </w:rPr>
        <w:t>进行测算，其中剩余法中不动产开发完成后总价采用市场比较法求取，力求合理科学地评估出估价对象的出让国有建设用地使用权价格；</w:t>
      </w:r>
      <w:r>
        <w:rPr>
          <w:rFonts w:hint="eastAsia" w:ascii="Arial" w:hAnsi="Arial" w:eastAsia="仿宋_GB2312" w:cs="Arial"/>
          <w:sz w:val="28"/>
          <w:szCs w:val="28"/>
        </w:rPr>
        <w:t>接着利用地下空间修正系数求取地下各用途</w:t>
      </w:r>
      <w:r>
        <w:rPr>
          <w:rFonts w:ascii="Arial" w:hAnsi="Arial" w:eastAsia="仿宋_GB2312" w:cs="Arial"/>
          <w:sz w:val="28"/>
          <w:szCs w:val="28"/>
        </w:rPr>
        <w:t>的出让国有建设用地使用权价格</w:t>
      </w:r>
      <w:r>
        <w:rPr>
          <w:rFonts w:hint="eastAsia" w:ascii="Arial" w:hAnsi="Arial" w:eastAsia="仿宋_GB2312" w:cs="Arial"/>
          <w:sz w:val="28"/>
          <w:szCs w:val="28"/>
        </w:rPr>
        <w:t>；</w:t>
      </w:r>
      <w:r>
        <w:rPr>
          <w:rFonts w:ascii="Arial" w:hAnsi="Arial" w:eastAsia="仿宋_GB2312" w:cs="Arial"/>
          <w:sz w:val="28"/>
          <w:szCs w:val="28"/>
        </w:rPr>
        <w:t>然后再求取政府土地出让收益价格；最后对需补缴的地价提出底价建议。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（1）基准地价系数修正法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（2）剩余法</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szCs w:val="28"/>
        </w:rPr>
        <w:t>①</w:t>
      </w:r>
      <w:r>
        <w:rPr>
          <w:rFonts w:ascii="Arial" w:hAnsi="Arial" w:eastAsia="仿宋_GB2312" w:cs="Arial"/>
          <w:sz w:val="28"/>
          <w:szCs w:val="28"/>
        </w:rPr>
        <w:t>待开发房地产或待拆迁改造后再开发房地产的土地估价；</w:t>
      </w:r>
      <w:r>
        <w:rPr>
          <w:rFonts w:hint="eastAsia" w:ascii="Arial" w:hAnsi="Arial" w:eastAsia="仿宋_GB2312" w:cs="Arial"/>
          <w:sz w:val="28"/>
          <w:szCs w:val="28"/>
        </w:rPr>
        <w:t>②</w:t>
      </w:r>
      <w:r>
        <w:rPr>
          <w:rFonts w:ascii="Arial" w:hAnsi="Arial" w:eastAsia="仿宋_GB2312" w:cs="Arial"/>
          <w:sz w:val="28"/>
          <w:szCs w:val="28"/>
        </w:rPr>
        <w:t>仅将土地开发整理成可供直接利用的土地估价；</w:t>
      </w:r>
      <w:r>
        <w:rPr>
          <w:rFonts w:hint="eastAsia" w:ascii="Arial" w:hAnsi="Arial" w:eastAsia="仿宋_GB2312" w:cs="Arial"/>
          <w:sz w:val="28"/>
          <w:szCs w:val="28"/>
        </w:rPr>
        <w:t>③</w:t>
      </w:r>
      <w:r>
        <w:rPr>
          <w:rFonts w:ascii="Arial" w:hAnsi="Arial" w:eastAsia="仿宋_GB2312" w:cs="Arial"/>
          <w:sz w:val="28"/>
          <w:szCs w:val="28"/>
        </w:rPr>
        <w:t>现有房地产中地价的单独评估。</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1）评估待开发土地价格的公式为：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 xml:space="preserve">待估宗地价格=不动产总价-开发项目整体的开发成本-客观开发利润    </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2）评估现有不动产中所含土地价格的公式为：</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待估宗地价格=不动产交易价格-房屋现值-交易税费</w:t>
      </w:r>
    </w:p>
    <w:p>
      <w:pPr>
        <w:snapToGrid w:val="0"/>
        <w:spacing w:line="360" w:lineRule="auto"/>
        <w:ind w:firstLine="556"/>
        <w:rPr>
          <w:rFonts w:ascii="Arial" w:hAnsi="Arial" w:eastAsia="仿宋_GB2312" w:cs="Arial"/>
          <w:sz w:val="28"/>
        </w:rPr>
      </w:pPr>
      <w:r>
        <w:rPr>
          <w:rFonts w:ascii="Arial" w:hAnsi="Arial" w:eastAsia="仿宋_GB2312" w:cs="Arial"/>
          <w:sz w:val="28"/>
          <w:szCs w:val="28"/>
        </w:rPr>
        <w:t>3）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bookmarkEnd w:id="301"/>
    <w:bookmarkEnd w:id="302"/>
    <w:p>
      <w:pPr>
        <w:spacing w:line="360" w:lineRule="auto"/>
        <w:jc w:val="both"/>
        <w:rPr>
          <w:rFonts w:ascii="Arial" w:hAnsi="Arial" w:eastAsia="仿宋_GB2312" w:cs="Arial"/>
          <w:sz w:val="28"/>
        </w:rPr>
      </w:pPr>
      <w:r>
        <w:rPr>
          <w:rFonts w:ascii="Arial" w:hAnsi="Arial" w:eastAsia="仿宋_GB2312" w:cs="Arial"/>
          <w:sz w:val="28"/>
        </w:rPr>
        <w:t>（二）估价过程</w:t>
      </w:r>
    </w:p>
    <w:p>
      <w:pPr>
        <w:pStyle w:val="55"/>
        <w:autoSpaceDE w:val="0"/>
        <w:autoSpaceDN w:val="0"/>
        <w:spacing w:line="360" w:lineRule="auto"/>
        <w:ind w:right="140" w:firstLine="560"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 估价对象土地经济技术指标</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hint="eastAsia" w:ascii="Arial" w:hAnsi="Arial" w:eastAsia="仿宋_GB2312" w:cs="Arial"/>
          <w:sz w:val="28"/>
        </w:rPr>
        <w:t>北京市海淀区清河嘉园西区1号楼、3号楼、100幢地块</w:t>
      </w:r>
      <w:r>
        <w:rPr>
          <w:rFonts w:ascii="Arial" w:hAnsi="Arial" w:eastAsia="仿宋_GB2312" w:cs="Arial"/>
          <w:sz w:val="28"/>
        </w:rPr>
        <w:t>项目用地</w:t>
      </w:r>
      <w:r>
        <w:rPr>
          <w:rFonts w:ascii="Arial" w:hAnsi="Arial" w:eastAsia="仿宋_GB2312" w:cs="Arial"/>
          <w:bCs/>
          <w:sz w:val="28"/>
        </w:rPr>
        <w:t>，</w:t>
      </w:r>
      <w:r>
        <w:rPr>
          <w:rFonts w:ascii="Arial" w:hAnsi="Arial" w:eastAsia="仿宋_GB2312" w:cs="Arial"/>
          <w:sz w:val="28"/>
        </w:rPr>
        <w:t>根据</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rPr>
        <w:t>，</w:t>
      </w:r>
      <w:r>
        <w:rPr>
          <w:rFonts w:ascii="Arial" w:hAnsi="Arial" w:eastAsia="仿宋_GB2312" w:cs="Arial"/>
          <w:sz w:val="28"/>
        </w:rPr>
        <w:t>北京强佑房地产开发有限公司</w:t>
      </w:r>
      <w:r>
        <w:rPr>
          <w:rFonts w:hint="eastAsia" w:ascii="Arial" w:hAnsi="Arial" w:eastAsia="仿宋_GB2312" w:cs="Arial"/>
          <w:sz w:val="28"/>
        </w:rPr>
        <w:t>于2004年8月31日</w:t>
      </w:r>
      <w:r>
        <w:rPr>
          <w:rFonts w:ascii="Arial" w:hAnsi="Arial" w:eastAsia="仿宋_GB2312" w:cs="Arial"/>
          <w:bCs/>
          <w:sz w:val="28"/>
        </w:rPr>
        <w:t>通过协议出让方式取得估价对象国有建设用地使用权。</w:t>
      </w:r>
      <w:r>
        <w:rPr>
          <w:rFonts w:ascii="Arial" w:hAnsi="Arial" w:eastAsia="仿宋_GB2312" w:cs="Arial"/>
          <w:spacing w:val="-12"/>
          <w:sz w:val="28"/>
        </w:rPr>
        <w:t>估价对象所属项目宗地</w:t>
      </w:r>
      <w:r>
        <w:rPr>
          <w:rFonts w:ascii="Arial" w:hAnsi="Arial" w:eastAsia="仿宋_GB2312" w:cs="Arial"/>
          <w:bCs/>
          <w:kern w:val="2"/>
          <w:sz w:val="28"/>
        </w:rPr>
        <w:t>面积为</w:t>
      </w:r>
      <w:r>
        <w:rPr>
          <w:rFonts w:hint="eastAsia" w:ascii="Arial" w:hAnsi="Arial" w:eastAsia="仿宋_GB2312" w:cs="Arial"/>
          <w:sz w:val="28"/>
        </w:rPr>
        <w:t>17767.39</w:t>
      </w:r>
      <w:r>
        <w:rPr>
          <w:rFonts w:ascii="Arial" w:hAnsi="Arial" w:eastAsia="仿宋_GB2312" w:cs="Arial"/>
          <w:bCs/>
          <w:kern w:val="2"/>
          <w:sz w:val="28"/>
        </w:rPr>
        <w:t>平方米</w:t>
      </w:r>
      <w:r>
        <w:rPr>
          <w:rFonts w:hint="eastAsia" w:ascii="Arial" w:hAnsi="Arial" w:eastAsia="仿宋_GB2312" w:cs="Arial"/>
          <w:bCs/>
          <w:kern w:val="2"/>
          <w:sz w:val="28"/>
        </w:rPr>
        <w:t>，根据估价委托人提供的</w:t>
      </w:r>
      <w:r>
        <w:rPr>
          <w:rFonts w:hint="eastAsia" w:ascii="Arial" w:hAnsi="Arial" w:eastAsia="仿宋_GB2312" w:cs="Arial"/>
          <w:sz w:val="28"/>
        </w:rPr>
        <w:t>《北京市海淀区清河嘉园西区1号楼、3号楼、100幢土地分摊说明》复印件，</w:t>
      </w:r>
      <w:r>
        <w:rPr>
          <w:rFonts w:ascii="Arial" w:hAnsi="Arial" w:eastAsia="仿宋_GB2312" w:cs="Arial"/>
          <w:bCs/>
          <w:kern w:val="2"/>
          <w:sz w:val="28"/>
        </w:rPr>
        <w:t>估价对象分摊土地面积</w:t>
      </w:r>
      <w:r>
        <w:rPr>
          <w:rFonts w:hint="eastAsia" w:ascii="Arial" w:hAnsi="Arial" w:eastAsia="仿宋_GB2312" w:cs="Arial"/>
          <w:bCs/>
          <w:kern w:val="2"/>
          <w:sz w:val="28"/>
        </w:rPr>
        <w:t>15996.99平方米</w:t>
      </w:r>
      <w:r>
        <w:rPr>
          <w:rFonts w:ascii="Arial" w:hAnsi="Arial" w:eastAsia="仿宋_GB2312" w:cs="Arial"/>
          <w:sz w:val="28"/>
        </w:rPr>
        <w:t>。</w:t>
      </w:r>
    </w:p>
    <w:p>
      <w:pPr>
        <w:pStyle w:val="55"/>
        <w:autoSpaceDE w:val="0"/>
        <w:autoSpaceDN w:val="0"/>
        <w:spacing w:line="36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总</w:t>
      </w:r>
      <w:r>
        <w:rPr>
          <w:rFonts w:ascii="Arial" w:hAnsi="Arial" w:eastAsia="仿宋_GB2312" w:cs="Arial"/>
          <w:sz w:val="28"/>
        </w:rPr>
        <w:t>建筑面积为</w:t>
      </w:r>
      <w:r>
        <w:rPr>
          <w:rFonts w:hint="eastAsia" w:ascii="Arial" w:hAnsi="Arial" w:eastAsia="仿宋_GB2312" w:cs="Arial"/>
          <w:sz w:val="28"/>
        </w:rPr>
        <w:t>106589.13</w:t>
      </w:r>
      <w:r>
        <w:rPr>
          <w:rFonts w:ascii="Arial" w:hAnsi="Arial" w:eastAsia="仿宋_GB2312" w:cs="Arial"/>
          <w:sz w:val="28"/>
        </w:rPr>
        <w:t>平方米，设定地上容积率为</w:t>
      </w:r>
      <w:r>
        <w:rPr>
          <w:rFonts w:hint="eastAsia" w:ascii="Arial" w:hAnsi="Arial" w:eastAsia="仿宋_GB2312" w:cs="Arial"/>
          <w:sz w:val="28"/>
        </w:rPr>
        <w:t>4.32</w:t>
      </w:r>
      <w:r>
        <w:rPr>
          <w:rFonts w:ascii="Arial" w:hAnsi="Arial" w:eastAsia="仿宋_GB2312" w:cs="Arial"/>
          <w:sz w:val="28"/>
        </w:rPr>
        <w:t>，具体详见下表：</w:t>
      </w:r>
    </w:p>
    <w:p>
      <w:pPr>
        <w:snapToGrid w:val="0"/>
        <w:jc w:val="center"/>
        <w:rPr>
          <w:rFonts w:ascii="Arial" w:hAnsi="Arial" w:eastAsia="仿宋_GB2312" w:cs="Arial"/>
          <w:b/>
          <w:sz w:val="28"/>
          <w:szCs w:val="28"/>
        </w:rPr>
      </w:pPr>
      <w:r>
        <w:rPr>
          <w:rFonts w:ascii="Arial" w:hAnsi="Arial" w:eastAsia="仿宋_GB2312" w:cs="Arial"/>
          <w:b/>
          <w:sz w:val="28"/>
          <w:szCs w:val="28"/>
        </w:rPr>
        <w:t>土地用途及建筑面积表</w:t>
      </w:r>
    </w:p>
    <w:tbl>
      <w:tblPr>
        <w:tblStyle w:val="35"/>
        <w:tblW w:w="9298" w:type="dxa"/>
        <w:jc w:val="center"/>
        <w:tblLayout w:type="autofit"/>
        <w:tblCellMar>
          <w:top w:w="57" w:type="dxa"/>
          <w:left w:w="57" w:type="dxa"/>
          <w:bottom w:w="57" w:type="dxa"/>
          <w:right w:w="57" w:type="dxa"/>
        </w:tblCellMar>
      </w:tblPr>
      <w:tblGrid>
        <w:gridCol w:w="1291"/>
        <w:gridCol w:w="930"/>
        <w:gridCol w:w="1118"/>
        <w:gridCol w:w="1676"/>
        <w:gridCol w:w="1675"/>
        <w:gridCol w:w="1304"/>
        <w:gridCol w:w="1304"/>
      </w:tblGrid>
      <w:tr>
        <w:tblPrEx>
          <w:tblCellMar>
            <w:top w:w="57" w:type="dxa"/>
            <w:left w:w="57" w:type="dxa"/>
            <w:bottom w:w="57" w:type="dxa"/>
            <w:right w:w="57" w:type="dxa"/>
          </w:tblCellMar>
        </w:tblPrEx>
        <w:trPr>
          <w:trHeight w:val="285" w:hRule="atLeast"/>
          <w:tblHeader/>
          <w:jc w:val="center"/>
        </w:trPr>
        <w:tc>
          <w:tcPr>
            <w:tcW w:w="129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内容</w:t>
            </w:r>
          </w:p>
        </w:tc>
        <w:tc>
          <w:tcPr>
            <w:tcW w:w="93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部位</w:t>
            </w:r>
          </w:p>
        </w:tc>
        <w:tc>
          <w:tcPr>
            <w:tcW w:w="11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用途</w:t>
            </w:r>
          </w:p>
        </w:tc>
        <w:tc>
          <w:tcPr>
            <w:tcW w:w="167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调整前</w:t>
            </w:r>
          </w:p>
        </w:tc>
        <w:tc>
          <w:tcPr>
            <w:tcW w:w="1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调整后</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调整内容</w:t>
            </w:r>
          </w:p>
        </w:tc>
        <w:tc>
          <w:tcPr>
            <w:tcW w:w="130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b/>
                <w:bCs/>
                <w:color w:val="000000"/>
                <w:sz w:val="18"/>
                <w:szCs w:val="18"/>
              </w:rPr>
            </w:pPr>
            <w:r>
              <w:rPr>
                <w:rFonts w:ascii="Arial" w:hAnsi="Arial" w:eastAsia="仿宋_GB2312" w:cs="Arial"/>
                <w:b/>
                <w:bCs/>
                <w:color w:val="000000"/>
                <w:sz w:val="18"/>
                <w:szCs w:val="18"/>
              </w:rPr>
              <w:t>变化幅度</w:t>
            </w:r>
          </w:p>
        </w:tc>
      </w:tr>
      <w:tr>
        <w:tblPrEx>
          <w:tblCellMar>
            <w:top w:w="57" w:type="dxa"/>
            <w:left w:w="57" w:type="dxa"/>
            <w:bottom w:w="57" w:type="dxa"/>
            <w:right w:w="57" w:type="dxa"/>
          </w:tblCellMar>
        </w:tblPrEx>
        <w:trPr>
          <w:trHeight w:val="326"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土地面积（m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118"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c>
          <w:tcPr>
            <w:tcW w:w="167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675"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17767.39</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0</w:t>
            </w:r>
          </w:p>
        </w:tc>
        <w:tc>
          <w:tcPr>
            <w:tcW w:w="1304"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w:t>
            </w:r>
          </w:p>
        </w:tc>
      </w:tr>
      <w:tr>
        <w:tblPrEx>
          <w:tblCellMar>
            <w:top w:w="57" w:type="dxa"/>
            <w:left w:w="57" w:type="dxa"/>
            <w:bottom w:w="57" w:type="dxa"/>
            <w:right w:w="57" w:type="dxa"/>
          </w:tblCellMar>
        </w:tblPrEx>
        <w:trPr>
          <w:trHeight w:val="32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675"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304"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379" w:hRule="atLeast"/>
          <w:jc w:val="center"/>
        </w:trPr>
        <w:tc>
          <w:tcPr>
            <w:tcW w:w="1291"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建筑面积（m</w:t>
            </w:r>
            <w:r>
              <w:rPr>
                <w:rFonts w:ascii="Arial" w:hAnsi="Arial" w:eastAsia="仿宋_GB2312" w:cs="Arial"/>
                <w:color w:val="000000"/>
                <w:sz w:val="18"/>
                <w:szCs w:val="18"/>
                <w:vertAlign w:val="superscript"/>
              </w:rPr>
              <w:t>2</w:t>
            </w:r>
            <w:r>
              <w:rPr>
                <w:rFonts w:ascii="Arial" w:hAnsi="Arial" w:eastAsia="仿宋_GB2312" w:cs="Arial"/>
                <w:color w:val="000000"/>
                <w:sz w:val="18"/>
                <w:szCs w:val="18"/>
              </w:rPr>
              <w:t>）</w:t>
            </w: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地上</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住宅</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56682.72</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56900.25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217.53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0.38%</w:t>
            </w:r>
          </w:p>
        </w:tc>
      </w:tr>
      <w:tr>
        <w:tblPrEx>
          <w:tblCellMar>
            <w:top w:w="57" w:type="dxa"/>
            <w:left w:w="57" w:type="dxa"/>
            <w:bottom w:w="57" w:type="dxa"/>
            <w:right w:w="57" w:type="dxa"/>
          </w:tblCellMar>
        </w:tblPrEx>
        <w:trPr>
          <w:trHeight w:val="386"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20031.98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19906.48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-125.5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-0.63%</w:t>
            </w:r>
          </w:p>
        </w:tc>
      </w:tr>
      <w:tr>
        <w:tblPrEx>
          <w:tblCellMar>
            <w:top w:w="57" w:type="dxa"/>
            <w:left w:w="57" w:type="dxa"/>
            <w:bottom w:w="57" w:type="dxa"/>
            <w:right w:w="57" w:type="dxa"/>
          </w:tblCellMar>
        </w:tblPrEx>
        <w:trPr>
          <w:trHeight w:val="378"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76714.7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76806.73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92.03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601"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地下商业</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1500</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1462.22</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-37.78</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-2.52%</w:t>
            </w:r>
          </w:p>
        </w:tc>
      </w:tr>
      <w:tr>
        <w:tblPrEx>
          <w:tblCellMar>
            <w:top w:w="57" w:type="dxa"/>
            <w:left w:w="57" w:type="dxa"/>
            <w:bottom w:w="57" w:type="dxa"/>
            <w:right w:w="57" w:type="dxa"/>
          </w:tblCellMar>
        </w:tblPrEx>
        <w:trPr>
          <w:trHeight w:val="68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仿宋_GB2312" w:hAnsi="宋体" w:eastAsia="仿宋_GB2312" w:cs="仿宋_GB2312"/>
                <w:color w:val="000000"/>
                <w:sz w:val="18"/>
                <w:szCs w:val="18"/>
                <w:lang w:bidi="ar"/>
              </w:rPr>
              <w:t>地下综合</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304.5</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327.49</w:t>
            </w:r>
            <w:r>
              <w:rPr>
                <w:rFonts w:hint="eastAsia" w:ascii="Arial" w:hAnsi="Arial" w:cs="Arial"/>
                <w:color w:val="000000"/>
                <w:sz w:val="18"/>
                <w:szCs w:val="18"/>
                <w:lang w:bidi="ar"/>
              </w:rPr>
              <w:t>（</w:t>
            </w:r>
            <w:r>
              <w:rPr>
                <w:rFonts w:hint="eastAsia" w:ascii="Arial" w:hAnsi="Arial" w:eastAsia="仿宋_GB2312" w:cs="Arial"/>
                <w:color w:val="000000"/>
                <w:sz w:val="18"/>
                <w:szCs w:val="18"/>
              </w:rPr>
              <w:t>包含</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r>
              <w:rPr>
                <w:rFonts w:hint="eastAsia" w:ascii="Arial" w:hAnsi="Arial" w:cs="Arial"/>
                <w:color w:val="000000"/>
                <w:sz w:val="18"/>
                <w:szCs w:val="18"/>
                <w:lang w:bidi="ar"/>
              </w:rPr>
              <w:t>）</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22.99</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7.55%</w:t>
            </w:r>
          </w:p>
        </w:tc>
      </w:tr>
      <w:tr>
        <w:tblPrEx>
          <w:tblCellMar>
            <w:top w:w="57" w:type="dxa"/>
            <w:left w:w="57" w:type="dxa"/>
            <w:bottom w:w="57" w:type="dxa"/>
            <w:right w:w="57" w:type="dxa"/>
          </w:tblCellMar>
        </w:tblPrEx>
        <w:trPr>
          <w:trHeight w:val="1023"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24373.88</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16128.87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-8245.01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-33.83%</w:t>
            </w:r>
          </w:p>
        </w:tc>
      </w:tr>
      <w:tr>
        <w:tblPrEx>
          <w:tblCellMar>
            <w:top w:w="57" w:type="dxa"/>
            <w:left w:w="57" w:type="dxa"/>
            <w:bottom w:w="57" w:type="dxa"/>
            <w:right w:w="57" w:type="dxa"/>
          </w:tblCellMar>
        </w:tblPrEx>
        <w:trPr>
          <w:trHeight w:val="1024"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地下仓储</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2821.56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8071.81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5250.25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186.08%</w:t>
            </w:r>
          </w:p>
        </w:tc>
      </w:tr>
      <w:tr>
        <w:tblPrEx>
          <w:tblCellMar>
            <w:top w:w="57" w:type="dxa"/>
            <w:left w:w="57" w:type="dxa"/>
            <w:bottom w:w="57" w:type="dxa"/>
            <w:right w:w="57" w:type="dxa"/>
          </w:tblCellMar>
        </w:tblPrEx>
        <w:trPr>
          <w:trHeight w:val="377"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非经营性用途</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12814.06</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4079.15</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-8734.91</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spacing w:line="240" w:lineRule="atLeast"/>
              <w:jc w:val="center"/>
              <w:textAlignment w:val="center"/>
              <w:rPr>
                <w:rFonts w:ascii="Arial" w:hAnsi="Arial" w:eastAsia="仿宋_GB2312" w:cs="Arial"/>
                <w:color w:val="000000"/>
                <w:sz w:val="18"/>
                <w:szCs w:val="18"/>
              </w:rPr>
            </w:pPr>
            <w:r>
              <w:rPr>
                <w:rFonts w:ascii="Arial" w:hAnsi="Arial" w:cs="Arial"/>
                <w:color w:val="000000"/>
                <w:sz w:val="18"/>
                <w:szCs w:val="18"/>
                <w:lang w:bidi="ar"/>
              </w:rPr>
              <w:t>-68.17%</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930"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1118"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小计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41814</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29782.4</w:t>
            </w:r>
            <w:r>
              <w:rPr>
                <w:rFonts w:hint="eastAsia" w:ascii="Arial" w:hAnsi="Arial" w:eastAsia="仿宋_GB2312" w:cs="Arial"/>
                <w:color w:val="000000"/>
                <w:sz w:val="18"/>
                <w:szCs w:val="18"/>
              </w:rPr>
              <w:t>（扣除</w:t>
            </w:r>
            <w:r>
              <w:rPr>
                <w:rFonts w:ascii="Arial" w:hAnsi="Arial" w:eastAsia="仿宋_GB2312" w:cs="Arial"/>
                <w:color w:val="000000"/>
                <w:sz w:val="18"/>
                <w:szCs w:val="18"/>
              </w:rPr>
              <w:t>已</w:t>
            </w:r>
            <w:r>
              <w:rPr>
                <w:rFonts w:hint="eastAsia" w:ascii="Arial" w:hAnsi="Arial" w:eastAsia="仿宋_GB2312" w:cs="Arial"/>
                <w:color w:val="000000"/>
                <w:sz w:val="18"/>
                <w:szCs w:val="18"/>
              </w:rPr>
              <w:t>移交</w:t>
            </w:r>
            <w:r>
              <w:rPr>
                <w:rFonts w:ascii="Arial" w:hAnsi="Arial" w:eastAsia="仿宋_GB2312" w:cs="Arial"/>
                <w:color w:val="000000"/>
                <w:sz w:val="18"/>
                <w:szCs w:val="18"/>
              </w:rPr>
              <w:t>综合服务中心</w:t>
            </w:r>
            <w:r>
              <w:rPr>
                <w:rFonts w:hint="eastAsia" w:ascii="Arial" w:hAnsi="Arial" w:eastAsia="仿宋_GB2312" w:cs="Arial"/>
                <w:color w:val="000000"/>
                <w:sz w:val="18"/>
                <w:szCs w:val="18"/>
              </w:rPr>
              <w:t>120.50平方米</w:t>
            </w:r>
            <w:r>
              <w:rPr>
                <w:rFonts w:ascii="Arial" w:hAnsi="Arial" w:eastAsia="仿宋_GB2312" w:cs="Arial"/>
                <w:color w:val="000000"/>
                <w:sz w:val="18"/>
                <w:szCs w:val="18"/>
              </w:rPr>
              <w:t>，社区服务中心</w:t>
            </w:r>
            <w:r>
              <w:rPr>
                <w:rFonts w:hint="eastAsia" w:ascii="Arial" w:hAnsi="Arial" w:eastAsia="仿宋_GB2312" w:cs="Arial"/>
                <w:color w:val="000000"/>
                <w:sz w:val="18"/>
                <w:szCs w:val="18"/>
              </w:rPr>
              <w:t>166.64平方米，</w:t>
            </w:r>
            <w:r>
              <w:rPr>
                <w:rFonts w:ascii="Arial" w:hAnsi="Arial" w:eastAsia="仿宋_GB2312" w:cs="Arial"/>
                <w:color w:val="000000"/>
                <w:sz w:val="18"/>
                <w:szCs w:val="18"/>
              </w:rPr>
              <w:t>共计</w:t>
            </w:r>
            <w:r>
              <w:rPr>
                <w:rFonts w:hint="eastAsia" w:ascii="Arial" w:hAnsi="Arial" w:eastAsia="仿宋_GB2312" w:cs="Arial"/>
                <w:color w:val="000000"/>
                <w:sz w:val="18"/>
                <w:szCs w:val="18"/>
              </w:rPr>
              <w:t>287.14平方米）</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-12031.6</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r>
        <w:tblPrEx>
          <w:tblCellMar>
            <w:top w:w="57" w:type="dxa"/>
            <w:left w:w="57" w:type="dxa"/>
            <w:bottom w:w="57" w:type="dxa"/>
            <w:right w:w="57" w:type="dxa"/>
          </w:tblCellMar>
        </w:tblPrEx>
        <w:trPr>
          <w:trHeight w:val="465" w:hRule="atLeast"/>
          <w:jc w:val="center"/>
        </w:trPr>
        <w:tc>
          <w:tcPr>
            <w:tcW w:w="1291"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p>
        </w:tc>
        <w:tc>
          <w:tcPr>
            <w:tcW w:w="2048" w:type="dxa"/>
            <w:gridSpan w:val="2"/>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合计</w:t>
            </w:r>
          </w:p>
        </w:tc>
        <w:tc>
          <w:tcPr>
            <w:tcW w:w="1676"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118528.7</w:t>
            </w:r>
          </w:p>
        </w:tc>
        <w:tc>
          <w:tcPr>
            <w:tcW w:w="1675"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106589.13</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-11939.57</w:t>
            </w:r>
          </w:p>
        </w:tc>
        <w:tc>
          <w:tcPr>
            <w:tcW w:w="1304" w:type="dxa"/>
            <w:tcBorders>
              <w:top w:val="nil"/>
              <w:left w:val="single" w:color="000000" w:sz="8" w:space="0"/>
              <w:bottom w:val="single" w:color="000000" w:sz="8" w:space="0"/>
              <w:right w:val="single" w:color="000000" w:sz="8" w:space="0"/>
            </w:tcBorders>
            <w:shd w:val="clear" w:color="auto" w:fill="auto"/>
            <w:vAlign w:val="center"/>
          </w:tcPr>
          <w:p>
            <w:pPr>
              <w:widowControl/>
              <w:adjustRightInd/>
              <w:spacing w:line="240" w:lineRule="atLeast"/>
              <w:jc w:val="center"/>
              <w:textAlignment w:val="auto"/>
              <w:rPr>
                <w:rFonts w:ascii="Arial" w:hAnsi="Arial" w:eastAsia="仿宋_GB2312" w:cs="Arial"/>
                <w:color w:val="000000"/>
                <w:sz w:val="18"/>
                <w:szCs w:val="18"/>
              </w:rPr>
            </w:pPr>
            <w:r>
              <w:rPr>
                <w:rFonts w:ascii="Arial" w:hAnsi="Arial" w:eastAsia="仿宋_GB2312" w:cs="Arial"/>
                <w:color w:val="000000"/>
                <w:sz w:val="18"/>
                <w:szCs w:val="18"/>
              </w:rPr>
              <w:t>——</w:t>
            </w:r>
          </w:p>
        </w:tc>
      </w:tr>
    </w:tbl>
    <w:p>
      <w:pPr>
        <w:snapToGrid w:val="0"/>
        <w:spacing w:line="240" w:lineRule="auto"/>
        <w:rPr>
          <w:rFonts w:ascii="Arial" w:hAnsi="Arial" w:eastAsia="仿宋_GB2312" w:cs="Arial"/>
          <w:sz w:val="21"/>
          <w:szCs w:val="21"/>
        </w:rPr>
      </w:pPr>
      <w:r>
        <w:rPr>
          <w:rFonts w:hint="eastAsia" w:ascii="Arial" w:hAnsi="Arial" w:eastAsia="仿宋_GB2312" w:cs="Arial"/>
          <w:sz w:val="21"/>
          <w:szCs w:val="21"/>
        </w:rPr>
        <w:t>单位：平方米</w:t>
      </w:r>
    </w:p>
    <w:p>
      <w:pPr>
        <w:snapToGrid w:val="0"/>
        <w:spacing w:line="240" w:lineRule="auto"/>
        <w:rPr>
          <w:rFonts w:ascii="Arial" w:hAnsi="Arial" w:eastAsia="仿宋_GB2312" w:cs="Arial"/>
          <w:sz w:val="21"/>
          <w:szCs w:val="21"/>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估价对象属于</w:t>
      </w:r>
      <w:r>
        <w:rPr>
          <w:rFonts w:ascii="Arial" w:hAnsi="Arial" w:eastAsia="仿宋_GB2312" w:cs="Arial"/>
          <w:sz w:val="28"/>
          <w:szCs w:val="28"/>
        </w:rPr>
        <w:t>居住类五级V-0</w:t>
      </w:r>
      <w:r>
        <w:rPr>
          <w:rFonts w:hint="eastAsia" w:ascii="Arial" w:hAnsi="Arial" w:eastAsia="仿宋_GB2312" w:cs="Arial"/>
          <w:sz w:val="28"/>
          <w:szCs w:val="28"/>
        </w:rPr>
        <w:t>3</w:t>
      </w:r>
      <w:r>
        <w:rPr>
          <w:rFonts w:ascii="Arial" w:hAnsi="Arial" w:eastAsia="仿宋_GB2312" w:cs="Arial"/>
          <w:sz w:val="28"/>
          <w:szCs w:val="28"/>
        </w:rPr>
        <w:t>区片地价区</w:t>
      </w:r>
      <w:r>
        <w:rPr>
          <w:rFonts w:ascii="Arial" w:hAnsi="Arial" w:eastAsia="仿宋_GB2312" w:cs="Arial"/>
          <w:sz w:val="28"/>
        </w:rPr>
        <w:t>，</w:t>
      </w:r>
      <w:r>
        <w:rPr>
          <w:rFonts w:hint="eastAsia" w:ascii="Arial" w:hAnsi="Arial" w:eastAsia="仿宋_GB2312" w:cs="Arial"/>
          <w:sz w:val="28"/>
        </w:rPr>
        <w:t>居住</w:t>
      </w:r>
      <w:r>
        <w:rPr>
          <w:rFonts w:ascii="Arial" w:hAnsi="Arial" w:eastAsia="仿宋_GB2312" w:cs="Arial"/>
          <w:sz w:val="28"/>
        </w:rPr>
        <w:t>用途该级别平均容积率为2.5。估价对象宗地形状较规则、地形平坦、地质良好。综合评价估价对象土地利用程度较好。</w:t>
      </w:r>
    </w:p>
    <w:p>
      <w:pPr>
        <w:pStyle w:val="55"/>
        <w:autoSpaceDE w:val="0"/>
        <w:autoSpaceDN w:val="0"/>
        <w:spacing w:line="360" w:lineRule="auto"/>
        <w:ind w:right="142"/>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6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w:t>
      </w:r>
      <w:r>
        <w:rPr>
          <w:rFonts w:hint="eastAsia" w:ascii="Arial" w:hAnsi="Arial" w:eastAsia="仿宋_GB2312" w:cs="Arial"/>
          <w:sz w:val="28"/>
        </w:rPr>
        <w:t>住宅用房取30%</w:t>
      </w:r>
      <w:r>
        <w:rPr>
          <w:rFonts w:ascii="Arial" w:hAnsi="Arial" w:eastAsia="仿宋_GB2312" w:cs="Arial"/>
          <w:sz w:val="28"/>
        </w:rPr>
        <w:t xml:space="preserve">。 </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土地开发期：0年</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建筑物建设期：2年</w:t>
      </w:r>
    </w:p>
    <w:p>
      <w:pPr>
        <w:pStyle w:val="55"/>
        <w:autoSpaceDE w:val="0"/>
        <w:autoSpaceDN w:val="0"/>
        <w:spacing w:line="360" w:lineRule="auto"/>
        <w:ind w:right="140" w:firstLine="570"/>
        <w:jc w:val="both"/>
        <w:textAlignment w:val="bottom"/>
        <w:rPr>
          <w:rFonts w:ascii="Arial" w:hAnsi="Arial" w:eastAsia="仿宋_GB2312" w:cs="Arial"/>
          <w:sz w:val="28"/>
        </w:rPr>
      </w:pPr>
    </w:p>
    <w:p>
      <w:pPr>
        <w:spacing w:line="360" w:lineRule="auto"/>
        <w:ind w:firstLine="560" w:firstLineChars="200"/>
        <w:jc w:val="both"/>
        <w:rPr>
          <w:rFonts w:ascii="Arial" w:hAnsi="Arial" w:eastAsia="仿宋_GB2312" w:cs="Arial"/>
          <w:b/>
          <w:sz w:val="28"/>
        </w:rPr>
      </w:pPr>
      <w:r>
        <w:rPr>
          <w:rFonts w:ascii="Arial" w:hAnsi="Arial" w:eastAsia="仿宋_GB2312" w:cs="Arial"/>
          <w:b/>
          <w:sz w:val="28"/>
        </w:rPr>
        <w:t>测算过程：</w:t>
      </w:r>
    </w:p>
    <w:p>
      <w:pPr>
        <w:spacing w:line="360" w:lineRule="auto"/>
        <w:ind w:left="420"/>
        <w:jc w:val="both"/>
        <w:rPr>
          <w:rFonts w:ascii="Arial" w:hAnsi="Arial" w:eastAsia="仿宋_GB2312" w:cs="Arial"/>
          <w:b/>
          <w:bCs/>
          <w:sz w:val="28"/>
        </w:rPr>
      </w:pPr>
      <w:bookmarkStart w:id="303" w:name="_Toc416783706"/>
      <w:bookmarkStart w:id="304" w:name="_Toc469066172"/>
      <w:bookmarkStart w:id="305" w:name="_Toc416783610"/>
      <w:r>
        <w:rPr>
          <w:rFonts w:ascii="Arial" w:hAnsi="Arial" w:eastAsia="仿宋_GB2312" w:cs="Arial"/>
          <w:b/>
          <w:sz w:val="28"/>
        </w:rPr>
        <w:t>方法一：</w:t>
      </w:r>
      <w:r>
        <w:rPr>
          <w:rFonts w:ascii="Arial" w:hAnsi="Arial" w:eastAsia="仿宋_GB2312" w:cs="Arial"/>
          <w:b/>
          <w:bCs/>
          <w:sz w:val="28"/>
        </w:rPr>
        <w:t>基准地价系数修正法</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1.有关北京市基准地价的说明</w:t>
      </w:r>
    </w:p>
    <w:p>
      <w:pPr>
        <w:pStyle w:val="11"/>
        <w:overflowPunct w:val="0"/>
        <w:spacing w:line="360" w:lineRule="auto"/>
        <w:ind w:firstLine="560" w:firstLineChars="200"/>
        <w:rPr>
          <w:rFonts w:ascii="Arial" w:hAnsi="Arial" w:eastAsia="仿宋"/>
          <w:sz w:val="28"/>
        </w:rPr>
      </w:pPr>
      <w:r>
        <w:rPr>
          <w:rFonts w:hint="eastAsia" w:ascii="Arial" w:hAnsi="Arial" w:eastAsia="仿宋"/>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根据《关于继续使用现行基准地价有关问题的函》[自然资利用函（2020）27号]及《北京市规划和自然资源委员会关于继续使用现行基准地价的函》[京规自函（2020）492号]，在北京市新版基准地价颁布之前，可继续使用该基准地价，期限最长不得超过2020年12月31日。</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在《北京市基准地价更新成果》中，基准地价是指各土地级别/区片内，在正常市场条件下、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基准期日为2014年1月1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2098"/>
        <w:gridCol w:w="1750"/>
        <w:gridCol w:w="1764"/>
        <w:gridCol w:w="1924"/>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900" w:firstLineChars="500"/>
              <w:jc w:val="right"/>
              <w:textAlignment w:val="auto"/>
              <w:rPr>
                <w:rFonts w:ascii="Arial" w:hAnsi="Arial" w:eastAsia="仿宋" w:cs="宋体"/>
                <w:color w:val="000000"/>
                <w:sz w:val="18"/>
                <w:szCs w:val="18"/>
              </w:rPr>
            </w:pPr>
            <w:r>
              <w:rPr>
                <w:rFonts w:hint="eastAsia" w:ascii="Arial" w:hAnsi="Arial" w:eastAsia="仿宋" w:cs="宋体"/>
                <w:color w:val="000000"/>
                <w:sz w:val="18"/>
                <w:szCs w:val="18"/>
              </w:rPr>
              <w:t>土地级别</w:t>
            </w:r>
          </w:p>
          <w:p>
            <w:pPr>
              <w:spacing w:line="240" w:lineRule="exact"/>
              <w:rPr>
                <w:rFonts w:ascii="Arial" w:hAnsi="Arial" w:eastAsia="仿宋" w:cs="宋体"/>
                <w:color w:val="000000"/>
                <w:sz w:val="18"/>
                <w:szCs w:val="18"/>
              </w:rPr>
            </w:pPr>
            <w:r>
              <w:rPr>
                <w:rFonts w:hint="eastAsia" w:ascii="Arial" w:hAnsi="Arial" w:eastAsia="仿宋" w:cs="宋体"/>
                <w:color w:val="000000"/>
                <w:sz w:val="18"/>
                <w:szCs w:val="18"/>
              </w:rPr>
              <w:t>土地用途</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一级至二级</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三级至五级</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商业</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办公</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居住</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工业</w:t>
            </w:r>
          </w:p>
        </w:tc>
        <w:tc>
          <w:tcPr>
            <w:tcW w:w="35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1.5 </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1.2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 w:cs="宋体"/>
                <w:color w:val="000000"/>
                <w:sz w:val="18"/>
                <w:szCs w:val="18"/>
              </w:rPr>
            </w:pPr>
            <w:r>
              <w:rPr>
                <w:rFonts w:hint="eastAsia" w:ascii="Arial" w:hAnsi="Arial" w:eastAsia="仿宋" w:cs="宋体"/>
                <w:color w:val="000000"/>
                <w:sz w:val="18"/>
                <w:szCs w:val="18"/>
              </w:rPr>
              <w:t xml:space="preserve">1.0 </w:t>
            </w:r>
          </w:p>
        </w:tc>
      </w:tr>
    </w:tbl>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基准地价的表示形式为楼面熟地价，楼面熟地价是指各土地级别（区片）内，完成通平的土地在平均容积率条件下，每建筑面积分摊的完整的国有建设用地使用权的平均价格。</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25%确定，工业用途政府土地出让收益按照政府审定楼面熟地价的15%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2.计算公式如下：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（1）地上部分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楼面熟地价＝适用的基准地价×用途修正系数×期日修正系数×年期修正系数×容积率修正系数（或楼层修正系数）×因素修正系数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（2）地下部分</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楼面熟地价＝适用的基准地价×期日修正系数×年期修正系数×因素修正系数× 相应用途地下空间修正系数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3.测算过程</w:t>
      </w:r>
    </w:p>
    <w:p>
      <w:pPr>
        <w:overflowPunct w:val="0"/>
        <w:spacing w:line="360" w:lineRule="auto"/>
        <w:ind w:firstLine="560" w:firstLineChars="200"/>
        <w:jc w:val="both"/>
        <w:textAlignment w:val="auto"/>
        <w:rPr>
          <w:rFonts w:ascii="Arial" w:hAnsi="Arial" w:eastAsia="仿宋"/>
          <w:b/>
          <w:sz w:val="28"/>
        </w:rPr>
      </w:pPr>
      <w:r>
        <w:rPr>
          <w:rFonts w:ascii="Arial" w:hAnsi="Arial" w:eastAsia="仿宋_GB2312" w:cs="Arial"/>
          <w:b/>
          <w:sz w:val="28"/>
        </w:rPr>
        <w:t>（1）求取估价对象地下</w:t>
      </w:r>
      <w:r>
        <w:rPr>
          <w:rFonts w:hint="eastAsia" w:ascii="Arial" w:hAnsi="Arial" w:eastAsia="仿宋_GB2312" w:cs="Arial"/>
          <w:b/>
          <w:sz w:val="28"/>
        </w:rPr>
        <w:t>仓储</w:t>
      </w:r>
      <w:r>
        <w:rPr>
          <w:rFonts w:ascii="Arial" w:hAnsi="Arial" w:eastAsia="仿宋_GB2312" w:cs="Arial"/>
          <w:b/>
          <w:sz w:val="28"/>
        </w:rPr>
        <w:t>用房楼面熟地价（土地剩余使用年限</w:t>
      </w:r>
      <w:r>
        <w:rPr>
          <w:rFonts w:hint="eastAsia" w:ascii="Arial" w:hAnsi="Arial" w:eastAsia="仿宋_GB2312" w:cs="Arial"/>
          <w:b/>
          <w:sz w:val="28"/>
        </w:rPr>
        <w:t>50</w:t>
      </w:r>
      <w:r>
        <w:rPr>
          <w:rFonts w:ascii="Arial" w:hAnsi="Arial" w:eastAsia="仿宋_GB2312" w:cs="Arial"/>
          <w:b/>
          <w:sz w:val="28"/>
        </w:rPr>
        <w:t>年）</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1）宗地适用基准地价水平的确定</w:t>
      </w:r>
    </w:p>
    <w:p>
      <w:pPr>
        <w:overflowPunct w:val="0"/>
        <w:spacing w:line="360" w:lineRule="auto"/>
        <w:ind w:firstLine="560" w:firstLineChars="200"/>
        <w:jc w:val="both"/>
        <w:textAlignment w:val="auto"/>
        <w:rPr>
          <w:rFonts w:ascii="Arial" w:hAnsi="Arial" w:eastAsia="仿宋_GB2312" w:cs="Arial"/>
          <w:sz w:val="28"/>
        </w:rPr>
      </w:pPr>
      <w:r>
        <w:rPr>
          <w:rFonts w:hint="eastAsia" w:ascii="Arial" w:hAnsi="Arial" w:eastAsia="仿宋"/>
          <w:sz w:val="28"/>
        </w:rPr>
        <w:t>A.根据《北京市基准地价更新成果》，</w:t>
      </w:r>
      <w:r>
        <w:rPr>
          <w:rFonts w:ascii="Arial" w:hAnsi="Arial" w:eastAsia="仿宋_GB2312" w:cs="Arial"/>
          <w:sz w:val="28"/>
        </w:rPr>
        <w:t>估价对象地上</w:t>
      </w:r>
      <w:r>
        <w:rPr>
          <w:rFonts w:hint="eastAsia" w:ascii="Arial" w:hAnsi="Arial" w:eastAsia="仿宋_GB2312" w:cs="Arial"/>
          <w:sz w:val="28"/>
        </w:rPr>
        <w:t>住宅</w:t>
      </w:r>
      <w:r>
        <w:rPr>
          <w:rFonts w:ascii="Arial" w:hAnsi="Arial" w:eastAsia="仿宋_GB2312" w:cs="Arial"/>
          <w:sz w:val="28"/>
        </w:rPr>
        <w:t>相应用途基准地价参照《北京市区片基准地价表》确定</w:t>
      </w:r>
      <w:r>
        <w:rPr>
          <w:rFonts w:hint="eastAsia" w:ascii="Arial" w:hAnsi="Arial" w:eastAsia="仿宋"/>
          <w:sz w:val="28"/>
        </w:rPr>
        <w:t>。估价对象位于</w:t>
      </w:r>
      <w:r>
        <w:rPr>
          <w:rFonts w:hint="eastAsia" w:ascii="Arial" w:hAnsi="Arial" w:eastAsia="仿宋_GB2312" w:cs="Arial"/>
          <w:sz w:val="28"/>
        </w:rPr>
        <w:t>北京市海淀区清河嘉园西区1号楼、3号楼、100幢地块北京市海淀区清河嘉园西区1号楼、3号楼、100幢地块</w:t>
      </w:r>
      <w:r>
        <w:rPr>
          <w:rFonts w:hint="eastAsia" w:ascii="Arial" w:hAnsi="Arial" w:eastAsia="仿宋"/>
          <w:sz w:val="28"/>
        </w:rPr>
        <w:t>，土地级别为住宅类五级地价区，属住宅用途</w:t>
      </w:r>
      <w:r>
        <w:rPr>
          <w:rFonts w:ascii="Arial" w:hAnsi="Arial" w:eastAsia="仿宋_GB2312" w:cs="Arial"/>
          <w:sz w:val="28"/>
        </w:rPr>
        <w:t>V-0</w:t>
      </w:r>
      <w:r>
        <w:rPr>
          <w:rFonts w:hint="eastAsia" w:ascii="Arial" w:hAnsi="Arial" w:eastAsia="仿宋_GB2312" w:cs="Arial"/>
          <w:sz w:val="28"/>
        </w:rPr>
        <w:t>3</w:t>
      </w:r>
      <w:r>
        <w:rPr>
          <w:rFonts w:hint="eastAsia" w:ascii="Arial" w:hAnsi="Arial" w:eastAsia="仿宋"/>
          <w:sz w:val="28"/>
        </w:rPr>
        <w:t>区片。</w:t>
      </w:r>
      <w:r>
        <w:rPr>
          <w:rFonts w:ascii="Arial" w:hAnsi="Arial" w:eastAsia="仿宋_GB2312" w:cs="Arial"/>
          <w:sz w:val="28"/>
        </w:rPr>
        <w:t>北京市各用途</w:t>
      </w:r>
      <w:r>
        <w:rPr>
          <w:rFonts w:hint="eastAsia" w:ascii="Arial" w:hAnsi="Arial" w:eastAsia="仿宋_GB2312" w:cs="Arial"/>
          <w:sz w:val="28"/>
        </w:rPr>
        <w:t>五</w:t>
      </w:r>
      <w:r>
        <w:rPr>
          <w:rFonts w:ascii="Arial" w:hAnsi="Arial" w:eastAsia="仿宋_GB2312" w:cs="Arial"/>
          <w:sz w:val="28"/>
        </w:rPr>
        <w:t>级区片基准地价详见下表：</w:t>
      </w: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overflowPunct w:val="0"/>
        <w:spacing w:line="360" w:lineRule="auto"/>
        <w:ind w:firstLine="560" w:firstLineChars="200"/>
        <w:jc w:val="both"/>
        <w:textAlignment w:val="auto"/>
        <w:rPr>
          <w:rFonts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overflowPunct w:val="0"/>
        <w:spacing w:line="360" w:lineRule="auto"/>
        <w:ind w:firstLine="560" w:firstLineChars="200"/>
        <w:jc w:val="both"/>
        <w:textAlignment w:val="auto"/>
        <w:rPr>
          <w:rFonts w:ascii="Arial" w:hAnsi="Arial" w:eastAsia="仿宋_GB2312" w:cs="Arial"/>
          <w:sz w:val="28"/>
        </w:rPr>
        <w:sectPr>
          <w:headerReference r:id="rId31" w:type="default"/>
          <w:footerReference r:id="rId32" w:type="default"/>
          <w:pgSz w:w="11906" w:h="16838"/>
          <w:pgMar w:top="1843" w:right="1304" w:bottom="1134" w:left="1304" w:header="1134" w:footer="907" w:gutter="0"/>
          <w:cols w:space="425" w:num="1"/>
          <w:docGrid w:type="linesAndChars" w:linePitch="326" w:charSpace="0"/>
        </w:sectPr>
      </w:pPr>
    </w:p>
    <w:p>
      <w:pPr>
        <w:overflowPunct w:val="0"/>
        <w:spacing w:line="480" w:lineRule="auto"/>
        <w:jc w:val="center"/>
        <w:rPr>
          <w:rFonts w:ascii="Arial" w:hAnsi="Arial" w:cs="Arial"/>
          <w:b/>
        </w:rPr>
      </w:pPr>
      <w:r>
        <w:rPr>
          <w:rFonts w:ascii="Arial" w:hAnsi="Arial" w:cs="Arial"/>
          <w:b/>
        </w:rPr>
        <w:t>北京市区片基准地价表</w:t>
      </w:r>
    </w:p>
    <w:p>
      <w:pPr>
        <w:pStyle w:val="12"/>
        <w:spacing w:line="360" w:lineRule="auto"/>
        <w:ind w:firstLine="0"/>
        <w:jc w:val="both"/>
        <w:rPr>
          <w:rFonts w:ascii="Arial" w:hAnsi="Arial" w:cs="Arial"/>
          <w:sz w:val="18"/>
          <w:szCs w:val="18"/>
        </w:rPr>
      </w:pPr>
      <w:r>
        <w:rPr>
          <w:rFonts w:ascii="Arial" w:hAnsi="Arial" w:cs="Arial"/>
          <w:sz w:val="18"/>
          <w:szCs w:val="18"/>
        </w:rPr>
        <w:t xml:space="preserve">基准日期：2014年1月1日                            </w:t>
      </w:r>
      <w:r>
        <w:rPr>
          <w:rFonts w:hint="eastAsia" w:ascii="Arial" w:hAnsi="Arial" w:cs="Arial"/>
          <w:sz w:val="18"/>
          <w:szCs w:val="18"/>
        </w:rPr>
        <w:t xml:space="preserve">                               </w:t>
      </w:r>
      <w:r>
        <w:rPr>
          <w:rFonts w:ascii="Arial" w:hAnsi="Arial" w:cs="Arial"/>
          <w:sz w:val="18"/>
          <w:szCs w:val="18"/>
        </w:rPr>
        <w:t>单位：元/建筑平方米</w:t>
      </w:r>
    </w:p>
    <w:tbl>
      <w:tblPr>
        <w:tblStyle w:val="35"/>
        <w:tblW w:w="9298" w:type="dxa"/>
        <w:jc w:val="center"/>
        <w:tblLayout w:type="fixed"/>
        <w:tblCellMar>
          <w:top w:w="57" w:type="dxa"/>
          <w:left w:w="57" w:type="dxa"/>
          <w:bottom w:w="57" w:type="dxa"/>
          <w:right w:w="57" w:type="dxa"/>
        </w:tblCellMar>
      </w:tblPr>
      <w:tblGrid>
        <w:gridCol w:w="724"/>
        <w:gridCol w:w="1002"/>
        <w:gridCol w:w="1002"/>
        <w:gridCol w:w="1002"/>
        <w:gridCol w:w="1003"/>
        <w:gridCol w:w="1002"/>
        <w:gridCol w:w="1002"/>
        <w:gridCol w:w="1558"/>
        <w:gridCol w:w="1003"/>
      </w:tblGrid>
      <w:tr>
        <w:tblPrEx>
          <w:tblCellMar>
            <w:top w:w="57" w:type="dxa"/>
            <w:left w:w="57" w:type="dxa"/>
            <w:bottom w:w="57" w:type="dxa"/>
            <w:right w:w="57" w:type="dxa"/>
          </w:tblCellMar>
        </w:tblPrEx>
        <w:trPr>
          <w:trHeight w:val="97" w:hRule="atLeast"/>
          <w:jc w:val="center"/>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级别</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商业</w:t>
            </w:r>
          </w:p>
        </w:tc>
        <w:tc>
          <w:tcPr>
            <w:tcW w:w="200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办公</w:t>
            </w:r>
          </w:p>
        </w:tc>
        <w:tc>
          <w:tcPr>
            <w:tcW w:w="200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居住</w:t>
            </w:r>
          </w:p>
        </w:tc>
        <w:tc>
          <w:tcPr>
            <w:tcW w:w="256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工业</w:t>
            </w:r>
          </w:p>
        </w:tc>
      </w:tr>
      <w:tr>
        <w:tblPrEx>
          <w:tblCellMar>
            <w:top w:w="57" w:type="dxa"/>
            <w:left w:w="57" w:type="dxa"/>
            <w:bottom w:w="57" w:type="dxa"/>
            <w:right w:w="57" w:type="dxa"/>
          </w:tblCellMar>
        </w:tblPrEx>
        <w:trPr>
          <w:trHeight w:val="285"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b/>
                <w:bCs/>
                <w:color w:val="000000"/>
                <w:sz w:val="18"/>
                <w:szCs w:val="18"/>
              </w:rPr>
            </w:pP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3"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c>
          <w:tcPr>
            <w:tcW w:w="1559"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区片编号</w:t>
            </w:r>
          </w:p>
        </w:tc>
        <w:tc>
          <w:tcPr>
            <w:tcW w:w="10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区片价格</w:t>
            </w:r>
          </w:p>
        </w:tc>
      </w:tr>
      <w:tr>
        <w:tblPrEx>
          <w:tblCellMar>
            <w:top w:w="57" w:type="dxa"/>
            <w:left w:w="57" w:type="dxa"/>
            <w:bottom w:w="57" w:type="dxa"/>
            <w:right w:w="57" w:type="dxa"/>
          </w:tblCellMar>
        </w:tblPrEx>
        <w:trPr>
          <w:trHeight w:val="285" w:hRule="atLeast"/>
          <w:jc w:val="center"/>
        </w:trPr>
        <w:tc>
          <w:tcPr>
            <w:tcW w:w="724" w:type="dxa"/>
            <w:vMerge w:val="restart"/>
            <w:tcBorders>
              <w:top w:val="nil"/>
              <w:left w:val="single" w:color="auto" w:sz="4" w:space="0"/>
              <w:bottom w:val="nil"/>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五级</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14640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3060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14320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12350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2740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12450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12370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14720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2490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14830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2450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2540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2840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3140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Ⅴ-电子城北</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3100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13430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12790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Ⅴ-永丰产业基地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11630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11320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Ⅴ-航天城</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11410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11360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Ⅴ-西北旺Ⅱ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2320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Ⅴ-17</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11970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Ⅴ-石景山园南区</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12740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12700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Ⅴ-18</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Ⅴ-石景山园北Ⅰ</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12020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11990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Ⅴ-19</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13110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Ⅴ-石景山园北Ⅱ</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2280</w:t>
            </w: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12620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12580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13160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13200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13150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Ⅴ-21</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12900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13270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13210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Ⅴ-22</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11080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13010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Ⅴ-23</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12840</w:t>
            </w: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Ⅴ-24</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11130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nil"/>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14280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Ⅴ-25</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14180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r>
        <w:tblPrEx>
          <w:tblCellMar>
            <w:top w:w="57" w:type="dxa"/>
            <w:left w:w="57" w:type="dxa"/>
            <w:bottom w:w="57" w:type="dxa"/>
            <w:right w:w="57" w:type="dxa"/>
          </w:tblCellMar>
        </w:tblPrEx>
        <w:trPr>
          <w:trHeight w:val="285" w:hRule="atLeast"/>
          <w:jc w:val="center"/>
        </w:trPr>
        <w:tc>
          <w:tcPr>
            <w:tcW w:w="72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12960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Ⅴ-26</w:t>
            </w: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12890</w:t>
            </w: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3"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559"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c>
          <w:tcPr>
            <w:tcW w:w="1004" w:type="dxa"/>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18"/>
                <w:szCs w:val="18"/>
              </w:rPr>
            </w:pPr>
          </w:p>
        </w:tc>
      </w:tr>
    </w:tbl>
    <w:p>
      <w:pPr>
        <w:spacing w:line="360" w:lineRule="auto"/>
        <w:ind w:firstLine="360" w:firstLineChars="200"/>
        <w:rPr>
          <w:rFonts w:ascii="Arial" w:hAnsi="Arial" w:eastAsia="仿宋"/>
          <w:sz w:val="18"/>
          <w:szCs w:val="18"/>
        </w:rPr>
      </w:pPr>
      <w:r>
        <w:rPr>
          <w:rFonts w:hint="eastAsia" w:ascii="Arial" w:hAnsi="Arial" w:eastAsia="仿宋"/>
          <w:sz w:val="18"/>
          <w:szCs w:val="18"/>
        </w:rPr>
        <w:t xml:space="preserve">                            </w:t>
      </w:r>
    </w:p>
    <w:p>
      <w:pPr>
        <w:spacing w:line="360" w:lineRule="auto"/>
        <w:ind w:firstLine="560" w:firstLineChars="200"/>
        <w:rPr>
          <w:rFonts w:ascii="Arial" w:hAnsi="Arial" w:eastAsia="仿宋_GB2312" w:cs="Arial"/>
          <w:sz w:val="28"/>
          <w:szCs w:val="21"/>
        </w:rPr>
      </w:pPr>
      <w:r>
        <w:rPr>
          <w:rFonts w:ascii="Arial" w:hAnsi="Arial" w:eastAsia="仿宋_GB2312" w:cs="Arial"/>
          <w:sz w:val="28"/>
          <w:szCs w:val="21"/>
        </w:rPr>
        <w:t>依据上表，估价对象所在</w:t>
      </w:r>
      <w:r>
        <w:rPr>
          <w:rFonts w:hint="eastAsia" w:ascii="Arial" w:hAnsi="Arial" w:eastAsia="仿宋_GB2312" w:cs="Arial"/>
          <w:sz w:val="28"/>
          <w:szCs w:val="21"/>
        </w:rPr>
        <w:t>住宅</w:t>
      </w:r>
      <w:r>
        <w:rPr>
          <w:rFonts w:ascii="Arial" w:hAnsi="Arial" w:eastAsia="仿宋_GB2312" w:cs="Arial"/>
          <w:sz w:val="28"/>
          <w:szCs w:val="21"/>
        </w:rPr>
        <w:t>用途V-0</w:t>
      </w:r>
      <w:r>
        <w:rPr>
          <w:rFonts w:hint="eastAsia" w:ascii="Arial" w:hAnsi="Arial" w:eastAsia="仿宋_GB2312" w:cs="Arial"/>
          <w:sz w:val="28"/>
          <w:szCs w:val="21"/>
        </w:rPr>
        <w:t>3</w:t>
      </w:r>
      <w:r>
        <w:rPr>
          <w:rFonts w:ascii="Arial" w:hAnsi="Arial" w:eastAsia="仿宋_GB2312" w:cs="Arial"/>
          <w:sz w:val="28"/>
          <w:szCs w:val="21"/>
        </w:rPr>
        <w:t>区片的区片基准地价为</w:t>
      </w:r>
      <w:r>
        <w:rPr>
          <w:rFonts w:hint="eastAsia" w:ascii="Arial" w:hAnsi="Arial" w:eastAsia="仿宋_GB2312" w:cs="Arial"/>
          <w:sz w:val="28"/>
          <w:szCs w:val="21"/>
        </w:rPr>
        <w:t>12510</w:t>
      </w:r>
      <w:r>
        <w:rPr>
          <w:rFonts w:ascii="Arial" w:hAnsi="Arial" w:eastAsia="仿宋_GB2312" w:cs="Arial"/>
          <w:sz w:val="28"/>
          <w:szCs w:val="21"/>
        </w:rPr>
        <w:t>元/平方米。</w:t>
      </w:r>
    </w:p>
    <w:p>
      <w:pPr>
        <w:spacing w:line="360" w:lineRule="auto"/>
        <w:ind w:firstLine="560" w:firstLineChars="200"/>
        <w:rPr>
          <w:rFonts w:ascii="Arial" w:hAnsi="Arial" w:eastAsia="仿宋"/>
          <w:sz w:val="28"/>
        </w:rPr>
      </w:pPr>
      <w:r>
        <w:rPr>
          <w:rFonts w:hint="eastAsia" w:ascii="Arial" w:hAnsi="Arial" w:eastAsia="仿宋"/>
          <w:sz w:val="28"/>
        </w:rPr>
        <w:t>B.土地开发程度修正</w:t>
      </w:r>
    </w:p>
    <w:p>
      <w:pPr>
        <w:overflowPunct w:val="0"/>
        <w:spacing w:line="360" w:lineRule="auto"/>
        <w:ind w:firstLine="560" w:firstLineChars="200"/>
        <w:jc w:val="both"/>
        <w:textAlignment w:val="auto"/>
        <w:rPr>
          <w:rFonts w:ascii="Arial" w:hAnsi="Arial" w:eastAsia="仿宋" w:cs="仿宋_GB2312"/>
          <w:sz w:val="28"/>
          <w:szCs w:val="29"/>
        </w:rPr>
      </w:pPr>
      <w:r>
        <w:rPr>
          <w:rFonts w:ascii="Arial" w:hAnsi="Arial" w:eastAsia="仿宋_GB2312" w:cs="Arial"/>
          <w:sz w:val="28"/>
        </w:rPr>
        <w:t>估价对象设定宗地土地开发程度为“七通一平”（即通路、通电、通讯、通上水、通下水、通燃气、通热），估价对象所在区域为五级地价区，级别基准地价土地开发程度为“七通一平”（即通路、通电、通讯、通上水、通下水、通燃气、通热），相应用途级别平均容积率为2.5。估价对象设定状况与级别开发程度一致，故此处不作修正。</w:t>
      </w:r>
    </w:p>
    <w:p>
      <w:pPr>
        <w:spacing w:line="360" w:lineRule="auto"/>
        <w:ind w:firstLine="560" w:firstLineChars="200"/>
        <w:jc w:val="both"/>
        <w:rPr>
          <w:rFonts w:ascii="Arial" w:hAnsi="Arial" w:eastAsia="仿宋"/>
          <w:color w:val="000000"/>
          <w:sz w:val="28"/>
          <w:szCs w:val="28"/>
        </w:rPr>
      </w:pPr>
      <w:r>
        <w:rPr>
          <w:rFonts w:hint="eastAsia" w:ascii="Arial" w:hAnsi="Arial" w:eastAsia="仿宋"/>
          <w:color w:val="000000"/>
          <w:sz w:val="28"/>
          <w:szCs w:val="28"/>
        </w:rPr>
        <w:t>2）期日修正系数的确定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北京市基准地价更新成果（二Ｏ一四年）》规定，基准地价期日修正系数必须以北京市地价动态监测成果公布的地价增值率为准。</w:t>
      </w:r>
    </w:p>
    <w:p>
      <w:pPr>
        <w:tabs>
          <w:tab w:val="left" w:pos="2160"/>
        </w:tabs>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北京市基准地价更新成果的基准日为2014年1月1日，本次评估的估价期日为2021年</w:t>
      </w:r>
      <w:r>
        <w:rPr>
          <w:rFonts w:hint="eastAsia" w:ascii="Arial" w:hAnsi="Arial" w:eastAsia="仿宋_GB2312" w:cs="Arial"/>
          <w:sz w:val="28"/>
          <w:szCs w:val="28"/>
        </w:rPr>
        <w:t>11月26日</w:t>
      </w:r>
      <w:r>
        <w:rPr>
          <w:rFonts w:ascii="Arial" w:hAnsi="Arial" w:eastAsia="仿宋_GB2312" w:cs="Arial"/>
          <w:sz w:val="28"/>
          <w:szCs w:val="28"/>
        </w:rPr>
        <w:t>，熟地价期日修正以北京市地价动态监测成果公布的地价增长率为准：</w:t>
      </w:r>
    </w:p>
    <w:p>
      <w:pPr>
        <w:spacing w:line="360" w:lineRule="auto"/>
        <w:jc w:val="center"/>
        <w:rPr>
          <w:rFonts w:ascii="Arial" w:hAnsi="Arial" w:eastAsia="仿宋_GB2312" w:cs="Arial"/>
          <w:sz w:val="28"/>
          <w:szCs w:val="28"/>
        </w:rPr>
      </w:pPr>
      <w:r>
        <w:rPr>
          <w:rFonts w:ascii="Arial" w:hAnsi="Arial" w:eastAsia="仿宋_GB2312" w:cs="Arial"/>
          <w:sz w:val="28"/>
          <w:szCs w:val="28"/>
        </w:rPr>
        <w:t>中国城市地价动态监测网站公布</w:t>
      </w:r>
    </w:p>
    <w:p>
      <w:pPr>
        <w:spacing w:line="360" w:lineRule="auto"/>
        <w:ind w:firstLine="482" w:firstLineChars="200"/>
        <w:jc w:val="center"/>
        <w:rPr>
          <w:rFonts w:ascii="Arial" w:hAnsi="Arial" w:eastAsia="仿宋_GB2312" w:cs="Arial"/>
          <w:b/>
          <w:szCs w:val="24"/>
        </w:rPr>
      </w:pPr>
      <w:r>
        <w:rPr>
          <w:rFonts w:ascii="Arial" w:hAnsi="Arial" w:eastAsia="仿宋_GB2312" w:cs="Arial"/>
          <w:b/>
          <w:szCs w:val="24"/>
        </w:rPr>
        <w:t xml:space="preserve">                          北京市地价增长率                   单位%</w:t>
      </w:r>
    </w:p>
    <w:tbl>
      <w:tblPr>
        <w:tblStyle w:val="35"/>
        <w:tblW w:w="9299" w:type="dxa"/>
        <w:jc w:val="center"/>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Layout w:type="fixed"/>
        <w:tblCellMar>
          <w:top w:w="57" w:type="dxa"/>
          <w:left w:w="28" w:type="dxa"/>
          <w:bottom w:w="57" w:type="dxa"/>
          <w:right w:w="28" w:type="dxa"/>
        </w:tblCellMar>
      </w:tblPr>
      <w:tblGrid>
        <w:gridCol w:w="1550"/>
        <w:gridCol w:w="1550"/>
        <w:gridCol w:w="1525"/>
        <w:gridCol w:w="1575"/>
        <w:gridCol w:w="1550"/>
        <w:gridCol w:w="1549"/>
      </w:tblGrid>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tblHeader/>
          <w:jc w:val="center"/>
        </w:trPr>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年度</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季度</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综合</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商服</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住宅</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工业</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0.47</w:t>
            </w:r>
          </w:p>
        </w:tc>
        <w:tc>
          <w:tcPr>
            <w:tcW w:w="1575"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hint="eastAsia"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2020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2.69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0.07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-0.40</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1.25</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0.63</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1.78</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1.71</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2.98</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3.45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3.92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2016</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4.56</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5.32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4.12</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4.79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3.85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1.95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4.09</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4.54</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2015</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1.11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1.77</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1.65</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0.92</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1.88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1.26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0.69</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0.54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0.93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restart"/>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2014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0.21</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0.12</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0.83</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1.47</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0.65</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0.72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2.4</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2.03</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2.59</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1.52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28" w:type="dxa"/>
            <w:bottom w:w="57" w:type="dxa"/>
            <w:right w:w="28" w:type="dxa"/>
          </w:tblCellMar>
        </w:tblPrEx>
        <w:trPr>
          <w:cantSplit/>
          <w:trHeight w:val="20" w:hRule="atLeast"/>
          <w:jc w:val="center"/>
        </w:trPr>
        <w:tc>
          <w:tcPr>
            <w:tcW w:w="1550" w:type="dxa"/>
            <w:vMerge w:val="continue"/>
            <w:vAlign w:val="center"/>
          </w:tcPr>
          <w:p>
            <w:pPr>
              <w:spacing w:line="240" w:lineRule="auto"/>
              <w:jc w:val="center"/>
              <w:rPr>
                <w:rFonts w:ascii="Arial" w:hAnsi="Arial" w:eastAsia="华文细黑" w:cs="Arial"/>
                <w:sz w:val="18"/>
                <w:szCs w:val="18"/>
              </w:rPr>
            </w:pP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2.97</w:t>
            </w:r>
          </w:p>
        </w:tc>
        <w:tc>
          <w:tcPr>
            <w:tcW w:w="1575"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2.34</w:t>
            </w:r>
          </w:p>
        </w:tc>
        <w:tc>
          <w:tcPr>
            <w:tcW w:w="1550"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3.28</w:t>
            </w:r>
          </w:p>
        </w:tc>
        <w:tc>
          <w:tcPr>
            <w:tcW w:w="1549" w:type="dxa"/>
            <w:vAlign w:val="center"/>
          </w:tcPr>
          <w:p>
            <w:pPr>
              <w:spacing w:line="240" w:lineRule="auto"/>
              <w:jc w:val="center"/>
              <w:rPr>
                <w:rFonts w:ascii="Arial" w:hAnsi="Arial" w:eastAsia="华文细黑" w:cs="Arial"/>
                <w:sz w:val="18"/>
                <w:szCs w:val="18"/>
              </w:rPr>
            </w:pPr>
            <w:r>
              <w:rPr>
                <w:rFonts w:ascii="Arial" w:hAnsi="Arial" w:eastAsia="华文细黑" w:cs="Arial"/>
                <w:sz w:val="18"/>
                <w:szCs w:val="18"/>
              </w:rPr>
              <w:t>1.36</w:t>
            </w:r>
          </w:p>
        </w:tc>
      </w:tr>
    </w:tbl>
    <w:p>
      <w:pPr>
        <w:spacing w:line="360" w:lineRule="auto"/>
        <w:ind w:firstLine="560" w:firstLineChars="200"/>
        <w:rPr>
          <w:rFonts w:ascii="Arial" w:hAnsi="Arial" w:eastAsia="仿宋_GB2312" w:cs="Arial"/>
          <w:sz w:val="28"/>
        </w:rPr>
      </w:pPr>
      <w:r>
        <w:rPr>
          <w:rFonts w:ascii="Arial" w:hAnsi="Arial" w:eastAsia="仿宋_GB2312" w:cs="Arial"/>
          <w:sz w:val="28"/>
        </w:rPr>
        <w:t>则：</w:t>
      </w:r>
    </w:p>
    <w:p>
      <w:pPr>
        <w:snapToGrid w:val="0"/>
        <w:spacing w:before="120" w:beforeLines="50" w:line="360" w:lineRule="auto"/>
        <w:ind w:firstLine="560" w:firstLineChars="200"/>
        <w:rPr>
          <w:rFonts w:ascii="Arial" w:hAnsi="Arial" w:eastAsia="仿宋_GB2312" w:cs="Arial"/>
          <w:sz w:val="28"/>
        </w:rPr>
      </w:pPr>
      <w:r>
        <w:rPr>
          <w:rFonts w:ascii="Arial" w:hAnsi="Arial" w:eastAsia="仿宋_GB2312" w:cs="Arial"/>
          <w:sz w:val="28"/>
        </w:rPr>
        <w:t>参</w:t>
      </w:r>
      <w:r>
        <w:rPr>
          <w:rFonts w:ascii="Arial" w:hAnsi="Arial" w:eastAsia="仿宋_GB2312" w:cs="Arial"/>
          <w:sz w:val="28"/>
          <w:szCs w:val="28"/>
        </w:rPr>
        <w:t>照北京市规划和自然资源委员会对办理国有建设用地使用权协议出让以及地价评审的要求，</w:t>
      </w:r>
      <w:r>
        <w:rPr>
          <w:rFonts w:hint="eastAsia" w:ascii="Arial" w:hAnsi="Arial" w:eastAsia="仿宋_GB2312" w:cs="Arial"/>
          <w:sz w:val="28"/>
          <w:szCs w:val="28"/>
        </w:rPr>
        <w:t>住宅</w:t>
      </w:r>
      <w:r>
        <w:rPr>
          <w:rFonts w:ascii="Arial" w:hAnsi="Arial" w:eastAsia="仿宋_GB2312" w:cs="Arial"/>
          <w:sz w:val="28"/>
          <w:szCs w:val="28"/>
        </w:rPr>
        <w:t>用途地价增值率采用</w:t>
      </w:r>
      <w:r>
        <w:rPr>
          <w:rFonts w:hint="eastAsia" w:ascii="Arial" w:hAnsi="Arial" w:eastAsia="仿宋_GB2312" w:cs="Arial"/>
          <w:sz w:val="28"/>
          <w:szCs w:val="28"/>
        </w:rPr>
        <w:t>居住</w:t>
      </w:r>
      <w:r>
        <w:rPr>
          <w:rFonts w:ascii="Arial" w:hAnsi="Arial" w:eastAsia="仿宋_GB2312" w:cs="Arial"/>
          <w:sz w:val="28"/>
          <w:szCs w:val="28"/>
        </w:rPr>
        <w:t>用途的同期地价增长率。</w:t>
      </w:r>
      <w:r>
        <w:rPr>
          <w:rFonts w:ascii="Arial" w:hAnsi="Arial" w:eastAsia="仿宋_GB2312" w:cs="Arial"/>
          <w:sz w:val="28"/>
        </w:rPr>
        <w:t>本次评估中，期日修正系数为各季度增长率连乘值，即：</w:t>
      </w:r>
    </w:p>
    <w:p>
      <w:pPr>
        <w:overflowPunct w:val="0"/>
        <w:spacing w:line="360" w:lineRule="auto"/>
        <w:ind w:firstLine="560" w:firstLineChars="200"/>
        <w:jc w:val="both"/>
        <w:textAlignment w:val="auto"/>
        <w:rPr>
          <w:rFonts w:ascii="Arial" w:hAnsi="Arial" w:eastAsia="仿宋_GB2312"/>
          <w:color w:val="E36C0A"/>
          <w:sz w:val="28"/>
          <w:szCs w:val="28"/>
        </w:rPr>
      </w:pPr>
      <w:r>
        <w:rPr>
          <w:rFonts w:ascii="Arial" w:hAnsi="Arial" w:eastAsia="仿宋_GB2312" w:cs="Arial"/>
          <w:sz w:val="28"/>
        </w:rPr>
        <w:t>期日修正系数＝（1+3.28%）×（1+2.59%）×（1+0.65%）×（1+0.12%）×（1+0.48%）×（1+0.8%）×（1+1.88%）×（1+1.77%）×（1+4.54%）×（1+4.48%）×（1+4.79%）×（1+5.32%）×（1+3.92%）×（1+3.82%）×（1+3.24%）×（1+1.71%）×（1+1.64%）×（1+1.58%）×（1+1.52%）×（1+0.92%）×（1+0.63%）×（1+1.62%）×（1+0.6%）×（1+0.54%）×（1+0.21%）×（1+0.5%）×（1+0.49%）×（1+2.35%）×（1+1.11%）×（1+</w:t>
      </w:r>
      <w:r>
        <w:rPr>
          <w:rFonts w:hint="eastAsia" w:ascii="Arial" w:hAnsi="Arial" w:eastAsia="仿宋_GB2312" w:cs="Arial"/>
          <w:sz w:val="28"/>
        </w:rPr>
        <w:t>0.95</w:t>
      </w:r>
      <w:r>
        <w:rPr>
          <w:rFonts w:ascii="Arial" w:hAnsi="Arial" w:eastAsia="仿宋_GB2312" w:cs="Arial"/>
          <w:sz w:val="28"/>
        </w:rPr>
        <w:t>%）×（1+</w:t>
      </w:r>
      <w:r>
        <w:rPr>
          <w:rFonts w:hint="eastAsia" w:ascii="Arial" w:hAnsi="Arial" w:eastAsia="仿宋_GB2312" w:cs="Arial"/>
          <w:sz w:val="28"/>
        </w:rPr>
        <w:t>0.48</w:t>
      </w:r>
      <w:r>
        <w:rPr>
          <w:rFonts w:ascii="Arial" w:hAnsi="Arial" w:eastAsia="仿宋_GB2312" w:cs="Arial"/>
          <w:sz w:val="28"/>
        </w:rPr>
        <w:t>%）=</w:t>
      </w:r>
      <w:r>
        <w:rPr>
          <w:rFonts w:hint="eastAsia" w:ascii="Arial" w:hAnsi="Arial" w:eastAsia="仿宋_GB2312" w:cs="Arial"/>
          <w:sz w:val="28"/>
        </w:rPr>
        <w:t>1.7797</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3）年期修正系数的确定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50</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1</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szCs w:val="28"/>
        </w:rPr>
        <w:t>4）</w:t>
      </w:r>
      <w:r>
        <w:rPr>
          <w:rFonts w:hint="eastAsia" w:ascii="Arial" w:hAnsi="Arial" w:eastAsia="仿宋"/>
          <w:sz w:val="28"/>
        </w:rPr>
        <w:t>因素修正系数的确定</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因素修正系数=1</w:t>
      </w:r>
      <w:r>
        <w:rPr>
          <w:rFonts w:hint="eastAsia" w:ascii="Arial" w:hAnsi="Arial" w:eastAsia="仿宋" w:cs="仿宋_GB2312"/>
          <w:sz w:val="28"/>
          <w:szCs w:val="29"/>
        </w:rPr>
        <w:t>＋</w:t>
      </w:r>
      <w:r>
        <w:rPr>
          <w:rFonts w:hint="eastAsia" w:ascii="Arial" w:hAnsi="Arial" w:eastAsia="仿宋"/>
          <w:sz w:val="28"/>
        </w:rPr>
        <w:t>∑k</w:t>
      </w:r>
      <w:r>
        <w:rPr>
          <w:rFonts w:hint="eastAsia" w:ascii="Arial" w:hAnsi="Arial" w:eastAsia="仿宋"/>
          <w:sz w:val="28"/>
          <w:vertAlign w:val="subscript"/>
        </w:rPr>
        <w:t>i</w:t>
      </w:r>
    </w:p>
    <w:p>
      <w:pPr>
        <w:overflowPunct w:val="0"/>
        <w:spacing w:line="360" w:lineRule="auto"/>
        <w:ind w:firstLine="560" w:firstLineChars="200"/>
        <w:jc w:val="both"/>
        <w:textAlignment w:val="auto"/>
        <w:rPr>
          <w:rFonts w:ascii="Arial" w:hAnsi="Arial" w:eastAsia="仿宋"/>
          <w:sz w:val="28"/>
          <w:vertAlign w:val="subscript"/>
        </w:rPr>
      </w:pPr>
      <w:r>
        <w:rPr>
          <w:rFonts w:hint="eastAsia" w:ascii="Arial" w:hAnsi="Arial" w:eastAsia="仿宋"/>
          <w:sz w:val="28"/>
        </w:rPr>
        <w:t>其中k</w:t>
      </w:r>
      <w:r>
        <w:rPr>
          <w:rFonts w:hint="eastAsia" w:ascii="Arial" w:hAnsi="Arial" w:eastAsia="仿宋"/>
          <w:sz w:val="28"/>
          <w:vertAlign w:val="subscript"/>
        </w:rPr>
        <w:t>i</w:t>
      </w:r>
      <w:r>
        <w:rPr>
          <w:rFonts w:hint="eastAsia" w:ascii="Arial" w:hAnsi="Arial" w:eastAsia="仿宋"/>
          <w:sz w:val="28"/>
        </w:rPr>
        <w:t>：第i种因素的修正系数</w:t>
      </w:r>
    </w:p>
    <w:p>
      <w:pPr>
        <w:overflowPunct w:val="0"/>
        <w:spacing w:line="360" w:lineRule="auto"/>
        <w:ind w:firstLine="560" w:firstLineChars="200"/>
        <w:jc w:val="both"/>
        <w:textAlignment w:val="auto"/>
        <w:rPr>
          <w:rFonts w:ascii="Arial" w:hAnsi="Arial" w:eastAsia="仿宋"/>
          <w:sz w:val="28"/>
        </w:rPr>
      </w:pPr>
      <w:r>
        <w:rPr>
          <w:rFonts w:hint="eastAsia" w:ascii="Arial" w:hAnsi="Arial" w:eastAsia="仿宋"/>
          <w:sz w:val="28"/>
        </w:rPr>
        <w:t>各因素的修正系数根据影响地价的因素权重和因素总修正幅度确定。</w:t>
      </w: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北京市基准地价因素权重表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702"/>
        <w:gridCol w:w="622"/>
        <w:gridCol w:w="1646"/>
        <w:gridCol w:w="679"/>
        <w:gridCol w:w="1731"/>
        <w:gridCol w:w="594"/>
        <w:gridCol w:w="1674"/>
        <w:gridCol w:w="65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324"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w:t>
            </w:r>
          </w:p>
        </w:tc>
        <w:tc>
          <w:tcPr>
            <w:tcW w:w="2325" w:type="dxa"/>
            <w:gridSpan w:val="2"/>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工业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22"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46"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79"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73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59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c>
          <w:tcPr>
            <w:tcW w:w="1674"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651" w:type="dxa"/>
            <w:shd w:val="clear" w:color="auto" w:fill="auto"/>
            <w:noWrap/>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权重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商业繁华程度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办公集聚程度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产业集聚程度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30%</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临街宽度和深度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临街道路状况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8%</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3%</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5%</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10%</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12%</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15%</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环境状况</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22"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646"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679"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6%</w:t>
            </w:r>
          </w:p>
        </w:tc>
        <w:tc>
          <w:tcPr>
            <w:tcW w:w="173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与区域中心的接近程度</w:t>
            </w:r>
          </w:p>
        </w:tc>
        <w:tc>
          <w:tcPr>
            <w:tcW w:w="59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4%</w:t>
            </w:r>
          </w:p>
        </w:tc>
        <w:tc>
          <w:tcPr>
            <w:tcW w:w="167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c>
          <w:tcPr>
            <w:tcW w:w="651"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　</w:t>
            </w:r>
          </w:p>
        </w:tc>
      </w:tr>
    </w:tbl>
    <w:p>
      <w:pPr>
        <w:widowControl/>
        <w:adjustRightInd/>
        <w:spacing w:line="240" w:lineRule="exact"/>
        <w:textAlignment w:val="auto"/>
        <w:rPr>
          <w:rFonts w:ascii="Arial" w:hAnsi="Arial" w:eastAsia="仿宋" w:cs="宋体"/>
          <w:color w:val="000000"/>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级地价区，该级别《区片基准地价因素总修正幅度表》如下：</w:t>
      </w:r>
    </w:p>
    <w:tbl>
      <w:tblPr>
        <w:tblStyle w:val="35"/>
        <w:tblW w:w="9479" w:type="dxa"/>
        <w:jc w:val="center"/>
        <w:tblLayout w:type="autofit"/>
        <w:tblCellMar>
          <w:top w:w="0" w:type="dxa"/>
          <w:left w:w="108" w:type="dxa"/>
          <w:bottom w:w="0" w:type="dxa"/>
          <w:right w:w="108" w:type="dxa"/>
        </w:tblCellMar>
      </w:tblPr>
      <w:tblGrid>
        <w:gridCol w:w="678"/>
        <w:gridCol w:w="931"/>
        <w:gridCol w:w="1066"/>
        <w:gridCol w:w="967"/>
        <w:gridCol w:w="1107"/>
        <w:gridCol w:w="1086"/>
        <w:gridCol w:w="1126"/>
        <w:gridCol w:w="1448"/>
        <w:gridCol w:w="1070"/>
      </w:tblGrid>
      <w:tr>
        <w:tblPrEx>
          <w:tblCellMar>
            <w:top w:w="0" w:type="dxa"/>
            <w:left w:w="108" w:type="dxa"/>
            <w:bottom w:w="0" w:type="dxa"/>
            <w:right w:w="108" w:type="dxa"/>
          </w:tblCellMar>
        </w:tblPrEx>
        <w:trPr>
          <w:trHeight w:val="435" w:hRule="atLeast"/>
          <w:tblHeader/>
          <w:jc w:val="center"/>
        </w:trPr>
        <w:tc>
          <w:tcPr>
            <w:tcW w:w="67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级别</w:t>
            </w:r>
          </w:p>
        </w:tc>
        <w:tc>
          <w:tcPr>
            <w:tcW w:w="199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商业</w:t>
            </w:r>
          </w:p>
        </w:tc>
        <w:tc>
          <w:tcPr>
            <w:tcW w:w="207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办公</w:t>
            </w:r>
          </w:p>
        </w:tc>
        <w:tc>
          <w:tcPr>
            <w:tcW w:w="221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居住</w:t>
            </w:r>
          </w:p>
        </w:tc>
        <w:tc>
          <w:tcPr>
            <w:tcW w:w="25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工业</w:t>
            </w:r>
          </w:p>
        </w:tc>
      </w:tr>
      <w:tr>
        <w:tblPrEx>
          <w:tblCellMar>
            <w:top w:w="0" w:type="dxa"/>
            <w:left w:w="108" w:type="dxa"/>
            <w:bottom w:w="0" w:type="dxa"/>
            <w:right w:w="108" w:type="dxa"/>
          </w:tblCellMar>
        </w:tblPrEx>
        <w:trPr>
          <w:trHeight w:val="435" w:hRule="atLeast"/>
          <w:tblHeader/>
          <w:jc w:val="center"/>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微软雅黑" w:hAnsi="微软雅黑" w:eastAsia="微软雅黑" w:cs="宋体"/>
                <w:b/>
                <w:bCs/>
                <w:color w:val="000000"/>
                <w:sz w:val="15"/>
                <w:szCs w:val="15"/>
              </w:rPr>
            </w:pPr>
          </w:p>
        </w:tc>
        <w:tc>
          <w:tcPr>
            <w:tcW w:w="931"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6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96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07"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08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c>
          <w:tcPr>
            <w:tcW w:w="1448"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区片编号</w:t>
            </w:r>
          </w:p>
        </w:tc>
        <w:tc>
          <w:tcPr>
            <w:tcW w:w="1070" w:type="dxa"/>
            <w:tcBorders>
              <w:top w:val="nil"/>
              <w:left w:val="nil"/>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b/>
                <w:bCs/>
                <w:color w:val="000000"/>
                <w:sz w:val="15"/>
                <w:szCs w:val="15"/>
              </w:rPr>
            </w:pPr>
            <w:r>
              <w:rPr>
                <w:rFonts w:hint="eastAsia" w:ascii="微软雅黑" w:hAnsi="微软雅黑" w:eastAsia="微软雅黑" w:cs="宋体"/>
                <w:b/>
                <w:bCs/>
                <w:color w:val="000000"/>
                <w:sz w:val="15"/>
                <w:szCs w:val="15"/>
              </w:rPr>
              <w:t>修正幅度</w:t>
            </w:r>
          </w:p>
        </w:tc>
      </w:tr>
      <w:tr>
        <w:tblPrEx>
          <w:tblCellMar>
            <w:top w:w="0" w:type="dxa"/>
            <w:left w:w="108" w:type="dxa"/>
            <w:bottom w:w="0" w:type="dxa"/>
            <w:right w:w="108" w:type="dxa"/>
          </w:tblCellMar>
        </w:tblPrEx>
        <w:trPr>
          <w:trHeight w:val="285" w:hRule="atLeast"/>
          <w:jc w:val="center"/>
        </w:trPr>
        <w:tc>
          <w:tcPr>
            <w:tcW w:w="678" w:type="dxa"/>
            <w:vMerge w:val="restart"/>
            <w:tcBorders>
              <w:top w:val="nil"/>
              <w:left w:val="single" w:color="auto" w:sz="4" w:space="0"/>
              <w:bottom w:val="nil"/>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五级</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Ⅴ-02</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±８．７％</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Ⅴ-03</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Ⅴ-04</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Ⅴ-05</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Ⅴ-06</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Ⅴ-07</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Ⅴ-08</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Ⅴ-09</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Ⅴ-10</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Ⅴ-11</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Ⅴ-电子城北</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±９．２％</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±８．５％</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Ⅴ-永丰产业基地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Ⅴ-14</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Ⅴ-航天城</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±８．８％</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±９．１％</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Ⅴ-西北旺Ⅱ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±７．３％</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Ⅴ-石景山园南区</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Ⅴ-18</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Ⅴ-石景山园北Ⅰ</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±７．６％</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±７．４％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Ⅴ-19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Ⅴ-石景山园北Ⅱ</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±５．０％</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±９．４％</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Ⅴ-20</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±９．６％</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Ⅴ-21</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±９．９％</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Ⅴ-22</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Ⅴ-23</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Ⅴ-24</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±１０．０％</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nil"/>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±９．０％</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Ⅴ-25</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±８．９％</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r>
        <w:tblPrEx>
          <w:tblCellMar>
            <w:top w:w="0" w:type="dxa"/>
            <w:left w:w="108" w:type="dxa"/>
            <w:bottom w:w="0" w:type="dxa"/>
            <w:right w:w="108" w:type="dxa"/>
          </w:tblCellMar>
        </w:tblPrEx>
        <w:trPr>
          <w:trHeight w:val="285" w:hRule="atLeast"/>
          <w:jc w:val="center"/>
        </w:trPr>
        <w:tc>
          <w:tcPr>
            <w:tcW w:w="678" w:type="dxa"/>
            <w:vMerge w:val="continue"/>
            <w:tcBorders>
              <w:top w:val="nil"/>
              <w:left w:val="single" w:color="auto" w:sz="4" w:space="0"/>
              <w:bottom w:val="single" w:color="auto" w:sz="4" w:space="0"/>
              <w:right w:val="single" w:color="auto" w:sz="4" w:space="0"/>
            </w:tcBorders>
            <w:vAlign w:val="center"/>
          </w:tcPr>
          <w:p>
            <w:pPr>
              <w:widowControl/>
              <w:rPr>
                <w:rFonts w:ascii="微软雅黑" w:hAnsi="微软雅黑" w:eastAsia="微软雅黑" w:cs="宋体"/>
                <w:color w:val="000000"/>
                <w:sz w:val="15"/>
                <w:szCs w:val="15"/>
              </w:rPr>
            </w:pP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06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±９．８％</w:t>
            </w:r>
          </w:p>
        </w:tc>
        <w:tc>
          <w:tcPr>
            <w:tcW w:w="96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Ⅴ-26</w:t>
            </w:r>
          </w:p>
        </w:tc>
        <w:tc>
          <w:tcPr>
            <w:tcW w:w="1107"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±９．７％</w:t>
            </w:r>
          </w:p>
        </w:tc>
        <w:tc>
          <w:tcPr>
            <w:tcW w:w="108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448"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c>
          <w:tcPr>
            <w:tcW w:w="1070" w:type="dxa"/>
            <w:tcBorders>
              <w:top w:val="nil"/>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　</w:t>
            </w:r>
          </w:p>
        </w:tc>
      </w:tr>
    </w:tbl>
    <w:p>
      <w:pPr>
        <w:spacing w:line="360" w:lineRule="auto"/>
        <w:jc w:val="center"/>
        <w:rPr>
          <w:rFonts w:ascii="Arial" w:hAnsi="Arial" w:eastAsia="仿宋" w:cs="宋体"/>
          <w:b/>
          <w:bCs/>
          <w:color w:val="000000"/>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因素等级说明表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8"/>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tcBorders>
              <w:tl2br w:val="single" w:color="auto" w:sz="4" w:space="0"/>
            </w:tcBorders>
            <w:shd w:val="clear" w:color="auto" w:fill="auto"/>
            <w:vAlign w:val="center"/>
          </w:tcPr>
          <w:p>
            <w:pPr>
              <w:widowControl/>
              <w:adjustRightInd/>
              <w:spacing w:line="240" w:lineRule="exact"/>
              <w:ind w:firstLine="1170" w:firstLineChars="650"/>
              <w:jc w:val="right"/>
              <w:textAlignment w:val="auto"/>
              <w:rPr>
                <w:rFonts w:ascii="Arial" w:hAnsi="Arial" w:eastAsia="仿宋" w:cs="宋体"/>
                <w:sz w:val="18"/>
                <w:szCs w:val="24"/>
              </w:rPr>
            </w:pPr>
            <w:r>
              <w:rPr>
                <w:rFonts w:hint="eastAsia" w:ascii="Arial" w:hAnsi="Arial" w:eastAsia="仿宋" w:cs="宋体"/>
                <w:sz w:val="18"/>
                <w:szCs w:val="24"/>
              </w:rPr>
              <w:t>等级</w:t>
            </w:r>
          </w:p>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影响因素</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较好</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一般</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较差</w:t>
            </w:r>
          </w:p>
        </w:tc>
        <w:tc>
          <w:tcPr>
            <w:tcW w:w="1418" w:type="dxa"/>
            <w:shd w:val="clear" w:color="auto" w:fill="auto"/>
            <w:vAlign w:val="center"/>
          </w:tcPr>
          <w:p>
            <w:pPr>
              <w:widowControl/>
              <w:adjustRightInd/>
              <w:spacing w:line="240" w:lineRule="exact"/>
              <w:textAlignment w:val="auto"/>
              <w:rPr>
                <w:rFonts w:ascii="Arial" w:hAnsi="Arial" w:eastAsia="仿宋" w:cs="宋体"/>
                <w:sz w:val="18"/>
                <w:szCs w:val="24"/>
              </w:rPr>
            </w:pPr>
            <w:r>
              <w:rPr>
                <w:rFonts w:hint="eastAsia" w:ascii="Arial" w:hAnsi="Arial" w:eastAsia="仿宋" w:cs="宋体"/>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居住社区成熟度好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居住社区成熟度较差</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居住社区成熟度差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交通便捷度</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便捷</w:t>
            </w:r>
          </w:p>
        </w:tc>
        <w:tc>
          <w:tcPr>
            <w:tcW w:w="1418" w:type="dxa"/>
            <w:shd w:val="clear" w:color="auto" w:fill="auto"/>
            <w:vAlign w:val="center"/>
          </w:tcPr>
          <w:p>
            <w:pPr>
              <w:jc w:val="center"/>
              <w:rPr>
                <w:rFonts w:ascii="Arial" w:hAnsi="Arial" w:eastAsia="仿宋_GB2312" w:cs="Arial"/>
                <w:sz w:val="21"/>
                <w:szCs w:val="21"/>
              </w:rPr>
            </w:pPr>
            <w:bookmarkStart w:id="306" w:name="OLE_LINK2"/>
            <w:bookmarkStart w:id="307" w:name="OLE_LINK3"/>
            <w:r>
              <w:rPr>
                <w:rFonts w:hint="eastAsia" w:ascii="Arial" w:hAnsi="Arial" w:eastAsia="仿宋_GB2312" w:cs="Arial"/>
                <w:sz w:val="21"/>
                <w:szCs w:val="21"/>
              </w:rPr>
              <w:t>较便捷</w:t>
            </w:r>
            <w:bookmarkEnd w:id="306"/>
            <w:bookmarkEnd w:id="307"/>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一般</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较不便捷</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区域土地利用方向</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估价对象用途与周边土地利用方向一致</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零星有其他用地，基本不影响本宗地</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有部分有其他用地，对本宗地略有影响</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其他用地较多，对本宗地影响较大</w:t>
            </w:r>
          </w:p>
        </w:tc>
        <w:tc>
          <w:tcPr>
            <w:tcW w:w="1418"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全部为其他用地，对本宗地有大的影响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临街道路状况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临城市快速路或高速公路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临城市主干道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临城市次干道</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临城市支路</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公共服务设施</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配套较完善</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配套基本满足需要</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配套少</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基础设施完备状况</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七通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六通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五通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四通</w:t>
            </w:r>
          </w:p>
        </w:tc>
        <w:tc>
          <w:tcPr>
            <w:tcW w:w="1418"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hint="eastAsia" w:ascii="Arial" w:hAnsi="Arial" w:eastAsia="仿宋_GB2312" w:cs="Arial"/>
                <w:sz w:val="21"/>
                <w:szCs w:val="21"/>
              </w:rPr>
              <w:t>宗地形状及可利用程度</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宗地形状较规则</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宗地形状不规则，但对宗地利用影响较小</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宗地形状不规则，对宗地利用有影响</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vAlign w:val="center"/>
          </w:tcPr>
          <w:p>
            <w:pPr>
              <w:jc w:val="center"/>
              <w:rPr>
                <w:rFonts w:ascii="Arial" w:hAnsi="Arial" w:eastAsia="仿宋_GB2312" w:cs="Arial"/>
                <w:sz w:val="21"/>
                <w:szCs w:val="21"/>
              </w:rPr>
            </w:pPr>
            <w:r>
              <w:rPr>
                <w:rFonts w:ascii="Arial" w:hAnsi="Arial" w:eastAsia="仿宋_GB2312" w:cs="Arial"/>
                <w:sz w:val="21"/>
                <w:szCs w:val="21"/>
              </w:rPr>
              <w:t>自然和人文环境状况</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自然和人文环境优良</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自然和人文环境良好</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自然和人文环境一般</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自然和人文环境较差</w:t>
            </w:r>
          </w:p>
        </w:tc>
        <w:tc>
          <w:tcPr>
            <w:tcW w:w="1418" w:type="dxa"/>
            <w:shd w:val="clear" w:color="auto" w:fill="auto"/>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2209"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rPr>
                <w:rFonts w:ascii="Arial" w:hAnsi="Arial" w:eastAsia="仿宋_GB2312" w:cs="Arial"/>
                <w:sz w:val="21"/>
                <w:szCs w:val="21"/>
              </w:rPr>
            </w:pPr>
            <w:r>
              <w:rPr>
                <w:rFonts w:ascii="Arial" w:hAnsi="Arial" w:eastAsia="仿宋_GB2312" w:cs="Arial"/>
                <w:sz w:val="21"/>
                <w:szCs w:val="21"/>
              </w:rPr>
              <w:t>与区域中心接近程度好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与区域中心接近程度较好</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与区域中心接近程度一般</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与区域中心接近程度较远</w:t>
            </w:r>
          </w:p>
        </w:tc>
        <w:tc>
          <w:tcPr>
            <w:tcW w:w="1418" w:type="dxa"/>
            <w:shd w:val="clear" w:color="auto" w:fill="auto"/>
          </w:tcPr>
          <w:p>
            <w:pPr>
              <w:jc w:val="center"/>
              <w:rPr>
                <w:rFonts w:ascii="Arial" w:hAnsi="Arial" w:eastAsia="仿宋_GB2312" w:cs="Arial"/>
                <w:sz w:val="21"/>
                <w:szCs w:val="21"/>
              </w:rPr>
            </w:pPr>
            <w:r>
              <w:rPr>
                <w:rFonts w:ascii="Arial" w:hAnsi="Arial" w:eastAsia="仿宋_GB2312" w:cs="Arial"/>
                <w:sz w:val="21"/>
                <w:szCs w:val="21"/>
              </w:rPr>
              <w:t>与区域中心接近程度差</w:t>
            </w:r>
          </w:p>
        </w:tc>
      </w:tr>
    </w:tbl>
    <w:p>
      <w:pPr>
        <w:autoSpaceDE w:val="0"/>
        <w:autoSpaceDN w:val="0"/>
        <w:spacing w:line="240" w:lineRule="exact"/>
        <w:rPr>
          <w:rFonts w:ascii="Arial" w:hAnsi="Arial" w:eastAsia="仿宋" w:cs="宋体"/>
          <w:sz w:val="18"/>
          <w:szCs w:val="24"/>
        </w:rPr>
      </w:pPr>
    </w:p>
    <w:p>
      <w:pPr>
        <w:spacing w:line="360" w:lineRule="auto"/>
        <w:ind w:firstLine="560" w:firstLineChars="200"/>
        <w:jc w:val="both"/>
        <w:rPr>
          <w:rFonts w:ascii="Arial" w:hAnsi="Arial" w:eastAsia="仿宋"/>
          <w:color w:val="000000"/>
          <w:sz w:val="28"/>
          <w:szCs w:val="28"/>
        </w:rPr>
      </w:pPr>
      <w:r>
        <w:rPr>
          <w:rFonts w:ascii="Arial" w:hAnsi="Arial" w:eastAsia="仿宋_GB2312" w:cs="Arial"/>
          <w:sz w:val="28"/>
          <w:szCs w:val="28"/>
        </w:rPr>
        <w:t>估价对象地处</w:t>
      </w:r>
      <w:r>
        <w:rPr>
          <w:rFonts w:hint="eastAsia" w:ascii="Arial" w:hAnsi="Arial" w:eastAsia="仿宋_GB2312" w:cs="Arial"/>
          <w:sz w:val="28"/>
          <w:szCs w:val="28"/>
        </w:rPr>
        <w:t>居住</w:t>
      </w:r>
      <w:r>
        <w:rPr>
          <w:rFonts w:ascii="Arial" w:hAnsi="Arial" w:eastAsia="仿宋_GB2312" w:cs="Arial"/>
          <w:sz w:val="28"/>
          <w:szCs w:val="28"/>
        </w:rPr>
        <w:t>类五级V-0</w:t>
      </w:r>
      <w:r>
        <w:rPr>
          <w:rFonts w:hint="eastAsia" w:ascii="Arial" w:hAnsi="Arial" w:eastAsia="仿宋_GB2312" w:cs="Arial"/>
          <w:sz w:val="28"/>
          <w:szCs w:val="28"/>
        </w:rPr>
        <w:t>3</w:t>
      </w:r>
      <w:r>
        <w:rPr>
          <w:rFonts w:ascii="Arial" w:hAnsi="Arial" w:eastAsia="仿宋_GB2312" w:cs="Arial"/>
          <w:sz w:val="28"/>
          <w:szCs w:val="28"/>
        </w:rPr>
        <w:t>区片，依据前述《区片基准地价因素总修正幅度表》、《北京市基准地价因素权重表》及《因素等级说明表》，整理出《等级系数表》如下</w:t>
      </w:r>
      <w:r>
        <w:rPr>
          <w:rFonts w:hint="eastAsia" w:ascii="Arial" w:hAnsi="Arial" w:eastAsia="仿宋"/>
          <w:color w:val="000000"/>
          <w:sz w:val="28"/>
          <w:szCs w:val="28"/>
        </w:rPr>
        <w:t>：</w:t>
      </w:r>
    </w:p>
    <w:p>
      <w:pPr>
        <w:spacing w:line="360" w:lineRule="auto"/>
        <w:ind w:firstLine="560" w:firstLineChars="200"/>
        <w:jc w:val="both"/>
        <w:rPr>
          <w:rFonts w:ascii="Arial" w:hAnsi="Arial" w:eastAsia="仿宋"/>
          <w:color w:val="000000"/>
          <w:sz w:val="28"/>
          <w:szCs w:val="28"/>
        </w:rPr>
      </w:pPr>
    </w:p>
    <w:p>
      <w:pPr>
        <w:spacing w:line="360" w:lineRule="auto"/>
        <w:ind w:firstLine="560" w:firstLineChars="200"/>
        <w:jc w:val="both"/>
        <w:rPr>
          <w:rFonts w:ascii="Arial" w:hAnsi="Arial" w:eastAsia="仿宋"/>
          <w:color w:val="000000"/>
          <w:sz w:val="28"/>
          <w:szCs w:val="28"/>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895"/>
        <w:gridCol w:w="1280"/>
        <w:gridCol w:w="1280"/>
        <w:gridCol w:w="1280"/>
        <w:gridCol w:w="1280"/>
        <w:gridCol w:w="128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tcBorders>
              <w:tl2br w:val="single" w:color="auto" w:sz="4" w:space="0"/>
            </w:tcBorders>
            <w:shd w:val="clear" w:color="auto" w:fill="auto"/>
            <w:vAlign w:val="center"/>
          </w:tcPr>
          <w:p>
            <w:pPr>
              <w:widowControl/>
              <w:adjustRightInd/>
              <w:spacing w:line="240" w:lineRule="exact"/>
              <w:jc w:val="right"/>
              <w:textAlignment w:val="auto"/>
              <w:rPr>
                <w:rFonts w:ascii="Arial" w:hAnsi="Arial" w:eastAsia="仿宋" w:cs="宋体"/>
                <w:color w:val="000000"/>
                <w:sz w:val="18"/>
                <w:szCs w:val="24"/>
              </w:rPr>
            </w:pPr>
            <w:r>
              <w:rPr>
                <w:rFonts w:hint="eastAsia" w:ascii="Arial" w:hAnsi="Arial" w:eastAsia="仿宋" w:cs="宋体"/>
                <w:color w:val="000000"/>
                <w:sz w:val="18"/>
                <w:szCs w:val="24"/>
              </w:rPr>
              <w:t xml:space="preserve">等级     </w:t>
            </w:r>
          </w:p>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影响因素</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较好</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一般</w:t>
            </w:r>
          </w:p>
        </w:tc>
        <w:tc>
          <w:tcPr>
            <w:tcW w:w="1280"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较差</w:t>
            </w:r>
          </w:p>
        </w:tc>
        <w:tc>
          <w:tcPr>
            <w:tcW w:w="1284"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居住社区成熟度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-0.67%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-1.34%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交通便捷度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-2.88%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区域土地利用方向</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rHeight w:val="330" w:hRule="atLeas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临路状况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公共服务设施状况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基础设施完备状况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-0.57%</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宗地形状及可利用程度</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-0.24%</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-0.48%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vAlign w:val="center"/>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自然和人文环境状况</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-0.72%</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-1.44%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895"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与区域中心接近程度好</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0.00%</w:t>
            </w:r>
          </w:p>
        </w:tc>
        <w:tc>
          <w:tcPr>
            <w:tcW w:w="1280"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-0.19%</w:t>
            </w:r>
          </w:p>
        </w:tc>
        <w:tc>
          <w:tcPr>
            <w:tcW w:w="1284" w:type="dxa"/>
            <w:shd w:val="clear" w:color="auto" w:fill="auto"/>
          </w:tcPr>
          <w:p>
            <w:pPr>
              <w:widowControl/>
              <w:adjustRightInd/>
              <w:spacing w:line="240" w:lineRule="exact"/>
              <w:textAlignment w:val="auto"/>
              <w:rPr>
                <w:rFonts w:ascii="Arial" w:hAnsi="Arial" w:eastAsia="仿宋" w:cs="宋体"/>
                <w:color w:val="000000"/>
                <w:sz w:val="18"/>
                <w:szCs w:val="24"/>
              </w:rPr>
            </w:pPr>
            <w:r>
              <w:rPr>
                <w:rFonts w:hint="eastAsia" w:ascii="Arial" w:hAnsi="Arial" w:eastAsia="仿宋" w:cs="宋体"/>
                <w:color w:val="000000"/>
                <w:sz w:val="18"/>
                <w:szCs w:val="24"/>
              </w:rPr>
              <w:t>-0.38%</w:t>
            </w:r>
          </w:p>
        </w:tc>
      </w:tr>
    </w:tbl>
    <w:p>
      <w:pPr>
        <w:autoSpaceDE w:val="0"/>
        <w:autoSpaceDN w:val="0"/>
        <w:spacing w:line="240" w:lineRule="exact"/>
        <w:rPr>
          <w:rFonts w:ascii="Arial" w:hAnsi="Arial" w:eastAsia="仿宋" w:cs="宋体"/>
          <w:sz w:val="18"/>
          <w:szCs w:val="24"/>
        </w:rPr>
      </w:pPr>
      <w:r>
        <w:rPr>
          <w:rFonts w:hint="eastAsia" w:ascii="Arial" w:hAnsi="Arial" w:eastAsia="仿宋" w:cs="宋体"/>
          <w:sz w:val="18"/>
          <w:szCs w:val="24"/>
        </w:rPr>
        <w:t>单位：%</w:t>
      </w:r>
    </w:p>
    <w:p>
      <w:pPr>
        <w:autoSpaceDE w:val="0"/>
        <w:autoSpaceDN w:val="0"/>
        <w:spacing w:line="240" w:lineRule="exact"/>
        <w:rPr>
          <w:rFonts w:ascii="Arial" w:hAnsi="Arial" w:eastAsia="仿宋" w:cs="宋体"/>
          <w:sz w:val="18"/>
          <w:szCs w:val="24"/>
        </w:rPr>
      </w:pPr>
    </w:p>
    <w:p>
      <w:pPr>
        <w:spacing w:line="360" w:lineRule="auto"/>
        <w:jc w:val="center"/>
        <w:rPr>
          <w:rFonts w:ascii="Arial" w:hAnsi="Arial" w:eastAsia="仿宋" w:cs="宋体"/>
          <w:b/>
          <w:bCs/>
          <w:color w:val="000000"/>
          <w:szCs w:val="24"/>
        </w:rPr>
      </w:pPr>
      <w:r>
        <w:rPr>
          <w:rFonts w:hint="eastAsia" w:ascii="Arial" w:hAnsi="Arial" w:eastAsia="仿宋" w:cs="宋体"/>
          <w:b/>
          <w:bCs/>
          <w:color w:val="000000"/>
          <w:szCs w:val="24"/>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586"/>
        <w:gridCol w:w="1823"/>
        <w:gridCol w:w="5116"/>
        <w:gridCol w:w="770"/>
        <w:gridCol w:w="100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spacing w:line="240" w:lineRule="exact"/>
              <w:rPr>
                <w:rFonts w:ascii="Arial" w:hAnsi="Arial" w:eastAsia="仿宋"/>
                <w:sz w:val="18"/>
                <w:szCs w:val="24"/>
              </w:rPr>
            </w:pPr>
            <w:r>
              <w:rPr>
                <w:rFonts w:hint="eastAsia" w:ascii="Arial" w:hAnsi="Arial" w:eastAsia="仿宋"/>
                <w:sz w:val="18"/>
                <w:szCs w:val="24"/>
              </w:rPr>
              <w:t>序号</w:t>
            </w:r>
          </w:p>
        </w:tc>
        <w:tc>
          <w:tcPr>
            <w:tcW w:w="980" w:type="pct"/>
            <w:vAlign w:val="center"/>
          </w:tcPr>
          <w:p>
            <w:pPr>
              <w:spacing w:line="240" w:lineRule="exact"/>
              <w:rPr>
                <w:rFonts w:ascii="Arial" w:hAnsi="Arial" w:eastAsia="仿宋"/>
                <w:sz w:val="18"/>
                <w:szCs w:val="24"/>
              </w:rPr>
            </w:pPr>
            <w:r>
              <w:rPr>
                <w:rFonts w:hint="eastAsia" w:ascii="Arial" w:hAnsi="Arial" w:eastAsia="仿宋"/>
                <w:sz w:val="18"/>
                <w:szCs w:val="24"/>
              </w:rPr>
              <w:t>影响因素</w:t>
            </w:r>
          </w:p>
        </w:tc>
        <w:tc>
          <w:tcPr>
            <w:tcW w:w="2750" w:type="pct"/>
            <w:vAlign w:val="center"/>
          </w:tcPr>
          <w:p>
            <w:pPr>
              <w:spacing w:line="240" w:lineRule="exact"/>
              <w:rPr>
                <w:rFonts w:ascii="Arial" w:hAnsi="Arial" w:eastAsia="仿宋"/>
                <w:sz w:val="18"/>
                <w:szCs w:val="24"/>
              </w:rPr>
            </w:pPr>
            <w:r>
              <w:rPr>
                <w:rFonts w:hint="eastAsia" w:ascii="Arial" w:hAnsi="Arial" w:eastAsia="仿宋"/>
                <w:sz w:val="18"/>
                <w:szCs w:val="24"/>
              </w:rPr>
              <w:t>估价对象情况</w:t>
            </w:r>
          </w:p>
        </w:tc>
        <w:tc>
          <w:tcPr>
            <w:tcW w:w="413" w:type="pct"/>
            <w:vAlign w:val="center"/>
          </w:tcPr>
          <w:p>
            <w:pPr>
              <w:spacing w:line="240" w:lineRule="exact"/>
              <w:rPr>
                <w:rFonts w:ascii="Arial" w:hAnsi="Arial" w:eastAsia="仿宋"/>
                <w:sz w:val="18"/>
                <w:szCs w:val="24"/>
              </w:rPr>
            </w:pPr>
            <w:r>
              <w:rPr>
                <w:rFonts w:hint="eastAsia" w:ascii="Arial" w:hAnsi="Arial" w:eastAsia="仿宋"/>
                <w:sz w:val="18"/>
                <w:szCs w:val="24"/>
              </w:rPr>
              <w:t>等级</w:t>
            </w:r>
          </w:p>
        </w:tc>
        <w:tc>
          <w:tcPr>
            <w:tcW w:w="540" w:type="pct"/>
            <w:vAlign w:val="center"/>
          </w:tcPr>
          <w:p>
            <w:pPr>
              <w:spacing w:line="240" w:lineRule="exact"/>
              <w:rPr>
                <w:rFonts w:ascii="Arial" w:hAnsi="Arial" w:eastAsia="仿宋"/>
                <w:sz w:val="18"/>
                <w:szCs w:val="24"/>
              </w:rPr>
            </w:pPr>
            <w:r>
              <w:rPr>
                <w:rFonts w:hint="eastAsia" w:ascii="Arial" w:hAnsi="Arial" w:eastAsia="仿宋"/>
                <w:sz w:val="18"/>
                <w:szCs w:val="24"/>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a</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居住社区成熟度</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hint="eastAsia" w:ascii="Arial" w:hAnsi="Arial" w:eastAsia="仿宋_GB2312" w:cs="Arial"/>
                <w:sz w:val="21"/>
                <w:szCs w:val="21"/>
              </w:rPr>
              <w:t>估价对象周边有清景园、毛纺路16号院、力度家园等，综合评价居住社区成熟度较好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0.67%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b</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交通便捷度</w:t>
            </w:r>
          </w:p>
        </w:tc>
        <w:tc>
          <w:tcPr>
            <w:tcW w:w="2750" w:type="pct"/>
            <w:vAlign w:val="center"/>
          </w:tcPr>
          <w:p>
            <w:pPr>
              <w:spacing w:line="240" w:lineRule="exact"/>
              <w:outlineLvl w:val="0"/>
              <w:rPr>
                <w:rFonts w:ascii="Arial" w:hAnsi="Arial" w:eastAsia="仿宋_GB2312" w:cs="宋体"/>
                <w:color w:val="E36C0A"/>
                <w:sz w:val="18"/>
                <w:szCs w:val="24"/>
              </w:rPr>
            </w:pPr>
            <w:r>
              <w:rPr>
                <w:rFonts w:hint="eastAsia" w:ascii="Arial" w:hAnsi="Arial" w:eastAsia="仿宋_GB2312" w:cs="Arial"/>
                <w:sz w:val="21"/>
                <w:szCs w:val="21"/>
              </w:rPr>
              <w:t>周边1公里内无轨道交通站点，周边有307路、345路、355路、392路、398路、490路等多条公交线路通过，距北京首都国际机场约22.6公里，距清河火车站约2.9公里，距北京北站约9.3公里，交通便捷度一般</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一般</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c</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区域土地利用方向</w:t>
            </w:r>
          </w:p>
        </w:tc>
        <w:tc>
          <w:tcPr>
            <w:tcW w:w="2750" w:type="pct"/>
            <w:vAlign w:val="center"/>
          </w:tcPr>
          <w:p>
            <w:pPr>
              <w:widowControl/>
              <w:adjustRightInd/>
              <w:spacing w:line="240" w:lineRule="exact"/>
              <w:textAlignment w:val="auto"/>
              <w:rPr>
                <w:rFonts w:ascii="Arial" w:hAnsi="Arial" w:eastAsia="仿宋" w:cs="宋体"/>
                <w:color w:val="E36C0A"/>
                <w:sz w:val="18"/>
                <w:szCs w:val="24"/>
              </w:rPr>
            </w:pPr>
            <w:r>
              <w:rPr>
                <w:rFonts w:ascii="Arial" w:hAnsi="Arial" w:eastAsia="仿宋_GB2312" w:cs="Arial"/>
                <w:sz w:val="21"/>
                <w:szCs w:val="21"/>
              </w:rPr>
              <w:t>区域土地利用方向较好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d</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临路状况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估价对象紧邻城市支路-清河中街</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-0.19%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e</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公共服务设施状况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f</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基础设施完备状况</w:t>
            </w:r>
          </w:p>
        </w:tc>
        <w:tc>
          <w:tcPr>
            <w:tcW w:w="2750" w:type="pct"/>
            <w:vAlign w:val="center"/>
          </w:tcPr>
          <w:p>
            <w:pPr>
              <w:spacing w:line="240" w:lineRule="exact"/>
              <w:rPr>
                <w:rFonts w:ascii="Arial" w:hAnsi="Arial" w:eastAsia="仿宋" w:cs="宋体"/>
                <w:color w:val="E36C0A"/>
                <w:sz w:val="18"/>
                <w:szCs w:val="24"/>
              </w:rPr>
            </w:pPr>
            <w:r>
              <w:rPr>
                <w:rFonts w:hint="eastAsia" w:ascii="Arial" w:hAnsi="Arial" w:eastAsia="仿宋_GB2312" w:cs="Arial"/>
                <w:sz w:val="21"/>
                <w:szCs w:val="21"/>
              </w:rPr>
              <w:t>七通</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1.14%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g</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宗地形状及可利用程度</w:t>
            </w:r>
          </w:p>
        </w:tc>
        <w:tc>
          <w:tcPr>
            <w:tcW w:w="2750" w:type="pct"/>
            <w:vAlign w:val="center"/>
          </w:tcPr>
          <w:p>
            <w:pPr>
              <w:spacing w:line="240" w:lineRule="exact"/>
              <w:rPr>
                <w:rFonts w:ascii="Arial" w:hAnsi="Arial" w:eastAsia="仿宋" w:cs="宋体"/>
                <w:color w:val="E36C0A"/>
                <w:sz w:val="18"/>
                <w:szCs w:val="24"/>
              </w:rPr>
            </w:pPr>
            <w:r>
              <w:rPr>
                <w:rFonts w:ascii="Arial" w:hAnsi="Arial" w:eastAsia="仿宋_GB2312" w:cs="Arial"/>
                <w:sz w:val="21"/>
                <w:szCs w:val="21"/>
              </w:rPr>
              <w:t>宗地形状较规则</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0.24%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h</w:t>
            </w:r>
          </w:p>
        </w:tc>
        <w:tc>
          <w:tcPr>
            <w:tcW w:w="980" w:type="pct"/>
            <w:vAlign w:val="center"/>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自然和人文环境状况</w:t>
            </w:r>
          </w:p>
        </w:tc>
        <w:tc>
          <w:tcPr>
            <w:tcW w:w="5115" w:type="dxa"/>
            <w:vAlign w:val="center"/>
          </w:tcPr>
          <w:p>
            <w:pPr>
              <w:widowControl/>
              <w:adjustRightInd/>
              <w:spacing w:line="240" w:lineRule="auto"/>
              <w:textAlignment w:val="auto"/>
              <w:rPr>
                <w:rFonts w:ascii="Arial" w:hAnsi="Arial" w:eastAsia="仿宋" w:cs="宋体"/>
                <w:color w:val="E36C0A"/>
                <w:sz w:val="18"/>
                <w:szCs w:val="24"/>
              </w:rPr>
            </w:pPr>
            <w:r>
              <w:rPr>
                <w:rFonts w:hint="eastAsia" w:ascii="Arial" w:hAnsi="Arial" w:eastAsia="仿宋_GB2312" w:cs="Arial"/>
                <w:sz w:val="21"/>
                <w:szCs w:val="21"/>
              </w:rPr>
              <w:t>区域自然环境：东升八家郊野公园、碧水风荷公园、西三旗公园等；人文环境：清河燕清体育文化公园、清河清真寺；综合评价环境状况较好</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较好</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0.72%</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15" w:type="pct"/>
            <w:vAlign w:val="center"/>
          </w:tcPr>
          <w:p>
            <w:pPr>
              <w:widowControl/>
              <w:adjustRightInd/>
              <w:spacing w:line="240" w:lineRule="auto"/>
              <w:textAlignment w:val="auto"/>
              <w:rPr>
                <w:rFonts w:ascii="Arial" w:hAnsi="Arial" w:eastAsia="仿宋"/>
                <w:sz w:val="18"/>
                <w:szCs w:val="24"/>
              </w:rPr>
            </w:pPr>
            <w:r>
              <w:rPr>
                <w:rFonts w:ascii="Arial" w:hAnsi="Arial" w:eastAsia="仿宋_GB2312" w:cs="Arial"/>
                <w:sz w:val="18"/>
                <w:szCs w:val="18"/>
              </w:rPr>
              <w:t>i</w:t>
            </w:r>
          </w:p>
        </w:tc>
        <w:tc>
          <w:tcPr>
            <w:tcW w:w="980" w:type="pct"/>
          </w:tcPr>
          <w:p>
            <w:pPr>
              <w:widowControl/>
              <w:adjustRightInd/>
              <w:spacing w:line="240" w:lineRule="auto"/>
              <w:textAlignment w:val="auto"/>
              <w:rPr>
                <w:rFonts w:ascii="Arial" w:hAnsi="Arial" w:eastAsia="仿宋" w:cs="宋体"/>
                <w:color w:val="E36C0A"/>
                <w:sz w:val="18"/>
                <w:szCs w:val="24"/>
              </w:rPr>
            </w:pPr>
            <w:r>
              <w:rPr>
                <w:rFonts w:ascii="Arial" w:hAnsi="Arial" w:eastAsia="仿宋_GB2312" w:cs="Arial"/>
                <w:sz w:val="21"/>
                <w:szCs w:val="21"/>
              </w:rPr>
              <w:t>与区域中心接近程度好</w:t>
            </w:r>
          </w:p>
        </w:tc>
        <w:tc>
          <w:tcPr>
            <w:tcW w:w="5115" w:type="dxa"/>
            <w:vAlign w:val="center"/>
          </w:tcPr>
          <w:p>
            <w:pPr>
              <w:widowControl/>
              <w:adjustRightInd/>
              <w:spacing w:line="240" w:lineRule="auto"/>
              <w:textAlignment w:val="auto"/>
              <w:rPr>
                <w:rFonts w:ascii="Arial" w:hAnsi="Arial" w:eastAsia="仿宋_GB2312" w:cs="宋体"/>
                <w:color w:val="E36C0A"/>
                <w:sz w:val="18"/>
                <w:szCs w:val="24"/>
              </w:rPr>
            </w:pPr>
            <w:r>
              <w:rPr>
                <w:rFonts w:hint="eastAsia" w:ascii="Arial" w:hAnsi="Arial" w:eastAsia="仿宋_GB2312" w:cs="Arial"/>
                <w:sz w:val="21"/>
                <w:szCs w:val="21"/>
              </w:rPr>
              <w:t>与海淀区核心</w:t>
            </w:r>
            <w:r>
              <w:rPr>
                <w:rFonts w:ascii="Arial" w:hAnsi="Arial" w:eastAsia="仿宋_GB2312" w:cs="Arial"/>
                <w:sz w:val="21"/>
                <w:szCs w:val="21"/>
              </w:rPr>
              <w:t>区域</w:t>
            </w:r>
            <w:r>
              <w:rPr>
                <w:rFonts w:hint="eastAsia" w:ascii="Arial" w:hAnsi="Arial" w:eastAsia="仿宋_GB2312" w:cs="Arial"/>
                <w:sz w:val="21"/>
                <w:szCs w:val="21"/>
              </w:rPr>
              <w:t>距离远，</w:t>
            </w:r>
            <w:r>
              <w:rPr>
                <w:rFonts w:ascii="Arial" w:hAnsi="Arial" w:eastAsia="仿宋_GB2312" w:cs="Arial"/>
                <w:sz w:val="21"/>
                <w:szCs w:val="21"/>
              </w:rPr>
              <w:t>与区域中心接近程度</w:t>
            </w:r>
            <w:r>
              <w:rPr>
                <w:rFonts w:hint="eastAsia" w:ascii="Arial" w:hAnsi="Arial" w:eastAsia="仿宋_GB2312" w:cs="Arial"/>
                <w:sz w:val="21"/>
                <w:szCs w:val="21"/>
              </w:rPr>
              <w:t>差</w:t>
            </w:r>
          </w:p>
        </w:tc>
        <w:tc>
          <w:tcPr>
            <w:tcW w:w="769"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差</w:t>
            </w:r>
          </w:p>
        </w:tc>
        <w:tc>
          <w:tcPr>
            <w:tcW w:w="1005" w:type="dxa"/>
            <w:vAlign w:val="center"/>
          </w:tcPr>
          <w:p>
            <w:pPr>
              <w:spacing w:line="240" w:lineRule="exact"/>
              <w:outlineLvl w:val="0"/>
              <w:rPr>
                <w:rFonts w:ascii="Arial" w:hAnsi="Arial" w:eastAsia="仿宋_GB2312" w:cs="Arial"/>
                <w:sz w:val="21"/>
                <w:szCs w:val="21"/>
              </w:rPr>
            </w:pPr>
            <w:r>
              <w:rPr>
                <w:rFonts w:ascii="Arial" w:hAnsi="Arial" w:eastAsia="仿宋_GB2312" w:cs="Arial"/>
                <w:sz w:val="21"/>
                <w:szCs w:val="21"/>
              </w:rPr>
              <w:t>-0.38%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合计（∑K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2.96%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59" w:type="pct"/>
            <w:gridSpan w:val="4"/>
            <w:vAlign w:val="center"/>
          </w:tcPr>
          <w:p>
            <w:pPr>
              <w:spacing w:line="240" w:lineRule="exact"/>
              <w:rPr>
                <w:rFonts w:ascii="Arial" w:hAnsi="Arial" w:eastAsia="仿宋"/>
                <w:color w:val="E36C0A"/>
                <w:sz w:val="18"/>
                <w:szCs w:val="24"/>
              </w:rPr>
            </w:pPr>
            <w:r>
              <w:rPr>
                <w:rFonts w:hint="eastAsia" w:ascii="Arial" w:hAnsi="Arial" w:eastAsia="仿宋"/>
                <w:sz w:val="18"/>
                <w:szCs w:val="24"/>
              </w:rPr>
              <w:t>因素修正系数（1+∑K</w:t>
            </w:r>
            <w:r>
              <w:rPr>
                <w:rFonts w:hint="eastAsia" w:ascii="Arial" w:hAnsi="Arial" w:eastAsia="仿宋"/>
                <w:sz w:val="18"/>
                <w:szCs w:val="24"/>
                <w:vertAlign w:val="subscript"/>
              </w:rPr>
              <w:t>i</w:t>
            </w:r>
            <w:r>
              <w:rPr>
                <w:rFonts w:hint="eastAsia" w:ascii="Arial" w:hAnsi="Arial" w:eastAsia="仿宋"/>
                <w:sz w:val="18"/>
                <w:szCs w:val="24"/>
              </w:rPr>
              <w:t>）</w:t>
            </w:r>
          </w:p>
        </w:tc>
        <w:tc>
          <w:tcPr>
            <w:tcW w:w="540" w:type="pct"/>
          </w:tcPr>
          <w:p>
            <w:pPr>
              <w:spacing w:line="240" w:lineRule="exact"/>
              <w:outlineLvl w:val="0"/>
              <w:rPr>
                <w:rFonts w:ascii="Arial" w:hAnsi="Arial" w:eastAsia="仿宋_GB2312" w:cs="Arial"/>
                <w:sz w:val="21"/>
                <w:szCs w:val="21"/>
              </w:rPr>
            </w:pPr>
            <w:r>
              <w:rPr>
                <w:rFonts w:hint="eastAsia" w:ascii="Arial" w:hAnsi="Arial" w:eastAsia="仿宋_GB2312" w:cs="Arial"/>
                <w:sz w:val="21"/>
                <w:szCs w:val="21"/>
              </w:rPr>
              <w:t>1.0296</w:t>
            </w:r>
          </w:p>
        </w:tc>
      </w:tr>
    </w:tbl>
    <w:p>
      <w:pPr>
        <w:spacing w:line="240" w:lineRule="exact"/>
        <w:rPr>
          <w:rFonts w:ascii="Arial" w:hAnsi="Arial" w:eastAsia="仿宋"/>
          <w:sz w:val="18"/>
          <w:szCs w:val="24"/>
        </w:rPr>
      </w:pPr>
    </w:p>
    <w:p>
      <w:pPr>
        <w:spacing w:line="360" w:lineRule="auto"/>
        <w:ind w:firstLine="560" w:firstLineChars="200"/>
        <w:jc w:val="both"/>
        <w:rPr>
          <w:rFonts w:ascii="Arial" w:hAnsi="Arial" w:eastAsia="仿宋_GB2312" w:cs="Arial"/>
          <w:b/>
          <w:bCs/>
          <w:sz w:val="28"/>
        </w:rPr>
      </w:pPr>
      <w:r>
        <w:rPr>
          <w:rFonts w:ascii="Arial" w:hAnsi="Arial" w:eastAsia="仿宋_GB2312" w:cs="Arial"/>
          <w:sz w:val="28"/>
          <w:szCs w:val="28"/>
        </w:rPr>
        <w:t>5）地下空间修正系数</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szCs w:val="28"/>
        </w:rPr>
        <w:t>仓储</w:t>
      </w:r>
      <w:r>
        <w:rPr>
          <w:rFonts w:ascii="Arial" w:hAnsi="Arial" w:eastAsia="仿宋_GB2312" w:cs="Arial"/>
          <w:sz w:val="28"/>
        </w:rPr>
        <w:t>依据地上比准类别确定地下空间修正系数，地上比准用途为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仓储</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0.3</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0.25</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w:t>
      </w:r>
      <w:r>
        <w:rPr>
          <w:rFonts w:hint="eastAsia" w:ascii="Arial" w:hAnsi="Arial" w:eastAsia="仿宋_GB2312" w:cs="Arial"/>
          <w:b/>
          <w:sz w:val="28"/>
          <w:szCs w:val="28"/>
        </w:rPr>
        <w:t>仓储</w:t>
      </w:r>
      <w:r>
        <w:rPr>
          <w:rFonts w:ascii="Arial" w:hAnsi="Arial" w:eastAsia="仿宋_GB2312" w:cs="Arial"/>
          <w:b/>
          <w:sz w:val="28"/>
          <w:szCs w:val="28"/>
        </w:rPr>
        <w:t>用房适用基准地价、期日修正系数、年期修正系数及因素修正系数同地上</w:t>
      </w:r>
      <w:r>
        <w:rPr>
          <w:rFonts w:hint="eastAsia" w:ascii="Arial" w:hAnsi="Arial" w:eastAsia="仿宋_GB2312" w:cs="Arial"/>
          <w:b/>
          <w:sz w:val="28"/>
          <w:szCs w:val="28"/>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w:t>
      </w:r>
      <w:r>
        <w:rPr>
          <w:rFonts w:hint="eastAsia" w:ascii="Arial" w:hAnsi="Arial" w:eastAsia="仿宋_GB2312" w:cs="Arial"/>
          <w:sz w:val="28"/>
          <w:szCs w:val="28"/>
        </w:rPr>
        <w:t>仓储</w:t>
      </w:r>
      <w:r>
        <w:rPr>
          <w:rFonts w:ascii="Arial" w:hAnsi="Arial" w:eastAsia="仿宋_GB2312" w:cs="Arial"/>
          <w:sz w:val="28"/>
          <w:szCs w:val="28"/>
        </w:rPr>
        <w:t>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＝适用基准地价（参照地上比准用途</w:t>
      </w:r>
      <w:r>
        <w:rPr>
          <w:rFonts w:hint="eastAsia" w:ascii="Arial" w:hAnsi="Arial" w:eastAsia="仿宋_GB2312" w:cs="Arial"/>
          <w:sz w:val="28"/>
          <w:szCs w:val="28"/>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1.7797×1×1.0296</w:t>
      </w:r>
      <w:r>
        <w:rPr>
          <w:rFonts w:ascii="Arial" w:hAnsi="Arial" w:eastAsia="仿宋_GB2312" w:cs="Arial"/>
          <w:sz w:val="28"/>
          <w:szCs w:val="28"/>
        </w:rPr>
        <w:t>×0.2</w:t>
      </w:r>
      <w:r>
        <w:rPr>
          <w:rFonts w:hint="eastAsia" w:ascii="Arial" w:hAnsi="Arial" w:eastAsia="仿宋_GB2312" w:cs="Arial"/>
          <w:sz w:val="28"/>
          <w:szCs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5731</w:t>
      </w:r>
      <w:r>
        <w:rPr>
          <w:rFonts w:ascii="Arial" w:hAnsi="Arial" w:eastAsia="仿宋_GB2312" w:cs="Arial"/>
          <w:sz w:val="28"/>
        </w:rPr>
        <w:t>（元/平方米）</w:t>
      </w:r>
    </w:p>
    <w:p>
      <w:pPr>
        <w:spacing w:line="360" w:lineRule="auto"/>
        <w:ind w:left="420" w:leftChars="175" w:firstLine="141" w:firstLineChars="50"/>
        <w:jc w:val="both"/>
        <w:rPr>
          <w:rFonts w:ascii="Arial" w:hAnsi="Arial" w:eastAsia="仿宋_GB2312" w:cs="Arial"/>
          <w:b/>
          <w:sz w:val="28"/>
        </w:rPr>
      </w:pPr>
      <w:r>
        <w:rPr>
          <w:rFonts w:ascii="Arial" w:hAnsi="Arial" w:eastAsia="仿宋_GB2312" w:cs="Arial"/>
          <w:b/>
          <w:sz w:val="28"/>
          <w:szCs w:val="28"/>
        </w:rPr>
        <w:t>（</w:t>
      </w:r>
      <w:r>
        <w:rPr>
          <w:rFonts w:hint="eastAsia" w:ascii="Arial" w:hAnsi="Arial" w:eastAsia="仿宋_GB2312" w:cs="Arial"/>
          <w:b/>
          <w:sz w:val="28"/>
          <w:szCs w:val="28"/>
        </w:rPr>
        <w:t>2</w:t>
      </w:r>
      <w:r>
        <w:rPr>
          <w:rFonts w:ascii="Arial" w:hAnsi="Arial" w:eastAsia="仿宋_GB2312" w:cs="Arial"/>
          <w:b/>
          <w:sz w:val="28"/>
          <w:szCs w:val="28"/>
        </w:rPr>
        <w:t>）求</w:t>
      </w:r>
      <w:r>
        <w:rPr>
          <w:rFonts w:ascii="Arial" w:hAnsi="Arial" w:eastAsia="仿宋_GB2312" w:cs="Arial"/>
          <w:b/>
          <w:sz w:val="28"/>
        </w:rPr>
        <w:t>取估价对象地下车库用房楼面熟地价（土地剩余使用年限</w:t>
      </w:r>
      <w:r>
        <w:rPr>
          <w:rFonts w:hint="eastAsia" w:ascii="Arial" w:hAnsi="Arial" w:eastAsia="仿宋_GB2312" w:cs="Arial"/>
          <w:b/>
          <w:sz w:val="28"/>
        </w:rPr>
        <w:t>50</w:t>
      </w:r>
      <w:r>
        <w:rPr>
          <w:rFonts w:ascii="Arial" w:hAnsi="Arial" w:eastAsia="仿宋_GB2312" w:cs="Arial"/>
          <w:b/>
          <w:sz w:val="28"/>
        </w:rPr>
        <w:t>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商业、办公、居住、工业用途的土地还原利率原则上按同期中国人民银行公布的一年期贷款利率分别上浮25％、20％、15％、10％确定。</w:t>
      </w:r>
      <w:r>
        <w:rPr>
          <w:rFonts w:hint="eastAsia" w:ascii="Arial" w:hAnsi="Arial" w:eastAsia="仿宋"/>
          <w:sz w:val="28"/>
          <w:szCs w:val="28"/>
        </w:rPr>
        <w:t>估价对象地上</w:t>
      </w:r>
      <w:r>
        <w:rPr>
          <w:rFonts w:ascii="Arial" w:hAnsi="Arial" w:eastAsia="仿宋"/>
          <w:sz w:val="28"/>
          <w:szCs w:val="28"/>
        </w:rPr>
        <w:t>主</w:t>
      </w:r>
      <w:r>
        <w:rPr>
          <w:rFonts w:hint="eastAsia" w:ascii="Arial" w:hAnsi="Arial" w:eastAsia="仿宋"/>
          <w:sz w:val="28"/>
          <w:szCs w:val="28"/>
        </w:rPr>
        <w:t>用途为住宅</w:t>
      </w:r>
      <w:r>
        <w:rPr>
          <w:rFonts w:ascii="Arial" w:hAnsi="Arial" w:eastAsia="仿宋_GB2312" w:cs="Arial"/>
          <w:sz w:val="28"/>
          <w:szCs w:val="28"/>
        </w:rPr>
        <w:t>，现行一年期贷款利率（2015年10月24日发布）为4.35%。则有：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土地还原率＝4.35%×（1＋</w:t>
      </w:r>
      <w:r>
        <w:rPr>
          <w:rFonts w:hint="eastAsia" w:ascii="Arial" w:hAnsi="Arial" w:eastAsia="仿宋_GB2312" w:cs="Arial"/>
          <w:sz w:val="28"/>
          <w:szCs w:val="28"/>
        </w:rPr>
        <w:t>15</w:t>
      </w:r>
      <w:r>
        <w:rPr>
          <w:rFonts w:ascii="Arial" w:hAnsi="Arial" w:eastAsia="仿宋_GB2312" w:cs="Arial"/>
          <w:sz w:val="28"/>
          <w:szCs w:val="28"/>
        </w:rPr>
        <w:t>%）=5.</w:t>
      </w:r>
      <w:r>
        <w:rPr>
          <w:rFonts w:hint="eastAsia" w:ascii="Arial" w:hAnsi="Arial" w:eastAsia="仿宋_GB2312" w:cs="Arial"/>
          <w:sz w:val="28"/>
          <w:szCs w:val="28"/>
        </w:rPr>
        <w:t>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估价对象设定剩余土地使用年限为</w:t>
      </w:r>
      <w:r>
        <w:rPr>
          <w:rFonts w:hint="eastAsia" w:ascii="Arial" w:hAnsi="Arial" w:eastAsia="仿宋_GB2312" w:cs="Arial"/>
          <w:sz w:val="28"/>
          <w:szCs w:val="28"/>
        </w:rPr>
        <w:t>50</w:t>
      </w:r>
      <w:r>
        <w:rPr>
          <w:rFonts w:ascii="Arial" w:hAnsi="Arial" w:eastAsia="仿宋_GB2312" w:cs="Arial"/>
          <w:sz w:val="28"/>
          <w:szCs w:val="28"/>
        </w:rPr>
        <w:t>年，</w:t>
      </w:r>
      <w:r>
        <w:rPr>
          <w:rFonts w:hint="eastAsia" w:ascii="Arial" w:hAnsi="Arial" w:eastAsia="仿宋_GB2312" w:cs="Arial"/>
          <w:sz w:val="28"/>
          <w:szCs w:val="28"/>
        </w:rPr>
        <w:t>地下车库</w:t>
      </w:r>
      <w:r>
        <w:rPr>
          <w:rFonts w:ascii="Arial" w:hAnsi="Arial" w:eastAsia="仿宋_GB2312" w:cs="Arial"/>
          <w:sz w:val="28"/>
          <w:szCs w:val="28"/>
        </w:rPr>
        <w:t>用途法定用途最高出让年限为50年，则有：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＝（1-1÷（1＋5.2%）</w:t>
      </w:r>
      <w:r>
        <w:rPr>
          <w:rFonts w:hint="eastAsia" w:ascii="Arial" w:hAnsi="Arial" w:eastAsia="仿宋_GB2312" w:cs="Arial"/>
          <w:sz w:val="28"/>
          <w:szCs w:val="28"/>
          <w:vertAlign w:val="superscript"/>
        </w:rPr>
        <w:t>50</w:t>
      </w:r>
      <w:r>
        <w:rPr>
          <w:rFonts w:ascii="Arial" w:hAnsi="Arial" w:eastAsia="仿宋_GB2312" w:cs="Arial"/>
          <w:sz w:val="28"/>
          <w:szCs w:val="28"/>
        </w:rPr>
        <w:t>）÷（1-1÷（1＋5.2%）</w:t>
      </w:r>
      <w:r>
        <w:rPr>
          <w:rFonts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1</w:t>
      </w:r>
    </w:p>
    <w:p>
      <w:pPr>
        <w:spacing w:before="120" w:beforeLines="50" w:line="360" w:lineRule="auto"/>
        <w:ind w:firstLine="562" w:firstLineChars="200"/>
        <w:jc w:val="both"/>
        <w:rPr>
          <w:rFonts w:ascii="Arial" w:hAnsi="Arial" w:eastAsia="仿宋_GB2312" w:cs="Arial"/>
          <w:sz w:val="28"/>
          <w:szCs w:val="28"/>
        </w:rPr>
      </w:pPr>
      <w:r>
        <w:rPr>
          <w:rFonts w:ascii="Arial" w:hAnsi="Arial" w:eastAsia="仿宋_GB2312" w:cs="Arial"/>
          <w:b/>
          <w:sz w:val="28"/>
          <w:szCs w:val="28"/>
        </w:rPr>
        <w:t>地下车库</w:t>
      </w:r>
      <w:r>
        <w:rPr>
          <w:rFonts w:hint="eastAsia" w:ascii="Arial" w:hAnsi="Arial" w:eastAsia="仿宋_GB2312" w:cs="Arial"/>
          <w:b/>
          <w:sz w:val="28"/>
          <w:szCs w:val="28"/>
        </w:rPr>
        <w:t>用房</w:t>
      </w:r>
      <w:r>
        <w:rPr>
          <w:rFonts w:ascii="Arial" w:hAnsi="Arial" w:eastAsia="仿宋_GB2312" w:cs="Arial"/>
          <w:b/>
          <w:sz w:val="28"/>
          <w:szCs w:val="28"/>
        </w:rPr>
        <w:t>适用基准地价、期日修正系数、年期修正系数及因素修正系数同</w:t>
      </w:r>
      <w:r>
        <w:rPr>
          <w:rFonts w:hint="eastAsia" w:ascii="Arial" w:hAnsi="Arial" w:eastAsia="仿宋_GB2312" w:cs="Arial"/>
          <w:b/>
          <w:sz w:val="28"/>
          <w:szCs w:val="28"/>
        </w:rPr>
        <w:t>住宅</w:t>
      </w:r>
      <w:r>
        <w:rPr>
          <w:rFonts w:ascii="Arial" w:hAnsi="Arial" w:eastAsia="仿宋_GB2312" w:cs="Arial"/>
          <w:b/>
          <w:sz w:val="28"/>
          <w:szCs w:val="28"/>
        </w:rPr>
        <w:t>用途基准地价系数修正法求取过程及结果，则：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地下车库楼面熟地价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＝适用基准地价（参照地上主用途</w:t>
      </w:r>
      <w:r>
        <w:rPr>
          <w:rFonts w:hint="eastAsia" w:ascii="Arial" w:hAnsi="Arial" w:eastAsia="仿宋_GB2312" w:cs="Arial"/>
          <w:sz w:val="28"/>
          <w:szCs w:val="28"/>
        </w:rPr>
        <w:t>住宅</w:t>
      </w:r>
      <w:r>
        <w:rPr>
          <w:rFonts w:ascii="Arial" w:hAnsi="Arial" w:eastAsia="仿宋_GB2312" w:cs="Arial"/>
          <w:sz w:val="28"/>
          <w:szCs w:val="28"/>
        </w:rPr>
        <w:t>用途比准类别）×期日修正系数×年期修正系数×因素修正系数×相应用途地下空间修正系数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＝12510×</w:t>
      </w:r>
      <w:r>
        <w:rPr>
          <w:rFonts w:hint="eastAsia" w:ascii="Arial" w:hAnsi="Arial" w:eastAsia="仿宋_GB2312" w:cs="Arial"/>
          <w:sz w:val="28"/>
          <w:szCs w:val="28"/>
        </w:rPr>
        <w:t>1.7797×1×1.0296</w:t>
      </w:r>
      <w:r>
        <w:rPr>
          <w:rFonts w:ascii="Arial" w:hAnsi="Arial" w:eastAsia="仿宋_GB2312" w:cs="Arial"/>
          <w:sz w:val="28"/>
          <w:szCs w:val="28"/>
        </w:rPr>
        <w:t>×0.2</w:t>
      </w:r>
    </w:p>
    <w:p>
      <w:pPr>
        <w:spacing w:line="360" w:lineRule="auto"/>
        <w:ind w:firstLine="560" w:firstLineChars="200"/>
        <w:rPr>
          <w:rFonts w:ascii="Arial" w:hAnsi="Arial" w:eastAsia="仿宋"/>
          <w:sz w:val="28"/>
          <w:szCs w:val="28"/>
        </w:rPr>
      </w:pPr>
      <w:r>
        <w:rPr>
          <w:rFonts w:ascii="Arial" w:hAnsi="Arial" w:eastAsia="仿宋_GB2312" w:cs="Arial"/>
          <w:sz w:val="28"/>
          <w:szCs w:val="28"/>
        </w:rPr>
        <w:t>＝</w:t>
      </w:r>
      <w:r>
        <w:rPr>
          <w:rFonts w:hint="eastAsia" w:ascii="Arial" w:hAnsi="Arial" w:eastAsia="仿宋_GB2312" w:cs="Arial"/>
          <w:sz w:val="28"/>
          <w:szCs w:val="28"/>
        </w:rPr>
        <w:t>4585</w:t>
      </w:r>
      <w:r>
        <w:rPr>
          <w:rFonts w:ascii="Arial" w:hAnsi="Arial" w:eastAsia="仿宋_GB2312" w:cs="Arial"/>
          <w:sz w:val="28"/>
          <w:szCs w:val="28"/>
        </w:rPr>
        <w:t>（元/平方米）</w:t>
      </w:r>
    </w:p>
    <w:p>
      <w:pPr>
        <w:spacing w:line="360" w:lineRule="auto"/>
        <w:ind w:left="420"/>
        <w:jc w:val="both"/>
        <w:rPr>
          <w:rFonts w:ascii="Arial" w:hAnsi="Arial" w:eastAsia="仿宋_GB2312" w:cs="Arial"/>
          <w:b/>
          <w:sz w:val="28"/>
        </w:rPr>
      </w:pPr>
      <w:r>
        <w:rPr>
          <w:rFonts w:ascii="Arial" w:hAnsi="Arial" w:eastAsia="仿宋_GB2312" w:cs="Arial"/>
          <w:b/>
          <w:sz w:val="28"/>
        </w:rPr>
        <w:t>方法二：剩余法</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sz w:val="28"/>
        </w:rPr>
        <w:t>委托估价方在</w:t>
      </w:r>
      <w:r>
        <w:rPr>
          <w:rFonts w:hint="eastAsia" w:ascii="Arial" w:hAnsi="Arial" w:eastAsia="仿宋_GB2312" w:cs="Arial"/>
          <w:sz w:val="28"/>
        </w:rPr>
        <w:t>《国有建设用地使用权出让地价评估委托书》中明确土地用途为</w:t>
      </w:r>
      <w:r>
        <w:rPr>
          <w:rFonts w:hint="eastAsia" w:ascii="Arial" w:hAnsi="Arial" w:eastAsia="仿宋_GB2312" w:cs="Arial"/>
          <w:sz w:val="28"/>
          <w:szCs w:val="28"/>
        </w:rPr>
        <w:t>住宅、商业、地下商业、地下车库、地下综合、地下仓储</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ascii="Arial" w:hAnsi="Arial" w:eastAsia="仿宋_GB2312" w:cs="Arial"/>
          <w:sz w:val="28"/>
        </w:rPr>
        <w:t>，根据评估委托书，</w:t>
      </w:r>
      <w:r>
        <w:rPr>
          <w:rFonts w:hint="eastAsia" w:ascii="Arial" w:hAnsi="Arial" w:eastAsia="仿宋_GB2312" w:cs="Arial"/>
          <w:sz w:val="28"/>
        </w:rPr>
        <w:t>此次估价设定估价对象用途为</w:t>
      </w:r>
      <w:r>
        <w:rPr>
          <w:rFonts w:hint="eastAsia" w:ascii="Arial" w:hAnsi="Arial" w:eastAsia="仿宋_GB2312" w:cs="Arial"/>
          <w:sz w:val="28"/>
          <w:szCs w:val="28"/>
        </w:rPr>
        <w:t>地下车库、地下仓储</w:t>
      </w:r>
      <w:r>
        <w:rPr>
          <w:rFonts w:ascii="Arial" w:hAnsi="Arial" w:eastAsia="仿宋_GB2312" w:cs="Arial"/>
          <w:bCs/>
          <w:sz w:val="28"/>
        </w:rPr>
        <w:t>为其最有效利用方式。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2.测算过程</w:t>
      </w:r>
    </w:p>
    <w:p>
      <w:pPr>
        <w:spacing w:line="360" w:lineRule="auto"/>
        <w:ind w:firstLine="562" w:firstLineChars="200"/>
        <w:jc w:val="both"/>
        <w:rPr>
          <w:rFonts w:ascii="Arial" w:hAnsi="Arial" w:eastAsia="仿宋_GB2312" w:cs="Arial"/>
          <w:b/>
          <w:sz w:val="28"/>
        </w:rPr>
      </w:pPr>
      <w:r>
        <w:rPr>
          <w:rFonts w:ascii="Arial" w:hAnsi="Arial" w:eastAsia="仿宋_GB2312" w:cs="Arial"/>
          <w:b/>
          <w:sz w:val="28"/>
        </w:rPr>
        <w:t>（1）求取</w:t>
      </w:r>
      <w:r>
        <w:rPr>
          <w:rFonts w:hint="eastAsia" w:ascii="Arial" w:hAnsi="Arial" w:eastAsia="仿宋_GB2312" w:cs="Arial"/>
          <w:b/>
          <w:sz w:val="28"/>
        </w:rPr>
        <w:t>地上住宅</w:t>
      </w:r>
      <w:r>
        <w:rPr>
          <w:rFonts w:ascii="Arial" w:hAnsi="Arial" w:eastAsia="仿宋_GB2312" w:cs="Arial"/>
          <w:b/>
          <w:sz w:val="28"/>
        </w:rPr>
        <w:t>用途楼面熟地价</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1）开发完成后的不动产总价</w:t>
      </w:r>
    </w:p>
    <w:p>
      <w:pPr>
        <w:pStyle w:val="19"/>
        <w:autoSpaceDE w:val="0"/>
        <w:autoSpaceDN w:val="0"/>
        <w:spacing w:line="360" w:lineRule="auto"/>
        <w:ind w:firstLine="560" w:firstLineChars="200"/>
        <w:jc w:val="both"/>
        <w:textAlignment w:val="bottom"/>
        <w:rPr>
          <w:rFonts w:ascii="Arial" w:hAnsi="Arial" w:eastAsia="仿宋_GB2312" w:cs="Arial"/>
          <w:sz w:val="28"/>
        </w:rPr>
      </w:pPr>
      <w:r>
        <w:rPr>
          <w:rFonts w:hint="eastAsia" w:ascii="Arial" w:hAnsi="Arial" w:eastAsia="仿宋_GB2312" w:cs="Arial"/>
          <w:sz w:val="28"/>
          <w:szCs w:val="28"/>
        </w:rPr>
        <w:t>估价对象所属项目为居住项目。</w:t>
      </w:r>
      <w:r>
        <w:rPr>
          <w:rFonts w:ascii="Arial" w:hAnsi="Arial" w:eastAsia="仿宋_GB2312" w:cs="Arial"/>
          <w:sz w:val="28"/>
          <w:szCs w:val="28"/>
        </w:rPr>
        <w:t>经过网上询价，</w:t>
      </w:r>
      <w:r>
        <w:rPr>
          <w:rFonts w:ascii="Arial" w:hAnsi="Arial" w:eastAsia="仿宋_GB2312" w:cs="Arial"/>
          <w:sz w:val="28"/>
        </w:rPr>
        <w:t>采用房地产交易中的替代原则，选取与估价对象类似用途的案例，并分别进行交易情况、交易时间、用途、土地使用年限、区域因素、个别因素的修正</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用房开发完成后不动产总价</w:t>
      </w:r>
      <w:r>
        <w:rPr>
          <w:rFonts w:hint="eastAsia" w:ascii="Arial" w:hAnsi="Arial" w:eastAsia="仿宋_GB2312" w:cs="Arial"/>
          <w:sz w:val="28"/>
        </w:rPr>
        <w:t>。</w:t>
      </w: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snapToGrid w:val="0"/>
        <w:spacing w:line="480" w:lineRule="auto"/>
        <w:jc w:val="both"/>
        <w:rPr>
          <w:rFonts w:ascii="Arial" w:hAnsi="Arial" w:eastAsia="仿宋_GB2312" w:cs="Arial"/>
          <w:sz w:val="28"/>
          <w:szCs w:val="28"/>
        </w:rPr>
      </w:pPr>
      <w:r>
        <w:rPr>
          <w:rFonts w:ascii="Arial" w:hAnsi="Arial" w:eastAsia="仿宋_GB2312" w:cs="Arial"/>
          <w:sz w:val="28"/>
          <w:szCs w:val="28"/>
        </w:rPr>
        <w:t>（转下页）</w:t>
      </w: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p>
      <w:pPr>
        <w:pStyle w:val="19"/>
        <w:autoSpaceDE w:val="0"/>
        <w:autoSpaceDN w:val="0"/>
        <w:spacing w:line="360" w:lineRule="auto"/>
        <w:ind w:firstLine="560" w:firstLineChars="200"/>
        <w:jc w:val="both"/>
        <w:textAlignment w:val="bottom"/>
        <w:rPr>
          <w:rFonts w:ascii="Arial" w:hAnsi="Arial" w:eastAsia="仿宋_GB2312" w:cs="Arial"/>
          <w:sz w:val="28"/>
        </w:rPr>
      </w:pPr>
    </w:p>
    <w:tbl>
      <w:tblPr>
        <w:tblStyle w:val="35"/>
        <w:tblW w:w="892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108" w:type="dxa"/>
          <w:bottom w:w="0" w:type="dxa"/>
          <w:right w:w="108" w:type="dxa"/>
        </w:tblCellMar>
      </w:tblPr>
      <w:tblGrid>
        <w:gridCol w:w="892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554" w:hRule="atLeast"/>
          <w:jc w:val="center"/>
        </w:trPr>
        <w:tc>
          <w:tcPr>
            <w:tcW w:w="8920" w:type="dxa"/>
          </w:tcPr>
          <w:p>
            <w:pPr>
              <w:jc w:val="center"/>
              <w:rPr>
                <w:rFonts w:ascii="Arial" w:hAnsi="Arial" w:eastAsia="仿宋_GB2312" w:cs="Arial"/>
                <w:sz w:val="22"/>
              </w:rPr>
            </w:pPr>
            <w:r>
              <w:rPr>
                <w:rFonts w:ascii="Arial" w:hAnsi="Arial" w:eastAsia="仿宋_GB2312" w:cs="Arial"/>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8209" w:hRule="exact"/>
          <w:jc w:val="center"/>
        </w:trPr>
        <w:tc>
          <w:tcPr>
            <w:tcW w:w="8920" w:type="dxa"/>
          </w:tcPr>
          <w:p>
            <w:pPr>
              <w:jc w:val="center"/>
              <w:rPr>
                <w:rFonts w:ascii="Arial" w:hAnsi="Arial" w:eastAsia="仿宋_GB2312" w:cs="Arial"/>
                <w:sz w:val="22"/>
              </w:rPr>
            </w:pPr>
            <w:r>
              <w:rPr>
                <w:rFonts w:ascii="Arial" w:hAnsi="Arial" w:eastAsia="仿宋_GB2312" w:cs="Arial"/>
                <w:sz w:val="22"/>
              </w:rPr>
              <w:drawing>
                <wp:anchor distT="0" distB="0" distL="114300" distR="114300" simplePos="0" relativeHeight="251659264" behindDoc="0" locked="0" layoutInCell="1" allowOverlap="1">
                  <wp:simplePos x="0" y="0"/>
                  <wp:positionH relativeFrom="column">
                    <wp:posOffset>3617595</wp:posOffset>
                  </wp:positionH>
                  <wp:positionV relativeFrom="paragraph">
                    <wp:posOffset>3184525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drawing>
                <wp:inline distT="0" distB="0" distL="114300" distR="114300">
                  <wp:extent cx="6000115" cy="5188585"/>
                  <wp:effectExtent l="0" t="0" r="63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0"/>
                          <a:stretch>
                            <a:fillRect/>
                          </a:stretch>
                        </pic:blipFill>
                        <pic:spPr>
                          <a:xfrm>
                            <a:off x="0" y="0"/>
                            <a:ext cx="6000115" cy="5188585"/>
                          </a:xfrm>
                          <a:prstGeom prst="rect">
                            <a:avLst/>
                          </a:prstGeom>
                          <a:noFill/>
                          <a:ln w="9525">
                            <a:noFill/>
                          </a:ln>
                        </pic:spPr>
                      </pic:pic>
                    </a:graphicData>
                  </a:graphic>
                </wp:inline>
              </w:drawing>
            </w:r>
          </w:p>
        </w:tc>
      </w:tr>
    </w:tbl>
    <w:p>
      <w:pPr>
        <w:widowControl/>
        <w:adjustRightInd/>
        <w:spacing w:line="240" w:lineRule="auto"/>
        <w:textAlignment w:val="auto"/>
        <w:rPr>
          <w:rFonts w:ascii="Arial" w:hAnsi="Arial" w:eastAsia="仿宋_GB2312" w:cs="Arial"/>
          <w:sz w:val="28"/>
        </w:rPr>
      </w:pPr>
      <w:r>
        <w:rPr>
          <w:rFonts w:ascii="Arial" w:hAnsi="Arial" w:eastAsia="仿宋_GB2312" w:cs="Arial"/>
          <w:sz w:val="28"/>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表1：比较因素条件说明及指数表</w:t>
      </w:r>
    </w:p>
    <w:tbl>
      <w:tblPr>
        <w:tblStyle w:val="35"/>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30"/>
        <w:gridCol w:w="1522"/>
        <w:gridCol w:w="586"/>
        <w:gridCol w:w="1396"/>
        <w:gridCol w:w="620"/>
        <w:gridCol w:w="1348"/>
        <w:gridCol w:w="600"/>
        <w:gridCol w:w="1425"/>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635" w:type="pct"/>
            <w:gridSpan w:val="2"/>
            <w:vMerge w:val="restar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133"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c>
          <w:tcPr>
            <w:tcW w:w="1084"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04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098"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35" w:type="pct"/>
            <w:gridSpan w:val="2"/>
            <w:vMerge w:val="continue"/>
            <w:vAlign w:val="center"/>
          </w:tcPr>
          <w:p>
            <w:pPr>
              <w:widowControl/>
              <w:adjustRightInd/>
              <w:spacing w:line="240" w:lineRule="auto"/>
              <w:textAlignment w:val="auto"/>
              <w:rPr>
                <w:rFonts w:ascii="Arial" w:hAnsi="Arial" w:eastAsia="仿宋_GB2312" w:cs="Arial"/>
                <w:sz w:val="18"/>
                <w:szCs w:val="18"/>
              </w:rPr>
            </w:pP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清河嘉园西区</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世华龙樾</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上林溪</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橡林郡</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w:t>
            </w:r>
            <w:r>
              <w:rPr>
                <w:rFonts w:hint="eastAsia" w:ascii="Arial" w:hAnsi="Arial" w:eastAsia="仿宋_GB2312" w:cs="Arial"/>
                <w:sz w:val="18"/>
                <w:szCs w:val="18"/>
              </w:rPr>
              <w:t>1-11-26</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10-11</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2021-</w:t>
            </w:r>
            <w:r>
              <w:rPr>
                <w:rFonts w:hint="eastAsia" w:ascii="Arial" w:hAnsi="Arial" w:eastAsia="仿宋_GB2312" w:cs="Arial"/>
                <w:sz w:val="18"/>
                <w:szCs w:val="18"/>
              </w:rPr>
              <w:t>8-16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35" w:type="pct"/>
            <w:gridSpan w:val="2"/>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正常</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住宅</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土地使用年限（年）</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70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60-70</w:t>
            </w:r>
            <w:r>
              <w:rPr>
                <w:rFonts w:hint="eastAsia" w:ascii="Arial" w:hAnsi="Arial" w:eastAsia="仿宋_GB2312" w:cs="Arial"/>
                <w:sz w:val="18"/>
                <w:szCs w:val="18"/>
              </w:rPr>
              <w:t>（含）</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35" w:type="pct"/>
            <w:gridSpan w:val="2"/>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4.32</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1.6</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1.94</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3.13</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估价对象周边有清景园、毛纺路16号院、力度家园等居住小区，入住率较好，居住社区成熟度较好。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周边有莱圳家园、文龙家园、君安家园等，入住率较好，居住社区成熟度较好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周边有当代城市家园、宣海家园、安宁里小区等，入住率较好，居住社区成熟度较好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估价对象周边有清景园、毛纺路16号院、力度家园等，综合评价居住社区成熟度较好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周边1公里内无轨道交通站点，周边有307路、345路、355路、392路、398路、490路等多条公交线路通过，距北京首都国际机场约22.6公里，距清河火车站约2.9公里，距北京北站约9.3公里，综合评价交通便捷度一般。</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距地铁8号线西小口站约200米，周边有379路、专89路公交线路通过，距北京首都国际机场约21.8公里，距清河火车站约3公里，距北京北站约11.2公里，综合评价交通便捷度较好。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距地铁13号线清河站约970米，周边333路，专139路，专29路公交线路通过，距北京首都国际机场约23.9公里，距清河火车站约970米，距北京北站约11.4公里，综合评价交通便捷度较好。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103</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周边1公里内无轨道交通站点，周边有328路、392路、476路、518路、614路等多条公交线路通过，距北京首都国际机场约23公里，距清河火车站约2公里，距北京北站约10.1公里，综合评价交通便捷度一般。</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4"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818"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估价对象所在区域有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综合分析，公共配套设施齐备程度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悦茂购物中心、清河百货商场等），银行（中国邮政储蓄银行、北京银行等），学校（十一学校龙樾实验中学、中科院第三幼儿园(东升分园)等），医院（北京中康时代康复医院、北京市海淀区东升镇社区卫生服务中心等），综合评价区域设施水平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jc w:val="center"/>
              <w:rPr>
                <w:rFonts w:ascii="Arial" w:hAnsi="Arial" w:eastAsia="仿宋_GB2312" w:cs="Arial"/>
                <w:sz w:val="18"/>
                <w:szCs w:val="18"/>
              </w:rPr>
            </w:pPr>
            <w:r>
              <w:rPr>
                <w:rFonts w:hint="eastAsia" w:ascii="Arial" w:hAnsi="Arial" w:eastAsia="仿宋_GB2312" w:cs="Arial"/>
                <w:sz w:val="18"/>
                <w:szCs w:val="18"/>
              </w:rPr>
              <w:t>周边2公里范围内有购物场所（清河商业城、清河万象汇等），银行（北京农商银行、中国邮政储蓄银行等），学校（北京市二十中学、二十一世纪实验幼儿园等），医院（清河二炮门诊部、北京市海淀区清河社区卫生服务中心等），综合评价区域设施水平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购物场所（清河万象汇、和悦城生活广场等），银行（北京银行（橡树湾支行）、招商银行（清河支行）等），学校（海淀区第二实验小学（橡树校区）、北京清河中学、凯迪双语实验幼儿园等），医院（北京市海淀区清河街道清毛社区卫生服务站等），综合评价区域设施水平</w:t>
            </w:r>
            <w:r>
              <w:rPr>
                <w:rFonts w:ascii="Arial" w:hAnsi="Arial" w:eastAsia="仿宋_GB2312" w:cs="Arial"/>
                <w:sz w:val="18"/>
                <w:szCs w:val="18"/>
              </w:rPr>
              <w:t>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区域自然环境：东升八家郊野公园、碧水风荷公园、西三旗公园等；人文环境：清河燕清体育文化公园、清河清真寺；综合评价环境状况较好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周边2公里范围内有西小口公园、西三旗生态园，</w:t>
            </w:r>
            <w:r>
              <w:rPr>
                <w:rFonts w:ascii="Arial" w:hAnsi="Arial" w:eastAsia="仿宋_GB2312" w:cs="Arial"/>
                <w:sz w:val="18"/>
                <w:szCs w:val="18"/>
              </w:rPr>
              <w:t>人文环境：</w:t>
            </w:r>
            <w:r>
              <w:rPr>
                <w:rFonts w:hint="eastAsia" w:ascii="Arial" w:hAnsi="Arial" w:eastAsia="仿宋_GB2312" w:cs="Arial"/>
                <w:sz w:val="18"/>
                <w:szCs w:val="18"/>
              </w:rPr>
              <w:t>北京明园大学、西三旗文化科技园、北京交通运输职业学院，综合考虑自然环境与人文环境较好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周边2公里范围内有碧水风荷公园、西三旗生态园、美和园公园等；人文环境：西三旗文化科技园北京交通运输职业学院；综合评价环境状况较好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周边2公里范围内有清河水系景观、碧水风荷公园，</w:t>
            </w:r>
            <w:r>
              <w:rPr>
                <w:rFonts w:ascii="Arial" w:hAnsi="Arial" w:eastAsia="仿宋_GB2312" w:cs="Arial"/>
                <w:sz w:val="18"/>
                <w:szCs w:val="18"/>
              </w:rPr>
              <w:t>人文环境：</w:t>
            </w:r>
            <w:r>
              <w:rPr>
                <w:rFonts w:hint="eastAsia" w:ascii="Arial" w:hAnsi="Arial" w:eastAsia="仿宋_GB2312" w:cs="Arial"/>
                <w:sz w:val="18"/>
                <w:szCs w:val="18"/>
              </w:rPr>
              <w:t>北京信息科技大学、北京交通大学清河职业技术学院，综合考虑自然环境与人文环境较好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城市支路-清河中街</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城市次干道-西小口路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城市次干道-安宁庄东路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高速次干道-毛纺路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restar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w:t>
            </w:r>
            <w:r>
              <w:rPr>
                <w:rFonts w:hint="eastAsia" w:ascii="Arial" w:hAnsi="Arial" w:eastAsia="仿宋_GB2312" w:cs="Arial"/>
                <w:sz w:val="18"/>
                <w:szCs w:val="18"/>
              </w:rPr>
              <w:t>02</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高层板楼</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多层板楼</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w:t>
            </w:r>
            <w:r>
              <w:rPr>
                <w:rFonts w:hint="eastAsia" w:ascii="Arial" w:hAnsi="Arial" w:eastAsia="仿宋_GB2312" w:cs="Arial"/>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r>
              <w:rPr>
                <w:rFonts w:hint="eastAsia" w:ascii="Arial" w:hAnsi="Arial" w:eastAsia="仿宋_GB2312" w:cs="Arial"/>
                <w:sz w:val="18"/>
                <w:szCs w:val="18"/>
              </w:rPr>
              <w:t>（平方米）</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106589.13</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237250</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101</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300000</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102</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52735</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钢混</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较好</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好</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r>
              <w:rPr>
                <w:rFonts w:ascii="Arial" w:hAnsi="Arial" w:eastAsia="仿宋_GB2312" w:cs="Arial"/>
                <w:sz w:val="18"/>
                <w:szCs w:val="18"/>
              </w:rPr>
              <w:t>%</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w:t>
            </w:r>
            <w:r>
              <w:rPr>
                <w:rFonts w:ascii="Arial" w:hAnsi="Arial" w:eastAsia="仿宋_GB2312" w:cs="Arial"/>
                <w:sz w:val="18"/>
                <w:szCs w:val="18"/>
              </w:rPr>
              <w:t>%</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专业物业管理</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七通</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3" w:type="pct"/>
            <w:vMerge w:val="continue"/>
            <w:vAlign w:val="center"/>
          </w:tcPr>
          <w:p>
            <w:pPr>
              <w:widowControl/>
              <w:adjustRightInd/>
              <w:spacing w:line="240" w:lineRule="auto"/>
              <w:textAlignment w:val="auto"/>
              <w:rPr>
                <w:rFonts w:ascii="Arial" w:hAnsi="Arial" w:eastAsia="仿宋_GB2312" w:cs="Arial"/>
                <w:sz w:val="18"/>
                <w:szCs w:val="18"/>
              </w:rPr>
            </w:pPr>
          </w:p>
        </w:tc>
        <w:tc>
          <w:tcPr>
            <w:tcW w:w="391" w:type="pct"/>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818"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精</w:t>
            </w:r>
            <w:r>
              <w:rPr>
                <w:rFonts w:ascii="Arial" w:hAnsi="Arial" w:eastAsia="仿宋_GB2312" w:cs="Arial"/>
                <w:sz w:val="18"/>
                <w:szCs w:val="18"/>
              </w:rPr>
              <w:t>装修</w:t>
            </w:r>
          </w:p>
        </w:tc>
        <w:tc>
          <w:tcPr>
            <w:tcW w:w="314"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p>
        </w:tc>
        <w:tc>
          <w:tcPr>
            <w:tcW w:w="751"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c>
          <w:tcPr>
            <w:tcW w:w="725"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23"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98.5</w:t>
            </w:r>
          </w:p>
        </w:tc>
        <w:tc>
          <w:tcPr>
            <w:tcW w:w="766"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毛坯</w:t>
            </w:r>
          </w:p>
        </w:tc>
        <w:tc>
          <w:tcPr>
            <w:tcW w:w="332" w:type="pct"/>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98.5</w:t>
            </w:r>
          </w:p>
        </w:tc>
      </w:tr>
    </w:tbl>
    <w:p>
      <w:pPr>
        <w:spacing w:line="360" w:lineRule="auto"/>
        <w:jc w:val="both"/>
        <w:rPr>
          <w:rFonts w:ascii="Arial" w:hAnsi="Arial" w:eastAsia="仿宋_GB2312" w:cs="Arial"/>
          <w:sz w:val="28"/>
        </w:rPr>
      </w:pPr>
    </w:p>
    <w:p>
      <w:pPr>
        <w:spacing w:line="360" w:lineRule="auto"/>
        <w:ind w:firstLine="480" w:firstLineChars="200"/>
        <w:rPr>
          <w:rFonts w:ascii="Arial" w:hAnsi="Arial" w:eastAsia="仿宋_GB2312" w:cs="Arial"/>
          <w:bCs/>
        </w:rPr>
      </w:pPr>
      <w:r>
        <w:rPr>
          <w:rFonts w:hint="eastAsia" w:ascii="Arial" w:hAnsi="Arial" w:eastAsia="仿宋_GB2312" w:cs="Arial"/>
          <w:bCs/>
        </w:rPr>
        <w:t>（转下页）</w:t>
      </w:r>
    </w:p>
    <w:p>
      <w:pPr>
        <w:widowControl/>
        <w:adjustRightInd/>
        <w:spacing w:line="240" w:lineRule="auto"/>
        <w:textAlignment w:val="auto"/>
        <w:rPr>
          <w:rFonts w:ascii="Arial" w:hAnsi="Arial" w:eastAsia="仿宋_GB2312" w:cs="Arial"/>
          <w:b/>
          <w:bCs/>
        </w:rPr>
      </w:pPr>
      <w:r>
        <w:rPr>
          <w:rFonts w:ascii="Arial" w:hAnsi="Arial" w:eastAsia="仿宋_GB2312" w:cs="Arial"/>
          <w:b/>
          <w:bCs/>
        </w:rPr>
        <w:br w:type="page"/>
      </w:r>
    </w:p>
    <w:p>
      <w:pPr>
        <w:spacing w:line="360" w:lineRule="auto"/>
        <w:ind w:firstLine="482" w:firstLineChars="200"/>
        <w:jc w:val="center"/>
        <w:rPr>
          <w:rFonts w:ascii="Arial" w:hAnsi="Arial" w:eastAsia="仿宋_GB2312" w:cs="Arial"/>
          <w:sz w:val="28"/>
        </w:rPr>
      </w:pPr>
      <w:r>
        <w:rPr>
          <w:rFonts w:ascii="Arial" w:hAnsi="Arial" w:eastAsia="仿宋_GB2312" w:cs="Arial"/>
          <w:b/>
          <w:bCs/>
        </w:rPr>
        <w:t>表2：因素修正和调整系数表</w:t>
      </w:r>
    </w:p>
    <w:tbl>
      <w:tblPr>
        <w:tblStyle w:val="35"/>
        <w:tblW w:w="4939" w:type="pct"/>
        <w:jc w:val="center"/>
        <w:tblLayout w:type="autofit"/>
        <w:tblCellMar>
          <w:top w:w="57" w:type="dxa"/>
          <w:left w:w="57" w:type="dxa"/>
          <w:bottom w:w="57" w:type="dxa"/>
          <w:right w:w="57" w:type="dxa"/>
        </w:tblCellMar>
      </w:tblPr>
      <w:tblGrid>
        <w:gridCol w:w="1092"/>
        <w:gridCol w:w="2063"/>
        <w:gridCol w:w="1910"/>
        <w:gridCol w:w="2139"/>
        <w:gridCol w:w="2094"/>
      </w:tblGrid>
      <w:tr>
        <w:tblPrEx>
          <w:tblCellMar>
            <w:top w:w="57" w:type="dxa"/>
            <w:left w:w="57" w:type="dxa"/>
            <w:bottom w:w="57" w:type="dxa"/>
            <w:right w:w="57" w:type="dxa"/>
          </w:tblCellMar>
        </w:tblPrEx>
        <w:trPr>
          <w:trHeight w:val="326" w:hRule="atLeast"/>
          <w:tblHeader/>
          <w:jc w:val="center"/>
        </w:trPr>
        <w:tc>
          <w:tcPr>
            <w:tcW w:w="169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比较因素</w:t>
            </w:r>
          </w:p>
        </w:tc>
        <w:tc>
          <w:tcPr>
            <w:tcW w:w="102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案例A</w:t>
            </w:r>
          </w:p>
        </w:tc>
        <w:tc>
          <w:tcPr>
            <w:tcW w:w="11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案例B</w:t>
            </w:r>
          </w:p>
        </w:tc>
        <w:tc>
          <w:tcPr>
            <w:tcW w:w="112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案例C</w:t>
            </w: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26" w:hRule="atLeast"/>
          <w:tblHeader/>
          <w:jc w:val="center"/>
        </w:trPr>
        <w:tc>
          <w:tcPr>
            <w:tcW w:w="169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02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5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2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r>
      <w:tr>
        <w:tblPrEx>
          <w:tblCellMar>
            <w:top w:w="57" w:type="dxa"/>
            <w:left w:w="57" w:type="dxa"/>
            <w:bottom w:w="57" w:type="dxa"/>
            <w:right w:w="57" w:type="dxa"/>
          </w:tblCellMar>
        </w:tblPrEx>
        <w:trPr>
          <w:trHeight w:val="314"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交易时间</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交易情况</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用途</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土地使用年限</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容积率</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100/106</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区域因素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居住社区成熟</w:t>
            </w:r>
            <w:r>
              <w:rPr>
                <w:rFonts w:ascii="Arial" w:hAnsi="Arial" w:eastAsia="仿宋_GB2312" w:cs="Arial"/>
                <w:sz w:val="18"/>
                <w:szCs w:val="18"/>
              </w:rPr>
              <w:t>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交通便捷度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50"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103</w:t>
            </w:r>
          </w:p>
        </w:tc>
        <w:tc>
          <w:tcPr>
            <w:tcW w:w="1126" w:type="pct"/>
            <w:tcBorders>
              <w:top w:val="single" w:color="auto" w:sz="4" w:space="0"/>
              <w:left w:val="nil"/>
              <w:bottom w:val="single" w:color="auto" w:sz="4" w:space="0"/>
              <w:right w:val="single" w:color="auto" w:sz="4" w:space="0"/>
            </w:tcBorders>
            <w:shd w:val="clear" w:color="auto" w:fill="auto"/>
            <w:noWrap/>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公共配套设施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基础设施水平</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自然及人文环境</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道路级别</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r>
      <w:tr>
        <w:tblPrEx>
          <w:tblCellMar>
            <w:top w:w="57" w:type="dxa"/>
            <w:left w:w="57" w:type="dxa"/>
            <w:bottom w:w="57" w:type="dxa"/>
            <w:right w:w="57" w:type="dxa"/>
          </w:tblCellMar>
        </w:tblPrEx>
        <w:trPr>
          <w:trHeight w:val="285" w:hRule="atLeast"/>
          <w:jc w:val="center"/>
        </w:trPr>
        <w:tc>
          <w:tcPr>
            <w:tcW w:w="58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个别因素</w:t>
            </w: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建筑类型</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w:t>
            </w:r>
            <w:r>
              <w:rPr>
                <w:rFonts w:hint="eastAsia" w:ascii="Arial" w:hAnsi="Arial" w:eastAsia="仿宋_GB2312" w:cs="Arial"/>
                <w:sz w:val="18"/>
                <w:szCs w:val="18"/>
              </w:rPr>
              <w:t>02</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2</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项目建筑规模</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100/101</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100/102</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100/99</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建筑结构</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建筑品质</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5</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公共部分装修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成新度</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物业管理</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w:t>
            </w:r>
            <w:r>
              <w:rPr>
                <w:rFonts w:hint="eastAsia" w:ascii="Arial" w:hAnsi="Arial" w:eastAsia="仿宋_GB2312" w:cs="Arial"/>
                <w:sz w:val="18"/>
                <w:szCs w:val="18"/>
              </w:rPr>
              <w:t>0</w:t>
            </w:r>
          </w:p>
        </w:tc>
      </w:tr>
      <w:tr>
        <w:tblPrEx>
          <w:tblCellMar>
            <w:top w:w="57" w:type="dxa"/>
            <w:left w:w="57" w:type="dxa"/>
            <w:bottom w:w="57" w:type="dxa"/>
            <w:right w:w="57" w:type="dxa"/>
          </w:tblCellMar>
        </w:tblPrEx>
        <w:trPr>
          <w:trHeight w:val="285"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市政基础设施</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100/100</w:t>
            </w:r>
          </w:p>
        </w:tc>
      </w:tr>
      <w:tr>
        <w:tblPrEx>
          <w:tblCellMar>
            <w:top w:w="57" w:type="dxa"/>
            <w:left w:w="57" w:type="dxa"/>
            <w:bottom w:w="57" w:type="dxa"/>
            <w:right w:w="57" w:type="dxa"/>
          </w:tblCellMar>
        </w:tblPrEx>
        <w:trPr>
          <w:trHeight w:val="319" w:hRule="atLeast"/>
          <w:jc w:val="center"/>
        </w:trPr>
        <w:tc>
          <w:tcPr>
            <w:tcW w:w="587"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eastAsia="仿宋_GB2312" w:cs="Arial"/>
                <w:sz w:val="18"/>
                <w:szCs w:val="18"/>
              </w:rPr>
            </w:pPr>
          </w:p>
        </w:tc>
        <w:tc>
          <w:tcPr>
            <w:tcW w:w="1108"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内部装修</w:t>
            </w:r>
          </w:p>
        </w:tc>
        <w:tc>
          <w:tcPr>
            <w:tcW w:w="1027"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50"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100/</w:t>
            </w:r>
            <w:r>
              <w:rPr>
                <w:rFonts w:hint="eastAsia" w:ascii="Arial" w:hAnsi="Arial" w:eastAsia="仿宋_GB2312" w:cs="Arial"/>
                <w:sz w:val="18"/>
                <w:szCs w:val="18"/>
              </w:rPr>
              <w:t>98.5</w:t>
            </w:r>
          </w:p>
        </w:tc>
        <w:tc>
          <w:tcPr>
            <w:tcW w:w="1126"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100/98.5</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销售价格（元/平方米）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80341</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78200</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84282</w:t>
            </w:r>
          </w:p>
        </w:tc>
      </w:tr>
      <w:tr>
        <w:tblPrEx>
          <w:tblCellMar>
            <w:top w:w="57" w:type="dxa"/>
            <w:left w:w="57" w:type="dxa"/>
            <w:bottom w:w="57" w:type="dxa"/>
            <w:right w:w="57" w:type="dxa"/>
          </w:tblCellMar>
        </w:tblPrEx>
        <w:trPr>
          <w:trHeight w:val="285"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比较价格（元/平方米）</w:t>
            </w:r>
          </w:p>
        </w:tc>
        <w:tc>
          <w:tcPr>
            <w:tcW w:w="1910"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67709</w:t>
            </w:r>
          </w:p>
        </w:tc>
        <w:tc>
          <w:tcPr>
            <w:tcW w:w="213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66564</w:t>
            </w:r>
          </w:p>
        </w:tc>
        <w:tc>
          <w:tcPr>
            <w:tcW w:w="209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77566</w:t>
            </w:r>
          </w:p>
        </w:tc>
      </w:tr>
      <w:tr>
        <w:tblPrEx>
          <w:tblCellMar>
            <w:top w:w="57" w:type="dxa"/>
            <w:left w:w="57" w:type="dxa"/>
            <w:bottom w:w="57" w:type="dxa"/>
            <w:right w:w="57" w:type="dxa"/>
          </w:tblCellMar>
        </w:tblPrEx>
        <w:trPr>
          <w:trHeight w:val="300" w:hRule="atLeast"/>
          <w:jc w:val="center"/>
        </w:trPr>
        <w:tc>
          <w:tcPr>
            <w:tcW w:w="16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hint="eastAsia" w:ascii="Arial" w:hAnsi="Arial" w:eastAsia="仿宋_GB2312" w:cs="Arial"/>
                <w:sz w:val="18"/>
                <w:szCs w:val="18"/>
              </w:rPr>
              <w:t>比准价格</w:t>
            </w:r>
            <w:r>
              <w:rPr>
                <w:rFonts w:ascii="Arial" w:hAnsi="Arial" w:eastAsia="仿宋_GB2312" w:cs="Arial"/>
                <w:sz w:val="18"/>
                <w:szCs w:val="18"/>
              </w:rPr>
              <w:t>（元/平方米）</w:t>
            </w:r>
          </w:p>
        </w:tc>
        <w:tc>
          <w:tcPr>
            <w:tcW w:w="614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b/>
                <w:bCs/>
                <w:sz w:val="18"/>
                <w:szCs w:val="18"/>
              </w:rPr>
              <w:t>70613</w:t>
            </w:r>
          </w:p>
        </w:tc>
      </w:tr>
    </w:tbl>
    <w:p>
      <w:pPr>
        <w:spacing w:before="120" w:beforeLines="50" w:line="360" w:lineRule="auto"/>
        <w:ind w:firstLine="560" w:firstLineChars="200"/>
        <w:rPr>
          <w:rFonts w:ascii="Arial" w:hAnsi="Arial" w:eastAsia="仿宋_GB2312" w:cs="Arial"/>
          <w:sz w:val="28"/>
        </w:rPr>
      </w:pPr>
      <w:r>
        <w:rPr>
          <w:rFonts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pPr>
        <w:spacing w:line="360" w:lineRule="auto"/>
        <w:ind w:firstLine="560" w:firstLineChars="200"/>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住宅</w:t>
      </w:r>
      <w:r>
        <w:rPr>
          <w:rFonts w:ascii="Arial" w:hAnsi="Arial" w:eastAsia="仿宋_GB2312" w:cs="Arial"/>
          <w:sz w:val="28"/>
        </w:rPr>
        <w:t>用房不动产</w:t>
      </w:r>
      <w:r>
        <w:rPr>
          <w:rFonts w:hint="eastAsia" w:ascii="Arial" w:hAnsi="Arial" w:eastAsia="仿宋_GB2312" w:cs="Arial"/>
          <w:sz w:val="28"/>
        </w:rPr>
        <w:t>比准价格</w:t>
      </w:r>
      <w:r>
        <w:rPr>
          <w:rFonts w:ascii="Arial" w:hAnsi="Arial" w:eastAsia="仿宋_GB2312" w:cs="Arial"/>
          <w:sz w:val="28"/>
        </w:rPr>
        <w:t xml:space="preserve"> </w:t>
      </w:r>
    </w:p>
    <w:p>
      <w:pPr>
        <w:spacing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67709</w:t>
      </w:r>
      <w:r>
        <w:rPr>
          <w:rFonts w:ascii="Arial" w:hAnsi="Arial" w:eastAsia="仿宋_GB2312" w:cs="Arial"/>
          <w:sz w:val="28"/>
        </w:rPr>
        <w:t>+</w:t>
      </w:r>
      <w:r>
        <w:rPr>
          <w:rFonts w:hint="eastAsia" w:ascii="Arial" w:hAnsi="Arial" w:eastAsia="仿宋_GB2312" w:cs="Arial"/>
          <w:sz w:val="28"/>
        </w:rPr>
        <w:t>66564</w:t>
      </w:r>
      <w:r>
        <w:rPr>
          <w:rFonts w:ascii="Arial" w:hAnsi="Arial" w:eastAsia="仿宋_GB2312" w:cs="Arial"/>
          <w:sz w:val="28"/>
        </w:rPr>
        <w:t>+</w:t>
      </w:r>
      <w:r>
        <w:rPr>
          <w:rFonts w:hint="eastAsia" w:ascii="Arial" w:hAnsi="Arial" w:eastAsia="仿宋_GB2312" w:cs="Arial"/>
          <w:sz w:val="28"/>
        </w:rPr>
        <w:t>77566</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开发完成后不动产总价＝</w:t>
      </w:r>
      <w:r>
        <w:rPr>
          <w:rFonts w:hint="eastAsia" w:ascii="Arial" w:hAnsi="Arial" w:eastAsia="仿宋_GB2312" w:cs="Arial"/>
          <w:sz w:val="28"/>
        </w:rPr>
        <w:t>比准价格</w:t>
      </w:r>
      <w:r>
        <w:rPr>
          <w:rFonts w:ascii="Arial" w:hAnsi="Arial" w:eastAsia="仿宋_GB2312" w:cs="Arial"/>
          <w:sz w:val="28"/>
        </w:rPr>
        <w:t>×建筑面积</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70613</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 xml:space="preserve"> (万元)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a.建安费用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本次评估参考现行北京市工程概预算定额以及同类建筑的建安水平，同时考虑估价对象建筑结构、设备与装修标准等，综合确定建安费用为</w:t>
      </w:r>
      <w:r>
        <w:rPr>
          <w:rFonts w:hint="eastAsia" w:ascii="Arial" w:hAnsi="Arial" w:eastAsia="仿宋_GB2312" w:cs="Arial"/>
          <w:sz w:val="28"/>
        </w:rPr>
        <w:t>5500</w:t>
      </w:r>
      <w:r>
        <w:rPr>
          <w:rFonts w:ascii="Arial" w:hAnsi="Arial" w:eastAsia="仿宋_GB2312" w:cs="Arial"/>
          <w:sz w:val="28"/>
        </w:rPr>
        <w:t>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建安费用＝单方造价×建筑面积</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5500</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c.公共配套设施费用</w:t>
      </w:r>
    </w:p>
    <w:p>
      <w:pPr>
        <w:spacing w:before="50" w:after="50" w:line="360" w:lineRule="auto"/>
        <w:ind w:firstLine="560" w:firstLineChars="200"/>
        <w:jc w:val="both"/>
        <w:rPr>
          <w:rFonts w:ascii="Arial" w:hAnsi="Arial" w:eastAsia="仿宋_GB2312" w:cs="Arial"/>
          <w:sz w:val="28"/>
        </w:rPr>
      </w:pPr>
      <w:r>
        <w:rPr>
          <w:rFonts w:ascii="Arial" w:hAnsi="Arial" w:eastAsia="仿宋_GB2312"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1</w:t>
      </w:r>
      <w:r>
        <w:rPr>
          <w:rFonts w:hint="eastAsia" w:ascii="Arial" w:hAnsi="Arial" w:eastAsia="仿宋_GB2312" w:cs="Arial"/>
          <w:sz w:val="28"/>
        </w:rPr>
        <w:t>5</w:t>
      </w:r>
      <w:r>
        <w:rPr>
          <w:rFonts w:ascii="Arial" w:hAnsi="Arial" w:eastAsia="仿宋_GB2312" w:cs="Arial"/>
          <w:sz w:val="28"/>
        </w:rPr>
        <w:t>%取费，则有：</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公共配套设施费用=建安费用×取费标准</w:t>
      </w:r>
    </w:p>
    <w:p>
      <w:pPr>
        <w:spacing w:before="50" w:after="50"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w:t>
      </w:r>
      <w:r>
        <w:rPr>
          <w:rFonts w:hint="eastAsia" w:ascii="Arial" w:hAnsi="Arial" w:eastAsia="仿宋_GB2312" w:cs="Arial"/>
          <w:sz w:val="28"/>
        </w:rPr>
        <w:t>5</w:t>
      </w:r>
      <w:r>
        <w:rPr>
          <w:rFonts w:ascii="Arial" w:hAnsi="Arial" w:eastAsia="仿宋_GB2312" w:cs="Arial"/>
          <w:sz w:val="28"/>
        </w:rPr>
        <w:t>%</w:t>
      </w:r>
    </w:p>
    <w:p>
      <w:pPr>
        <w:spacing w:line="360" w:lineRule="auto"/>
        <w:ind w:firstLine="2660" w:firstLineChars="9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万元</w:t>
      </w:r>
      <w:r>
        <w:rPr>
          <w:rFonts w:hint="eastAsia"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是指包括城市规划要求配套的道路、给排水、电力、电信、燃气、热力等设施的建设费用；估价对象未来红线内基础设施建设将达到“七通”（即通路、通电、通讯、通上水、通下水、通燃气、通热力），结合估价对象所在区域实际情况确定红线内市政基础设施费为200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×200÷10000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e.相关税费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相关税费＝建安费用×取费标准</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31295</w:t>
      </w:r>
      <w:r>
        <w:rPr>
          <w:rFonts w:ascii="Arial" w:hAnsi="Arial" w:eastAsia="仿宋_GB2312" w:cs="Arial"/>
          <w:sz w:val="28"/>
        </w:rPr>
        <w:t>×1.5%</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建造成本为上述5项之和，则有：</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建造成本＝</w:t>
      </w:r>
      <w:r>
        <w:rPr>
          <w:rFonts w:hint="eastAsia" w:ascii="Arial" w:hAnsi="Arial" w:eastAsia="仿宋_GB2312" w:cs="Arial"/>
          <w:sz w:val="28"/>
        </w:rPr>
        <w:t>31295</w:t>
      </w:r>
      <w:r>
        <w:rPr>
          <w:rFonts w:ascii="Arial" w:hAnsi="Arial" w:eastAsia="仿宋_GB2312" w:cs="Arial"/>
          <w:sz w:val="28"/>
        </w:rPr>
        <w:t>+</w:t>
      </w:r>
      <w:r>
        <w:rPr>
          <w:rFonts w:hint="eastAsia" w:ascii="Arial" w:hAnsi="Arial" w:eastAsia="仿宋_GB2312" w:cs="Arial"/>
          <w:sz w:val="28"/>
        </w:rPr>
        <w:t>1565</w:t>
      </w:r>
      <w:r>
        <w:rPr>
          <w:rFonts w:ascii="Arial" w:hAnsi="Arial" w:eastAsia="仿宋_GB2312" w:cs="Arial"/>
          <w:sz w:val="28"/>
        </w:rPr>
        <w:t>+</w:t>
      </w:r>
      <w:r>
        <w:rPr>
          <w:rFonts w:hint="eastAsia" w:ascii="Arial" w:hAnsi="Arial" w:eastAsia="仿宋_GB2312" w:cs="Arial"/>
          <w:sz w:val="28"/>
        </w:rPr>
        <w:t>4694</w:t>
      </w:r>
      <w:r>
        <w:rPr>
          <w:rFonts w:ascii="Arial" w:hAnsi="Arial" w:eastAsia="仿宋_GB2312" w:cs="Arial"/>
          <w:sz w:val="28"/>
        </w:rPr>
        <w:t>+</w:t>
      </w:r>
      <w:r>
        <w:rPr>
          <w:rFonts w:hint="eastAsia" w:ascii="Arial" w:hAnsi="Arial" w:eastAsia="仿宋_GB2312" w:cs="Arial"/>
          <w:sz w:val="28"/>
        </w:rPr>
        <w:t>1138</w:t>
      </w:r>
      <w:r>
        <w:rPr>
          <w:rFonts w:ascii="Arial" w:hAnsi="Arial" w:eastAsia="仿宋_GB2312" w:cs="Arial"/>
          <w:sz w:val="28"/>
        </w:rPr>
        <w:t>+</w:t>
      </w:r>
      <w:r>
        <w:rPr>
          <w:rFonts w:hint="eastAsia" w:ascii="Arial" w:hAnsi="Arial" w:eastAsia="仿宋_GB2312" w:cs="Arial"/>
          <w:sz w:val="28"/>
        </w:rPr>
        <w:t>469</w:t>
      </w:r>
    </w:p>
    <w:p>
      <w:pPr>
        <w:spacing w:line="360" w:lineRule="auto"/>
        <w:ind w:firstLine="1682" w:firstLineChars="601"/>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城市基础设施建设费是政府向建设单位收取、专项用于城市基础设施和城市共用设施建设，包括城市道路、桥梁、公共交通、供水、燃气、</w:t>
      </w:r>
      <w:r>
        <w:fldChar w:fldCharType="begin"/>
      </w:r>
      <w:r>
        <w:instrText xml:space="preserve"> HYPERLINK "http://baike.baidu.com/view/641843.htm" \t "_blank" </w:instrText>
      </w:r>
      <w:r>
        <w:fldChar w:fldCharType="separate"/>
      </w:r>
      <w:r>
        <w:rPr>
          <w:rFonts w:ascii="Arial" w:hAnsi="Arial" w:eastAsia="仿宋_GB2312" w:cs="Arial"/>
          <w:sz w:val="28"/>
        </w:rPr>
        <w:t>污水处理</w:t>
      </w:r>
      <w:r>
        <w:rPr>
          <w:rFonts w:ascii="Arial" w:hAnsi="Arial" w:eastAsia="仿宋_GB2312" w:cs="Arial"/>
          <w:sz w:val="28"/>
        </w:rPr>
        <w:fldChar w:fldCharType="end"/>
      </w:r>
      <w:r>
        <w:rPr>
          <w:rFonts w:ascii="Arial" w:hAnsi="Arial" w:eastAsia="仿宋_GB2312" w:cs="Arial"/>
          <w:sz w:val="28"/>
        </w:rPr>
        <w:t>、集中供热、园林、绿化、路灯、环境卫生等设施的建设。估价对象位于</w:t>
      </w:r>
      <w:r>
        <w:rPr>
          <w:rFonts w:ascii="Arial" w:hAnsi="Arial" w:eastAsia="仿宋_GB2312" w:cs="Arial"/>
          <w:bCs/>
          <w:sz w:val="28"/>
        </w:rPr>
        <w:t>北京市海淀区，根</w:t>
      </w:r>
      <w:r>
        <w:rPr>
          <w:rFonts w:ascii="Arial" w:hAnsi="Arial" w:eastAsia="仿宋_GB2312" w:cs="Arial"/>
          <w:sz w:val="28"/>
        </w:rPr>
        <w:t>据《北京市征收城市基础设施建设费暂行办法》[京计投资字[2002]1792号]，估价对象属于北京市区，估价对象应缴的城市基础设施建设费标准为：</w:t>
      </w:r>
      <w:r>
        <w:rPr>
          <w:rFonts w:hint="eastAsia" w:ascii="Arial" w:hAnsi="Arial" w:eastAsia="仿宋_GB2312" w:cs="Arial"/>
          <w:sz w:val="28"/>
        </w:rPr>
        <w:t>16</w:t>
      </w:r>
      <w:r>
        <w:rPr>
          <w:rFonts w:ascii="Arial" w:hAnsi="Arial" w:eastAsia="仿宋_GB2312" w:cs="Arial"/>
          <w:sz w:val="28"/>
        </w:rPr>
        <w:t>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w:t>
      </w:r>
      <w:r>
        <w:rPr>
          <w:rFonts w:hint="eastAsia" w:ascii="Arial" w:hAnsi="Arial" w:eastAsia="仿宋_GB2312" w:cs="Arial"/>
          <w:sz w:val="28"/>
        </w:rPr>
        <w:t>16</w:t>
      </w:r>
      <w:r>
        <w:rPr>
          <w:rFonts w:ascii="Arial" w:hAnsi="Arial" w:eastAsia="仿宋_GB2312" w:cs="Arial"/>
          <w:sz w:val="28"/>
        </w:rPr>
        <w:t>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2项的3%计算，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＝（A+B）×取费标准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（万元）</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D.销售费用</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3%计算。</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w:t>
      </w:r>
      <w:r>
        <w:rPr>
          <w:rFonts w:hint="eastAsia" w:ascii="Arial" w:hAnsi="Arial" w:eastAsia="仿宋_GB2312" w:cs="Arial"/>
          <w:sz w:val="28"/>
        </w:rPr>
        <w:t>401790</w:t>
      </w:r>
      <w:r>
        <w:rPr>
          <w:rFonts w:ascii="Arial" w:hAnsi="Arial" w:eastAsia="仿宋_GB2312" w:cs="Arial"/>
          <w:sz w:val="28"/>
        </w:rPr>
        <w:t>×3%＝</w:t>
      </w:r>
      <w:r>
        <w:rPr>
          <w:rFonts w:hint="eastAsia" w:ascii="Arial" w:hAnsi="Arial" w:eastAsia="仿宋_GB2312" w:cs="Arial"/>
          <w:sz w:val="28"/>
        </w:rPr>
        <w:t>12054</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E.购地税费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假设土地价格为P</w:t>
      </w:r>
      <w:r>
        <w:rPr>
          <w:rFonts w:ascii="Arial" w:hAnsi="Arial" w:eastAsia="仿宋_GB2312" w:cs="Arial"/>
          <w:sz w:val="28"/>
          <w:vertAlign w:val="subscript"/>
        </w:rPr>
        <w:t>土</w:t>
      </w:r>
      <w:r>
        <w:rPr>
          <w:rFonts w:ascii="Arial" w:hAnsi="Arial" w:eastAsia="仿宋_GB2312" w:cs="Arial"/>
          <w:sz w:val="28"/>
        </w:rPr>
        <w:t>，买方购买估价对象税费主要为契税及印花税，税率为3.05%，则有：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购地税费＝土地价格×税率</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×0.0305（万元）</w:t>
      </w:r>
    </w:p>
    <w:p>
      <w:pPr>
        <w:pStyle w:val="52"/>
        <w:rPr>
          <w:rFonts w:ascii="Arial" w:hAnsi="Arial" w:cs="Arial"/>
        </w:rPr>
      </w:pPr>
      <w:r>
        <w:rPr>
          <w:rFonts w:ascii="Arial" w:hAnsi="Arial" w:cs="Arial"/>
        </w:rPr>
        <w:t>F.贷款利息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估价对象建筑物建设期为2年。估价对象土地价格（P</w:t>
      </w:r>
      <w:r>
        <w:rPr>
          <w:rFonts w:ascii="Arial" w:hAnsi="Arial" w:eastAsia="仿宋_GB2312" w:cs="Arial"/>
          <w:sz w:val="28"/>
          <w:vertAlign w:val="subscript"/>
        </w:rPr>
        <w:t>土</w:t>
      </w:r>
      <w:r>
        <w:rPr>
          <w:rFonts w:ascii="Arial" w:hAnsi="Arial" w:eastAsia="仿宋_GB2312" w:cs="Arial"/>
          <w:sz w:val="28"/>
        </w:rPr>
        <w:t>）及购地税费在估价期日一次性付清，建造成本、土地开发费、城市基础设施建设费、管理费用于建设期内均匀投入，取1～3年期固定资产贷款年利息率4.75%，以复利计息。则有：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贷款利息</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×0.0305)×[(1+ 4.75%)</w:t>
      </w:r>
      <w:r>
        <w:rPr>
          <w:rFonts w:ascii="Arial" w:hAnsi="Arial" w:eastAsia="仿宋_GB2312" w:cs="Arial"/>
          <w:sz w:val="28"/>
          <w:vertAlign w:val="superscript"/>
        </w:rPr>
        <w:t>2</w:t>
      </w:r>
      <w:r>
        <w:rPr>
          <w:rFonts w:ascii="Arial" w:hAnsi="Arial" w:eastAsia="仿宋_GB2312" w:cs="Arial"/>
          <w:sz w:val="28"/>
        </w:rPr>
        <w:t>-1]+（</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）×[(1+ 4.75%)</w:t>
      </w:r>
      <w:r>
        <w:rPr>
          <w:rFonts w:ascii="Arial" w:hAnsi="Arial" w:eastAsia="仿宋_GB2312" w:cs="Arial"/>
          <w:sz w:val="28"/>
          <w:vertAlign w:val="superscript"/>
        </w:rPr>
        <w:t>2÷2</w:t>
      </w:r>
      <w:r>
        <w:rPr>
          <w:rFonts w:ascii="Arial" w:hAnsi="Arial" w:eastAsia="仿宋_GB2312" w:cs="Arial"/>
          <w:sz w:val="28"/>
        </w:rPr>
        <w:t>-1]</w:t>
      </w:r>
    </w:p>
    <w:p>
      <w:pPr>
        <w:spacing w:before="50" w:after="50"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 (万元)</w:t>
      </w:r>
    </w:p>
    <w:p>
      <w:pPr>
        <w:pStyle w:val="52"/>
        <w:rPr>
          <w:rFonts w:ascii="Arial" w:hAnsi="Arial" w:cs="Arial"/>
        </w:rPr>
      </w:pPr>
      <w:r>
        <w:rPr>
          <w:rFonts w:ascii="Arial" w:hAnsi="Arial" w:cs="Arial"/>
        </w:rPr>
        <w:t>G.销售税费</w:t>
      </w:r>
      <w:r>
        <w:rPr>
          <w:rFonts w:ascii="Arial" w:hAnsi="Arial" w:cs="Arial"/>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5.6%（其中增值税征收率为5%，附加税费为0.6%）。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401790</w:t>
      </w:r>
      <w:r>
        <w:rPr>
          <w:rFonts w:ascii="Arial" w:hAnsi="Arial" w:eastAsia="仿宋_GB2312" w:cs="Arial"/>
          <w:sz w:val="28"/>
        </w:rPr>
        <w:t>÷（1+5%）×5.6%＝</w:t>
      </w:r>
      <w:r>
        <w:rPr>
          <w:rFonts w:hint="eastAsia" w:ascii="Arial" w:hAnsi="Arial" w:eastAsia="仿宋_GB2312" w:cs="Arial"/>
          <w:sz w:val="28"/>
        </w:rPr>
        <w:t>21429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H.开发成本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开发成本为上述7项合计，则有：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w:t>
      </w:r>
      <w:r>
        <w:rPr>
          <w:rFonts w:ascii="Arial" w:hAnsi="Arial" w:eastAsia="仿宋_GB2312" w:cs="Arial"/>
          <w:sz w:val="28"/>
        </w:rPr>
        <w:t>+</w:t>
      </w:r>
      <w:r>
        <w:rPr>
          <w:rFonts w:hint="eastAsia" w:ascii="Arial" w:hAnsi="Arial" w:eastAsia="仿宋_GB2312" w:cs="Arial"/>
          <w:sz w:val="28"/>
        </w:rPr>
        <w:t>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2533</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×0.1002+</w:t>
      </w:r>
      <w:r>
        <w:rPr>
          <w:rFonts w:hint="eastAsia" w:ascii="Arial" w:hAnsi="Arial" w:eastAsia="仿宋_GB2312" w:cs="Arial"/>
          <w:sz w:val="28"/>
        </w:rPr>
        <w:t>21429</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3）开发利润（投资利润）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估价对象所在项目为大型</w:t>
      </w:r>
      <w:r>
        <w:rPr>
          <w:rFonts w:hint="eastAsia" w:ascii="Arial" w:hAnsi="Arial" w:eastAsia="仿宋_GB2312" w:cs="Arial"/>
          <w:sz w:val="28"/>
        </w:rPr>
        <w:t>居住</w:t>
      </w:r>
      <w:r>
        <w:rPr>
          <w:rFonts w:ascii="Arial" w:hAnsi="Arial" w:eastAsia="仿宋_GB2312" w:cs="Arial"/>
          <w:sz w:val="28"/>
        </w:rPr>
        <w:t>项目，且属于北京市热点开发区域，周边同类、同体量项目的开发利润经调查可知，利润率一般在10%～30%之间，计算基数为土地购买价格、开发费用（建造成本、城市基础设施建设费）、管理费用、销售费用和购地税费，依前述计算，本次评估取综合利润率为</w:t>
      </w:r>
      <w:r>
        <w:rPr>
          <w:rFonts w:hint="eastAsia" w:ascii="Arial" w:hAnsi="Arial" w:eastAsia="仿宋_GB2312" w:cs="Arial"/>
          <w:sz w:val="28"/>
        </w:rPr>
        <w:t>30</w:t>
      </w:r>
      <w:r>
        <w:rPr>
          <w:rFonts w:ascii="Arial" w:hAnsi="Arial" w:eastAsia="仿宋_GB2312" w:cs="Arial"/>
          <w:sz w:val="28"/>
        </w:rPr>
        <w:t>% 。则有：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30</w:t>
      </w:r>
      <w:r>
        <w:rPr>
          <w:rFonts w:ascii="Arial" w:hAnsi="Arial" w:eastAsia="仿宋_GB2312" w:cs="Arial"/>
          <w:sz w:val="28"/>
        </w:rPr>
        <w:t>%+（</w:t>
      </w:r>
      <w:r>
        <w:rPr>
          <w:rFonts w:hint="eastAsia" w:ascii="Arial" w:hAnsi="Arial" w:eastAsia="仿宋_GB2312" w:cs="Arial"/>
          <w:sz w:val="28"/>
        </w:rPr>
        <w:t>39161</w:t>
      </w:r>
      <w:r>
        <w:rPr>
          <w:rFonts w:ascii="Arial" w:hAnsi="Arial" w:eastAsia="仿宋_GB2312" w:cs="Arial"/>
          <w:sz w:val="28"/>
        </w:rPr>
        <w:t>+</w:t>
      </w:r>
      <w:r>
        <w:rPr>
          <w:rFonts w:hint="eastAsia" w:ascii="Arial" w:hAnsi="Arial" w:eastAsia="仿宋_GB2312" w:cs="Arial"/>
          <w:sz w:val="28"/>
        </w:rPr>
        <w:t>910+1202</w:t>
      </w:r>
      <w:r>
        <w:rPr>
          <w:rFonts w:ascii="Arial" w:hAnsi="Arial" w:eastAsia="仿宋_GB2312" w:cs="Arial"/>
          <w:sz w:val="28"/>
        </w:rPr>
        <w:t>+</w:t>
      </w:r>
      <w:r>
        <w:rPr>
          <w:rFonts w:hint="eastAsia" w:ascii="Arial" w:hAnsi="Arial" w:eastAsia="仿宋_GB2312" w:cs="Arial"/>
          <w:sz w:val="28"/>
        </w:rPr>
        <w:t>12054</w:t>
      </w:r>
      <w:r>
        <w:rPr>
          <w:rFonts w:ascii="Arial" w:hAnsi="Arial" w:eastAsia="仿宋_GB2312" w:cs="Arial"/>
          <w:sz w:val="28"/>
        </w:rPr>
        <w:t>）×</w:t>
      </w:r>
      <w:r>
        <w:rPr>
          <w:rFonts w:hint="eastAsia" w:ascii="Arial" w:hAnsi="Arial" w:eastAsia="仿宋_GB2312" w:cs="Arial"/>
          <w:sz w:val="28"/>
        </w:rPr>
        <w:t>30</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4）求取估价对象</w:t>
      </w:r>
      <w:r>
        <w:rPr>
          <w:rFonts w:hint="eastAsia" w:ascii="Arial" w:hAnsi="Arial" w:eastAsia="仿宋_GB2312" w:cs="Arial"/>
          <w:sz w:val="28"/>
        </w:rPr>
        <w:t>地上住宅用途</w:t>
      </w:r>
      <w:r>
        <w:rPr>
          <w:rFonts w:ascii="Arial" w:hAnsi="Arial" w:eastAsia="仿宋_GB2312" w:cs="Arial"/>
          <w:sz w:val="28"/>
        </w:rPr>
        <w:t>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＝开发完成后的不动产总价-开发成本-开发利润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401790－</w:t>
      </w:r>
      <w:r>
        <w:rPr>
          <w:rFonts w:ascii="Arial" w:hAnsi="Arial" w:eastAsia="仿宋_GB2312" w:cs="Arial"/>
          <w:sz w:val="28"/>
        </w:rPr>
        <w:t>（</w:t>
      </w:r>
      <w:r>
        <w:rPr>
          <w:rFonts w:hint="eastAsia" w:ascii="Arial" w:hAnsi="Arial" w:eastAsia="仿宋_GB2312" w:cs="Arial"/>
          <w:sz w:val="28"/>
        </w:rPr>
        <w:t>77289</w:t>
      </w:r>
      <w:r>
        <w:rPr>
          <w:rFonts w:ascii="Arial" w:hAnsi="Arial" w:eastAsia="仿宋_GB2312" w:cs="Arial"/>
          <w:sz w:val="28"/>
        </w:rPr>
        <w:t>+0.1307×P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w:t>
      </w:r>
      <w:r>
        <w:rPr>
          <w:rFonts w:ascii="Arial" w:hAnsi="Arial" w:eastAsia="仿宋_GB2312" w:cs="Arial"/>
          <w:sz w:val="28"/>
        </w:rPr>
        <w:t>（</w:t>
      </w:r>
      <w:r>
        <w:rPr>
          <w:rFonts w:hint="eastAsia" w:ascii="Arial" w:hAnsi="Arial" w:eastAsia="仿宋_GB2312" w:cs="Arial"/>
          <w:sz w:val="28"/>
        </w:rPr>
        <w:t>15998</w:t>
      </w:r>
      <w:r>
        <w:rPr>
          <w:rFonts w:ascii="Arial" w:hAnsi="Arial" w:eastAsia="仿宋_GB2312" w:cs="Arial"/>
          <w:sz w:val="28"/>
        </w:rPr>
        <w:t>+ 0</w:t>
      </w:r>
      <w:r>
        <w:rPr>
          <w:rFonts w:hint="eastAsia" w:ascii="Arial" w:hAnsi="Arial" w:eastAsia="仿宋_GB2312" w:cs="Arial"/>
          <w:sz w:val="28"/>
        </w:rPr>
        <w:t>.3092</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地上住宅用途</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214253</w:t>
      </w:r>
      <w:r>
        <w:rPr>
          <w:rFonts w:ascii="Arial" w:hAnsi="Arial" w:eastAsia="仿宋_GB2312" w:cs="Arial"/>
          <w:sz w:val="28"/>
        </w:rPr>
        <w:t>÷</w:t>
      </w:r>
      <w:r>
        <w:rPr>
          <w:rFonts w:hint="eastAsia" w:ascii="Arial" w:hAnsi="Arial" w:eastAsia="仿宋_GB2312" w:cs="Arial"/>
          <w:sz w:val="28"/>
        </w:rPr>
        <w:t>56900.25</w:t>
      </w:r>
      <w:r>
        <w:rPr>
          <w:rFonts w:ascii="Arial" w:hAnsi="Arial" w:eastAsia="仿宋_GB2312" w:cs="Arial"/>
          <w:sz w:val="28"/>
        </w:rPr>
        <w:t>×10000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37654</w:t>
      </w:r>
      <w:r>
        <w:rPr>
          <w:rFonts w:ascii="Arial" w:hAnsi="Arial" w:eastAsia="仿宋_GB2312" w:cs="Arial"/>
          <w:sz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（2）</w:t>
      </w:r>
      <w:r>
        <w:rPr>
          <w:rFonts w:ascii="Arial" w:hAnsi="Arial" w:eastAsia="仿宋_GB2312" w:cs="Arial"/>
          <w:b/>
          <w:sz w:val="28"/>
        </w:rPr>
        <w:t>求取估价对象</w:t>
      </w:r>
      <w:r>
        <w:rPr>
          <w:rFonts w:hint="eastAsia" w:ascii="Arial" w:hAnsi="Arial" w:eastAsia="仿宋_GB2312" w:cs="Arial"/>
          <w:b/>
          <w:sz w:val="28"/>
        </w:rPr>
        <w:t>地下仓储用途</w:t>
      </w:r>
      <w:r>
        <w:rPr>
          <w:rFonts w:ascii="Arial" w:hAnsi="Arial" w:eastAsia="仿宋_GB2312" w:cs="Arial"/>
          <w:b/>
          <w:sz w:val="28"/>
        </w:rPr>
        <w:t>土地价格</w:t>
      </w:r>
      <w:r>
        <w:rPr>
          <w:rFonts w:hint="eastAsia" w:ascii="Arial" w:hAnsi="Arial" w:eastAsia="仿宋_GB2312" w:cs="Arial"/>
          <w:b/>
          <w:sz w:val="28"/>
        </w:rPr>
        <w:t>（土地剩余使用年限50年）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w:t>
      </w:r>
      <w:r>
        <w:rPr>
          <w:rFonts w:hint="eastAsia" w:ascii="Arial" w:hAnsi="Arial" w:eastAsia="仿宋_GB2312" w:cs="Arial"/>
          <w:sz w:val="28"/>
        </w:rPr>
        <w:t>仓储</w:t>
      </w:r>
      <w:r>
        <w:rPr>
          <w:rFonts w:ascii="Arial" w:hAnsi="Arial" w:eastAsia="仿宋_GB2312" w:cs="Arial"/>
          <w:sz w:val="28"/>
        </w:rPr>
        <w:t>依据地上主用途比准类别确定地下空间修正系数，地上主用途为</w:t>
      </w:r>
      <w:r>
        <w:rPr>
          <w:rFonts w:hint="eastAsia" w:ascii="Arial" w:hAnsi="Arial" w:eastAsia="仿宋_GB2312" w:cs="Arial"/>
          <w:sz w:val="28"/>
        </w:rPr>
        <w:t>居住</w:t>
      </w:r>
      <w:r>
        <w:rPr>
          <w:rFonts w:ascii="Arial" w:hAnsi="Arial" w:eastAsia="仿宋_GB2312" w:cs="Arial"/>
          <w:sz w:val="28"/>
        </w:rPr>
        <w:t>用地，地处</w:t>
      </w:r>
      <w:r>
        <w:rPr>
          <w:rFonts w:hint="eastAsia" w:ascii="Arial" w:hAnsi="Arial" w:eastAsia="仿宋_GB2312" w:cs="Arial"/>
          <w:sz w:val="28"/>
        </w:rPr>
        <w:t>居住</w:t>
      </w:r>
      <w:r>
        <w:rPr>
          <w:rFonts w:ascii="Arial" w:hAnsi="Arial" w:eastAsia="仿宋_GB2312" w:cs="Arial"/>
          <w:sz w:val="28"/>
        </w:rPr>
        <w:t>类五级地价区，需根据《北京市基准地价地下空间修正系数表》进行用途修正。地下空间修正系数表详见下表：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277"/>
        <w:gridCol w:w="1701"/>
        <w:gridCol w:w="2126"/>
        <w:gridCol w:w="1418"/>
        <w:gridCol w:w="1417"/>
        <w:gridCol w:w="13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701"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2126"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195"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701"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2126"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27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地下仓储</w:t>
            </w:r>
          </w:p>
        </w:tc>
        <w:tc>
          <w:tcPr>
            <w:tcW w:w="1701"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2126"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w:t>
            </w:r>
          </w:p>
        </w:tc>
        <w:tc>
          <w:tcPr>
            <w:tcW w:w="1418"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0.3</w:t>
            </w:r>
          </w:p>
        </w:tc>
        <w:tc>
          <w:tcPr>
            <w:tcW w:w="1417"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0.25</w:t>
            </w:r>
          </w:p>
        </w:tc>
        <w:tc>
          <w:tcPr>
            <w:tcW w:w="1360"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0.2</w:t>
            </w:r>
          </w:p>
        </w:tc>
      </w:tr>
    </w:tbl>
    <w:p>
      <w:pPr>
        <w:spacing w:before="120" w:beforeLines="50"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土地级别为居住类五级，故地下</w:t>
      </w:r>
      <w:r>
        <w:rPr>
          <w:rFonts w:hint="eastAsia" w:ascii="Arial" w:hAnsi="Arial" w:eastAsia="仿宋_GB2312" w:cs="Arial"/>
          <w:sz w:val="28"/>
          <w:szCs w:val="28"/>
        </w:rPr>
        <w:t>仓储</w:t>
      </w:r>
      <w:r>
        <w:rPr>
          <w:rFonts w:ascii="Arial" w:hAnsi="Arial" w:eastAsia="仿宋_GB2312" w:cs="Arial"/>
          <w:sz w:val="28"/>
          <w:szCs w:val="28"/>
        </w:rPr>
        <w:t>用房的地下空间修正系数为0.2</w:t>
      </w:r>
      <w:r>
        <w:rPr>
          <w:rFonts w:hint="eastAsia" w:ascii="Arial" w:hAnsi="Arial" w:eastAsia="仿宋_GB2312" w:cs="Arial"/>
          <w:sz w:val="28"/>
          <w:szCs w:val="28"/>
        </w:rPr>
        <w:t>5</w:t>
      </w:r>
      <w:r>
        <w:rPr>
          <w:rFonts w:ascii="Arial" w:hAnsi="Arial" w:eastAsia="仿宋_GB2312" w:cs="Arial"/>
          <w:sz w:val="28"/>
          <w:szCs w:val="28"/>
        </w:rPr>
        <w:t>。</w:t>
      </w:r>
    </w:p>
    <w:p>
      <w:pPr>
        <w:overflowPunct w:val="0"/>
        <w:spacing w:line="360" w:lineRule="auto"/>
        <w:ind w:firstLine="562" w:firstLineChars="200"/>
        <w:jc w:val="both"/>
        <w:rPr>
          <w:rFonts w:ascii="Arial" w:hAnsi="Arial" w:eastAsia="仿宋_GB2312" w:cs="Arial"/>
          <w:b/>
          <w:sz w:val="28"/>
          <w:szCs w:val="28"/>
        </w:rPr>
      </w:pPr>
      <w:r>
        <w:rPr>
          <w:rFonts w:hint="eastAsia"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50</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1</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rPr>
        <w:t>仓储</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37654</w:t>
      </w:r>
      <w:r>
        <w:rPr>
          <w:rFonts w:ascii="Arial" w:hAnsi="Arial" w:eastAsia="仿宋_GB2312" w:cs="Arial"/>
          <w:sz w:val="28"/>
          <w:szCs w:val="28"/>
        </w:rPr>
        <w:t>×0.25×</w:t>
      </w:r>
      <w:r>
        <w:rPr>
          <w:rFonts w:hint="eastAsia" w:ascii="Arial" w:hAnsi="Arial" w:eastAsia="仿宋_GB2312" w:cs="Arial"/>
          <w:sz w:val="28"/>
          <w:szCs w:val="28"/>
        </w:rPr>
        <w:t>1</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9414</w:t>
      </w:r>
      <w:r>
        <w:rPr>
          <w:rFonts w:ascii="Arial" w:hAnsi="Arial" w:eastAsia="仿宋_GB2312" w:cs="Arial"/>
          <w:sz w:val="28"/>
          <w:szCs w:val="28"/>
        </w:rPr>
        <w:t>（元/平方米）</w:t>
      </w:r>
    </w:p>
    <w:p>
      <w:pPr>
        <w:spacing w:line="360" w:lineRule="auto"/>
        <w:ind w:firstLine="562" w:firstLineChars="200"/>
        <w:jc w:val="both"/>
        <w:rPr>
          <w:rFonts w:ascii="Arial" w:hAnsi="Arial" w:eastAsia="仿宋_GB2312" w:cs="Arial"/>
          <w:b/>
          <w:sz w:val="28"/>
        </w:rPr>
      </w:pPr>
      <w:r>
        <w:rPr>
          <w:rFonts w:hint="eastAsia" w:ascii="Arial" w:hAnsi="Arial" w:eastAsia="仿宋_GB2312" w:cs="Arial"/>
          <w:b/>
          <w:sz w:val="28"/>
        </w:rPr>
        <w:t>（3）</w:t>
      </w:r>
      <w:r>
        <w:rPr>
          <w:rFonts w:ascii="Arial" w:hAnsi="Arial" w:eastAsia="仿宋_GB2312" w:cs="Arial"/>
          <w:b/>
          <w:sz w:val="28"/>
        </w:rPr>
        <w:t>求取估价对象</w:t>
      </w:r>
      <w:r>
        <w:rPr>
          <w:rFonts w:hint="eastAsia" w:ascii="Arial" w:hAnsi="Arial" w:eastAsia="仿宋_GB2312" w:cs="Arial"/>
          <w:b/>
          <w:sz w:val="28"/>
        </w:rPr>
        <w:t>地下车库用途</w:t>
      </w:r>
      <w:r>
        <w:rPr>
          <w:rFonts w:ascii="Arial" w:hAnsi="Arial" w:eastAsia="仿宋_GB2312" w:cs="Arial"/>
          <w:b/>
          <w:sz w:val="28"/>
        </w:rPr>
        <w:t>土地价格</w:t>
      </w:r>
      <w:r>
        <w:rPr>
          <w:rFonts w:hint="eastAsia" w:ascii="Arial" w:hAnsi="Arial" w:eastAsia="仿宋_GB2312" w:cs="Arial"/>
          <w:b/>
          <w:sz w:val="28"/>
        </w:rPr>
        <w:t>（土地剩余使用年限50年）</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地下车库依据地上主用途比准类别确定地下空间修正系数，地上比准用途为</w:t>
      </w:r>
      <w:r>
        <w:rPr>
          <w:rFonts w:hint="eastAsia" w:ascii="Arial" w:hAnsi="Arial" w:eastAsia="仿宋_GB2312" w:cs="Arial"/>
          <w:sz w:val="28"/>
          <w:szCs w:val="28"/>
        </w:rPr>
        <w:t>住宅</w:t>
      </w:r>
      <w:r>
        <w:rPr>
          <w:rFonts w:ascii="Arial" w:hAnsi="Arial" w:eastAsia="仿宋_GB2312" w:cs="Arial"/>
          <w:sz w:val="28"/>
        </w:rPr>
        <w:t>，地处</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级地价区，需根据《北京市基准地价地下空间修正系数表》进行用途修正。地下空间修正系数表详见下表：</w:t>
      </w:r>
    </w:p>
    <w:p>
      <w:pPr>
        <w:spacing w:line="360" w:lineRule="auto"/>
        <w:jc w:val="center"/>
        <w:rPr>
          <w:rFonts w:ascii="Arial" w:hAnsi="Arial" w:eastAsia="仿宋_GB2312" w:cs="Arial"/>
          <w:sz w:val="28"/>
        </w:rPr>
      </w:pPr>
      <w:r>
        <w:rPr>
          <w:rFonts w:ascii="Arial" w:hAnsi="Arial" w:eastAsia="仿宋_GB2312" w:cs="Arial"/>
          <w:bCs/>
          <w:szCs w:val="24"/>
        </w:rPr>
        <w:t>北京市基准地价地下空间修正系数表（节选）</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549"/>
        <w:gridCol w:w="1549"/>
        <w:gridCol w:w="1549"/>
        <w:gridCol w:w="1549"/>
        <w:gridCol w:w="1549"/>
        <w:gridCol w:w="1554"/>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地下空间用途</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适用基准地价</w:t>
            </w:r>
          </w:p>
        </w:tc>
        <w:tc>
          <w:tcPr>
            <w:tcW w:w="1549" w:type="dxa"/>
            <w:vMerge w:val="restart"/>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楼层</w:t>
            </w:r>
          </w:p>
        </w:tc>
        <w:tc>
          <w:tcPr>
            <w:tcW w:w="4652" w:type="dxa"/>
            <w:gridSpan w:val="3"/>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地下空间修正系数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vMerge w:val="continue"/>
            <w:vAlign w:val="center"/>
          </w:tcPr>
          <w:p>
            <w:pPr>
              <w:widowControl/>
              <w:adjustRightInd/>
              <w:spacing w:line="240" w:lineRule="exact"/>
              <w:jc w:val="center"/>
              <w:textAlignment w:val="auto"/>
              <w:rPr>
                <w:rFonts w:ascii="Arial" w:hAnsi="Arial" w:eastAsia="仿宋_GB2312" w:cs="Arial"/>
                <w:sz w:val="18"/>
                <w:szCs w:val="18"/>
              </w:rPr>
            </w:pP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一至二级</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三至七级</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地下</w:t>
            </w:r>
            <w:r>
              <w:rPr>
                <w:rFonts w:hint="eastAsia" w:ascii="Arial" w:hAnsi="Arial" w:eastAsia="仿宋_GB2312" w:cs="Arial"/>
                <w:sz w:val="18"/>
                <w:szCs w:val="18"/>
              </w:rPr>
              <w:t>车库</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hint="eastAsia" w:ascii="Arial" w:hAnsi="Arial" w:eastAsia="仿宋_GB2312" w:cs="Arial"/>
                <w:sz w:val="18"/>
                <w:szCs w:val="18"/>
              </w:rPr>
              <w:t>地上主用途比准类别</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25</w:t>
            </w:r>
          </w:p>
        </w:tc>
        <w:tc>
          <w:tcPr>
            <w:tcW w:w="1549"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0.2</w:t>
            </w:r>
          </w:p>
        </w:tc>
        <w:tc>
          <w:tcPr>
            <w:tcW w:w="1554" w:type="dxa"/>
            <w:shd w:val="clear" w:color="auto" w:fill="auto"/>
            <w:vAlign w:val="center"/>
          </w:tcPr>
          <w:p>
            <w:pPr>
              <w:widowControl/>
              <w:adjustRightInd/>
              <w:spacing w:line="240" w:lineRule="exact"/>
              <w:jc w:val="center"/>
              <w:textAlignment w:val="auto"/>
              <w:rPr>
                <w:rFonts w:ascii="Arial" w:hAnsi="Arial" w:eastAsia="仿宋_GB2312" w:cs="Arial"/>
                <w:sz w:val="18"/>
                <w:szCs w:val="18"/>
              </w:rPr>
            </w:pPr>
            <w:r>
              <w:rPr>
                <w:rFonts w:ascii="Arial" w:hAnsi="Arial" w:eastAsia="仿宋_GB2312" w:cs="Arial"/>
                <w:sz w:val="18"/>
                <w:szCs w:val="18"/>
              </w:rPr>
              <w:t>0.</w:t>
            </w:r>
            <w:r>
              <w:rPr>
                <w:rFonts w:hint="eastAsia" w:ascii="Arial" w:hAnsi="Arial" w:eastAsia="仿宋_GB2312" w:cs="Arial"/>
                <w:sz w:val="18"/>
                <w:szCs w:val="18"/>
              </w:rPr>
              <w:t>15</w:t>
            </w:r>
          </w:p>
        </w:tc>
      </w:tr>
    </w:tbl>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依据上表，估价对象</w:t>
      </w:r>
      <w:r>
        <w:rPr>
          <w:rFonts w:ascii="Arial" w:hAnsi="Arial" w:eastAsia="仿宋_GB2312" w:cs="Arial"/>
          <w:sz w:val="28"/>
          <w:szCs w:val="28"/>
        </w:rPr>
        <w:t>土地级别为</w:t>
      </w:r>
      <w:r>
        <w:rPr>
          <w:rFonts w:hint="eastAsia" w:ascii="Arial" w:hAnsi="Arial" w:eastAsia="仿宋_GB2312" w:cs="Arial"/>
          <w:sz w:val="28"/>
          <w:szCs w:val="28"/>
        </w:rPr>
        <w:t>住宅</w:t>
      </w:r>
      <w:r>
        <w:rPr>
          <w:rFonts w:ascii="Arial" w:hAnsi="Arial" w:eastAsia="仿宋_GB2312" w:cs="Arial"/>
          <w:sz w:val="28"/>
          <w:szCs w:val="28"/>
        </w:rPr>
        <w:t>类</w:t>
      </w:r>
      <w:r>
        <w:rPr>
          <w:rFonts w:hint="eastAsia" w:ascii="Arial" w:hAnsi="Arial" w:eastAsia="仿宋_GB2312" w:cs="Arial"/>
          <w:sz w:val="28"/>
          <w:szCs w:val="28"/>
        </w:rPr>
        <w:t>五</w:t>
      </w:r>
      <w:r>
        <w:rPr>
          <w:rFonts w:ascii="Arial" w:hAnsi="Arial" w:eastAsia="仿宋_GB2312" w:cs="Arial"/>
          <w:sz w:val="28"/>
          <w:szCs w:val="28"/>
        </w:rPr>
        <w:t>级，地下</w:t>
      </w:r>
      <w:r>
        <w:rPr>
          <w:rFonts w:hint="eastAsia" w:ascii="Arial" w:hAnsi="Arial" w:eastAsia="仿宋_GB2312" w:cs="Arial"/>
          <w:sz w:val="28"/>
          <w:szCs w:val="28"/>
        </w:rPr>
        <w:t>车库</w:t>
      </w:r>
      <w:r>
        <w:rPr>
          <w:rFonts w:ascii="Arial" w:hAnsi="Arial" w:eastAsia="仿宋_GB2312" w:cs="Arial"/>
          <w:sz w:val="28"/>
          <w:szCs w:val="28"/>
        </w:rPr>
        <w:t>地下空间修正系数为0.</w:t>
      </w:r>
      <w:r>
        <w:rPr>
          <w:rFonts w:hint="eastAsia" w:ascii="Arial" w:hAnsi="Arial" w:eastAsia="仿宋_GB2312" w:cs="Arial"/>
          <w:sz w:val="28"/>
          <w:szCs w:val="28"/>
        </w:rPr>
        <w:t>2</w:t>
      </w:r>
      <w:r>
        <w:rPr>
          <w:rFonts w:ascii="Arial" w:hAnsi="Arial" w:eastAsia="仿宋_GB2312" w:cs="Arial"/>
          <w:sz w:val="28"/>
          <w:szCs w:val="28"/>
        </w:rPr>
        <w:t>。</w:t>
      </w:r>
    </w:p>
    <w:p>
      <w:pPr>
        <w:overflowPunct w:val="0"/>
        <w:spacing w:line="360" w:lineRule="auto"/>
        <w:ind w:firstLine="562" w:firstLineChars="200"/>
        <w:jc w:val="both"/>
        <w:textAlignment w:val="auto"/>
        <w:rPr>
          <w:rFonts w:ascii="Arial" w:hAnsi="Arial" w:eastAsia="仿宋_GB2312" w:cs="Arial"/>
          <w:b/>
          <w:sz w:val="28"/>
          <w:szCs w:val="28"/>
        </w:rPr>
      </w:pPr>
      <w:r>
        <w:rPr>
          <w:rFonts w:ascii="Arial" w:hAnsi="Arial" w:eastAsia="仿宋_GB2312" w:cs="Arial"/>
          <w:b/>
          <w:sz w:val="28"/>
          <w:szCs w:val="28"/>
        </w:rPr>
        <w:t>年期修正系数的确定</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年期修正系数</w:t>
      </w:r>
      <w:r>
        <w:rPr>
          <w:rFonts w:hint="eastAsia" w:ascii="Arial" w:hAnsi="Arial" w:eastAsia="仿宋" w:cs="仿宋_GB2312"/>
          <w:sz w:val="28"/>
          <w:szCs w:val="28"/>
        </w:rPr>
        <w:t>＝</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）÷（1－1÷（1</w:t>
      </w:r>
      <w:r>
        <w:rPr>
          <w:rFonts w:hint="eastAsia" w:ascii="Arial" w:hAnsi="Arial" w:eastAsia="仿宋" w:cs="仿宋_GB2312"/>
          <w:sz w:val="28"/>
          <w:szCs w:val="28"/>
        </w:rPr>
        <w:t>＋</w:t>
      </w:r>
      <w:r>
        <w:rPr>
          <w:rFonts w:hint="eastAsia" w:ascii="Arial" w:hAnsi="Arial" w:eastAsia="仿宋"/>
          <w:sz w:val="28"/>
          <w:szCs w:val="28"/>
        </w:rPr>
        <w:t>r）</w:t>
      </w:r>
      <w:r>
        <w:rPr>
          <w:rFonts w:hint="eastAsia" w:ascii="Arial" w:hAnsi="Arial" w:eastAsia="仿宋"/>
          <w:sz w:val="28"/>
          <w:szCs w:val="28"/>
          <w:vertAlign w:val="superscript"/>
        </w:rPr>
        <w:t>N</w:t>
      </w:r>
      <w:r>
        <w:rPr>
          <w:rFonts w:hint="eastAsia" w:ascii="Arial" w:hAnsi="Arial" w:eastAsia="仿宋"/>
          <w:sz w:val="28"/>
          <w:szCs w:val="28"/>
        </w:rPr>
        <w:t>）</w:t>
      </w:r>
    </w:p>
    <w:p>
      <w:pPr>
        <w:overflowPunct w:val="0"/>
        <w:autoSpaceDE w:val="0"/>
        <w:autoSpaceDN w:val="0"/>
        <w:spacing w:line="360" w:lineRule="auto"/>
        <w:ind w:firstLine="560" w:firstLineChars="200"/>
        <w:jc w:val="both"/>
        <w:textAlignment w:val="auto"/>
        <w:rPr>
          <w:rFonts w:ascii="Arial" w:hAnsi="Arial" w:eastAsia="仿宋" w:cs="DY188+ZIbJFZ-196"/>
          <w:sz w:val="28"/>
          <w:szCs w:val="28"/>
        </w:rPr>
      </w:pPr>
      <w:r>
        <w:rPr>
          <w:rFonts w:hint="eastAsia" w:ascii="Arial" w:hAnsi="Arial" w:eastAsia="仿宋" w:cs="仿宋_GB2312"/>
          <w:sz w:val="28"/>
          <w:szCs w:val="28"/>
        </w:rPr>
        <w:t>其中</w:t>
      </w:r>
      <w:r>
        <w:rPr>
          <w:rFonts w:hint="eastAsia" w:ascii="Arial" w:hAnsi="Arial" w:eastAsia="仿宋" w:cs="DY188+ZIbJFZ-196"/>
          <w:sz w:val="28"/>
          <w:szCs w:val="28"/>
        </w:rPr>
        <w:t>：</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r</w:t>
      </w:r>
      <w:r>
        <w:rPr>
          <w:rFonts w:hint="eastAsia" w:ascii="Arial" w:hAnsi="Arial" w:eastAsia="仿宋" w:cs="DY189+ZIbJFZ-197"/>
          <w:sz w:val="28"/>
          <w:szCs w:val="28"/>
        </w:rPr>
        <w:t>----</w:t>
      </w:r>
      <w:r>
        <w:rPr>
          <w:rFonts w:hint="eastAsia" w:ascii="Arial" w:hAnsi="Arial" w:eastAsia="仿宋" w:cs="仿宋_GB2312"/>
          <w:sz w:val="28"/>
          <w:szCs w:val="28"/>
        </w:rPr>
        <w:t>土地还原率</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宗地剩余土地使用年限</w:t>
      </w:r>
    </w:p>
    <w:p>
      <w:pPr>
        <w:overflowPunct w:val="0"/>
        <w:autoSpaceDE w:val="0"/>
        <w:autoSpaceDN w:val="0"/>
        <w:spacing w:line="360" w:lineRule="auto"/>
        <w:ind w:firstLine="560" w:firstLineChars="200"/>
        <w:jc w:val="both"/>
        <w:textAlignment w:val="auto"/>
        <w:rPr>
          <w:rFonts w:ascii="Arial" w:hAnsi="Arial" w:eastAsia="仿宋" w:cs="仿宋_GB2312"/>
          <w:sz w:val="28"/>
          <w:szCs w:val="28"/>
        </w:rPr>
      </w:pPr>
      <w:r>
        <w:rPr>
          <w:rFonts w:hint="eastAsia" w:ascii="Arial" w:hAnsi="Arial" w:eastAsia="仿宋" w:cs="DY2+ZIbJFB-2"/>
          <w:sz w:val="28"/>
          <w:szCs w:val="28"/>
        </w:rPr>
        <w:t>N</w:t>
      </w:r>
      <w:r>
        <w:rPr>
          <w:rFonts w:hint="eastAsia" w:ascii="Arial" w:hAnsi="Arial" w:eastAsia="仿宋" w:cs="DY189+ZIbJFZ-197"/>
          <w:sz w:val="28"/>
          <w:szCs w:val="28"/>
        </w:rPr>
        <w:t>----</w:t>
      </w:r>
      <w:r>
        <w:rPr>
          <w:rFonts w:hint="eastAsia" w:ascii="Arial" w:hAnsi="Arial" w:eastAsia="仿宋" w:cs="仿宋_GB2312"/>
          <w:sz w:val="28"/>
          <w:szCs w:val="28"/>
        </w:rPr>
        <w:t>基准地价规定的相应用途土地使用年限</w:t>
      </w:r>
    </w:p>
    <w:p>
      <w:pPr>
        <w:overflowPunct w:val="0"/>
        <w:spacing w:line="360" w:lineRule="auto"/>
        <w:ind w:firstLine="560" w:firstLineChars="200"/>
        <w:jc w:val="both"/>
        <w:textAlignment w:val="auto"/>
        <w:rPr>
          <w:rFonts w:ascii="Arial" w:hAnsi="Arial" w:eastAsia="仿宋"/>
          <w:sz w:val="28"/>
          <w:szCs w:val="28"/>
        </w:rPr>
      </w:pPr>
      <w:r>
        <w:rPr>
          <w:rFonts w:hint="eastAsia" w:ascii="Arial" w:hAnsi="Arial" w:eastAsia="仿宋"/>
          <w:sz w:val="28"/>
          <w:szCs w:val="28"/>
        </w:rPr>
        <w:t>商业、办公、居住、工业用途的土地还原利率原则上按同期中国人民银行公布的一年期贷款利率分别上浮25％、20％、15％、10％确定。估价对象地上</w:t>
      </w:r>
      <w:r>
        <w:rPr>
          <w:rFonts w:ascii="Arial" w:hAnsi="Arial" w:eastAsia="仿宋"/>
          <w:sz w:val="28"/>
          <w:szCs w:val="28"/>
        </w:rPr>
        <w:t>主</w:t>
      </w:r>
      <w:r>
        <w:rPr>
          <w:rFonts w:hint="eastAsia" w:ascii="Arial" w:hAnsi="Arial" w:eastAsia="仿宋"/>
          <w:sz w:val="28"/>
          <w:szCs w:val="28"/>
        </w:rPr>
        <w:t>用途为住宅，现行一年期贷款利率</w:t>
      </w:r>
      <w:r>
        <w:rPr>
          <w:rFonts w:ascii="Arial" w:hAnsi="Arial" w:eastAsia="仿宋_GB2312" w:cs="Arial"/>
          <w:sz w:val="28"/>
          <w:szCs w:val="28"/>
        </w:rPr>
        <w:t>（2015年10月24日发布）为4.35%。</w:t>
      </w:r>
      <w:r>
        <w:rPr>
          <w:rFonts w:hint="eastAsia" w:ascii="Arial" w:hAnsi="Arial" w:eastAsia="仿宋"/>
          <w:sz w:val="28"/>
          <w:szCs w:val="28"/>
        </w:rPr>
        <w:t>则有：</w:t>
      </w:r>
    </w:p>
    <w:p>
      <w:pPr>
        <w:overflowPunct w:val="0"/>
        <w:spacing w:line="360" w:lineRule="auto"/>
        <w:ind w:firstLine="560" w:firstLineChars="200"/>
        <w:jc w:val="both"/>
        <w:textAlignment w:val="auto"/>
        <w:rPr>
          <w:rFonts w:ascii="Arial" w:hAnsi="Arial" w:eastAsia="仿宋" w:cs="Arial"/>
          <w:sz w:val="28"/>
          <w:szCs w:val="28"/>
        </w:rPr>
      </w:pPr>
      <w:r>
        <w:rPr>
          <w:rFonts w:hint="eastAsia" w:ascii="Arial" w:hAnsi="Arial" w:eastAsia="仿宋"/>
          <w:sz w:val="28"/>
          <w:szCs w:val="28"/>
        </w:rPr>
        <w:t>土地还原率</w:t>
      </w:r>
      <w:r>
        <w:rPr>
          <w:rFonts w:hint="eastAsia" w:ascii="Arial" w:hAnsi="Arial" w:eastAsia="仿宋" w:cs="DY2+ZIbJFB-2"/>
          <w:sz w:val="28"/>
          <w:szCs w:val="28"/>
        </w:rPr>
        <w:t>＝</w:t>
      </w:r>
      <w:r>
        <w:rPr>
          <w:rFonts w:hint="eastAsia" w:ascii="Arial" w:hAnsi="Arial" w:eastAsia="仿宋" w:cs="Arial"/>
          <w:sz w:val="28"/>
          <w:szCs w:val="28"/>
        </w:rPr>
        <w:t>4.35</w:t>
      </w:r>
      <w:r>
        <w:rPr>
          <w:rFonts w:ascii="Arial" w:hAnsi="Arial" w:eastAsia="仿宋" w:cs="Arial"/>
          <w:sz w:val="28"/>
          <w:szCs w:val="28"/>
        </w:rPr>
        <w:t>%×（1＋</w:t>
      </w:r>
      <w:r>
        <w:rPr>
          <w:rFonts w:hint="eastAsia" w:ascii="Arial" w:hAnsi="Arial" w:eastAsia="仿宋" w:cs="Arial"/>
          <w:sz w:val="28"/>
          <w:szCs w:val="28"/>
        </w:rPr>
        <w:t>1</w:t>
      </w:r>
      <w:r>
        <w:rPr>
          <w:rFonts w:ascii="Arial" w:hAnsi="Arial" w:eastAsia="仿宋" w:cs="Arial"/>
          <w:sz w:val="28"/>
          <w:szCs w:val="28"/>
        </w:rPr>
        <w:t>5%）=</w:t>
      </w:r>
      <w:r>
        <w:rPr>
          <w:rFonts w:hint="eastAsia" w:ascii="Arial" w:hAnsi="Arial" w:eastAsia="仿宋" w:cs="Arial"/>
          <w:sz w:val="28"/>
          <w:szCs w:val="28"/>
        </w:rPr>
        <w:t>5.0</w:t>
      </w:r>
      <w:r>
        <w:rPr>
          <w:rFonts w:ascii="Arial" w:hAnsi="Arial" w:eastAsia="仿宋"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估价对象剩余土地使用年限为</w:t>
      </w:r>
      <w:r>
        <w:rPr>
          <w:rFonts w:hint="eastAsia" w:ascii="Arial" w:hAnsi="Arial" w:eastAsia="仿宋_GB2312" w:cs="Arial"/>
          <w:sz w:val="28"/>
          <w:szCs w:val="28"/>
        </w:rPr>
        <w:t>50</w:t>
      </w:r>
      <w:r>
        <w:rPr>
          <w:rFonts w:ascii="Arial" w:hAnsi="Arial" w:eastAsia="仿宋_GB2312" w:cs="Arial"/>
          <w:sz w:val="28"/>
          <w:szCs w:val="28"/>
        </w:rPr>
        <w:t>年，</w:t>
      </w:r>
      <w:r>
        <w:rPr>
          <w:rFonts w:hint="eastAsia" w:ascii="Arial" w:hAnsi="Arial" w:eastAsia="仿宋_GB2312" w:cs="Arial"/>
          <w:sz w:val="28"/>
          <w:szCs w:val="28"/>
        </w:rPr>
        <w:t>地下仓储</w:t>
      </w:r>
      <w:r>
        <w:rPr>
          <w:rFonts w:ascii="Arial" w:hAnsi="Arial" w:eastAsia="仿宋_GB2312" w:cs="Arial"/>
          <w:sz w:val="28"/>
          <w:szCs w:val="28"/>
        </w:rPr>
        <w:t>用途法定用途最高出让年限为</w:t>
      </w:r>
      <w:r>
        <w:rPr>
          <w:rFonts w:hint="eastAsia" w:ascii="Arial" w:hAnsi="Arial" w:eastAsia="仿宋_GB2312" w:cs="Arial"/>
          <w:sz w:val="28"/>
          <w:szCs w:val="28"/>
        </w:rPr>
        <w:t>50</w:t>
      </w:r>
      <w:r>
        <w:rPr>
          <w:rFonts w:ascii="Arial" w:hAnsi="Arial" w:eastAsia="仿宋_GB2312" w:cs="Arial"/>
          <w:sz w:val="28"/>
          <w:szCs w:val="28"/>
        </w:rPr>
        <w:t>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）÷（1-1÷（1＋5.</w:t>
      </w:r>
      <w:r>
        <w:rPr>
          <w:rFonts w:hint="eastAsia" w:ascii="Arial" w:hAnsi="Arial" w:eastAsia="仿宋_GB2312" w:cs="Arial"/>
          <w:sz w:val="28"/>
          <w:szCs w:val="28"/>
        </w:rPr>
        <w:t>0</w:t>
      </w:r>
      <w:r>
        <w:rPr>
          <w:rFonts w:ascii="Arial" w:hAnsi="Arial" w:eastAsia="仿宋_GB2312" w:cs="Arial"/>
          <w:sz w:val="28"/>
          <w:szCs w:val="28"/>
        </w:rPr>
        <w:t>%）</w:t>
      </w:r>
      <w:r>
        <w:rPr>
          <w:rFonts w:hint="eastAsia" w:ascii="Arial" w:hAnsi="Arial" w:eastAsia="仿宋_GB2312" w:cs="Arial"/>
          <w:sz w:val="28"/>
          <w:szCs w:val="28"/>
          <w:vertAlign w:val="superscript"/>
        </w:rPr>
        <w:t>50</w:t>
      </w:r>
      <w:r>
        <w:rPr>
          <w:rFonts w:ascii="Arial" w:hAnsi="Arial" w:eastAsia="仿宋_GB2312" w:cs="Arial"/>
          <w:sz w:val="28"/>
          <w:szCs w:val="28"/>
        </w:rPr>
        <w:t>）</w:t>
      </w:r>
    </w:p>
    <w:p>
      <w:pPr>
        <w:overflowPunct w:val="0"/>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1</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napToGrid w:val="0"/>
          <w:sz w:val="28"/>
          <w:szCs w:val="28"/>
        </w:rPr>
        <w:t>地下</w:t>
      </w:r>
      <w:r>
        <w:rPr>
          <w:rFonts w:hint="eastAsia" w:ascii="Arial" w:hAnsi="Arial" w:eastAsia="仿宋_GB2312" w:cs="Arial"/>
          <w:snapToGrid w:val="0"/>
          <w:sz w:val="28"/>
          <w:szCs w:val="28"/>
        </w:rPr>
        <w:t>车库</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p>
    <w:p>
      <w:pPr>
        <w:spacing w:line="360" w:lineRule="auto"/>
        <w:ind w:firstLine="560" w:firstLineChars="200"/>
        <w:rPr>
          <w:rFonts w:ascii="Arial" w:hAnsi="Arial" w:eastAsia="仿宋_GB2312" w:cs="Arial"/>
          <w:snapToGrid w:val="0"/>
          <w:sz w:val="28"/>
          <w:szCs w:val="28"/>
        </w:rPr>
      </w:pPr>
      <w:r>
        <w:rPr>
          <w:rFonts w:ascii="Arial" w:hAnsi="Arial" w:eastAsia="仿宋_GB2312" w:cs="Arial"/>
          <w:sz w:val="28"/>
          <w:szCs w:val="28"/>
        </w:rPr>
        <w:t>＝</w:t>
      </w:r>
      <w:r>
        <w:rPr>
          <w:rFonts w:ascii="Arial" w:hAnsi="Arial" w:eastAsia="仿宋_GB2312" w:cs="Arial"/>
          <w:snapToGrid w:val="0"/>
          <w:sz w:val="28"/>
          <w:szCs w:val="28"/>
        </w:rPr>
        <w:t>地上</w:t>
      </w:r>
      <w:r>
        <w:rPr>
          <w:rFonts w:hint="eastAsia" w:ascii="Arial" w:hAnsi="Arial" w:eastAsia="仿宋_GB2312" w:cs="Arial"/>
          <w:snapToGrid w:val="0"/>
          <w:sz w:val="28"/>
          <w:szCs w:val="28"/>
        </w:rPr>
        <w:t>居住</w:t>
      </w:r>
      <w:r>
        <w:rPr>
          <w:rFonts w:ascii="Arial" w:hAnsi="Arial" w:eastAsia="仿宋_GB2312" w:cs="Arial"/>
          <w:sz w:val="28"/>
        </w:rPr>
        <w:t>楼面</w:t>
      </w:r>
      <w:r>
        <w:rPr>
          <w:rFonts w:hint="eastAsia" w:ascii="Arial" w:hAnsi="Arial" w:eastAsia="仿宋_GB2312" w:cs="Arial"/>
          <w:sz w:val="28"/>
        </w:rPr>
        <w:t>熟地</w:t>
      </w:r>
      <w:r>
        <w:rPr>
          <w:rFonts w:ascii="Arial" w:hAnsi="Arial" w:eastAsia="仿宋_GB2312" w:cs="Arial"/>
          <w:sz w:val="28"/>
        </w:rPr>
        <w:t>价</w:t>
      </w:r>
      <w:r>
        <w:rPr>
          <w:rFonts w:ascii="Arial" w:hAnsi="Arial" w:eastAsia="仿宋_GB2312" w:cs="Arial"/>
          <w:sz w:val="28"/>
          <w:szCs w:val="28"/>
        </w:rPr>
        <w:t>×</w:t>
      </w:r>
      <w:r>
        <w:rPr>
          <w:rFonts w:ascii="Arial" w:hAnsi="Arial" w:eastAsia="仿宋_GB2312" w:cs="Arial"/>
          <w:snapToGrid w:val="0"/>
          <w:sz w:val="28"/>
          <w:szCs w:val="28"/>
        </w:rPr>
        <w:t>相应用途地下空间修正系数</w:t>
      </w:r>
      <w:r>
        <w:rPr>
          <w:rFonts w:ascii="Arial" w:hAnsi="Arial" w:eastAsia="仿宋_GB2312" w:cs="Arial"/>
          <w:sz w:val="28"/>
          <w:szCs w:val="28"/>
        </w:rPr>
        <w:t>×</w:t>
      </w:r>
      <w:r>
        <w:rPr>
          <w:rFonts w:hint="eastAsia" w:ascii="Arial" w:hAnsi="Arial" w:eastAsia="仿宋_GB2312" w:cs="Arial"/>
          <w:sz w:val="28"/>
          <w:szCs w:val="28"/>
        </w:rPr>
        <w:t>年期修正系数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rPr>
        <w:t>376</w:t>
      </w:r>
      <w:r>
        <w:rPr>
          <w:rFonts w:ascii="Arial" w:hAnsi="Arial" w:eastAsia="仿宋_GB2312" w:cs="Arial"/>
          <w:sz w:val="28"/>
        </w:rPr>
        <w:t>54</w:t>
      </w:r>
      <w:r>
        <w:rPr>
          <w:rFonts w:ascii="Arial" w:hAnsi="Arial" w:eastAsia="仿宋_GB2312" w:cs="Arial"/>
          <w:sz w:val="28"/>
          <w:szCs w:val="28"/>
        </w:rPr>
        <w:t>×0.2×</w:t>
      </w:r>
      <w:r>
        <w:rPr>
          <w:rFonts w:hint="eastAsia" w:ascii="Arial" w:hAnsi="Arial" w:eastAsia="仿宋_GB2312" w:cs="Arial"/>
          <w:sz w:val="28"/>
          <w:szCs w:val="28"/>
        </w:rPr>
        <w:t>1</w:t>
      </w:r>
    </w:p>
    <w:p>
      <w:pPr>
        <w:spacing w:line="360" w:lineRule="auto"/>
        <w:ind w:firstLine="560" w:firstLineChars="200"/>
        <w:jc w:val="both"/>
        <w:rPr>
          <w:rFonts w:ascii="Arial" w:hAnsi="Arial" w:eastAsia="仿宋_GB2312" w:cs="Arial"/>
          <w:b/>
          <w:sz w:val="28"/>
        </w:rPr>
      </w:pPr>
      <w:r>
        <w:rPr>
          <w:rFonts w:ascii="Arial" w:hAnsi="Arial" w:eastAsia="仿宋_GB2312" w:cs="Arial"/>
          <w:sz w:val="28"/>
          <w:szCs w:val="28"/>
        </w:rPr>
        <w:t>＝</w:t>
      </w:r>
      <w:r>
        <w:rPr>
          <w:rFonts w:hint="eastAsia" w:ascii="Arial" w:hAnsi="Arial" w:eastAsia="仿宋_GB2312" w:cs="Arial"/>
          <w:sz w:val="28"/>
          <w:szCs w:val="28"/>
        </w:rPr>
        <w:t>7531</w:t>
      </w:r>
      <w:r>
        <w:rPr>
          <w:rFonts w:ascii="Arial" w:hAnsi="Arial" w:eastAsia="仿宋_GB2312" w:cs="Arial"/>
          <w:sz w:val="28"/>
          <w:szCs w:val="28"/>
        </w:rPr>
        <w:t>（元/平方米）</w:t>
      </w:r>
    </w:p>
    <w:p>
      <w:pPr>
        <w:spacing w:line="360" w:lineRule="auto"/>
        <w:ind w:firstLine="556"/>
        <w:jc w:val="both"/>
        <w:rPr>
          <w:rFonts w:ascii="Arial" w:hAnsi="Arial" w:eastAsia="仿宋_GB2312" w:cs="Arial"/>
          <w:sz w:val="28"/>
          <w:szCs w:val="28"/>
        </w:rPr>
      </w:pPr>
      <w:r>
        <w:rPr>
          <w:rFonts w:ascii="Arial" w:hAnsi="Arial" w:eastAsia="仿宋_GB2312" w:cs="Arial"/>
          <w:b/>
          <w:sz w:val="28"/>
          <w:szCs w:val="28"/>
        </w:rPr>
        <w:t>3.求取估价对象各用途楼面熟地价</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t>根据区域土地市场情况，并结合估价对象的具体特点及估价目的等，此次评估采用了基准地价系数修正法和剩余法确定</w:t>
      </w:r>
      <w:r>
        <w:rPr>
          <w:rFonts w:hint="eastAsia" w:ascii="Arial" w:hAnsi="Arial" w:eastAsia="仿宋_GB2312" w:cs="Arial"/>
          <w:sz w:val="28"/>
          <w:szCs w:val="28"/>
        </w:rPr>
        <w:t>住宅用途</w:t>
      </w:r>
      <w:r>
        <w:rPr>
          <w:rFonts w:ascii="Arial" w:hAnsi="Arial" w:eastAsia="仿宋_GB2312"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sz w:val="28"/>
          <w:szCs w:val="28"/>
        </w:rPr>
        <w:t>两种</w:t>
      </w:r>
      <w:r>
        <w:rPr>
          <w:rFonts w:ascii="Arial" w:hAnsi="Arial" w:eastAsia="仿宋_GB2312" w:cs="Arial"/>
          <w:sz w:val="28"/>
          <w:szCs w:val="28"/>
        </w:rPr>
        <w:t>评估方法各有其侧重，从不同的角度反映了估价对象的地价水平，定量分析如下：</w:t>
      </w:r>
    </w:p>
    <w:p>
      <w:pPr>
        <w:spacing w:line="360" w:lineRule="auto"/>
        <w:ind w:firstLine="556"/>
        <w:jc w:val="both"/>
        <w:rPr>
          <w:rFonts w:ascii="Arial" w:hAnsi="Arial" w:eastAsia="仿宋_GB2312" w:cs="Arial"/>
          <w:sz w:val="28"/>
          <w:szCs w:val="28"/>
        </w:rPr>
      </w:pPr>
      <w:r>
        <w:rPr>
          <w:rFonts w:ascii="Arial" w:hAnsi="Arial" w:eastAsia="仿宋_GB2312" w:cs="Arial"/>
          <w:sz w:val="28"/>
          <w:szCs w:val="28"/>
        </w:rPr>
        <w:br w:type="page"/>
      </w:r>
    </w:p>
    <w:p>
      <w:pPr>
        <w:spacing w:before="120" w:beforeLines="50" w:line="36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8466" w:type="dxa"/>
        <w:jc w:val="center"/>
        <w:tblLayout w:type="autofit"/>
        <w:tblCellMar>
          <w:top w:w="0" w:type="dxa"/>
          <w:left w:w="108" w:type="dxa"/>
          <w:bottom w:w="0" w:type="dxa"/>
          <w:right w:w="108" w:type="dxa"/>
        </w:tblCellMar>
      </w:tblPr>
      <w:tblGrid>
        <w:gridCol w:w="1926"/>
        <w:gridCol w:w="1080"/>
        <w:gridCol w:w="2920"/>
        <w:gridCol w:w="1304"/>
        <w:gridCol w:w="1236"/>
      </w:tblGrid>
      <w:tr>
        <w:tblPrEx>
          <w:tblCellMar>
            <w:top w:w="0" w:type="dxa"/>
            <w:left w:w="108" w:type="dxa"/>
            <w:bottom w:w="0" w:type="dxa"/>
            <w:right w:w="108" w:type="dxa"/>
          </w:tblCellMar>
        </w:tblPrEx>
        <w:trPr>
          <w:trHeight w:val="270" w:hRule="atLeast"/>
          <w:jc w:val="center"/>
        </w:trPr>
        <w:tc>
          <w:tcPr>
            <w:tcW w:w="19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评价因素</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标准分值</w:t>
            </w:r>
          </w:p>
        </w:tc>
        <w:tc>
          <w:tcPr>
            <w:tcW w:w="2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打分考虑因素</w:t>
            </w:r>
          </w:p>
        </w:tc>
        <w:tc>
          <w:tcPr>
            <w:tcW w:w="25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r>
      <w:tr>
        <w:tblPrEx>
          <w:tblCellMar>
            <w:top w:w="0" w:type="dxa"/>
            <w:left w:w="108" w:type="dxa"/>
            <w:bottom w:w="0" w:type="dxa"/>
            <w:right w:w="108" w:type="dxa"/>
          </w:tblCellMar>
        </w:tblPrEx>
        <w:trPr>
          <w:trHeight w:val="270" w:hRule="atLeast"/>
          <w:jc w:val="center"/>
        </w:trPr>
        <w:tc>
          <w:tcPr>
            <w:tcW w:w="19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29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基准地价系数修正法</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剩余法</w:t>
            </w: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估价方法的代表性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.估价方法选取分析充分、合理，取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25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.估价方法选取分析较充分、合理，取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.估价方法选取分析较不充分，取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估价方法所要求的估价资料的完整性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1.估价资料完整，来源依据充分，取10～15分；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2.估价资料有欠缺，来源依据较不充分，取0～9分；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参数选取的客观性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1.参数从市场上获取，或从权威机构发布的信息上获取，取10～15分；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2.部分参数为自行分析取得，理由较充分，取0～9分；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参数确定的时效性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1.参数在规定的时效范围内，且距估价期日未超过1年，取10～15分；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13</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2.参数在规定的时效范围内，但距估价期日超过1年，取0～9分；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估价结果的现势性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1.估价结果与同类用途房地产市场价格水平一致，且考虑了房地产市场发展趋势，取20～30分；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11</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28</w:t>
            </w: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2.估价结果与同类用途房地产价格水平基本一致，且适当考虑了房地产市场发展趋势，取10～19分；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3.估价结果与同类用途房地产价格水平有一定差距，且适当考虑房地产市场发展趋势，取0～9分；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Arial" w:hAnsi="Arial" w:cs="Arial"/>
                <w:sz w:val="18"/>
                <w:szCs w:val="18"/>
              </w:rPr>
            </w:pP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分值</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40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93</w:t>
            </w: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权重</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30%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cs="Arial"/>
                <w:sz w:val="18"/>
                <w:szCs w:val="18"/>
              </w:rPr>
              <w:t>70%</w:t>
            </w:r>
          </w:p>
        </w:tc>
      </w:tr>
    </w:tbl>
    <w:p>
      <w:pPr>
        <w:widowControl/>
        <w:adjustRightInd/>
        <w:spacing w:line="240" w:lineRule="auto"/>
        <w:textAlignment w:val="auto"/>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bookmarkStart w:id="308" w:name="_Toc524335121"/>
      <w:bookmarkStart w:id="309" w:name="_Toc515457832"/>
      <w:bookmarkStart w:id="310" w:name="_Toc515458410"/>
      <w:r>
        <w:rPr>
          <w:rFonts w:ascii="Arial" w:hAnsi="Arial" w:eastAsia="仿宋_GB2312" w:cs="Arial"/>
          <w:sz w:val="28"/>
        </w:rPr>
        <w:t>则各用途楼面熟地价及政府土地出让收益如下表：</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314"/>
        <w:gridCol w:w="1197"/>
        <w:gridCol w:w="1708"/>
        <w:gridCol w:w="706"/>
        <w:gridCol w:w="1525"/>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2374"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122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楼面熟地价（元/㎡）</w:t>
            </w:r>
          </w:p>
        </w:tc>
        <w:tc>
          <w:tcPr>
            <w:tcW w:w="71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权重楼面熟地价</w:t>
            </w:r>
          </w:p>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（元/㎡）</w:t>
            </w:r>
          </w:p>
        </w:tc>
        <w:tc>
          <w:tcPr>
            <w:tcW w:w="1892" w:type="dxa"/>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政府土地出让收益楼面价（元/㎡）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w:t>
            </w:r>
            <w:r>
              <w:rPr>
                <w:rFonts w:hint="eastAsia" w:ascii="Arial" w:hAnsi="Arial" w:eastAsia="仿宋" w:cs="Arial"/>
                <w:color w:val="000000"/>
                <w:sz w:val="18"/>
                <w:szCs w:val="18"/>
              </w:rPr>
              <w:t>仓储</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50</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5731</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8309</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2077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9414</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vAlign w:val="center"/>
          </w:tcPr>
          <w:p>
            <w:pPr>
              <w:widowControl/>
              <w:adjustRightInd/>
              <w:spacing w:line="240" w:lineRule="exact"/>
              <w:jc w:val="center"/>
              <w:textAlignment w:val="auto"/>
              <w:rPr>
                <w:rFonts w:ascii="Arial" w:hAnsi="Arial" w:eastAsia="仿宋"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地下车库</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（土地剩余年限</w:t>
            </w:r>
            <w:r>
              <w:rPr>
                <w:rFonts w:hint="eastAsia" w:ascii="Arial" w:hAnsi="Arial" w:eastAsia="仿宋" w:cs="Arial"/>
                <w:color w:val="000000"/>
                <w:sz w:val="18"/>
                <w:szCs w:val="18"/>
              </w:rPr>
              <w:t>50</w:t>
            </w:r>
            <w:r>
              <w:rPr>
                <w:rFonts w:ascii="Arial" w:hAnsi="Arial" w:eastAsia="仿宋" w:cs="Arial"/>
                <w:color w:val="000000"/>
                <w:sz w:val="18"/>
                <w:szCs w:val="18"/>
              </w:rPr>
              <w:t>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4585</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3</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6647</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1662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7531</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w:t>
            </w:r>
            <w:r>
              <w:rPr>
                <w:rFonts w:hint="eastAsia" w:ascii="Arial" w:hAnsi="Arial" w:eastAsia="仿宋" w:cs="Arial"/>
                <w:color w:val="000000"/>
                <w:sz w:val="18"/>
                <w:szCs w:val="18"/>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tcPr>
          <w:p>
            <w:pPr>
              <w:widowControl/>
              <w:adjustRightInd/>
              <w:spacing w:line="240" w:lineRule="exact"/>
              <w:textAlignment w:val="auto"/>
              <w:rPr>
                <w:rFonts w:ascii="Arial" w:hAnsi="Arial" w:eastAsia="仿宋" w:cs="Arial"/>
                <w:sz w:val="18"/>
                <w:szCs w:val="18"/>
              </w:rPr>
            </w:pPr>
          </w:p>
        </w:tc>
      </w:tr>
    </w:tbl>
    <w:p>
      <w:pPr>
        <w:pStyle w:val="52"/>
        <w:rPr>
          <w:rFonts w:ascii="Arial" w:hAnsi="Arial" w:cs="Arial"/>
        </w:rPr>
      </w:pPr>
    </w:p>
    <w:p>
      <w:pPr>
        <w:pStyle w:val="52"/>
        <w:rPr>
          <w:rFonts w:ascii="Arial" w:hAnsi="Arial" w:cs="Arial"/>
        </w:rPr>
      </w:pPr>
      <w:r>
        <w:rPr>
          <w:rFonts w:ascii="Arial" w:hAnsi="Arial" w:cs="Arial"/>
        </w:rPr>
        <w:t>（四）估价结果</w:t>
      </w:r>
      <w:bookmarkEnd w:id="308"/>
      <w:bookmarkEnd w:id="309"/>
      <w:bookmarkEnd w:id="310"/>
      <w:r>
        <w:rPr>
          <w:rFonts w:ascii="Arial" w:hAnsi="Arial" w:cs="Arial"/>
        </w:rPr>
        <w:t>确定</w:t>
      </w:r>
    </w:p>
    <w:p>
      <w:pPr>
        <w:snapToGrid w:val="0"/>
        <w:spacing w:line="360" w:lineRule="auto"/>
        <w:ind w:firstLine="556"/>
        <w:jc w:val="both"/>
        <w:rPr>
          <w:rFonts w:ascii="Arial" w:hAnsi="Arial" w:eastAsia="仿宋_GB2312" w:cs="Arial"/>
          <w:sz w:val="28"/>
        </w:rPr>
      </w:pPr>
      <w:r>
        <w:rPr>
          <w:rFonts w:ascii="Arial" w:hAnsi="Arial" w:eastAsia="仿宋_GB2312" w:cs="Arial"/>
          <w:kern w:val="2"/>
          <w:sz w:val="28"/>
        </w:rPr>
        <w:t>评估专业人员根据估价的目的，按照估价的程序，采用科学的估价方法（剩余法</w:t>
      </w:r>
      <w:r>
        <w:rPr>
          <w:rFonts w:hint="eastAsia" w:ascii="Arial" w:hAnsi="Arial" w:eastAsia="仿宋_GB2312" w:cs="Arial"/>
          <w:kern w:val="2"/>
          <w:sz w:val="28"/>
        </w:rPr>
        <w:t>和</w:t>
      </w:r>
      <w:r>
        <w:rPr>
          <w:rFonts w:ascii="Arial" w:hAnsi="Arial" w:eastAsia="仿宋_GB2312" w:cs="Arial"/>
          <w:kern w:val="2"/>
          <w:sz w:val="28"/>
        </w:rPr>
        <w:t>基准地价系数修正法），在认真分析现有资料的基础上，通过仔细测算和认真分析各种影响</w:t>
      </w:r>
      <w:r>
        <w:rPr>
          <w:rFonts w:ascii="Arial" w:hAnsi="Arial" w:eastAsia="仿宋_GB2312" w:cs="Arial"/>
          <w:sz w:val="28"/>
        </w:rPr>
        <w:t>土地</w:t>
      </w:r>
      <w:r>
        <w:rPr>
          <w:rFonts w:ascii="Arial" w:hAnsi="Arial" w:eastAsia="仿宋_GB2312" w:cs="Arial"/>
          <w:kern w:val="2"/>
          <w:sz w:val="28"/>
        </w:rPr>
        <w:t>价格的因素，确定</w:t>
      </w:r>
      <w:r>
        <w:rPr>
          <w:rFonts w:ascii="Arial" w:hAnsi="Arial" w:eastAsia="仿宋_GB2312" w:cs="Arial"/>
          <w:sz w:val="28"/>
        </w:rPr>
        <w:t>估价对象于估价期日的出让国有建设用地使用权评估价格为（币种：人民币）</w:t>
      </w:r>
      <w:r>
        <w:rPr>
          <w:rFonts w:hint="eastAsia" w:ascii="Arial" w:hAnsi="Arial" w:eastAsia="仿宋_GB2312" w:cs="Arial"/>
          <w:sz w:val="28"/>
        </w:rPr>
        <w:t>：</w:t>
      </w: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ascii="Arial" w:hAnsi="Arial" w:eastAsia="仿宋_GB2312" w:cs="Arial"/>
          <w:b/>
          <w:sz w:val="28"/>
          <w:szCs w:val="28"/>
        </w:rPr>
        <w:t xml:space="preserve"> </w:t>
      </w:r>
      <w:r>
        <w:rPr>
          <w:rFonts w:hint="eastAsia" w:ascii="Arial" w:hAnsi="Arial" w:eastAsia="仿宋_GB2312" w:cs="Arial"/>
          <w:b/>
          <w:sz w:val="28"/>
          <w:szCs w:val="28"/>
        </w:rPr>
        <w:t>熟地价</w:t>
      </w:r>
    </w:p>
    <w:tbl>
      <w:tblPr>
        <w:tblStyle w:val="35"/>
        <w:tblW w:w="9298" w:type="dxa"/>
        <w:jc w:val="center"/>
        <w:tblLayout w:type="autofit"/>
        <w:tblCellMar>
          <w:top w:w="57" w:type="dxa"/>
          <w:left w:w="57" w:type="dxa"/>
          <w:bottom w:w="57" w:type="dxa"/>
          <w:right w:w="57" w:type="dxa"/>
        </w:tblCellMar>
      </w:tblPr>
      <w:tblGrid>
        <w:gridCol w:w="699"/>
        <w:gridCol w:w="1134"/>
        <w:gridCol w:w="1759"/>
        <w:gridCol w:w="1126"/>
        <w:gridCol w:w="1346"/>
        <w:gridCol w:w="1293"/>
        <w:gridCol w:w="1941"/>
      </w:tblGrid>
      <w:tr>
        <w:tblPrEx>
          <w:tblCellMar>
            <w:top w:w="57" w:type="dxa"/>
            <w:left w:w="57" w:type="dxa"/>
            <w:bottom w:w="57" w:type="dxa"/>
            <w:right w:w="57" w:type="dxa"/>
          </w:tblCellMar>
        </w:tblPrEx>
        <w:trPr>
          <w:trHeight w:val="77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3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6"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楼面熟地价（元/㎡）</w:t>
            </w:r>
          </w:p>
        </w:tc>
        <w:tc>
          <w:tcPr>
            <w:tcW w:w="1346"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1"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熟地总价（万元）</w:t>
            </w:r>
          </w:p>
        </w:tc>
      </w:tr>
      <w:tr>
        <w:tblPrEx>
          <w:tblCellMar>
            <w:top w:w="57" w:type="dxa"/>
            <w:left w:w="57" w:type="dxa"/>
            <w:bottom w:w="57" w:type="dxa"/>
            <w:right w:w="57" w:type="dxa"/>
          </w:tblCellMar>
        </w:tblPrEx>
        <w:trPr>
          <w:trHeight w:val="109"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3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59" w:type="dxa"/>
            <w:tcBorders>
              <w:top w:val="single" w:color="000000" w:sz="8" w:space="0"/>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6"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8309</w:t>
            </w:r>
          </w:p>
        </w:tc>
        <w:tc>
          <w:tcPr>
            <w:tcW w:w="1346"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293"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1"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872.5916</w:t>
            </w:r>
          </w:p>
        </w:tc>
      </w:tr>
      <w:tr>
        <w:tblPrEx>
          <w:tblCellMar>
            <w:top w:w="57" w:type="dxa"/>
            <w:left w:w="57" w:type="dxa"/>
            <w:bottom w:w="57" w:type="dxa"/>
            <w:right w:w="57" w:type="dxa"/>
          </w:tblCellMar>
        </w:tblPrEx>
        <w:trPr>
          <w:trHeight w:val="17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113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p>
        </w:tc>
        <w:tc>
          <w:tcPr>
            <w:tcW w:w="1759"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6"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6647</w:t>
            </w:r>
          </w:p>
        </w:tc>
        <w:tc>
          <w:tcPr>
            <w:tcW w:w="1346"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293"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c>
          <w:tcPr>
            <w:tcW w:w="1941" w:type="dxa"/>
            <w:vMerge w:val="continue"/>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spacing w:line="240" w:lineRule="exact"/>
              <w:jc w:val="center"/>
              <w:textAlignment w:val="auto"/>
              <w:rPr>
                <w:rFonts w:ascii="Arial" w:hAnsi="Arial" w:eastAsia="仿宋_GB2312" w:cs="Arial"/>
                <w:color w:val="000000"/>
                <w:sz w:val="22"/>
                <w:szCs w:val="22"/>
              </w:rPr>
            </w:pPr>
          </w:p>
        </w:tc>
        <w:tc>
          <w:tcPr>
            <w:tcW w:w="5365" w:type="dxa"/>
            <w:gridSpan w:val="4"/>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3" w:type="dxa"/>
            <w:tcBorders>
              <w:top w:val="nil"/>
              <w:left w:val="nil"/>
              <w:bottom w:val="single" w:color="000000" w:sz="8" w:space="0"/>
              <w:right w:val="single" w:color="000000" w:sz="8" w:space="0"/>
            </w:tcBorders>
            <w:shd w:val="clear" w:color="auto" w:fill="auto"/>
            <w:vAlign w:val="center"/>
          </w:tcPr>
          <w:p>
            <w:pPr>
              <w:widowControl/>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cs="Arial"/>
                <w:b/>
                <w:bCs/>
                <w:color w:val="000000"/>
                <w:sz w:val="22"/>
                <w:szCs w:val="22"/>
                <w:lang w:bidi="ar"/>
              </w:rPr>
            </w:pPr>
            <w:r>
              <w:rPr>
                <w:rFonts w:ascii="Arial" w:hAnsi="Arial" w:cs="Arial"/>
                <w:b/>
                <w:bCs/>
                <w:color w:val="000000"/>
                <w:sz w:val="22"/>
                <w:szCs w:val="22"/>
                <w:lang w:bidi="ar"/>
              </w:rPr>
              <w:t>872.5916</w:t>
            </w:r>
          </w:p>
        </w:tc>
      </w:tr>
    </w:tbl>
    <w:p>
      <w:pPr>
        <w:snapToGrid w:val="0"/>
        <w:ind w:firstLine="556"/>
        <w:rPr>
          <w:rFonts w:ascii="Arial" w:hAnsi="Arial" w:eastAsia="仿宋_GB2312" w:cs="Arial"/>
          <w:b/>
          <w:sz w:val="28"/>
          <w:szCs w:val="28"/>
        </w:rPr>
      </w:pPr>
    </w:p>
    <w:p>
      <w:pPr>
        <w:snapToGrid w:val="0"/>
        <w:ind w:firstLine="556"/>
        <w:rPr>
          <w:rFonts w:ascii="Arial" w:hAnsi="Arial" w:eastAsia="仿宋_GB2312" w:cs="Arial"/>
          <w:b/>
          <w:sz w:val="28"/>
          <w:szCs w:val="28"/>
        </w:rPr>
      </w:pPr>
      <w:r>
        <w:rPr>
          <w:rFonts w:ascii="Arial" w:hAnsi="Arial" w:eastAsia="仿宋_GB2312" w:cs="Arial"/>
          <w:b/>
          <w:sz w:val="28"/>
          <w:szCs w:val="28"/>
        </w:rPr>
        <w:sym w:font="Wingdings 2" w:char="F0C3"/>
      </w:r>
      <w:r>
        <w:rPr>
          <w:rFonts w:hint="eastAsia" w:ascii="Arial" w:hAnsi="Arial" w:eastAsia="仿宋_GB2312" w:cs="Arial"/>
          <w:b/>
          <w:sz w:val="28"/>
          <w:szCs w:val="28"/>
        </w:rPr>
        <w:t>政府土地出让收益</w:t>
      </w:r>
    </w:p>
    <w:tbl>
      <w:tblPr>
        <w:tblStyle w:val="35"/>
        <w:tblW w:w="9298" w:type="dxa"/>
        <w:jc w:val="center"/>
        <w:tblLayout w:type="fixed"/>
        <w:tblCellMar>
          <w:top w:w="57" w:type="dxa"/>
          <w:left w:w="57" w:type="dxa"/>
          <w:bottom w:w="57" w:type="dxa"/>
          <w:right w:w="57" w:type="dxa"/>
        </w:tblCellMar>
      </w:tblPr>
      <w:tblGrid>
        <w:gridCol w:w="699"/>
        <w:gridCol w:w="1125"/>
        <w:gridCol w:w="1763"/>
        <w:gridCol w:w="1125"/>
        <w:gridCol w:w="1350"/>
        <w:gridCol w:w="1294"/>
        <w:gridCol w:w="1942"/>
      </w:tblGrid>
      <w:tr>
        <w:tblPrEx>
          <w:tblCellMar>
            <w:top w:w="57" w:type="dxa"/>
            <w:left w:w="57" w:type="dxa"/>
            <w:bottom w:w="57" w:type="dxa"/>
            <w:right w:w="57" w:type="dxa"/>
          </w:tblCellMar>
        </w:tblPrEx>
        <w:trPr>
          <w:trHeight w:val="1048" w:hRule="atLeast"/>
          <w:jc w:val="center"/>
        </w:trPr>
        <w:tc>
          <w:tcPr>
            <w:tcW w:w="6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规划条件</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w:t>
            </w:r>
          </w:p>
        </w:tc>
        <w:tc>
          <w:tcPr>
            <w:tcW w:w="1125"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政府土地出让收益楼面价（元/㎡）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变更面积（㎡）</w:t>
            </w:r>
          </w:p>
        </w:tc>
        <w:tc>
          <w:tcPr>
            <w:tcW w:w="1942"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政府土地出让收益总价（万元）</w:t>
            </w:r>
          </w:p>
        </w:tc>
      </w:tr>
      <w:tr>
        <w:tblPrEx>
          <w:tblCellMar>
            <w:top w:w="57" w:type="dxa"/>
            <w:left w:w="57" w:type="dxa"/>
            <w:bottom w:w="57" w:type="dxa"/>
            <w:right w:w="57" w:type="dxa"/>
          </w:tblCellMar>
        </w:tblPrEx>
        <w:trPr>
          <w:trHeight w:val="301" w:hRule="atLeast"/>
          <w:jc w:val="center"/>
        </w:trPr>
        <w:tc>
          <w:tcPr>
            <w:tcW w:w="699" w:type="dxa"/>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地下</w:t>
            </w:r>
          </w:p>
        </w:tc>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用途调整</w:t>
            </w:r>
          </w:p>
        </w:tc>
        <w:tc>
          <w:tcPr>
            <w:tcW w:w="1763" w:type="dxa"/>
            <w:tcBorders>
              <w:top w:val="single" w:color="000000" w:sz="8" w:space="0"/>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新用途-地下仓储</w:t>
            </w:r>
          </w:p>
        </w:tc>
        <w:tc>
          <w:tcPr>
            <w:tcW w:w="112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2077</w:t>
            </w:r>
          </w:p>
        </w:tc>
        <w:tc>
          <w:tcPr>
            <w:tcW w:w="1350"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415</w:t>
            </w:r>
          </w:p>
        </w:tc>
        <w:tc>
          <w:tcPr>
            <w:tcW w:w="1294"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5250.25</w:t>
            </w:r>
          </w:p>
        </w:tc>
        <w:tc>
          <w:tcPr>
            <w:tcW w:w="1942" w:type="dxa"/>
            <w:vMerge w:val="restart"/>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217.8854</w:t>
            </w:r>
          </w:p>
        </w:tc>
      </w:tr>
      <w:tr>
        <w:tblPrEx>
          <w:tblCellMar>
            <w:top w:w="57" w:type="dxa"/>
            <w:left w:w="57" w:type="dxa"/>
            <w:bottom w:w="57" w:type="dxa"/>
            <w:right w:w="57" w:type="dxa"/>
          </w:tblCellMar>
        </w:tblPrEx>
        <w:trPr>
          <w:trHeight w:val="278"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1763"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color w:val="000000"/>
                <w:sz w:val="22"/>
                <w:szCs w:val="22"/>
              </w:rPr>
            </w:pPr>
            <w:r>
              <w:rPr>
                <w:rFonts w:ascii="Arial" w:hAnsi="Arial" w:eastAsia="仿宋_GB2312" w:cs="Arial"/>
                <w:color w:val="000000"/>
                <w:sz w:val="22"/>
                <w:szCs w:val="22"/>
              </w:rPr>
              <w:t>旧用途-地下车库</w:t>
            </w:r>
          </w:p>
        </w:tc>
        <w:tc>
          <w:tcPr>
            <w:tcW w:w="112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color w:val="000000"/>
                <w:sz w:val="22"/>
                <w:szCs w:val="22"/>
              </w:rPr>
            </w:pPr>
            <w:r>
              <w:rPr>
                <w:rFonts w:ascii="Arial" w:hAnsi="Arial" w:cs="Arial"/>
                <w:color w:val="000000"/>
                <w:sz w:val="22"/>
                <w:szCs w:val="22"/>
                <w:lang w:bidi="ar"/>
              </w:rPr>
              <w:t>1662</w:t>
            </w:r>
          </w:p>
        </w:tc>
        <w:tc>
          <w:tcPr>
            <w:tcW w:w="1350"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c>
          <w:tcPr>
            <w:tcW w:w="1942"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eastAsia="仿宋_GB2312" w:cs="Arial"/>
                <w:color w:val="000000"/>
                <w:sz w:val="22"/>
                <w:szCs w:val="22"/>
              </w:rPr>
            </w:pPr>
          </w:p>
        </w:tc>
      </w:tr>
      <w:tr>
        <w:tblPrEx>
          <w:tblCellMar>
            <w:top w:w="57" w:type="dxa"/>
            <w:left w:w="57" w:type="dxa"/>
            <w:bottom w:w="57" w:type="dxa"/>
            <w:right w:w="57" w:type="dxa"/>
          </w:tblCellMar>
        </w:tblPrEx>
        <w:trPr>
          <w:trHeight w:val="300" w:hRule="atLeast"/>
          <w:jc w:val="center"/>
        </w:trPr>
        <w:tc>
          <w:tcPr>
            <w:tcW w:w="699" w:type="dxa"/>
            <w:vMerge w:val="continue"/>
            <w:tcBorders>
              <w:top w:val="nil"/>
              <w:left w:val="single" w:color="000000" w:sz="8" w:space="0"/>
              <w:bottom w:val="single" w:color="000000" w:sz="8" w:space="0"/>
              <w:right w:val="single" w:color="000000" w:sz="8" w:space="0"/>
            </w:tcBorders>
            <w:shd w:val="clear" w:color="auto" w:fill="auto"/>
            <w:noWrap/>
            <w:vAlign w:val="center"/>
          </w:tcPr>
          <w:p>
            <w:pPr>
              <w:widowControl/>
              <w:adjustRightInd/>
              <w:spacing w:line="240" w:lineRule="exact"/>
              <w:jc w:val="center"/>
              <w:textAlignment w:val="auto"/>
              <w:rPr>
                <w:rFonts w:ascii="Arial" w:hAnsi="Arial" w:eastAsia="仿宋_GB2312" w:cs="Arial"/>
                <w:color w:val="000000"/>
                <w:sz w:val="22"/>
                <w:szCs w:val="22"/>
              </w:rPr>
            </w:pPr>
          </w:p>
        </w:tc>
        <w:tc>
          <w:tcPr>
            <w:tcW w:w="5363" w:type="dxa"/>
            <w:gridSpan w:val="4"/>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hint="eastAsia" w:ascii="Arial" w:hAnsi="Arial" w:eastAsia="仿宋_GB2312" w:cs="Arial"/>
                <w:b/>
                <w:bCs/>
                <w:color w:val="000000"/>
                <w:sz w:val="22"/>
                <w:szCs w:val="22"/>
              </w:rPr>
              <w:t>合</w:t>
            </w:r>
            <w:r>
              <w:rPr>
                <w:rFonts w:ascii="Arial" w:hAnsi="Arial" w:eastAsia="仿宋_GB2312" w:cs="Arial"/>
                <w:b/>
                <w:bCs/>
                <w:color w:val="000000"/>
                <w:sz w:val="22"/>
                <w:szCs w:val="22"/>
              </w:rPr>
              <w:t>计</w:t>
            </w:r>
          </w:p>
        </w:tc>
        <w:tc>
          <w:tcPr>
            <w:tcW w:w="1294" w:type="dxa"/>
            <w:tcBorders>
              <w:top w:val="nil"/>
              <w:left w:val="nil"/>
              <w:bottom w:val="single" w:color="000000" w:sz="8" w:space="0"/>
              <w:right w:val="single" w:color="000000" w:sz="8" w:space="0"/>
            </w:tcBorders>
            <w:shd w:val="clear" w:color="auto" w:fill="auto"/>
            <w:vAlign w:val="center"/>
          </w:tcPr>
          <w:p>
            <w:pPr>
              <w:widowControl/>
              <w:adjustRightInd/>
              <w:spacing w:line="240" w:lineRule="exact"/>
              <w:jc w:val="center"/>
              <w:textAlignment w:val="auto"/>
              <w:rPr>
                <w:rFonts w:ascii="Arial" w:hAnsi="Arial" w:eastAsia="仿宋_GB2312" w:cs="Arial"/>
                <w:b/>
                <w:bCs/>
                <w:color w:val="000000"/>
                <w:sz w:val="22"/>
                <w:szCs w:val="22"/>
              </w:rPr>
            </w:pPr>
            <w:r>
              <w:rPr>
                <w:rFonts w:ascii="Arial" w:hAnsi="Arial" w:eastAsia="仿宋_GB2312" w:cs="Arial"/>
                <w:b/>
                <w:bCs/>
                <w:color w:val="000000"/>
                <w:sz w:val="22"/>
                <w:szCs w:val="22"/>
              </w:rPr>
              <w:t>——</w:t>
            </w:r>
          </w:p>
        </w:tc>
        <w:tc>
          <w:tcPr>
            <w:tcW w:w="194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Arial" w:hAnsi="Arial" w:eastAsia="仿宋_GB2312" w:cs="Arial"/>
                <w:b/>
                <w:bCs/>
                <w:color w:val="000000"/>
                <w:sz w:val="22"/>
                <w:szCs w:val="22"/>
              </w:rPr>
            </w:pPr>
            <w:r>
              <w:rPr>
                <w:rFonts w:ascii="Arial" w:hAnsi="Arial" w:cs="Arial"/>
                <w:b/>
                <w:bCs/>
                <w:color w:val="000000"/>
                <w:sz w:val="22"/>
                <w:szCs w:val="22"/>
                <w:lang w:bidi="ar"/>
              </w:rPr>
              <w:t>217.8854</w:t>
            </w:r>
          </w:p>
        </w:tc>
      </w:tr>
    </w:tbl>
    <w:p>
      <w:pPr>
        <w:snapToGrid w:val="0"/>
        <w:ind w:firstLine="556"/>
        <w:rPr>
          <w:rFonts w:ascii="Arial" w:hAnsi="Arial" w:eastAsia="仿宋_GB2312" w:cs="Arial"/>
          <w:b/>
          <w:sz w:val="28"/>
          <w:szCs w:val="28"/>
        </w:rPr>
      </w:pPr>
    </w:p>
    <w:p>
      <w:pPr>
        <w:pStyle w:val="52"/>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pStyle w:val="52"/>
        <w:jc w:val="both"/>
        <w:rPr>
          <w:rFonts w:ascii="Arial" w:hAnsi="Arial" w:cs="Arial"/>
          <w:szCs w:val="28"/>
        </w:rPr>
      </w:pPr>
    </w:p>
    <w:p>
      <w:pPr>
        <w:pStyle w:val="52"/>
        <w:jc w:val="both"/>
        <w:rPr>
          <w:rFonts w:ascii="Arial" w:hAnsi="Arial" w:cs="Arial"/>
          <w:szCs w:val="28"/>
        </w:rPr>
      </w:pPr>
      <w:r>
        <w:rPr>
          <w:rFonts w:ascii="Arial" w:hAnsi="Arial" w:cs="Arial"/>
          <w:szCs w:val="28"/>
        </w:rPr>
        <w:t xml:space="preserve">具体结果详见《估价结果一览表》   </w:t>
      </w:r>
    </w:p>
    <w:p>
      <w:pPr>
        <w:numPr>
          <w:ilvl w:val="0"/>
          <w:numId w:val="6"/>
        </w:numPr>
        <w:tabs>
          <w:tab w:val="left" w:pos="230"/>
        </w:tabs>
        <w:snapToGrid w:val="0"/>
        <w:spacing w:line="360" w:lineRule="auto"/>
        <w:jc w:val="both"/>
        <w:textAlignment w:val="auto"/>
        <w:rPr>
          <w:rFonts w:ascii="Arial" w:hAnsi="Arial" w:eastAsia="仿宋_GB2312" w:cs="Arial"/>
          <w:b/>
          <w:sz w:val="28"/>
          <w:szCs w:val="28"/>
        </w:rPr>
      </w:pP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根据《北京市“地下空间”使用权协议出让地价评估技术更新的说明》</w:t>
      </w:r>
      <w:r>
        <w:rPr>
          <w:rFonts w:ascii="Arial" w:hAnsi="Arial" w:eastAsia="仿宋_GB2312" w:cs="Arial"/>
          <w:sz w:val="28"/>
        </w:rPr>
        <w:t>[</w:t>
      </w:r>
      <w:r>
        <w:rPr>
          <w:rFonts w:ascii="Arial" w:hAnsi="Arial" w:eastAsia="仿宋_GB2312" w:cs="Arial"/>
          <w:sz w:val="28"/>
          <w:szCs w:val="28"/>
        </w:rPr>
        <w:t>北估秘[2019]002号</w:t>
      </w:r>
      <w:r>
        <w:rPr>
          <w:rFonts w:ascii="Arial" w:hAnsi="Arial" w:eastAsia="仿宋_GB2312" w:cs="Arial"/>
          <w:sz w:val="28"/>
        </w:rPr>
        <w:t>]第四条：“出让底价应不低于宗地所在级别基准地价低限修正后对应地下空间的结果。”估价对象所在区片为</w:t>
      </w:r>
      <w:r>
        <w:rPr>
          <w:rFonts w:hint="eastAsia" w:ascii="Arial" w:hAnsi="Arial" w:eastAsia="仿宋_GB2312" w:cs="Arial"/>
          <w:sz w:val="28"/>
          <w:szCs w:val="28"/>
        </w:rPr>
        <w:t>Ⅴ-03</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类</w:t>
      </w:r>
      <w:r>
        <w:rPr>
          <w:rFonts w:hint="eastAsia" w:ascii="Arial" w:hAnsi="Arial" w:eastAsia="仿宋_GB2312" w:cs="Arial"/>
          <w:sz w:val="28"/>
        </w:rPr>
        <w:t>五</w:t>
      </w:r>
      <w:r>
        <w:rPr>
          <w:rFonts w:ascii="Arial" w:hAnsi="Arial" w:eastAsia="仿宋_GB2312" w:cs="Arial"/>
          <w:sz w:val="28"/>
        </w:rPr>
        <w:t>级区片价区间为</w:t>
      </w:r>
      <w:r>
        <w:rPr>
          <w:rFonts w:hint="eastAsia" w:ascii="Arial" w:hAnsi="Arial" w:eastAsia="仿宋_GB2312" w:cs="Arial"/>
          <w:sz w:val="28"/>
        </w:rPr>
        <w:t>10250</w:t>
      </w:r>
      <w:r>
        <w:rPr>
          <w:rFonts w:ascii="Arial" w:hAnsi="Arial" w:eastAsia="仿宋_GB2312" w:cs="Arial"/>
          <w:sz w:val="28"/>
        </w:rPr>
        <w:t>元/平方米~</w:t>
      </w:r>
      <w:r>
        <w:rPr>
          <w:rFonts w:hint="eastAsia" w:ascii="Arial" w:hAnsi="Arial" w:eastAsia="仿宋_GB2312" w:cs="Arial"/>
          <w:sz w:val="28"/>
        </w:rPr>
        <w:t>15370</w:t>
      </w:r>
      <w:r>
        <w:rPr>
          <w:rFonts w:ascii="Arial" w:hAnsi="Arial" w:eastAsia="仿宋_GB2312" w:cs="Arial"/>
          <w:sz w:val="28"/>
        </w:rPr>
        <w:t>元/平方米，对其对应的各用途</w:t>
      </w:r>
      <w:r>
        <w:rPr>
          <w:rFonts w:hint="eastAsia" w:ascii="Arial" w:hAnsi="Arial" w:eastAsia="仿宋_GB2312" w:cs="Arial"/>
          <w:sz w:val="28"/>
        </w:rPr>
        <w:t>五</w:t>
      </w:r>
      <w:r>
        <w:rPr>
          <w:rFonts w:ascii="Arial" w:hAnsi="Arial" w:eastAsia="仿宋_GB2312" w:cs="Arial"/>
          <w:sz w:val="28"/>
        </w:rPr>
        <w:t>级基准地价级别低限进行修正，过程和结果见下表：</w:t>
      </w: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48"/>
        <w:gridCol w:w="1152"/>
        <w:gridCol w:w="1162"/>
        <w:gridCol w:w="1171"/>
        <w:gridCol w:w="1171"/>
        <w:gridCol w:w="1171"/>
        <w:gridCol w:w="115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02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034"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04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03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地下空间修正系数</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w:t>
            </w:r>
            <w:r>
              <w:rPr>
                <w:rFonts w:hint="eastAsia" w:ascii="Arial" w:hAnsi="Arial" w:eastAsia="仿宋_GB2312" w:cs="Arial"/>
                <w:color w:val="000000"/>
                <w:sz w:val="18"/>
                <w:szCs w:val="18"/>
              </w:rPr>
              <w:t>仓储</w:t>
            </w:r>
          </w:p>
        </w:tc>
        <w:tc>
          <w:tcPr>
            <w:tcW w:w="1025"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Ⅴ-03</w:t>
            </w:r>
          </w:p>
        </w:tc>
        <w:tc>
          <w:tcPr>
            <w:tcW w:w="1034"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10250</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7797</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w:t>
            </w:r>
          </w:p>
        </w:tc>
        <w:tc>
          <w:tcPr>
            <w:tcW w:w="1042" w:type="dxa"/>
            <w:vMerge w:val="restart"/>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w:t>
            </w:r>
            <w:r>
              <w:rPr>
                <w:rFonts w:hint="eastAsia" w:ascii="Arial" w:hAnsi="Arial" w:eastAsia="仿宋_GB2312" w:cs="Arial"/>
                <w:color w:val="000000"/>
                <w:sz w:val="18"/>
                <w:szCs w:val="18"/>
              </w:rPr>
              <w:t>0296</w:t>
            </w: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25</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0" w:hRule="atLeast"/>
          <w:jc w:val="center"/>
        </w:trPr>
        <w:tc>
          <w:tcPr>
            <w:tcW w:w="102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地下车库</w:t>
            </w:r>
          </w:p>
        </w:tc>
        <w:tc>
          <w:tcPr>
            <w:tcW w:w="1025"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4"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42" w:type="dxa"/>
            <w:vMerge w:val="continue"/>
            <w:vAlign w:val="center"/>
          </w:tcPr>
          <w:p>
            <w:pPr>
              <w:widowControl/>
              <w:adjustRightInd/>
              <w:spacing w:line="240" w:lineRule="exact"/>
              <w:textAlignment w:val="auto"/>
              <w:rPr>
                <w:rFonts w:ascii="Arial" w:hAnsi="Arial" w:eastAsia="仿宋_GB2312" w:cs="Arial"/>
                <w:color w:val="000000"/>
                <w:sz w:val="18"/>
                <w:szCs w:val="18"/>
              </w:rPr>
            </w:pPr>
          </w:p>
        </w:tc>
        <w:tc>
          <w:tcPr>
            <w:tcW w:w="103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0.</w:t>
            </w:r>
            <w:r>
              <w:rPr>
                <w:rFonts w:hint="eastAsia" w:ascii="Arial" w:hAnsi="Arial" w:eastAsia="仿宋_GB2312" w:cs="Arial"/>
                <w:color w:val="000000"/>
                <w:sz w:val="18"/>
                <w:szCs w:val="18"/>
              </w:rPr>
              <w:t>2</w:t>
            </w:r>
          </w:p>
        </w:tc>
        <w:tc>
          <w:tcPr>
            <w:tcW w:w="1035"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3756</w:t>
            </w:r>
          </w:p>
        </w:tc>
      </w:tr>
    </w:tbl>
    <w:p>
      <w:pPr>
        <w:pStyle w:val="52"/>
        <w:ind w:firstLine="361"/>
        <w:jc w:val="both"/>
        <w:rPr>
          <w:rFonts w:ascii="Arial" w:hAnsi="Arial" w:cs="Arial"/>
          <w:b/>
          <w:sz w:val="18"/>
          <w:szCs w:val="18"/>
        </w:rPr>
      </w:pPr>
      <w:r>
        <w:rPr>
          <w:rFonts w:ascii="Arial" w:hAnsi="Arial" w:cs="Arial"/>
          <w:b/>
          <w:sz w:val="18"/>
          <w:szCs w:val="18"/>
        </w:rPr>
        <w:t>单位：元/平方米</w:t>
      </w:r>
    </w:p>
    <w:p>
      <w:pPr>
        <w:autoSpaceDE w:val="0"/>
        <w:autoSpaceDN w:val="0"/>
        <w:snapToGrid w:val="0"/>
        <w:spacing w:line="360" w:lineRule="auto"/>
        <w:ind w:firstLine="540"/>
        <w:jc w:val="both"/>
        <w:textAlignment w:val="bottom"/>
        <w:rPr>
          <w:rFonts w:ascii="Arial" w:hAnsi="Arial" w:eastAsia="仿宋_GB2312" w:cs="Arial"/>
          <w:bCs/>
          <w:sz w:val="28"/>
        </w:rPr>
      </w:pPr>
      <w:r>
        <w:rPr>
          <w:rFonts w:ascii="Arial" w:hAnsi="Arial" w:eastAsia="仿宋_GB2312" w:cs="Arial"/>
          <w:bCs/>
          <w:sz w:val="28"/>
        </w:rPr>
        <w:t>上表中楼面熟地价与评估结果对比，发现表中修正后楼面熟地价小于评估结果楼面熟地价，故评估结果符合相关文件规定。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地下仓储、地下车库用地，符合土地集约节约利用的政策要求。目前海淀区尚未有充足的住宅配套地下仓储、地下车库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仓储用途协议出让案例有4个，其中2018年楼面熟地价平均值为7687元/平方米（共2宗，都位于五级地价区），2019年楼面熟地价平均值为3738元/平方米（共2宗，一宗位于七级地价区，另一宗位于八级地价区），2020年无地下仓储用途协议出让案例。综合考虑地价级别、地价指数等因素，故估价结果是合理的。</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位于五级地价区。经分析同区域内（海淀区）近三年（2018-2020年）估价对象周边已审定（或成交）的地上主用途为住宅的地下车库用途协议出让案例有2个，其中2018年和2020年无地下车库用途协议出让案例，2019年楼面熟地价平均值为2899元/平方米（共2宗，一宗位于七级地价区，另一宗位于八级地价区）。2019年协议出让的地下车库所在地价区均与估价对象不同，不具有可比性。</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近三年同区域内（海淀区）无地下仓储、地下车库招拍挂成交地块。</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地下仓储</w:t>
      </w:r>
      <w:r>
        <w:rPr>
          <w:rFonts w:ascii="Arial" w:hAnsi="Arial" w:eastAsia="仿宋_GB2312" w:cs="Arial"/>
          <w:sz w:val="28"/>
          <w:szCs w:val="28"/>
        </w:rPr>
        <w:t>用途案例分析</w:t>
      </w:r>
    </w:p>
    <w:p>
      <w:pPr>
        <w:pStyle w:val="51"/>
        <w:ind w:firstLine="0" w:firstLineChars="0"/>
        <w:jc w:val="center"/>
        <w:rPr>
          <w:rFonts w:ascii="仿宋_GB2312" w:hAnsi="仿宋_GB2312" w:eastAsia="仿宋_GB2312" w:cs="仿宋_GB2312"/>
          <w:sz w:val="32"/>
          <w:szCs w:val="32"/>
        </w:rPr>
      </w:pPr>
      <w:r>
        <w:drawing>
          <wp:inline distT="0" distB="0" distL="114300" distR="114300">
            <wp:extent cx="5900420" cy="3855085"/>
            <wp:effectExtent l="5080" t="4445" r="19050" b="7620"/>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hint="eastAsia"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地下车库</w:t>
      </w:r>
      <w:r>
        <w:rPr>
          <w:rFonts w:ascii="Arial" w:hAnsi="Arial" w:eastAsia="仿宋_GB2312" w:cs="Arial"/>
          <w:sz w:val="28"/>
          <w:szCs w:val="28"/>
        </w:rPr>
        <w:t>用途案例分析</w:t>
      </w:r>
    </w:p>
    <w:p>
      <w:pPr>
        <w:spacing w:line="360" w:lineRule="auto"/>
        <w:rPr>
          <w:rFonts w:ascii="Arial" w:hAnsi="Arial" w:eastAsia="仿宋_GB2312" w:cs="Arial"/>
          <w:sz w:val="28"/>
          <w:szCs w:val="28"/>
        </w:rPr>
      </w:pPr>
      <w:r>
        <w:drawing>
          <wp:inline distT="0" distB="0" distL="114300" distR="114300">
            <wp:extent cx="5900420" cy="3854450"/>
            <wp:effectExtent l="4445" t="4445" r="19685" b="8255"/>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综上，本次评估各用途地下空间地价水平满足《北京市“地下空间”使用权协议出让地价评估技术更新的说明》[北估秘[2019]002号]要求，也符合区域土地市场地价水平，因此可以本次评估的地下空间楼面熟地价为基础核算应补缴的地价款。本次建议以上述测算的政府土地出让收益作为应补缴的地价款。 </w:t>
      </w:r>
    </w:p>
    <w:p>
      <w:pPr>
        <w:snapToGrid w:val="0"/>
        <w:spacing w:line="360" w:lineRule="auto"/>
        <w:ind w:firstLine="556"/>
        <w:rPr>
          <w:rFonts w:ascii="Arial" w:hAnsi="Arial" w:eastAsia="仿宋_GB2312" w:cs="Arial"/>
          <w:sz w:val="28"/>
          <w:szCs w:val="28"/>
        </w:rPr>
      </w:pPr>
    </w:p>
    <w:p>
      <w:pPr>
        <w:snapToGrid w:val="0"/>
        <w:spacing w:line="360" w:lineRule="auto"/>
        <w:rPr>
          <w:rFonts w:ascii="Arial" w:hAnsi="Arial" w:eastAsia="仿宋_GB2312" w:cs="Arial"/>
          <w:sz w:val="28"/>
          <w:szCs w:val="28"/>
        </w:rPr>
      </w:pPr>
      <w:r>
        <w:rPr>
          <w:rFonts w:hint="eastAsia" w:ascii="Arial" w:hAnsi="Arial" w:eastAsia="仿宋_GB2312" w:cs="Arial"/>
          <w:sz w:val="28"/>
          <w:szCs w:val="28"/>
        </w:rPr>
        <w:t>（转下页）</w:t>
      </w:r>
    </w:p>
    <w:p>
      <w:pPr>
        <w:snapToGrid w:val="0"/>
        <w:spacing w:line="360" w:lineRule="auto"/>
        <w:ind w:firstLine="556"/>
        <w:rPr>
          <w:rFonts w:ascii="Arial" w:hAnsi="Arial" w:eastAsia="仿宋_GB2312" w:cs="Arial"/>
          <w:sz w:val="28"/>
        </w:rPr>
        <w:sectPr>
          <w:footerReference r:id="rId35" w:type="first"/>
          <w:headerReference r:id="rId33" w:type="default"/>
          <w:footerReference r:id="rId34"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 xml:space="preserve"> </w:t>
      </w:r>
      <w:r>
        <w:rPr>
          <w:rFonts w:ascii="Arial" w:hAnsi="Arial" w:eastAsia="仿宋_GB2312" w:cs="Arial"/>
          <w:sz w:val="28"/>
        </w:rPr>
        <w:t xml:space="preserve">  </w:t>
      </w: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2021-1-0620-F02TDCR6</w:t>
      </w:r>
      <w:r>
        <w:rPr>
          <w:rFonts w:ascii="Arial" w:hAnsi="Arial" w:eastAsia="仿宋_GB2312" w:cs="Arial"/>
          <w:bCs/>
          <w:sz w:val="18"/>
        </w:rPr>
        <w:t xml:space="preserve">    估价期日：2021年</w:t>
      </w:r>
      <w:r>
        <w:rPr>
          <w:rFonts w:hint="eastAsia" w:ascii="Arial" w:hAnsi="Arial" w:eastAsia="仿宋_GB2312" w:cs="Arial"/>
          <w:bCs/>
          <w:sz w:val="18"/>
        </w:rPr>
        <w:t>11</w:t>
      </w:r>
      <w:r>
        <w:rPr>
          <w:rFonts w:ascii="Arial" w:hAnsi="Arial" w:eastAsia="仿宋_GB2312" w:cs="Arial"/>
          <w:bCs/>
          <w:sz w:val="18"/>
        </w:rPr>
        <w:t>月</w:t>
      </w:r>
      <w:r>
        <w:rPr>
          <w:rFonts w:hint="eastAsia" w:ascii="Arial" w:hAnsi="Arial" w:eastAsia="仿宋_GB2312" w:cs="Arial"/>
          <w:bCs/>
          <w:sz w:val="18"/>
        </w:rPr>
        <w:t>26</w:t>
      </w:r>
      <w:r>
        <w:rPr>
          <w:rFonts w:ascii="Arial" w:hAnsi="Arial" w:eastAsia="仿宋_GB2312" w:cs="Arial"/>
          <w:bCs/>
          <w:sz w:val="18"/>
        </w:rPr>
        <w:t>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652" w:type="dxa"/>
            <w:vMerge w:val="restart"/>
            <w:vAlign w:val="center"/>
          </w:tcPr>
          <w:p>
            <w:pPr>
              <w:spacing w:line="240" w:lineRule="exact"/>
              <w:rPr>
                <w:rFonts w:ascii="Arial" w:hAnsi="Arial" w:eastAsia="仿宋_GB2312" w:cs="Arial"/>
                <w:bCs/>
                <w:sz w:val="18"/>
                <w:szCs w:val="18"/>
              </w:rPr>
            </w:pPr>
            <w:r>
              <w:rPr>
                <w:rFonts w:hint="eastAsia" w:ascii="Arial" w:hAnsi="Arial" w:eastAsia="仿宋_GB2312" w:cs="Arial"/>
                <w:bCs/>
                <w:sz w:val="18"/>
                <w:szCs w:val="18"/>
              </w:rPr>
              <w:t>不动产单元号</w:t>
            </w:r>
          </w:p>
        </w:tc>
        <w:tc>
          <w:tcPr>
            <w:tcW w:w="1313"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宗地名称</w:t>
            </w:r>
          </w:p>
        </w:tc>
        <w:tc>
          <w:tcPr>
            <w:tcW w:w="1083" w:type="dxa"/>
            <w:vMerge w:val="restart"/>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不动产权证书证号</w:t>
            </w:r>
          </w:p>
        </w:tc>
        <w:tc>
          <w:tcPr>
            <w:tcW w:w="2198" w:type="dxa"/>
            <w:gridSpan w:val="3"/>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2279" w:type="dxa"/>
            <w:gridSpan w:val="3"/>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容积率</w:t>
            </w:r>
          </w:p>
        </w:tc>
        <w:tc>
          <w:tcPr>
            <w:tcW w:w="886"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87"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979"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970"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cs="Arial"/>
                <w:bCs/>
                <w:sz w:val="18"/>
                <w:szCs w:val="18"/>
              </w:rPr>
              <w:t>㎡</w:t>
            </w:r>
          </w:p>
        </w:tc>
        <w:tc>
          <w:tcPr>
            <w:tcW w:w="1134"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单位面积地价/</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元/</w:t>
            </w:r>
            <w:r>
              <w:rPr>
                <w:rFonts w:ascii="Arial" w:hAnsi="Arial" w:eastAsia="Batang" w:cs="Arial"/>
                <w:bCs/>
                <w:sz w:val="18"/>
                <w:szCs w:val="18"/>
              </w:rPr>
              <w:t>㎡</w:t>
            </w:r>
          </w:p>
        </w:tc>
        <w:tc>
          <w:tcPr>
            <w:tcW w:w="75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楼面地价/元/</w:t>
            </w:r>
            <w:r>
              <w:rPr>
                <w:rFonts w:ascii="Arial" w:hAnsi="Arial" w:cs="Arial"/>
                <w:bCs/>
                <w:sz w:val="18"/>
                <w:szCs w:val="18"/>
              </w:rPr>
              <w:t>㎡</w:t>
            </w:r>
          </w:p>
        </w:tc>
        <w:tc>
          <w:tcPr>
            <w:tcW w:w="1205" w:type="dxa"/>
            <w:vMerge w:val="restart"/>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780" w:hRule="atLeast"/>
          <w:jc w:val="center"/>
        </w:trPr>
        <w:tc>
          <w:tcPr>
            <w:tcW w:w="71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652" w:type="dxa"/>
            <w:vMerge w:val="continue"/>
            <w:tcBorders>
              <w:bottom w:val="single" w:color="auto" w:sz="4" w:space="0"/>
            </w:tcBorders>
          </w:tcPr>
          <w:p>
            <w:pPr>
              <w:spacing w:line="240" w:lineRule="exact"/>
              <w:jc w:val="center"/>
              <w:rPr>
                <w:rFonts w:ascii="Arial" w:hAnsi="Arial" w:eastAsia="仿宋_GB2312" w:cs="Arial"/>
                <w:bCs/>
                <w:sz w:val="18"/>
                <w:szCs w:val="18"/>
              </w:rPr>
            </w:pPr>
          </w:p>
        </w:tc>
        <w:tc>
          <w:tcPr>
            <w:tcW w:w="131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083"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证载</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（或批准）</w:t>
            </w:r>
          </w:p>
        </w:tc>
        <w:tc>
          <w:tcPr>
            <w:tcW w:w="732"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34" w:type="dxa"/>
            <w:tcBorders>
              <w:bottom w:val="single" w:color="auto" w:sz="4" w:space="0"/>
            </w:tcBorders>
            <w:vAlign w:val="center"/>
          </w:tcPr>
          <w:p>
            <w:pPr>
              <w:spacing w:line="240" w:lineRule="exact"/>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规划</w:t>
            </w:r>
          </w:p>
        </w:tc>
        <w:tc>
          <w:tcPr>
            <w:tcW w:w="759"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实际</w:t>
            </w:r>
          </w:p>
        </w:tc>
        <w:tc>
          <w:tcPr>
            <w:tcW w:w="761" w:type="dxa"/>
            <w:tcBorders>
              <w:bottom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设定</w:t>
            </w:r>
          </w:p>
        </w:tc>
        <w:tc>
          <w:tcPr>
            <w:tcW w:w="886"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887"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9"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970"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134"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75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c>
          <w:tcPr>
            <w:tcW w:w="1205" w:type="dxa"/>
            <w:vMerge w:val="continue"/>
            <w:tcBorders>
              <w:bottom w:val="single" w:color="auto" w:sz="4" w:space="0"/>
            </w:tcBorders>
            <w:vAlign w:val="center"/>
          </w:tcPr>
          <w:p>
            <w:pPr>
              <w:spacing w:line="240" w:lineRule="exact"/>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971" w:hRule="atLeast"/>
          <w:jc w:val="center"/>
        </w:trPr>
        <w:tc>
          <w:tcPr>
            <w:tcW w:w="710"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北京强佑房地产开发有限公司</w:t>
            </w:r>
          </w:p>
        </w:tc>
        <w:tc>
          <w:tcPr>
            <w:tcW w:w="65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110108017001GB00359W00000000</w:t>
            </w:r>
          </w:p>
        </w:tc>
        <w:tc>
          <w:tcPr>
            <w:tcW w:w="131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北京市海淀区清河嘉园西区1号楼、3号楼、100幢地块</w:t>
            </w:r>
          </w:p>
        </w:tc>
        <w:tc>
          <w:tcPr>
            <w:tcW w:w="1083"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京（2015）海淀区不动产权第0000005号</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2"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住宅、商业、地下商业、地下车库、地下综合、地下仓储</w:t>
            </w:r>
          </w:p>
        </w:tc>
        <w:tc>
          <w:tcPr>
            <w:tcW w:w="734"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地下车库、地下仓储</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原规划</w:t>
            </w:r>
            <w:r>
              <w:rPr>
                <w:rFonts w:hint="eastAsia" w:ascii="Arial" w:hAnsi="Arial" w:eastAsia="仿宋_GB2312" w:cs="Arial"/>
                <w:bCs/>
                <w:sz w:val="18"/>
                <w:szCs w:val="18"/>
              </w:rPr>
              <w:t>4.32</w:t>
            </w:r>
            <w:r>
              <w:rPr>
                <w:rFonts w:ascii="Arial" w:hAnsi="Arial" w:eastAsia="仿宋_GB2312" w:cs="Arial"/>
                <w:bCs/>
                <w:sz w:val="18"/>
                <w:szCs w:val="18"/>
              </w:rPr>
              <w:t>;</w:t>
            </w:r>
          </w:p>
          <w:p>
            <w:pPr>
              <w:spacing w:line="240" w:lineRule="exact"/>
              <w:jc w:val="center"/>
              <w:rPr>
                <w:rFonts w:ascii="Arial" w:hAnsi="Arial" w:eastAsia="仿宋_GB2312" w:cs="Arial"/>
                <w:bCs/>
                <w:sz w:val="18"/>
                <w:szCs w:val="18"/>
              </w:rPr>
            </w:pPr>
            <w:r>
              <w:rPr>
                <w:rFonts w:ascii="Arial" w:hAnsi="Arial" w:eastAsia="仿宋_GB2312" w:cs="Arial"/>
                <w:bCs/>
                <w:sz w:val="18"/>
                <w:szCs w:val="18"/>
              </w:rPr>
              <w:t>新规划</w:t>
            </w:r>
            <w:r>
              <w:rPr>
                <w:rFonts w:hint="eastAsia" w:ascii="Arial" w:hAnsi="Arial" w:eastAsia="仿宋_GB2312" w:cs="Arial"/>
                <w:bCs/>
                <w:sz w:val="18"/>
                <w:szCs w:val="18"/>
              </w:rPr>
              <w:t>4.32</w:t>
            </w:r>
          </w:p>
        </w:tc>
        <w:tc>
          <w:tcPr>
            <w:tcW w:w="75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761"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地上</w:t>
            </w:r>
            <w:r>
              <w:rPr>
                <w:rFonts w:hint="eastAsia" w:ascii="Arial" w:hAnsi="Arial" w:eastAsia="仿宋_GB2312" w:cs="Arial"/>
                <w:bCs/>
                <w:sz w:val="18"/>
                <w:szCs w:val="18"/>
              </w:rPr>
              <w:t>4.32</w:t>
            </w:r>
          </w:p>
        </w:tc>
        <w:tc>
          <w:tcPr>
            <w:tcW w:w="886"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w:t>
            </w:r>
            <w:r>
              <w:rPr>
                <w:rFonts w:hint="eastAsia" w:ascii="Arial" w:hAnsi="Arial" w:eastAsia="仿宋_GB2312" w:cs="Arial"/>
                <w:bCs/>
                <w:sz w:val="18"/>
                <w:szCs w:val="18"/>
              </w:rPr>
              <w:t>已建筑物已竣工并投入使用</w:t>
            </w:r>
          </w:p>
        </w:tc>
        <w:tc>
          <w:tcPr>
            <w:tcW w:w="887"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宗地外“七通”，宗地内“场地平整”</w:t>
            </w:r>
          </w:p>
        </w:tc>
        <w:tc>
          <w:tcPr>
            <w:tcW w:w="979" w:type="dxa"/>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地下</w:t>
            </w:r>
            <w:r>
              <w:rPr>
                <w:rFonts w:hint="eastAsia" w:ascii="Arial" w:hAnsi="Arial" w:eastAsia="仿宋_GB2312" w:cs="Arial"/>
                <w:bCs/>
                <w:sz w:val="18"/>
                <w:szCs w:val="18"/>
              </w:rPr>
              <w:t>仓储50</w:t>
            </w:r>
            <w:r>
              <w:rPr>
                <w:rFonts w:ascii="Arial" w:hAnsi="Arial" w:eastAsia="仿宋_GB2312" w:cs="Arial"/>
                <w:bCs/>
                <w:sz w:val="18"/>
                <w:szCs w:val="18"/>
              </w:rPr>
              <w:t>年、地下车库</w:t>
            </w:r>
            <w:r>
              <w:rPr>
                <w:rFonts w:hint="eastAsia" w:ascii="Arial" w:hAnsi="Arial" w:eastAsia="仿宋_GB2312" w:cs="Arial"/>
                <w:bCs/>
                <w:sz w:val="18"/>
                <w:szCs w:val="18"/>
              </w:rPr>
              <w:t>50</w:t>
            </w:r>
            <w:r>
              <w:rPr>
                <w:rFonts w:ascii="Arial" w:hAnsi="Arial" w:eastAsia="仿宋_GB2312" w:cs="Arial"/>
                <w:bCs/>
                <w:sz w:val="18"/>
                <w:szCs w:val="18"/>
              </w:rPr>
              <w:t>年</w:t>
            </w:r>
          </w:p>
        </w:tc>
        <w:tc>
          <w:tcPr>
            <w:tcW w:w="970" w:type="dxa"/>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17767.39（其中分摊的出让土地面积为15996.99平方米）</w:t>
            </w:r>
          </w:p>
        </w:tc>
        <w:tc>
          <w:tcPr>
            <w:tcW w:w="1134"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106589.13</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755" w:type="dxa"/>
            <w:tcBorders>
              <w:left w:val="single" w:color="auto" w:sz="4" w:space="0"/>
              <w:right w:val="single" w:color="auto" w:sz="4" w:space="0"/>
            </w:tcBorders>
            <w:vAlign w:val="center"/>
          </w:tcPr>
          <w:p>
            <w:pPr>
              <w:spacing w:line="240" w:lineRule="exact"/>
              <w:jc w:val="center"/>
              <w:rPr>
                <w:rFonts w:ascii="Arial" w:hAnsi="Arial" w:eastAsia="仿宋_GB2312" w:cs="Arial"/>
                <w:bCs/>
                <w:sz w:val="18"/>
                <w:szCs w:val="18"/>
              </w:rPr>
            </w:pPr>
            <w:r>
              <w:rPr>
                <w:rFonts w:ascii="Arial" w:hAnsi="Arial" w:eastAsia="仿宋_GB2312" w:cs="Arial"/>
                <w:bCs/>
                <w:sz w:val="18"/>
                <w:szCs w:val="18"/>
              </w:rPr>
              <w:t>——</w:t>
            </w:r>
          </w:p>
        </w:tc>
        <w:tc>
          <w:tcPr>
            <w:tcW w:w="1205" w:type="dxa"/>
            <w:tcBorders>
              <w:left w:val="single" w:color="auto" w:sz="4" w:space="0"/>
            </w:tcBorders>
            <w:vAlign w:val="center"/>
          </w:tcPr>
          <w:p>
            <w:pPr>
              <w:spacing w:line="240" w:lineRule="exact"/>
              <w:jc w:val="center"/>
              <w:rPr>
                <w:rFonts w:ascii="Arial" w:hAnsi="Arial" w:eastAsia="仿宋_GB2312" w:cs="Arial"/>
                <w:bCs/>
                <w:sz w:val="18"/>
                <w:szCs w:val="18"/>
              </w:rPr>
            </w:pPr>
            <w:r>
              <w:rPr>
                <w:rFonts w:hint="eastAsia" w:ascii="Arial" w:hAnsi="Arial" w:eastAsia="仿宋_GB2312" w:cs="Arial"/>
                <w:bCs/>
                <w:sz w:val="18"/>
                <w:szCs w:val="18"/>
              </w:rPr>
              <w:t>由地下车库转为地下仓储需补缴地价为872.5916万元。</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pStyle w:val="52"/>
        <w:spacing w:line="240" w:lineRule="auto"/>
        <w:ind w:right="-408" w:rightChars="-170" w:firstLine="0" w:firstLineChars="0"/>
        <w:rPr>
          <w:rFonts w:ascii="Arial" w:hAnsi="Arial" w:cs="Arial"/>
          <w:bCs/>
          <w:sz w:val="21"/>
          <w:szCs w:val="21"/>
        </w:rPr>
      </w:pPr>
      <w:r>
        <w:rPr>
          <w:rFonts w:ascii="Arial" w:hAnsi="Arial" w:cs="Arial"/>
          <w:bCs/>
          <w:sz w:val="21"/>
          <w:szCs w:val="21"/>
        </w:rPr>
        <w:t>备注：本次为按实测数据签订补充协议项目，仅评估</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用途部分建筑面积，需补缴地价为</w:t>
      </w:r>
      <w:r>
        <w:rPr>
          <w:rFonts w:hint="eastAsia" w:ascii="Arial" w:hAnsi="Arial" w:cs="Arial"/>
          <w:bCs/>
          <w:sz w:val="21"/>
          <w:szCs w:val="21"/>
        </w:rPr>
        <w:t>调整</w:t>
      </w:r>
      <w:r>
        <w:rPr>
          <w:rFonts w:ascii="Arial" w:hAnsi="Arial" w:cs="Arial"/>
          <w:bCs/>
          <w:sz w:val="21"/>
          <w:szCs w:val="21"/>
        </w:rPr>
        <w:t>用途及</w:t>
      </w:r>
      <w:r>
        <w:rPr>
          <w:rFonts w:hint="eastAsia" w:ascii="Arial" w:hAnsi="Arial" w:cs="Arial"/>
          <w:bCs/>
          <w:sz w:val="21"/>
          <w:szCs w:val="21"/>
        </w:rPr>
        <w:t>减少</w:t>
      </w:r>
      <w:r>
        <w:rPr>
          <w:rFonts w:ascii="Arial" w:hAnsi="Arial" w:cs="Arial"/>
          <w:bCs/>
          <w:sz w:val="21"/>
          <w:szCs w:val="21"/>
        </w:rPr>
        <w:t>用途部分总价。</w:t>
      </w:r>
    </w:p>
    <w:p>
      <w:pPr>
        <w:spacing w:line="360" w:lineRule="auto"/>
        <w:rPr>
          <w:rFonts w:ascii="Arial" w:hAnsi="Arial" w:eastAsia="仿宋_GB2312" w:cs="Arial"/>
          <w:sz w:val="28"/>
          <w:szCs w:val="28"/>
        </w:rPr>
      </w:pPr>
    </w:p>
    <w:p>
      <w:pPr>
        <w:spacing w:line="360" w:lineRule="auto"/>
        <w:rPr>
          <w:rFonts w:ascii="Arial" w:hAnsi="Arial" w:cs="Arial"/>
          <w:b/>
          <w:szCs w:val="28"/>
        </w:rPr>
        <w:sectPr>
          <w:headerReference r:id="rId36" w:type="first"/>
          <w:pgSz w:w="16840" w:h="11907" w:orient="landscape"/>
          <w:pgMar w:top="2041" w:right="1134" w:bottom="1134" w:left="1134" w:header="1304" w:footer="1020" w:gutter="340"/>
          <w:cols w:space="720" w:num="1"/>
          <w:titlePg/>
          <w:docGrid w:linePitch="326" w:charSpace="0"/>
        </w:sectPr>
      </w:pPr>
    </w:p>
    <w:p>
      <w:pPr>
        <w:pStyle w:val="52"/>
        <w:ind w:firstLine="0" w:firstLineChars="0"/>
        <w:jc w:val="center"/>
        <w:rPr>
          <w:rFonts w:ascii="Arial" w:hAnsi="Arial" w:cs="Arial"/>
          <w:b/>
          <w:szCs w:val="28"/>
        </w:rPr>
      </w:pPr>
      <w:r>
        <w:rPr>
          <w:rFonts w:hint="eastAsia" w:ascii="Arial" w:hAnsi="Arial" w:cs="Arial"/>
          <w:b/>
          <w:szCs w:val="28"/>
        </w:rPr>
        <w:t>需补缴地价款总额表</w:t>
      </w:r>
    </w:p>
    <w:tbl>
      <w:tblPr>
        <w:tblStyle w:val="35"/>
        <w:tblW w:w="9298" w:type="dxa"/>
        <w:jc w:val="center"/>
        <w:tblLayout w:type="fixed"/>
        <w:tblCellMar>
          <w:top w:w="0" w:type="dxa"/>
          <w:left w:w="108" w:type="dxa"/>
          <w:bottom w:w="0" w:type="dxa"/>
          <w:right w:w="108" w:type="dxa"/>
        </w:tblCellMar>
      </w:tblPr>
      <w:tblGrid>
        <w:gridCol w:w="702"/>
        <w:gridCol w:w="1125"/>
        <w:gridCol w:w="1763"/>
        <w:gridCol w:w="1125"/>
        <w:gridCol w:w="1350"/>
        <w:gridCol w:w="1294"/>
        <w:gridCol w:w="1939"/>
      </w:tblGrid>
      <w:tr>
        <w:tblPrEx>
          <w:tblCellMar>
            <w:top w:w="0" w:type="dxa"/>
            <w:left w:w="108" w:type="dxa"/>
            <w:bottom w:w="0" w:type="dxa"/>
            <w:right w:w="108" w:type="dxa"/>
          </w:tblCellMar>
        </w:tblPrEx>
        <w:trPr>
          <w:trHeight w:val="360" w:hRule="atLeast"/>
          <w:jc w:val="center"/>
        </w:trPr>
        <w:tc>
          <w:tcPr>
            <w:tcW w:w="70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部位</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规划条件</w:t>
            </w:r>
          </w:p>
        </w:tc>
        <w:tc>
          <w:tcPr>
            <w:tcW w:w="1763"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w:t>
            </w:r>
          </w:p>
        </w:tc>
        <w:tc>
          <w:tcPr>
            <w:tcW w:w="1125"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楼面熟地价（元/㎡）</w:t>
            </w:r>
          </w:p>
        </w:tc>
        <w:tc>
          <w:tcPr>
            <w:tcW w:w="1350"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用途调整单价差（元/㎡）</w:t>
            </w:r>
          </w:p>
        </w:tc>
        <w:tc>
          <w:tcPr>
            <w:tcW w:w="1294"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变更面积（㎡）</w:t>
            </w:r>
          </w:p>
        </w:tc>
        <w:tc>
          <w:tcPr>
            <w:tcW w:w="1939"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需补缴地价总价（万元）</w:t>
            </w: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360" w:hRule="atLeast"/>
          <w:jc w:val="center"/>
        </w:trPr>
        <w:tc>
          <w:tcPr>
            <w:tcW w:w="702"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125"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350"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294"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c>
          <w:tcPr>
            <w:tcW w:w="1939" w:type="dxa"/>
            <w:vMerge w:val="continue"/>
            <w:tcBorders>
              <w:top w:val="single" w:color="000000" w:sz="8" w:space="0"/>
              <w:left w:val="nil"/>
              <w:bottom w:val="single" w:color="auto" w:sz="4" w:space="0"/>
              <w:right w:val="single" w:color="000000" w:sz="8" w:space="0"/>
            </w:tcBorders>
            <w:shd w:val="clear" w:color="auto" w:fill="auto"/>
            <w:vAlign w:val="center"/>
          </w:tcPr>
          <w:p>
            <w:pPr>
              <w:jc w:val="center"/>
              <w:rPr>
                <w:rFonts w:ascii="仿宋_GB2312" w:hAnsi="宋体" w:eastAsia="仿宋_GB2312" w:cs="仿宋_GB2312"/>
                <w:color w:val="000000"/>
                <w:sz w:val="22"/>
                <w:szCs w:val="22"/>
              </w:rPr>
            </w:pPr>
          </w:p>
        </w:tc>
      </w:tr>
      <w:tr>
        <w:tblPrEx>
          <w:tblCellMar>
            <w:top w:w="0" w:type="dxa"/>
            <w:left w:w="108" w:type="dxa"/>
            <w:bottom w:w="0" w:type="dxa"/>
            <w:right w:w="108" w:type="dxa"/>
          </w:tblCellMar>
        </w:tblPrEx>
        <w:trPr>
          <w:trHeight w:val="570" w:hRule="atLeast"/>
          <w:jc w:val="center"/>
        </w:trPr>
        <w:tc>
          <w:tcPr>
            <w:tcW w:w="70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地下</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用途调整</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新用途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地下仓储</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8309</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1662</w:t>
            </w:r>
          </w:p>
        </w:tc>
        <w:tc>
          <w:tcPr>
            <w:tcW w:w="12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5250.25</w:t>
            </w:r>
          </w:p>
        </w:tc>
        <w:tc>
          <w:tcPr>
            <w:tcW w:w="193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872.5916</w:t>
            </w:r>
          </w:p>
        </w:tc>
      </w:tr>
      <w:tr>
        <w:tblPrEx>
          <w:tblCellMar>
            <w:top w:w="0" w:type="dxa"/>
            <w:left w:w="108" w:type="dxa"/>
            <w:bottom w:w="0" w:type="dxa"/>
            <w:right w:w="108" w:type="dxa"/>
          </w:tblCellMar>
        </w:tblPrEx>
        <w:trPr>
          <w:trHeight w:val="570"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仿宋_GB2312"/>
                <w:color w:val="000000"/>
                <w:sz w:val="22"/>
                <w:szCs w:val="22"/>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color w:val="000000"/>
                <w:sz w:val="22"/>
                <w:szCs w:val="22"/>
              </w:rPr>
            </w:pPr>
            <w:r>
              <w:rPr>
                <w:rFonts w:ascii="仿宋_GB2312" w:hAnsi="宋体" w:eastAsia="仿宋_GB2312" w:cs="仿宋_GB2312"/>
                <w:color w:val="000000"/>
                <w:sz w:val="22"/>
                <w:szCs w:val="22"/>
                <w:lang w:bidi="ar"/>
              </w:rPr>
              <w:t>旧用途</w:t>
            </w:r>
            <w:r>
              <w:rPr>
                <w:rFonts w:ascii="Arial" w:hAnsi="Arial" w:eastAsia="仿宋_GB2312" w:cs="Arial"/>
                <w:color w:val="000000"/>
                <w:sz w:val="22"/>
                <w:szCs w:val="22"/>
                <w:lang w:bidi="ar"/>
              </w:rPr>
              <w:t>-</w:t>
            </w:r>
            <w:r>
              <w:rPr>
                <w:rFonts w:ascii="仿宋_GB2312" w:hAnsi="宋体" w:eastAsia="仿宋_GB2312" w:cs="仿宋_GB2312"/>
                <w:color w:val="000000"/>
                <w:sz w:val="22"/>
                <w:szCs w:val="22"/>
                <w:lang w:bidi="ar"/>
              </w:rPr>
              <w:t>地下车库</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22"/>
                <w:szCs w:val="22"/>
              </w:rPr>
            </w:pPr>
            <w:r>
              <w:rPr>
                <w:rFonts w:ascii="Arial" w:hAnsi="Arial" w:cs="Arial"/>
                <w:color w:val="000000"/>
                <w:sz w:val="22"/>
                <w:szCs w:val="22"/>
                <w:lang w:bidi="ar"/>
              </w:rPr>
              <w:t>6647</w:t>
            </w: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29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c>
          <w:tcPr>
            <w:tcW w:w="193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22"/>
                <w:szCs w:val="22"/>
              </w:rPr>
            </w:pPr>
          </w:p>
        </w:tc>
      </w:tr>
      <w:tr>
        <w:tblPrEx>
          <w:tblCellMar>
            <w:top w:w="0" w:type="dxa"/>
            <w:left w:w="108" w:type="dxa"/>
            <w:bottom w:w="0" w:type="dxa"/>
            <w:right w:w="108" w:type="dxa"/>
          </w:tblCellMar>
        </w:tblPrEx>
        <w:trPr>
          <w:trHeight w:val="315" w:hRule="atLeast"/>
          <w:jc w:val="center"/>
        </w:trPr>
        <w:tc>
          <w:tcPr>
            <w:tcW w:w="70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宋体" w:eastAsia="仿宋_GB2312" w:cs="仿宋_GB2312"/>
                <w:color w:val="000000"/>
                <w:sz w:val="22"/>
                <w:szCs w:val="22"/>
              </w:rPr>
            </w:pPr>
          </w:p>
        </w:tc>
        <w:tc>
          <w:tcPr>
            <w:tcW w:w="536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宋体" w:eastAsia="仿宋_GB2312" w:cs="仿宋_GB2312"/>
                <w:b/>
                <w:bCs/>
                <w:color w:val="000000"/>
                <w:sz w:val="22"/>
                <w:szCs w:val="22"/>
              </w:rPr>
            </w:pPr>
            <w:r>
              <w:rPr>
                <w:rFonts w:hint="eastAsia" w:ascii="仿宋_GB2312" w:hAnsi="宋体" w:eastAsia="仿宋_GB2312" w:cs="仿宋_GB2312"/>
                <w:b/>
                <w:bCs/>
                <w:color w:val="000000"/>
                <w:sz w:val="22"/>
                <w:szCs w:val="22"/>
                <w:lang w:bidi="ar"/>
              </w:rPr>
              <w:t>合</w:t>
            </w:r>
            <w:r>
              <w:rPr>
                <w:rFonts w:ascii="仿宋_GB2312" w:hAnsi="宋体" w:eastAsia="仿宋_GB2312" w:cs="仿宋_GB2312"/>
                <w:b/>
                <w:bCs/>
                <w:color w:val="000000"/>
                <w:sz w:val="22"/>
                <w:szCs w:val="22"/>
                <w:lang w:bidi="ar"/>
              </w:rPr>
              <w:t>计</w:t>
            </w:r>
          </w:p>
        </w:tc>
        <w:tc>
          <w:tcPr>
            <w:tcW w:w="12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w:t>
            </w:r>
          </w:p>
        </w:tc>
        <w:tc>
          <w:tcPr>
            <w:tcW w:w="19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22"/>
                <w:szCs w:val="22"/>
              </w:rPr>
            </w:pPr>
            <w:r>
              <w:rPr>
                <w:rFonts w:ascii="Arial" w:hAnsi="Arial" w:cs="Arial"/>
                <w:b/>
                <w:bCs/>
                <w:color w:val="000000"/>
                <w:sz w:val="22"/>
                <w:szCs w:val="22"/>
                <w:lang w:bidi="ar"/>
              </w:rPr>
              <w:t>872.5916</w:t>
            </w:r>
          </w:p>
        </w:tc>
      </w:tr>
    </w:tbl>
    <w:p>
      <w:pPr>
        <w:pStyle w:val="52"/>
        <w:ind w:firstLine="0" w:firstLineChars="0"/>
        <w:jc w:val="center"/>
        <w:rPr>
          <w:rFonts w:ascii="Arial" w:hAnsi="Arial" w:cs="Arial"/>
          <w:b/>
          <w:szCs w:val="28"/>
        </w:rPr>
      </w:pPr>
    </w:p>
    <w:p>
      <w:pPr>
        <w:snapToGrid w:val="0"/>
        <w:spacing w:line="360" w:lineRule="auto"/>
        <w:ind w:firstLine="556"/>
        <w:rPr>
          <w:rFonts w:ascii="Arial" w:hAnsi="Arial" w:eastAsia="仿宋_GB2312" w:cs="Arial"/>
          <w:sz w:val="28"/>
          <w:szCs w:val="28"/>
        </w:rPr>
      </w:pPr>
    </w:p>
    <w:p>
      <w:pPr>
        <w:pStyle w:val="52"/>
        <w:jc w:val="center"/>
        <w:rPr>
          <w:rFonts w:ascii="Arial" w:hAnsi="Arial" w:cs="Arial"/>
          <w:szCs w:val="28"/>
        </w:rPr>
      </w:pPr>
    </w:p>
    <w:p>
      <w:pPr>
        <w:spacing w:line="360" w:lineRule="auto"/>
        <w:jc w:val="both"/>
        <w:rPr>
          <w:rFonts w:ascii="Arial" w:hAnsi="Arial" w:eastAsia="仿宋_GB2312" w:cs="Arial"/>
          <w:sz w:val="28"/>
        </w:rPr>
        <w:sectPr>
          <w:pgSz w:w="11907" w:h="16840"/>
          <w:pgMar w:top="1843" w:right="1134" w:bottom="1134" w:left="1134" w:header="1134" w:footer="907" w:gutter="340"/>
          <w:cols w:space="720" w:num="1"/>
          <w:titlePg/>
          <w:docGrid w:linePitch="326" w:charSpace="0"/>
        </w:sectPr>
      </w:pPr>
    </w:p>
    <w:p>
      <w:pPr>
        <w:spacing w:line="360" w:lineRule="auto"/>
        <w:jc w:val="center"/>
        <w:outlineLvl w:val="0"/>
        <w:rPr>
          <w:rFonts w:ascii="Arial" w:hAnsi="Arial" w:cs="Arial"/>
          <w:b/>
          <w:sz w:val="32"/>
        </w:rPr>
      </w:pPr>
      <w:bookmarkStart w:id="311" w:name="_Toc69393405"/>
      <w:bookmarkStart w:id="312" w:name="_Toc66929530"/>
      <w:r>
        <w:rPr>
          <w:rFonts w:ascii="Arial" w:hAnsi="Arial" w:eastAsia="仿宋_GB2312" w:cs="Arial"/>
          <w:b/>
          <w:sz w:val="32"/>
        </w:rPr>
        <w:t xml:space="preserve">第四部分  </w:t>
      </w:r>
      <w:bookmarkStart w:id="313" w:name="_Toc515457834"/>
      <w:bookmarkStart w:id="314" w:name="_Toc516488223"/>
      <w:bookmarkStart w:id="315" w:name="_Toc524335123"/>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03"/>
      <w:bookmarkEnd w:id="304"/>
      <w:bookmarkEnd w:id="305"/>
      <w:bookmarkEnd w:id="311"/>
      <w:bookmarkEnd w:id="312"/>
      <w:bookmarkEnd w:id="313"/>
      <w:bookmarkEnd w:id="314"/>
      <w:bookmarkEnd w:id="315"/>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w:t>
      </w:r>
      <w:r>
        <w:rPr>
          <w:rFonts w:ascii="Arial" w:hAnsi="Arial" w:eastAsia="仿宋_GB2312" w:cs="Arial"/>
          <w:sz w:val="28"/>
          <w:szCs w:val="28"/>
        </w:rPr>
        <w:t>《北京市国有土地使用权出让合同》[</w:t>
      </w:r>
      <w:r>
        <w:rPr>
          <w:rFonts w:hint="eastAsia" w:ascii="Arial" w:hAnsi="Arial" w:eastAsia="仿宋_GB2312" w:cs="Arial"/>
          <w:sz w:val="28"/>
          <w:szCs w:val="28"/>
        </w:rPr>
        <w:t>京地出[合]字（2004）第1251号</w:t>
      </w:r>
      <w:r>
        <w:rPr>
          <w:rFonts w:ascii="Arial" w:hAnsi="Arial" w:eastAsia="仿宋_GB2312" w:cs="Arial"/>
          <w:sz w:val="28"/>
          <w:szCs w:val="28"/>
        </w:rPr>
        <w:t>]及其补充协议</w:t>
      </w:r>
      <w:r>
        <w:rPr>
          <w:rFonts w:hint="eastAsia"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w:t>
      </w:r>
      <w:r>
        <w:rPr>
          <w:rFonts w:hint="eastAsia" w:ascii="Arial" w:hAnsi="Arial" w:eastAsia="仿宋_GB2312" w:cs="Arial"/>
          <w:sz w:val="28"/>
          <w:szCs w:val="28"/>
        </w:rPr>
        <w:t>《地价款缴纳情况证明书》[编号：（2014）年0194号]复印件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w:t>
      </w:r>
      <w:r>
        <w:rPr>
          <w:rFonts w:hint="eastAsia" w:ascii="Arial" w:hAnsi="Arial" w:eastAsia="仿宋_GB2312" w:cs="Arial"/>
          <w:sz w:val="28"/>
          <w:szCs w:val="28"/>
        </w:rPr>
        <w:t>《不动产权证书》[京（2015）海淀区不动产权第0000005号]复印件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w:t>
      </w:r>
      <w:r>
        <w:rPr>
          <w:rFonts w:hint="eastAsia" w:ascii="Arial" w:hAnsi="Arial" w:eastAsia="仿宋_GB2312" w:cs="Arial"/>
          <w:sz w:val="28"/>
          <w:szCs w:val="28"/>
        </w:rPr>
        <w:t>《建设用地规划许可证》[2006规字第0010号]及附件和附图复印件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.《人防工程建设规划设计条件意见书》[2006京防规意字032号]复印件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.《建设工程规划许可证》[2010规（海）建字0040号]及附件复印件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.《北京市规划委员会规划意见复函》[2012规（海）复函字0018号]复印件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11.</w:t>
      </w:r>
      <w:r>
        <w:rPr>
          <w:rFonts w:hint="eastAsia" w:ascii="Arial" w:hAnsi="Arial" w:eastAsia="仿宋_GB2312" w:cs="Arial"/>
          <w:sz w:val="28"/>
        </w:rPr>
        <w:t>《人防工程竣工验收备案通知单》[（2018）京防（海）竣备字0010、0011号]复印件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2</w:t>
      </w:r>
      <w:r>
        <w:rPr>
          <w:rFonts w:hint="eastAsia" w:ascii="Arial" w:hAnsi="Arial" w:eastAsia="仿宋_GB2312" w:cs="Arial"/>
          <w:sz w:val="28"/>
        </w:rPr>
        <w:t>.《建设工程规划核验（验收）意见》[2018规土（海）竣字0001号]复印件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w:t>
      </w:r>
      <w:r>
        <w:rPr>
          <w:rFonts w:ascii="Arial" w:hAnsi="Arial" w:eastAsia="仿宋_GB2312" w:cs="Arial"/>
          <w:sz w:val="28"/>
        </w:rPr>
        <w:t>3</w:t>
      </w:r>
      <w:r>
        <w:rPr>
          <w:rFonts w:hint="eastAsia" w:ascii="Arial" w:hAnsi="Arial" w:eastAsia="仿宋_GB2312" w:cs="Arial"/>
          <w:sz w:val="28"/>
        </w:rPr>
        <w:t>.《工程竣工验收备案表》[0599海竣2018（建）0075号]复印件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14.</w:t>
      </w:r>
      <w:r>
        <w:rPr>
          <w:rFonts w:hint="eastAsia" w:ascii="Arial" w:hAnsi="Arial" w:eastAsia="仿宋_GB2312" w:cs="Arial"/>
          <w:sz w:val="28"/>
        </w:rPr>
        <w:t>《北京市门牌、楼牌编号证明信》[（2019）海公牌证字0208号]复印件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15.</w:t>
      </w:r>
      <w:r>
        <w:rPr>
          <w:rFonts w:hint="eastAsia" w:ascii="Arial" w:hAnsi="Arial" w:eastAsia="仿宋_GB2312" w:cs="Arial"/>
          <w:sz w:val="28"/>
        </w:rPr>
        <w:t>《房屋面积测算技术报告书（商品房类使用）》复印件</w:t>
      </w:r>
    </w:p>
    <w:p>
      <w:pPr>
        <w:spacing w:line="360" w:lineRule="auto"/>
        <w:ind w:firstLine="560" w:firstLineChars="200"/>
        <w:jc w:val="both"/>
        <w:rPr>
          <w:rFonts w:ascii="Arial" w:hAnsi="Arial" w:eastAsia="仿宋_GB2312" w:cs="Arial"/>
          <w:sz w:val="28"/>
        </w:rPr>
      </w:pPr>
      <w:r>
        <w:rPr>
          <w:rFonts w:ascii="Arial" w:hAnsi="Arial" w:eastAsia="楷体_GB2312" w:cs="Arial"/>
          <w:sz w:val="28"/>
        </w:rPr>
        <w:t>16.</w:t>
      </w:r>
      <w:r>
        <w:rPr>
          <w:rFonts w:hint="eastAsia" w:ascii="Arial" w:hAnsi="Arial" w:eastAsia="仿宋_GB2312" w:cs="Arial"/>
          <w:sz w:val="28"/>
        </w:rPr>
        <w:t>《房屋登记表》复印件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17.《房产测绘成果审核办理结果通知书》[编号：[2020]135083号]复印件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18.《关于清河嘉园西区8#住宅楼、9#住宅楼及3#地下车库项目地下车库、仓储面积的说明》复印件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19.《关于清河危改小区项目8、9#楼地块建筑面积及用途的说明》复印件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20.《北京市海淀区清河嘉园西区1号楼、3号楼、100幢土地分摊说明》复印件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21.《居委会办公和活动用房移交协议书》复印件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22.《竣工项目测绘成果说明》复印件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23.不动产权利人</w:t>
      </w:r>
      <w:r>
        <w:rPr>
          <w:rFonts w:ascii="Arial" w:hAnsi="Arial" w:eastAsia="仿宋_GB2312" w:cs="Arial"/>
          <w:sz w:val="28"/>
        </w:rPr>
        <w:t>《营业执照》复印件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24.</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25.</w:t>
      </w:r>
      <w:r>
        <w:rPr>
          <w:rFonts w:ascii="Arial" w:hAnsi="Arial" w:eastAsia="仿宋_GB2312" w:cs="Arial"/>
          <w:sz w:val="28"/>
        </w:rPr>
        <w:t>估价机构评估资质复印件</w:t>
      </w:r>
    </w:p>
    <w:p>
      <w:pPr>
        <w:spacing w:line="360" w:lineRule="auto"/>
        <w:ind w:firstLine="560" w:firstLineChars="200"/>
        <w:jc w:val="both"/>
        <w:rPr>
          <w:rFonts w:ascii="Arial" w:hAnsi="Arial" w:cs="Arial"/>
        </w:rPr>
      </w:pPr>
      <w:r>
        <w:rPr>
          <w:rFonts w:hint="eastAsia" w:ascii="Arial" w:hAnsi="Arial" w:eastAsia="仿宋_GB2312" w:cs="Arial"/>
          <w:sz w:val="28"/>
        </w:rPr>
        <w:t>26.</w:t>
      </w:r>
      <w:r>
        <w:rPr>
          <w:rFonts w:ascii="Arial" w:hAnsi="Arial" w:eastAsia="仿宋_GB2312" w:cs="Arial"/>
          <w:sz w:val="28"/>
        </w:rPr>
        <w:t>评估专业人员资质证书复印件</w:t>
      </w:r>
    </w:p>
    <w:p/>
    <w:sectPr>
      <w:headerReference r:id="rId37" w:type="default"/>
      <w:footerReference r:id="rId38"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odern">
    <w:altName w:val="Modern No. 20"/>
    <w:panose1 w:val="00000000000000000000"/>
    <w:charset w:val="00"/>
    <w:family w:val="modern"/>
    <w:pitch w:val="default"/>
    <w:sig w:usb0="00000000" w:usb1="00000000" w:usb2="00000000" w:usb3="00000000" w:csb0="00000000" w:csb1="00000000"/>
  </w:font>
  <w:font w:name="Modern No. 20">
    <w:panose1 w:val="02070704070505020303"/>
    <w:charset w:val="00"/>
    <w:family w:val="auto"/>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Courier New">
    <w:panose1 w:val="02070309020205020404"/>
    <w:charset w:val="00"/>
    <w:family w:val="modern"/>
    <w:pitch w:val="default"/>
    <w:sig w:usb0="E0002AFF" w:usb1="C0007843" w:usb2="00000009" w:usb3="00000000" w:csb0="400001FF" w:csb1="FFFF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黑体萄">
    <w:altName w:val="方正舒体"/>
    <w:panose1 w:val="00000000000000000000"/>
    <w:charset w:val="86"/>
    <w:family w:val="swiss"/>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Batang">
    <w:panose1 w:val="02030600000101010101"/>
    <w:charset w:val="81"/>
    <w:family w:val="roman"/>
    <w:pitch w:val="default"/>
    <w:sig w:usb0="B00002AF" w:usb1="69D77CFB" w:usb2="00000030" w:usb3="00000000" w:csb0="4008009F" w:csb1="DFD70000"/>
  </w:font>
  <w:font w:name="昆仑仿宋">
    <w:altName w:val="宋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DY188+ZIbJFZ-196">
    <w:altName w:val="方正舒体"/>
    <w:panose1 w:val="00000000000000000000"/>
    <w:charset w:val="86"/>
    <w:family w:val="auto"/>
    <w:pitch w:val="default"/>
    <w:sig w:usb0="00000000" w:usb1="00000000" w:usb2="00000010" w:usb3="00000000" w:csb0="00040000" w:csb1="00000000"/>
  </w:font>
  <w:font w:name="DY2+ZIbJFB-2">
    <w:altName w:val="方正舒体"/>
    <w:panose1 w:val="00000000000000000000"/>
    <w:charset w:val="86"/>
    <w:family w:val="auto"/>
    <w:pitch w:val="default"/>
    <w:sig w:usb0="00000000" w:usb1="00000000" w:usb2="00000010" w:usb3="00000000" w:csb0="00040000" w:csb1="00000000"/>
  </w:font>
  <w:font w:name="DY189+ZIbJFZ-197">
    <w:altName w:val="方正舒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rPr>
      <w:t>51</w:t>
    </w: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16</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18</w:t>
    </w:r>
    <w:r>
      <w:rPr>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55</w:t>
    </w:r>
    <w:r>
      <w:rPr>
        <w:rFonts w:ascii="Arial" w:hAnsi="Arial"/>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404040" w:sz="4" w:space="1"/>
      </w:pBdr>
      <w:spacing w:line="240" w:lineRule="auto"/>
      <w:jc w:val="cente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67</w:t>
    </w:r>
    <w:r>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97</w:t>
    </w:r>
    <w:r>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99</w:t>
    </w:r>
    <w:r>
      <w:rPr>
        <w:rFonts w:ascii="Arial" w:hAnsi="Arial"/>
        <w:lang w:val="zh-CN"/>
      </w:rP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101</w:t>
    </w:r>
    <w:r>
      <w:rPr>
        <w:rFonts w:ascii="Arial" w:hAnsi="Arial"/>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Style w:val="39"/>
      </w:rPr>
    </w:pPr>
    <w:r>
      <w:rPr>
        <w:rStyle w:val="39"/>
      </w:rPr>
      <w:fldChar w:fldCharType="begin"/>
    </w:r>
    <w:r>
      <w:rPr>
        <w:rStyle w:val="39"/>
      </w:rPr>
      <w:instrText xml:space="preserve">PAGE   \* MERGEFORMAT</w:instrText>
    </w:r>
    <w:r>
      <w:rPr>
        <w:rStyle w:val="39"/>
      </w:rPr>
      <w:fldChar w:fldCharType="separate"/>
    </w:r>
    <w:r>
      <w:rPr>
        <w:rStyle w:val="39"/>
        <w:lang w:val="zh-CN"/>
      </w:rPr>
      <w:t>12</w:t>
    </w:r>
    <w:r>
      <w:rPr>
        <w:rStyle w:val="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14</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fldChar w:fldCharType="begin"/>
    </w:r>
    <w:r>
      <w:instrText xml:space="preserve">PAGE   \* MERGEFORMAT</w:instrText>
    </w:r>
    <w:r>
      <w:fldChar w:fldCharType="separate"/>
    </w:r>
    <w:r>
      <w:rPr>
        <w:lang w:val="zh-CN"/>
      </w:rPr>
      <w:t>71</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5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499100" cy="284480"/>
          <wp:effectExtent l="0" t="0" r="6350" b="1270"/>
          <wp:docPr id="60"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60"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r>
      <w:drawing>
        <wp:inline distT="0" distB="0" distL="114300" distR="114300">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楷体_GB2312" w:eastAsia="楷体_GB2312"/>
        <w:spacing w:val="-20"/>
      </w:rPr>
    </w:pPr>
    <w:r>
      <w:drawing>
        <wp:inline distT="0" distB="0" distL="114300" distR="114300">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5962B"/>
    <w:multiLevelType w:val="singleLevel"/>
    <w:tmpl w:val="D2B5962B"/>
    <w:lvl w:ilvl="0" w:tentative="0">
      <w:start w:val="6"/>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FA"/>
    <w:rsid w:val="00026228"/>
    <w:rsid w:val="00061812"/>
    <w:rsid w:val="00070B44"/>
    <w:rsid w:val="00072076"/>
    <w:rsid w:val="000929DD"/>
    <w:rsid w:val="0009314F"/>
    <w:rsid w:val="000A2F19"/>
    <w:rsid w:val="000A5083"/>
    <w:rsid w:val="000A67B1"/>
    <w:rsid w:val="000B32FD"/>
    <w:rsid w:val="000B5A6B"/>
    <w:rsid w:val="000B71A5"/>
    <w:rsid w:val="000D4E49"/>
    <w:rsid w:val="000F640C"/>
    <w:rsid w:val="00123EE9"/>
    <w:rsid w:val="00126C94"/>
    <w:rsid w:val="00134C60"/>
    <w:rsid w:val="00146331"/>
    <w:rsid w:val="00150704"/>
    <w:rsid w:val="001540AB"/>
    <w:rsid w:val="00157F7A"/>
    <w:rsid w:val="00171B07"/>
    <w:rsid w:val="00191657"/>
    <w:rsid w:val="00193C0E"/>
    <w:rsid w:val="001B1AE2"/>
    <w:rsid w:val="001B2360"/>
    <w:rsid w:val="001D1845"/>
    <w:rsid w:val="001E1169"/>
    <w:rsid w:val="001F4B24"/>
    <w:rsid w:val="001F66FC"/>
    <w:rsid w:val="00202A32"/>
    <w:rsid w:val="00202E52"/>
    <w:rsid w:val="00204D34"/>
    <w:rsid w:val="00207644"/>
    <w:rsid w:val="00211E9F"/>
    <w:rsid w:val="002321A9"/>
    <w:rsid w:val="00273576"/>
    <w:rsid w:val="00287543"/>
    <w:rsid w:val="002A216E"/>
    <w:rsid w:val="002A554C"/>
    <w:rsid w:val="002C02C3"/>
    <w:rsid w:val="002C3804"/>
    <w:rsid w:val="002C3ABF"/>
    <w:rsid w:val="002F113D"/>
    <w:rsid w:val="00310030"/>
    <w:rsid w:val="00310547"/>
    <w:rsid w:val="00314A76"/>
    <w:rsid w:val="00324410"/>
    <w:rsid w:val="00330CBD"/>
    <w:rsid w:val="00334BF4"/>
    <w:rsid w:val="003639F9"/>
    <w:rsid w:val="00370359"/>
    <w:rsid w:val="00373F94"/>
    <w:rsid w:val="00377619"/>
    <w:rsid w:val="00382993"/>
    <w:rsid w:val="003A0A84"/>
    <w:rsid w:val="003A1485"/>
    <w:rsid w:val="003B1051"/>
    <w:rsid w:val="003B671A"/>
    <w:rsid w:val="003C313E"/>
    <w:rsid w:val="003D023D"/>
    <w:rsid w:val="003E0F06"/>
    <w:rsid w:val="003E27DF"/>
    <w:rsid w:val="003F2D01"/>
    <w:rsid w:val="004322E9"/>
    <w:rsid w:val="004465D8"/>
    <w:rsid w:val="00446802"/>
    <w:rsid w:val="00454D3E"/>
    <w:rsid w:val="00470299"/>
    <w:rsid w:val="00475BF9"/>
    <w:rsid w:val="0048307F"/>
    <w:rsid w:val="004873DC"/>
    <w:rsid w:val="00492E2C"/>
    <w:rsid w:val="004A2C77"/>
    <w:rsid w:val="004A59E4"/>
    <w:rsid w:val="004A7786"/>
    <w:rsid w:val="004C2291"/>
    <w:rsid w:val="004D6C9D"/>
    <w:rsid w:val="004E1A24"/>
    <w:rsid w:val="004F6EE1"/>
    <w:rsid w:val="00503BBF"/>
    <w:rsid w:val="005062BF"/>
    <w:rsid w:val="005256F1"/>
    <w:rsid w:val="00530D89"/>
    <w:rsid w:val="00541729"/>
    <w:rsid w:val="00541FC8"/>
    <w:rsid w:val="005424B1"/>
    <w:rsid w:val="005452B6"/>
    <w:rsid w:val="00570C05"/>
    <w:rsid w:val="00576285"/>
    <w:rsid w:val="00586573"/>
    <w:rsid w:val="00593424"/>
    <w:rsid w:val="005A0536"/>
    <w:rsid w:val="005A79D0"/>
    <w:rsid w:val="005B43B8"/>
    <w:rsid w:val="005E1306"/>
    <w:rsid w:val="005E28EC"/>
    <w:rsid w:val="005E359F"/>
    <w:rsid w:val="005F5451"/>
    <w:rsid w:val="00631615"/>
    <w:rsid w:val="00654CD0"/>
    <w:rsid w:val="00656EC6"/>
    <w:rsid w:val="006A0924"/>
    <w:rsid w:val="006A4682"/>
    <w:rsid w:val="006C364C"/>
    <w:rsid w:val="006C6A6F"/>
    <w:rsid w:val="006E74D2"/>
    <w:rsid w:val="007019C7"/>
    <w:rsid w:val="00711355"/>
    <w:rsid w:val="00723242"/>
    <w:rsid w:val="00727C7C"/>
    <w:rsid w:val="0074010A"/>
    <w:rsid w:val="00770A07"/>
    <w:rsid w:val="00771E24"/>
    <w:rsid w:val="00773973"/>
    <w:rsid w:val="007842C5"/>
    <w:rsid w:val="0078544D"/>
    <w:rsid w:val="007C3005"/>
    <w:rsid w:val="007C36F2"/>
    <w:rsid w:val="007F6689"/>
    <w:rsid w:val="00806BBF"/>
    <w:rsid w:val="00810B19"/>
    <w:rsid w:val="00835E64"/>
    <w:rsid w:val="008635A7"/>
    <w:rsid w:val="008869AB"/>
    <w:rsid w:val="00887F19"/>
    <w:rsid w:val="008B052A"/>
    <w:rsid w:val="008B58C6"/>
    <w:rsid w:val="008D370B"/>
    <w:rsid w:val="008D5406"/>
    <w:rsid w:val="008D5BA2"/>
    <w:rsid w:val="00920E53"/>
    <w:rsid w:val="00936D15"/>
    <w:rsid w:val="009575B3"/>
    <w:rsid w:val="00967D80"/>
    <w:rsid w:val="00985692"/>
    <w:rsid w:val="0098577C"/>
    <w:rsid w:val="009B7BA2"/>
    <w:rsid w:val="009C1616"/>
    <w:rsid w:val="009D1EA2"/>
    <w:rsid w:val="009D2668"/>
    <w:rsid w:val="009D71B7"/>
    <w:rsid w:val="009E410B"/>
    <w:rsid w:val="009F4456"/>
    <w:rsid w:val="00A204EC"/>
    <w:rsid w:val="00A37684"/>
    <w:rsid w:val="00A4401A"/>
    <w:rsid w:val="00A52AC4"/>
    <w:rsid w:val="00A60A06"/>
    <w:rsid w:val="00A62E08"/>
    <w:rsid w:val="00A70258"/>
    <w:rsid w:val="00A86DFA"/>
    <w:rsid w:val="00AB575D"/>
    <w:rsid w:val="00AC30F4"/>
    <w:rsid w:val="00AC5A05"/>
    <w:rsid w:val="00AE6A85"/>
    <w:rsid w:val="00B01189"/>
    <w:rsid w:val="00B230A9"/>
    <w:rsid w:val="00B46B0D"/>
    <w:rsid w:val="00B80F95"/>
    <w:rsid w:val="00B83497"/>
    <w:rsid w:val="00BB44AF"/>
    <w:rsid w:val="00BC6EDC"/>
    <w:rsid w:val="00BE000D"/>
    <w:rsid w:val="00BE6594"/>
    <w:rsid w:val="00BF0453"/>
    <w:rsid w:val="00C27A00"/>
    <w:rsid w:val="00C43340"/>
    <w:rsid w:val="00C50E73"/>
    <w:rsid w:val="00C70FA0"/>
    <w:rsid w:val="00C8040A"/>
    <w:rsid w:val="00C80498"/>
    <w:rsid w:val="00C80E9F"/>
    <w:rsid w:val="00C81828"/>
    <w:rsid w:val="00C8441E"/>
    <w:rsid w:val="00CB3AA4"/>
    <w:rsid w:val="00CC0C1B"/>
    <w:rsid w:val="00CC2915"/>
    <w:rsid w:val="00CC5B95"/>
    <w:rsid w:val="00CD0F30"/>
    <w:rsid w:val="00CE08A5"/>
    <w:rsid w:val="00CE4462"/>
    <w:rsid w:val="00D112F8"/>
    <w:rsid w:val="00D22778"/>
    <w:rsid w:val="00D2327E"/>
    <w:rsid w:val="00D3576D"/>
    <w:rsid w:val="00D43622"/>
    <w:rsid w:val="00D72292"/>
    <w:rsid w:val="00D829B8"/>
    <w:rsid w:val="00DA5B99"/>
    <w:rsid w:val="00DB53CD"/>
    <w:rsid w:val="00DC566A"/>
    <w:rsid w:val="00DE15EC"/>
    <w:rsid w:val="00DE3C2A"/>
    <w:rsid w:val="00E02248"/>
    <w:rsid w:val="00E111B9"/>
    <w:rsid w:val="00E2648C"/>
    <w:rsid w:val="00E47CE0"/>
    <w:rsid w:val="00E56ABF"/>
    <w:rsid w:val="00E64833"/>
    <w:rsid w:val="00E75CF8"/>
    <w:rsid w:val="00E820E3"/>
    <w:rsid w:val="00E84DF8"/>
    <w:rsid w:val="00E947AE"/>
    <w:rsid w:val="00E967FB"/>
    <w:rsid w:val="00EA5E28"/>
    <w:rsid w:val="00EC19A5"/>
    <w:rsid w:val="00ED20F4"/>
    <w:rsid w:val="00ED4C69"/>
    <w:rsid w:val="00EE7E98"/>
    <w:rsid w:val="00EF59C9"/>
    <w:rsid w:val="00F1591E"/>
    <w:rsid w:val="00F2404D"/>
    <w:rsid w:val="00F37DC9"/>
    <w:rsid w:val="00F631FB"/>
    <w:rsid w:val="00FB4630"/>
    <w:rsid w:val="00FC7D32"/>
    <w:rsid w:val="00FD7616"/>
    <w:rsid w:val="00FE42C9"/>
    <w:rsid w:val="00FF662C"/>
    <w:rsid w:val="026F64C5"/>
    <w:rsid w:val="0A433F3D"/>
    <w:rsid w:val="0B3E2B2E"/>
    <w:rsid w:val="0ED300D6"/>
    <w:rsid w:val="1475403F"/>
    <w:rsid w:val="14FD57B5"/>
    <w:rsid w:val="163C51B8"/>
    <w:rsid w:val="1B335F6F"/>
    <w:rsid w:val="2BD92FE6"/>
    <w:rsid w:val="2E5B7EF1"/>
    <w:rsid w:val="34442021"/>
    <w:rsid w:val="42E45830"/>
    <w:rsid w:val="4F092E90"/>
    <w:rsid w:val="541C5BC6"/>
    <w:rsid w:val="57010887"/>
    <w:rsid w:val="5DE54E97"/>
    <w:rsid w:val="6011550A"/>
    <w:rsid w:val="623125FC"/>
    <w:rsid w:val="659E0682"/>
    <w:rsid w:val="67340B6F"/>
    <w:rsid w:val="6CC83FFB"/>
    <w:rsid w:val="6DFC5D0D"/>
    <w:rsid w:val="711037F7"/>
    <w:rsid w:val="7C776EA4"/>
    <w:rsid w:val="7D463518"/>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字符"/>
    <w:basedOn w:val="37"/>
    <w:link w:val="2"/>
    <w:qFormat/>
    <w:uiPriority w:val="0"/>
    <w:rPr>
      <w:rFonts w:ascii="Arial" w:hAnsi="Arial" w:eastAsia="仿宋_GB2312" w:cs="Times New Roman"/>
      <w:b/>
      <w:kern w:val="0"/>
      <w:sz w:val="28"/>
      <w:szCs w:val="20"/>
    </w:rPr>
  </w:style>
  <w:style w:type="character" w:customStyle="1" w:styleId="43">
    <w:name w:val="标题 2 字符"/>
    <w:basedOn w:val="37"/>
    <w:link w:val="3"/>
    <w:qFormat/>
    <w:uiPriority w:val="0"/>
    <w:rPr>
      <w:rFonts w:ascii="Arial" w:hAnsi="Arial" w:eastAsia="仿宋_GB2312" w:cs="Times New Roman"/>
      <w:b/>
      <w:bCs/>
      <w:kern w:val="0"/>
      <w:sz w:val="28"/>
      <w:szCs w:val="20"/>
    </w:rPr>
  </w:style>
  <w:style w:type="character" w:customStyle="1" w:styleId="44">
    <w:name w:val="标题 3 字符"/>
    <w:basedOn w:val="37"/>
    <w:link w:val="4"/>
    <w:qFormat/>
    <w:uiPriority w:val="0"/>
    <w:rPr>
      <w:rFonts w:ascii="仿宋_GB2312" w:hAnsi="Arial" w:eastAsia="仿宋_GB2312" w:cs="Times New Roman"/>
      <w:kern w:val="0"/>
      <w:sz w:val="28"/>
      <w:szCs w:val="20"/>
    </w:rPr>
  </w:style>
  <w:style w:type="character" w:customStyle="1" w:styleId="45">
    <w:name w:val="标题 4 字符"/>
    <w:basedOn w:val="37"/>
    <w:link w:val="5"/>
    <w:qFormat/>
    <w:uiPriority w:val="0"/>
    <w:rPr>
      <w:rFonts w:ascii="仿宋_GB2312" w:hAnsi="Times New Roman" w:eastAsia="仿宋_GB2312" w:cs="Times New Roman"/>
      <w:kern w:val="0"/>
      <w:sz w:val="28"/>
      <w:szCs w:val="20"/>
    </w:rPr>
  </w:style>
  <w:style w:type="character" w:customStyle="1" w:styleId="46">
    <w:name w:val="页眉 字符"/>
    <w:basedOn w:val="37"/>
    <w:link w:val="22"/>
    <w:qFormat/>
    <w:uiPriority w:val="99"/>
    <w:rPr>
      <w:sz w:val="18"/>
      <w:szCs w:val="18"/>
    </w:rPr>
  </w:style>
  <w:style w:type="character" w:customStyle="1" w:styleId="47">
    <w:name w:val="页脚 字符"/>
    <w:basedOn w:val="37"/>
    <w:link w:val="21"/>
    <w:qFormat/>
    <w:uiPriority w:val="99"/>
    <w:rPr>
      <w:sz w:val="18"/>
      <w:szCs w:val="18"/>
    </w:rPr>
  </w:style>
  <w:style w:type="character" w:customStyle="1" w:styleId="48">
    <w:name w:val="正文文本 3 字符"/>
    <w:basedOn w:val="37"/>
    <w:link w:val="10"/>
    <w:qFormat/>
    <w:uiPriority w:val="0"/>
    <w:rPr>
      <w:rFonts w:ascii="楷体_GB2312" w:hAnsi="Arial" w:eastAsia="楷体_GB2312" w:cs="Times New Roman"/>
      <w:kern w:val="0"/>
      <w:sz w:val="32"/>
      <w:szCs w:val="20"/>
    </w:rPr>
  </w:style>
  <w:style w:type="character" w:customStyle="1" w:styleId="49">
    <w:name w:val="正文文本 字符"/>
    <w:basedOn w:val="37"/>
    <w:link w:val="11"/>
    <w:qFormat/>
    <w:uiPriority w:val="0"/>
    <w:rPr>
      <w:rFonts w:ascii="宋体" w:hAnsi="Times New Roman" w:eastAsia="宋体" w:cs="Times New Roman"/>
      <w:kern w:val="0"/>
      <w:sz w:val="30"/>
      <w:szCs w:val="20"/>
    </w:rPr>
  </w:style>
  <w:style w:type="character" w:customStyle="1" w:styleId="50">
    <w:name w:val="正文文本缩进 字符"/>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字符"/>
    <w:basedOn w:val="37"/>
    <w:link w:val="20"/>
    <w:qFormat/>
    <w:uiPriority w:val="99"/>
    <w:rPr>
      <w:rFonts w:ascii="Times New Roman" w:hAnsi="Times New Roman" w:eastAsia="宋体" w:cs="Times New Roman"/>
      <w:kern w:val="0"/>
      <w:sz w:val="18"/>
      <w:szCs w:val="18"/>
    </w:rPr>
  </w:style>
  <w:style w:type="character" w:customStyle="1" w:styleId="57">
    <w:name w:val="批注文字 字符"/>
    <w:basedOn w:val="37"/>
    <w:link w:val="9"/>
    <w:qFormat/>
    <w:uiPriority w:val="99"/>
    <w:rPr>
      <w:rFonts w:ascii="Times New Roman" w:hAnsi="Times New Roman" w:eastAsia="宋体" w:cs="Times New Roman"/>
      <w:kern w:val="0"/>
      <w:sz w:val="24"/>
      <w:szCs w:val="20"/>
    </w:rPr>
  </w:style>
  <w:style w:type="character" w:customStyle="1" w:styleId="58">
    <w:name w:val="批注主题 字符"/>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字符"/>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字符"/>
    <w:basedOn w:val="49"/>
    <w:link w:val="34"/>
    <w:qFormat/>
    <w:uiPriority w:val="0"/>
    <w:rPr>
      <w:rFonts w:ascii="Times New Roman" w:hAnsi="Times New Roman" w:eastAsia="宋体" w:cs="Times New Roman"/>
      <w:kern w:val="0"/>
      <w:sz w:val="30"/>
      <w:szCs w:val="20"/>
    </w:rPr>
  </w:style>
  <w:style w:type="character" w:customStyle="1" w:styleId="65">
    <w:name w:val="正文文本缩进 2 字符"/>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字符"/>
    <w:basedOn w:val="37"/>
    <w:link w:val="27"/>
    <w:qFormat/>
    <w:uiPriority w:val="0"/>
    <w:rPr>
      <w:rFonts w:ascii="Arial" w:hAnsi="Arial" w:eastAsia="仿宋_GB2312" w:cs="Times New Roman"/>
      <w:kern w:val="0"/>
      <w:sz w:val="28"/>
      <w:szCs w:val="20"/>
    </w:rPr>
  </w:style>
  <w:style w:type="character" w:customStyle="1" w:styleId="67">
    <w:name w:val="正文文本 2 字符"/>
    <w:basedOn w:val="37"/>
    <w:link w:val="30"/>
    <w:qFormat/>
    <w:uiPriority w:val="0"/>
    <w:rPr>
      <w:rFonts w:ascii="仿宋_GB2312" w:hAnsi="Arial" w:eastAsia="仿宋_GB2312" w:cs="Times New Roman"/>
      <w:kern w:val="0"/>
      <w:sz w:val="28"/>
      <w:szCs w:val="20"/>
    </w:rPr>
  </w:style>
  <w:style w:type="character" w:customStyle="1" w:styleId="68">
    <w:name w:val="纯文本 字符"/>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字符"/>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字符"/>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字符"/>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字符"/>
    <w:basedOn w:val="37"/>
    <w:link w:val="19"/>
    <w:semiHidden/>
    <w:qFormat/>
    <w:uiPriority w:val="99"/>
    <w:rPr>
      <w:rFonts w:ascii="Times New Roman" w:hAnsi="Times New Roman" w:eastAsia="宋体" w:cs="Times New Roman"/>
      <w:kern w:val="0"/>
      <w:sz w:val="24"/>
      <w:szCs w:val="20"/>
    </w:rPr>
  </w:style>
  <w:style w:type="character" w:customStyle="1" w:styleId="115">
    <w:name w:val="font11"/>
    <w:basedOn w:val="37"/>
    <w:qFormat/>
    <w:uiPriority w:val="0"/>
    <w:rPr>
      <w:rFonts w:hint="default" w:ascii="仿宋_GB2312" w:eastAsia="仿宋_GB2312" w:cs="仿宋_GB2312"/>
      <w:color w:val="000000"/>
      <w:sz w:val="22"/>
      <w:szCs w:val="22"/>
      <w:u w:val="none"/>
    </w:rPr>
  </w:style>
  <w:style w:type="character" w:customStyle="1" w:styleId="116">
    <w:name w:val="font3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61"/>
    <w:basedOn w:val="37"/>
    <w:qFormat/>
    <w:uiPriority w:val="0"/>
    <w:rPr>
      <w:rFonts w:hint="eastAsia" w:ascii="宋体" w:hAnsi="宋体" w:eastAsia="宋体" w:cs="宋体"/>
      <w:color w:val="000000"/>
      <w:sz w:val="22"/>
      <w:szCs w:val="22"/>
      <w:u w:val="none"/>
    </w:rPr>
  </w:style>
  <w:style w:type="character" w:customStyle="1" w:styleId="119">
    <w:name w:val="font51"/>
    <w:basedOn w:val="37"/>
    <w:qFormat/>
    <w:uiPriority w:val="0"/>
    <w:rPr>
      <w:rFonts w:hint="eastAsia" w:ascii="宋体" w:hAnsi="宋体" w:eastAsia="宋体" w:cs="宋体"/>
      <w:color w:val="000000"/>
      <w:sz w:val="22"/>
      <w:szCs w:val="22"/>
      <w:u w:val="none"/>
    </w:rPr>
  </w:style>
  <w:style w:type="character" w:customStyle="1" w:styleId="120">
    <w:name w:val="font21"/>
    <w:basedOn w:val="37"/>
    <w:uiPriority w:val="0"/>
    <w:rPr>
      <w:rFonts w:hint="default" w:ascii="仿宋_GB2312" w:eastAsia="仿宋_GB2312" w:cs="仿宋_GB2312"/>
      <w:color w:val="000000"/>
      <w:sz w:val="22"/>
      <w:szCs w:val="22"/>
      <w:u w:val="none"/>
    </w:rPr>
  </w:style>
  <w:style w:type="character" w:customStyle="1" w:styleId="121">
    <w:name w:val="font01"/>
    <w:basedOn w:val="37"/>
    <w:uiPriority w:val="0"/>
    <w:rPr>
      <w:rFonts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chart" Target="charts/chart10.xml"/><Relationship Id="rId61" Type="http://schemas.openxmlformats.org/officeDocument/2006/relationships/chart" Target="charts/chart9.xml"/><Relationship Id="rId60" Type="http://schemas.openxmlformats.org/officeDocument/2006/relationships/image" Target="media/image15.png"/><Relationship Id="rId6" Type="http://schemas.openxmlformats.org/officeDocument/2006/relationships/footer" Target="footer2.xml"/><Relationship Id="rId59" Type="http://schemas.openxmlformats.org/officeDocument/2006/relationships/image" Target="media/image14.png"/><Relationship Id="rId58" Type="http://schemas.openxmlformats.org/officeDocument/2006/relationships/chart" Target="charts/chart8.xml"/><Relationship Id="rId57" Type="http://schemas.openxmlformats.org/officeDocument/2006/relationships/chart" Target="charts/chart7.xml"/><Relationship Id="rId56" Type="http://schemas.openxmlformats.org/officeDocument/2006/relationships/chart" Target="charts/chart6.xml"/><Relationship Id="rId55" Type="http://schemas.openxmlformats.org/officeDocument/2006/relationships/chart" Target="charts/chart5.xml"/><Relationship Id="rId54" Type="http://schemas.openxmlformats.org/officeDocument/2006/relationships/chart" Target="charts/chart4.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chart" Target="charts/chart3.xml"/><Relationship Id="rId41" Type="http://schemas.openxmlformats.org/officeDocument/2006/relationships/chart" Target="charts/chart2.xml"/><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inelon\Documents\WeChat%20Files\wxid_90so0pr4c6s122\FileStorage\File\2021-12\&#28165;&#27827;&#22025;&#22253;-&#28385;&#21069;&#263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c:v>
                </c:pt>
                <c:pt idx="1">
                  <c:v>4364.1856</c:v>
                </c:pt>
                <c:pt idx="2">
                  <c:v>4311.948</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'[清河嘉园-满前期.xlsx]Sheet1'!$G$28:$G$30</c:f>
              <c:numCache>
                <c:formatCode>0</c:formatCode>
                <c:ptCount val="3"/>
                <c:pt idx="0">
                  <c:v>7687</c:v>
                </c:pt>
                <c:pt idx="1" c:formatCode="General">
                  <c:v>3738</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3490.7904</c:v>
                </c:pt>
                <c:pt idx="2">
                  <c:v>3449.007</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ser>
        <c:dLbls>
          <c:showLegendKey val="0"/>
          <c:showVal val="1"/>
          <c:showCatName val="0"/>
          <c:showSerName val="0"/>
          <c:showPercent val="0"/>
          <c:showBubbleSize val="0"/>
        </c:dLbls>
        <c:marker val="0"/>
        <c:smooth val="0"/>
        <c:axId val="240125824"/>
        <c:axId val="240136960"/>
      </c:lineChart>
      <c:catAx>
        <c:axId val="2401258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258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3490.7904</c:v>
                </c:pt>
                <c:pt idx="2">
                  <c:v>3449.007</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ser>
        <c:dLbls>
          <c:showLegendKey val="0"/>
          <c:showVal val="1"/>
          <c:showCatName val="0"/>
          <c:showSerName val="0"/>
          <c:showPercent val="0"/>
          <c:showBubbleSize val="0"/>
        </c:dLbls>
        <c:marker val="0"/>
        <c:smooth val="0"/>
        <c:axId val="240125824"/>
        <c:axId val="240136960"/>
      </c:lineChart>
      <c:catAx>
        <c:axId val="2401258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258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c:v>
                </c:pt>
                <c:pt idx="1">
                  <c:v>4364.1856</c:v>
                </c:pt>
                <c:pt idx="2">
                  <c:v>4311.948</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'[清河嘉园-满前期.xlsx]Sheet1'!$G$28:$G$30</c:f>
              <c:numCache>
                <c:formatCode>0</c:formatCode>
                <c:ptCount val="3"/>
                <c:pt idx="0">
                  <c:v>7687</c:v>
                </c:pt>
                <c:pt idx="1" c:formatCode="General">
                  <c:v>3738</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3490.7904</c:v>
                </c:pt>
                <c:pt idx="2">
                  <c:v>3449.007</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ser>
        <c:dLbls>
          <c:showLegendKey val="0"/>
          <c:showVal val="1"/>
          <c:showCatName val="0"/>
          <c:showSerName val="0"/>
          <c:showPercent val="0"/>
          <c:showBubbleSize val="0"/>
        </c:dLbls>
        <c:marker val="0"/>
        <c:smooth val="0"/>
        <c:axId val="240125824"/>
        <c:axId val="240136960"/>
      </c:lineChart>
      <c:catAx>
        <c:axId val="2401258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258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c:v>
                </c:pt>
                <c:pt idx="1">
                  <c:v>4364.1856</c:v>
                </c:pt>
                <c:pt idx="2">
                  <c:v>4311.948</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'[清河嘉园-满前期.xlsx]Sheet1'!$G$28:$G$30</c:f>
              <c:numCache>
                <c:formatCode>0</c:formatCode>
                <c:ptCount val="3"/>
                <c:pt idx="0">
                  <c:v>7687</c:v>
                </c:pt>
                <c:pt idx="1" c:formatCode="General">
                  <c:v>3738</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'[清河嘉园-满前期.xlsx]Sheet1'!$F$32:$F$34</c:f>
              <c:numCache>
                <c:formatCode>0</c:formatCode>
                <c:ptCount val="3"/>
                <c:pt idx="0">
                  <c:v>3424.2372</c:v>
                </c:pt>
                <c:pt idx="1">
                  <c:v>3490.7904</c:v>
                </c:pt>
                <c:pt idx="2">
                  <c:v>3449.007</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'[清河嘉园-满前期.xlsx]Sheet1'!$G$32:$G$34</c:f>
              <c:numCache>
                <c:formatCode>General</c:formatCode>
                <c:ptCount val="3"/>
                <c:pt idx="1">
                  <c:v>2899</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'[清河嘉园-满前期.xlsx]Sheet1'!$H$32:$H$34</c:f>
              <c:numCache>
                <c:formatCode>General</c:formatCode>
                <c:ptCount val="3"/>
              </c:numCache>
            </c:numRef>
          </c:val>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'[清河嘉园-满前期.xlsx]Sheet1'!$E$32:$E$34</c:f>
              <c:strCache>
                <c:ptCount val="3"/>
                <c:pt idx="0">
                  <c:v>2018年</c:v>
                </c:pt>
                <c:pt idx="1">
                  <c:v>2019年</c:v>
                </c:pt>
                <c:pt idx="2">
                  <c:v>2020年</c:v>
                </c:pt>
              </c:strCache>
            </c:strRef>
          </c:cat>
          <c:val>
            <c:numRef>
              <c:f>'[清河嘉园-满前期.xlsx]Sheet1'!$I$32:$I$34</c:f>
              <c:numCache>
                <c:formatCode>General</c:formatCode>
                <c:ptCount val="3"/>
                <c:pt idx="0">
                  <c:v>6647</c:v>
                </c:pt>
                <c:pt idx="1">
                  <c:v>6647</c:v>
                </c:pt>
                <c:pt idx="2">
                  <c:v>6647</c:v>
                </c:pt>
              </c:numCache>
            </c:numRef>
          </c:val>
          <c:smooth val="0"/>
        </c:ser>
        <c:dLbls>
          <c:showLegendKey val="0"/>
          <c:showVal val="1"/>
          <c:showCatName val="0"/>
          <c:showSerName val="0"/>
          <c:showPercent val="0"/>
          <c:showBubbleSize val="0"/>
        </c:dLbls>
        <c:marker val="0"/>
        <c:smooth val="0"/>
        <c:axId val="240125824"/>
        <c:axId val="240136960"/>
      </c:lineChart>
      <c:catAx>
        <c:axId val="2401258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012582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103897344"/>
        <c:axId val="103895424"/>
      </c:lineChart>
      <c:catAx>
        <c:axId val="10334732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347328"/>
        <c:crosses val="autoZero"/>
        <c:crossBetween val="between"/>
        <c:majorUnit val="500"/>
      </c:valAx>
      <c:catAx>
        <c:axId val="10389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5424"/>
        <c:crosses val="autoZero"/>
        <c:auto val="1"/>
        <c:lblAlgn val="ctr"/>
        <c:lblOffset val="100"/>
        <c:noMultiLvlLbl val="0"/>
      </c:catAx>
      <c:valAx>
        <c:axId val="103895424"/>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0389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'[清河嘉园-满前期.xlsx]Sheet1'!$F$27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'[清河嘉园-满前期.xlsx]Sheet1'!$F$28:$F$30</c:f>
              <c:numCache>
                <c:formatCode>0</c:formatCode>
                <c:ptCount val="3"/>
                <c:pt idx="0">
                  <c:v>4280.9808</c:v>
                </c:pt>
                <c:pt idx="1">
                  <c:v>4364.1856</c:v>
                </c:pt>
                <c:pt idx="2">
                  <c:v>4311.948</c:v>
                </c:pt>
              </c:numCache>
            </c:numRef>
          </c:val>
        </c:ser>
        <c:ser>
          <c:idx val="1"/>
          <c:order val="1"/>
          <c:tx>
            <c:strRef>
              <c:f>'[清河嘉园-满前期.xlsx]Sheet1'!$G$27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'[清河嘉园-满前期.xlsx]Sheet1'!$G$28:$G$30</c:f>
              <c:numCache>
                <c:formatCode>0</c:formatCode>
                <c:ptCount val="3"/>
                <c:pt idx="0">
                  <c:v>7687</c:v>
                </c:pt>
                <c:pt idx="1" c:formatCode="General">
                  <c:v>3738</c:v>
                </c:pt>
              </c:numCache>
            </c:numRef>
          </c:val>
        </c:ser>
        <c:ser>
          <c:idx val="2"/>
          <c:order val="2"/>
          <c:tx>
            <c:strRef>
              <c:f>'[清河嘉园-满前期.xlsx]Sheet1'!$H$27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'[清河嘉园-满前期.xlsx]Sheet1'!$H$28:$H$30</c:f>
              <c:numCache>
                <c:formatCode>General</c:formatCode>
                <c:ptCount val="3"/>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'[清河嘉园-满前期.xlsx]Sheet1'!$I$27</c:f>
              <c:strCache>
                <c:ptCount val="1"/>
                <c:pt idx="0">
                  <c:v>清河嘉园评估结果</c:v>
                </c:pt>
              </c:strCache>
            </c:strRef>
          </c:tx>
          <c:marker>
            <c:symbol val="none"/>
          </c:marker>
          <c:dLbls>
            <c:dLbl>
              <c:idx val="0"/>
              <c:delete val="1"/>
            </c:dLbl>
            <c:dLbl>
              <c:idx val="1"/>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'[清河嘉园-满前期.xlsx]Sheet1'!$E$28:$E$30</c:f>
              <c:strCache>
                <c:ptCount val="3"/>
                <c:pt idx="0">
                  <c:v>2018年</c:v>
                </c:pt>
                <c:pt idx="1">
                  <c:v>2019年</c:v>
                </c:pt>
                <c:pt idx="2">
                  <c:v>2020年</c:v>
                </c:pt>
              </c:strCache>
            </c:strRef>
          </c:cat>
          <c:val>
            <c:numRef>
              <c:f>'[清河嘉园-满前期.xlsx]Sheet1'!$I$28:$I$30</c:f>
              <c:numCache>
                <c:formatCode>General</c:formatCode>
                <c:ptCount val="3"/>
                <c:pt idx="0">
                  <c:v>8309</c:v>
                </c:pt>
                <c:pt idx="1">
                  <c:v>8309</c:v>
                </c:pt>
                <c:pt idx="2">
                  <c:v>8309</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CFFA0E-118B-4CF4-8D82-B570169B9F7B}">
  <ds:schemaRefs/>
</ds:datastoreItem>
</file>

<file path=docProps/app.xml><?xml version="1.0" encoding="utf-8"?>
<Properties xmlns="http://schemas.openxmlformats.org/officeDocument/2006/extended-properties" xmlns:vt="http://schemas.openxmlformats.org/officeDocument/2006/docPropsVTypes">
  <Template>Normal</Template>
  <Pages>176</Pages>
  <Words>16564</Words>
  <Characters>94419</Characters>
  <Lines>786</Lines>
  <Paragraphs>221</Paragraphs>
  <TotalTime>6</TotalTime>
  <ScaleCrop>false</ScaleCrop>
  <LinksUpToDate>false</LinksUpToDate>
  <CharactersWithSpaces>110762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2021-09-15T00:09:00Z</dcterms:created>
  <dc:creator>黄 英</dc:creator>
  <cp:lastModifiedBy>俊然</cp:lastModifiedBy>
  <cp:lastPrinted>2021-09-15T01:54:00Z</cp:lastPrinted>
  <dcterms:modified xsi:type="dcterms:W3CDTF">2021-12-22T03:29:41Z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