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header19.xml" ContentType="application/vnd.openxmlformats-officedocument.wordprocessingml.header+xml"/>
  <Override PartName="/word/document.xml" ContentType="application/vnd.openxmlformats-officedocument.wordprocessingml.document.main+xml"/>
  <Override PartName="/word/footer12.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20.xml" ContentType="application/vnd.openxmlformats-officedocument.wordprocessingml.footer+xml"/>
  <Override PartName="/word/footer3.xml" ContentType="application/vnd.openxmlformats-officedocument.wordprocessingml.footer+xml"/>
  <Override PartName="/word/footer16.xml" ContentType="application/vnd.openxmlformats-officedocument.wordprocessingml.footer+xml"/>
  <Override PartName="/word/media/image28.png" ContentType="image/png"/>
  <Override PartName="/word/media/image1.jpeg" ContentType="image/jpeg"/>
  <Override PartName="/word/media/image8.png" ContentType="image/png"/>
  <Override PartName="/word/media/image2.jpeg" ContentType="image/jpeg"/>
  <Override PartName="/word/media/image3.jpeg" ContentType="image/jpeg"/>
  <Override PartName="/word/media/image4.jpeg" ContentType="image/jpeg"/>
  <Override PartName="/word/media/image7.png" ContentType="image/png"/>
  <Override PartName="/word/media/image11.png" ContentType="image/png"/>
  <Override PartName="/word/media/image5.jpeg" ContentType="image/jpeg"/>
  <Override PartName="/word/media/image21.png" ContentType="image/png"/>
  <Override PartName="/word/media/image6.jpeg" ContentType="image/jpeg"/>
  <Override PartName="/word/media/image9.png" ContentType="image/png"/>
  <Override PartName="/word/media/image29.jpeg" ContentType="image/jpeg"/>
  <Override PartName="/word/media/image10.png" ContentType="image/png"/>
  <Override PartName="/word/media/image18.jpeg" ContentType="image/jpeg"/>
  <Override PartName="/word/media/image12.png" ContentType="image/png"/>
  <Override PartName="/word/media/image13.png" ContentType="image/png"/>
  <Override PartName="/word/media/image14.jpeg" ContentType="image/jpeg"/>
  <Override PartName="/word/media/image15.jpeg" ContentType="image/jpeg"/>
  <Override PartName="/word/media/image16.jpeg" ContentType="image/jpeg"/>
  <Override PartName="/word/media/image17.jpeg" ContentType="image/jpeg"/>
  <Override PartName="/word/media/image19.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jpeg" ContentType="image/jpeg"/>
  <Override PartName="/word/media/image27.png" ContentType="image/png"/>
  <Override PartName="/word/media/image30.jpeg" ContentType="image/jpeg"/>
  <Override PartName="/word/media/image31.jpeg" ContentType="image/jpeg"/>
  <Override PartName="/word/media/image32.jpeg" ContentType="image/jpeg"/>
  <Override PartName="/word/comments.xml" ContentType="application/vnd.openxmlformats-officedocument.wordprocessingml.comments+xml"/>
  <Override PartName="/word/header2.xml" ContentType="application/vnd.openxmlformats-officedocument.wordprocessingml.header+xml"/>
  <Override PartName="/word/footer2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22.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footer30.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numbering.xml" ContentType="application/vnd.openxmlformats-officedocument.wordprocessingml.numbering+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_rels/header11.xml.rels" ContentType="application/vnd.openxmlformats-package.relationships+xml"/>
  <Override PartName="/word/_rels/document.xml.rels" ContentType="application/vnd.openxmlformats-package.relationships+xml"/>
  <Override PartName="/word/_rels/header12.xml.rels" ContentType="application/vnd.openxmlformats-package.relationships+xml"/>
  <Override PartName="/word/_rels/header4.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header7.xml.rels" ContentType="application/vnd.openxmlformats-package.relationships+xml"/>
  <Override PartName="/word/_rels/header8.xml.rels" ContentType="application/vnd.openxmlformats-package.relationships+xml"/>
  <Override PartName="/word/_rels/header10.xml.rels" ContentType="application/vnd.openxmlformats-package.relationships+xml"/>
  <Override PartName="/word/_rels/header14.xml.rels" ContentType="application/vnd.openxmlformats-package.relationships+xml"/>
  <Override PartName="/word/_rels/header18.xml.rels" ContentType="application/vnd.openxmlformats-package.relationships+xml"/>
  <Override PartName="/word/_rels/header22.xml.rels" ContentType="application/vnd.openxmlformats-package.relationships+xml"/>
  <Override PartName="/word/_rels/header23.xml.rels" ContentType="application/vnd.openxmlformats-package.relationships+xml"/>
  <Override PartName="/word/_rels/header27.xml.rels" ContentType="application/vnd.openxmlformats-package.relationships+xml"/>
  <Override PartName="/word/_rels/header28.xml.rels" ContentType="application/vnd.openxmlformats-package.relationships+xml"/>
  <Override PartName="/word/_rels/header29.xml.rels" ContentType="application/vnd.openxmlformats-package.relationships+xml"/>
  <Override PartName="/word/_rels/header30.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numPr>
          <w:ilvl w:val="0"/>
          <w:numId w:val="4"/>
        </w:numPr>
        <w:spacing w:lineRule="exact" w:line="320"/>
        <w:ind w:left="360" w:right="-93" w:hanging="360"/>
        <w:outlineLvl w:val="0"/>
        <w:rPr/>
      </w:pPr>
      <w:r>
        <w:rPr>
          <w:rFonts w:ascii="Arial" w:hAnsi="Arial" w:cs="Arial" w:eastAsia="Adobe 黑体 Std R;微软雅黑"/>
          <w:b/>
          <w:bCs/>
          <w:sz w:val="21"/>
          <w:szCs w:val="21"/>
        </w:rPr>
        <w:t>估价</w:t>
      </w:r>
      <w:r>
        <w:rPr>
          <w:rFonts w:ascii="Arial" w:hAnsi="Arial" w:cs="Arial" w:eastAsia="Adobe 黑体 Std R;微软雅黑"/>
          <w:b/>
          <w:bCs/>
          <w:sz w:val="21"/>
          <w:szCs w:val="21"/>
        </w:rPr>
        <w:t>项目名称：</w:t>
      </w:r>
    </w:p>
    <w:p>
      <w:pPr>
        <w:pStyle w:val="Style43"/>
        <w:spacing w:lineRule="exact" w:line="320"/>
        <w:ind w:left="360" w:hanging="0"/>
        <w:rPr>
          <w:rFonts w:ascii="Arial" w:hAnsi="Arial" w:eastAsia="Adobe 黑体 Std R;微软雅黑" w:cs="Arial"/>
          <w:bCs/>
          <w:sz w:val="21"/>
          <w:szCs w:val="21"/>
        </w:rPr>
      </w:pPr>
      <w:r>
        <w:rPr>
          <w:rFonts w:ascii="Arial" w:hAnsi="Arial" w:cs="Arial" w:eastAsia="Adobe 黑体 Std R;微软雅黑"/>
          <w:bCs/>
          <w:sz w:val="21"/>
          <w:szCs w:val="21"/>
        </w:rPr>
        <w:t>北京市海淀区建材城中路</w:t>
      </w:r>
      <w:r>
        <w:rPr>
          <w:rFonts w:eastAsia="Adobe 黑体 Std R;微软雅黑" w:cs="Arial" w:ascii="Arial" w:hAnsi="Arial"/>
          <w:bCs/>
          <w:sz w:val="21"/>
          <w:szCs w:val="21"/>
        </w:rPr>
        <w:t>2</w:t>
      </w:r>
      <w:r>
        <w:rPr>
          <w:rFonts w:ascii="Arial" w:hAnsi="Arial" w:cs="Arial" w:eastAsia="Adobe 黑体 Std R;微软雅黑"/>
          <w:bCs/>
          <w:sz w:val="21"/>
          <w:szCs w:val="21"/>
        </w:rPr>
        <w:t>号国有建设用地使用权收购补偿价格评估</w:t>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numPr>
          <w:ilvl w:val="0"/>
          <w:numId w:val="4"/>
        </w:numPr>
        <w:spacing w:lineRule="exact" w:line="320"/>
        <w:rPr/>
      </w:pPr>
      <w:r>
        <w:rPr>
          <w:rFonts w:ascii="Arial" w:hAnsi="Arial" w:cs="Arial" w:eastAsia="Adobe 黑体 Std R;微软雅黑"/>
          <w:b/>
          <w:sz w:val="21"/>
          <w:szCs w:val="21"/>
        </w:rPr>
        <w:t>委托</w:t>
      </w:r>
      <w:r>
        <w:rPr>
          <w:rFonts w:ascii="Arial" w:hAnsi="Arial" w:cs="Arial" w:eastAsia="Adobe 黑体 Std R;微软雅黑"/>
          <w:b/>
          <w:sz w:val="21"/>
          <w:szCs w:val="21"/>
        </w:rPr>
        <w:t>估价</w:t>
      </w:r>
      <w:r>
        <w:rPr>
          <w:rFonts w:ascii="Arial" w:hAnsi="Arial" w:cs="Arial" w:eastAsia="Adobe 黑体 Std R;微软雅黑"/>
          <w:b/>
          <w:sz w:val="21"/>
          <w:szCs w:val="21"/>
        </w:rPr>
        <w:t>方：</w:t>
      </w:r>
    </w:p>
    <w:p>
      <w:pPr>
        <w:pStyle w:val="Style43"/>
        <w:spacing w:lineRule="exact" w:line="320"/>
        <w:ind w:left="360" w:hanging="0"/>
        <w:rPr>
          <w:rFonts w:ascii="Arial" w:hAnsi="Arial" w:eastAsia="Adobe 黑体 Std R;微软雅黑" w:cs="Arial"/>
          <w:bCs/>
          <w:sz w:val="21"/>
          <w:szCs w:val="21"/>
        </w:rPr>
      </w:pPr>
      <w:r>
        <w:rPr>
          <w:rFonts w:ascii="Arial" w:hAnsi="Arial" w:cs="Arial" w:eastAsia="Adobe 黑体 Std R;微软雅黑"/>
          <w:bCs/>
          <w:sz w:val="21"/>
          <w:szCs w:val="21"/>
        </w:rPr>
        <w:t>北京市海淀区规划和自然资源综合事务中心</w:t>
      </w:r>
    </w:p>
    <w:p>
      <w:pPr>
        <w:pStyle w:val="Style43"/>
        <w:spacing w:lineRule="exact" w:line="320"/>
        <w:ind w:left="360" w:hanging="0"/>
        <w:rPr>
          <w:rFonts w:ascii="Arial" w:hAnsi="Arial" w:eastAsia="Adobe 黑体 Std R;微软雅黑" w:cs="Arial"/>
          <w:bCs/>
          <w:sz w:val="21"/>
          <w:szCs w:val="21"/>
        </w:rPr>
      </w:pPr>
      <w:r>
        <w:rPr>
          <w:rFonts w:eastAsia="Adobe 黑体 Std R;微软雅黑" w:cs="Arial" w:ascii="Arial" w:hAnsi="Arial"/>
          <w:bCs/>
          <w:sz w:val="21"/>
          <w:szCs w:val="21"/>
        </w:rPr>
      </w:r>
    </w:p>
    <w:p>
      <w:pPr>
        <w:pStyle w:val="Style43"/>
        <w:numPr>
          <w:ilvl w:val="0"/>
          <w:numId w:val="4"/>
        </w:numPr>
        <w:spacing w:lineRule="exact" w:line="320"/>
        <w:rPr/>
      </w:pPr>
      <w:r>
        <w:rPr>
          <w:rFonts w:ascii="Arial" w:hAnsi="Arial" w:cs="Arial" w:eastAsia="Adobe 黑体 Std R;微软雅黑"/>
          <w:b/>
          <w:sz w:val="21"/>
          <w:szCs w:val="21"/>
        </w:rPr>
        <w:t>受托</w:t>
      </w:r>
      <w:r>
        <w:rPr>
          <w:rFonts w:ascii="Arial" w:hAnsi="Arial" w:cs="Arial" w:eastAsia="Adobe 黑体 Std R;微软雅黑"/>
          <w:b/>
          <w:sz w:val="21"/>
          <w:szCs w:val="21"/>
        </w:rPr>
        <w:t>估价</w:t>
      </w:r>
      <w:r>
        <w:rPr>
          <w:rFonts w:ascii="Arial" w:hAnsi="Arial" w:cs="Arial" w:eastAsia="Adobe 黑体 Std R;微软雅黑"/>
          <w:b/>
          <w:sz w:val="21"/>
          <w:szCs w:val="21"/>
        </w:rPr>
        <w:t>单位：</w:t>
      </w:r>
    </w:p>
    <w:p>
      <w:pPr>
        <w:pStyle w:val="Style43"/>
        <w:spacing w:lineRule="exact" w:line="320"/>
        <w:ind w:left="360" w:hanging="0"/>
        <w:rPr>
          <w:rFonts w:ascii="Arial" w:hAnsi="Arial" w:eastAsia="Adobe 黑体 Std R;微软雅黑" w:cs="Arial"/>
          <w:sz w:val="21"/>
          <w:szCs w:val="21"/>
        </w:rPr>
      </w:pPr>
      <w:r>
        <w:rPr>
          <w:rFonts w:ascii="Arial" w:hAnsi="Arial" w:cs="Arial" w:eastAsia="Adobe 黑体 Std R;微软雅黑"/>
          <w:sz w:val="21"/>
          <w:szCs w:val="21"/>
        </w:rPr>
        <w:t>北京康正宏基房地产评估有限公司</w:t>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numPr>
          <w:ilvl w:val="0"/>
          <w:numId w:val="4"/>
        </w:numPr>
        <w:spacing w:lineRule="exact" w:line="320"/>
        <w:rPr>
          <w:rFonts w:ascii="Arial" w:hAnsi="Arial" w:eastAsia="Adobe 黑体 Std R;微软雅黑" w:cs="Arial"/>
          <w:sz w:val="21"/>
          <w:szCs w:val="21"/>
        </w:rPr>
      </w:pPr>
      <w:r>
        <w:rPr>
          <w:rFonts w:ascii="Arial" w:hAnsi="Arial" w:cs="Arial" w:eastAsia="Adobe 黑体 Std R;微软雅黑"/>
          <w:b/>
          <w:sz w:val="21"/>
          <w:szCs w:val="21"/>
        </w:rPr>
        <w:t>土地估价</w:t>
      </w:r>
      <w:r>
        <w:rPr>
          <w:rFonts w:ascii="Arial" w:hAnsi="Arial" w:cs="Arial" w:eastAsia="Adobe 黑体 Std R;微软雅黑"/>
          <w:b/>
          <w:sz w:val="21"/>
          <w:szCs w:val="21"/>
        </w:rPr>
        <w:t>报告编号：</w:t>
      </w:r>
    </w:p>
    <w:p>
      <w:pPr>
        <w:pStyle w:val="Style43"/>
        <w:spacing w:lineRule="exact" w:line="320"/>
        <w:ind w:left="360" w:hanging="0"/>
        <w:rPr/>
      </w:pPr>
      <w:r>
        <w:rPr>
          <w:rFonts w:ascii="Arial" w:hAnsi="Arial" w:cs="Arial" w:eastAsia="Adobe 黑体 Std R;微软雅黑"/>
          <w:sz w:val="21"/>
          <w:szCs w:val="21"/>
        </w:rPr>
        <w:t>康正评字</w:t>
      </w:r>
      <w:r>
        <w:rPr>
          <w:rFonts w:eastAsia="Adobe 黑体 Std R;微软雅黑" w:cs="Arial" w:ascii="Arial" w:hAnsi="Arial"/>
          <w:sz w:val="21"/>
          <w:szCs w:val="21"/>
        </w:rPr>
        <w:t>2022-1-0543-F02SGCB6</w:t>
      </w:r>
      <w:r>
        <w:rPr>
          <w:rFonts w:ascii="Arial" w:hAnsi="Arial" w:cs="Arial" w:eastAsia="Adobe 黑体 Std R;微软雅黑"/>
          <w:sz w:val="21"/>
          <w:szCs w:val="21"/>
        </w:rPr>
        <w:t>号</w:t>
      </w:r>
    </w:p>
    <w:p>
      <w:pPr>
        <w:pStyle w:val="Style43"/>
        <w:spacing w:lineRule="exact" w:line="320"/>
        <w:ind w:left="360" w:hanging="0"/>
        <w:rPr>
          <w:rFonts w:ascii="Arial" w:hAnsi="Arial" w:eastAsia="Adobe 黑体 Std R;微软雅黑" w:cs="Arial"/>
          <w:b/>
          <w:b/>
          <w:bCs/>
          <w:sz w:val="21"/>
          <w:szCs w:val="21"/>
        </w:rPr>
      </w:pPr>
      <w:r>
        <w:rPr>
          <w:rFonts w:eastAsia="Adobe 黑体 Std R;微软雅黑" w:cs="Arial" w:ascii="Arial" w:hAnsi="Arial"/>
          <w:b/>
          <w:bCs/>
          <w:sz w:val="21"/>
          <w:szCs w:val="21"/>
        </w:rPr>
      </w:r>
    </w:p>
    <w:p>
      <w:pPr>
        <w:pStyle w:val="Style43"/>
        <w:numPr>
          <w:ilvl w:val="0"/>
          <w:numId w:val="4"/>
        </w:numPr>
        <w:spacing w:lineRule="exact" w:line="320"/>
        <w:rPr>
          <w:rFonts w:ascii="Arial" w:hAnsi="Arial" w:eastAsia="Adobe 黑体 Std R;微软雅黑" w:cs="Arial"/>
          <w:sz w:val="21"/>
          <w:szCs w:val="21"/>
        </w:rPr>
      </w:pPr>
      <w:r>
        <w:rPr>
          <w:rFonts w:ascii="Arial" w:hAnsi="Arial" w:cs="Arial" w:eastAsia="Adobe 黑体 Std R;微软雅黑"/>
          <w:b/>
          <w:sz w:val="21"/>
          <w:szCs w:val="21"/>
        </w:rPr>
        <w:t>提交</w:t>
      </w:r>
      <w:r>
        <w:rPr>
          <w:rFonts w:ascii="Arial" w:hAnsi="Arial" w:cs="Arial" w:eastAsia="Adobe 黑体 Std R;微软雅黑"/>
          <w:b/>
          <w:sz w:val="21"/>
          <w:szCs w:val="21"/>
        </w:rPr>
        <w:t>估价</w:t>
      </w:r>
      <w:r>
        <w:rPr>
          <w:rFonts w:ascii="Arial" w:hAnsi="Arial" w:cs="Arial" w:eastAsia="Adobe 黑体 Std R;微软雅黑"/>
          <w:b/>
          <w:sz w:val="21"/>
          <w:szCs w:val="21"/>
        </w:rPr>
        <w:t>报告日期：</w:t>
      </w:r>
    </w:p>
    <w:p>
      <w:pPr>
        <w:pStyle w:val="Style43"/>
        <w:spacing w:lineRule="exact" w:line="320"/>
        <w:ind w:left="360" w:hanging="0"/>
        <w:rPr>
          <w:rFonts w:cs="Arial"/>
        </w:rPr>
      </w:pPr>
      <w:r>
        <w:rPr>
          <w:rFonts w:eastAsia="Adobe 黑体 Std R;微软雅黑" w:cs="Arial" w:ascii="Arial" w:hAnsi="Arial"/>
          <w:sz w:val="21"/>
          <w:szCs w:val="21"/>
        </w:rPr>
        <w:t>2024</w:t>
      </w:r>
      <w:r>
        <w:rPr>
          <w:rFonts w:ascii="Arial" w:hAnsi="Arial" w:cs="Arial" w:eastAsia="Adobe 黑体 Std R;微软雅黑"/>
          <w:sz w:val="21"/>
          <w:szCs w:val="21"/>
        </w:rPr>
        <w:t>年</w:t>
      </w:r>
      <w:r>
        <w:rPr>
          <w:rFonts w:eastAsia="Adobe 黑体 Std R;微软雅黑" w:cs="Arial" w:ascii="Arial" w:hAnsi="Arial"/>
          <w:sz w:val="21"/>
          <w:szCs w:val="21"/>
        </w:rPr>
        <w:t>5</w:t>
      </w:r>
      <w:r>
        <w:rPr>
          <w:rFonts w:ascii="Arial" w:hAnsi="Arial" w:cs="Arial" w:eastAsia="Adobe 黑体 Std R;微软雅黑"/>
          <w:sz w:val="21"/>
          <w:szCs w:val="21"/>
        </w:rPr>
        <w:t>月</w:t>
      </w:r>
      <w:r>
        <w:rPr>
          <w:rFonts w:eastAsia="Adobe 黑体 Std R;微软雅黑" w:cs="Arial" w:ascii="Arial" w:hAnsi="Arial"/>
          <w:sz w:val="21"/>
          <w:szCs w:val="21"/>
        </w:rPr>
        <w:t>30</w:t>
      </w:r>
      <w:r>
        <w:rPr>
          <w:rFonts w:ascii="Arial" w:hAnsi="Arial" w:cs="Arial" w:eastAsia="Adobe 黑体 Std R;微软雅黑"/>
          <w:sz w:val="21"/>
          <w:szCs w:val="21"/>
        </w:rPr>
        <w:t>日</w:t>
      </w:r>
    </w:p>
    <w:tbl>
      <w:tblPr>
        <w:tblW w:w="5000" w:type="pct"/>
        <w:jc w:val="left"/>
        <w:tblInd w:w="-45" w:type="dxa"/>
        <w:tblCellMar>
          <w:top w:w="15" w:type="dxa"/>
          <w:left w:w="15" w:type="dxa"/>
          <w:bottom w:w="15" w:type="dxa"/>
          <w:right w:w="15" w:type="dxa"/>
        </w:tblCellMar>
      </w:tblPr>
      <w:tblGrid>
        <w:gridCol w:w="8663"/>
      </w:tblGrid>
      <w:tr>
        <w:trPr/>
        <w:tc>
          <w:tcPr>
            <w:tcW w:w="8663" w:type="dxa"/>
            <w:tcBorders/>
            <w:shd w:fill="auto" w:val="clear"/>
            <w:vAlign w:val="center"/>
          </w:tcPr>
          <w:p>
            <w:pPr>
              <w:pStyle w:val="Normal"/>
              <w:widowControl/>
              <w:snapToGrid w:val="false"/>
              <w:rPr>
                <w:szCs w:val="24"/>
              </w:rPr>
            </w:pPr>
            <w:r>
              <w:rPr>
                <w:szCs w:val="24"/>
              </w:rPr>
            </w:r>
          </w:p>
        </w:tc>
      </w:tr>
      <w:tr>
        <w:trPr/>
        <w:tc>
          <w:tcPr>
            <w:tcW w:w="8663" w:type="dxa"/>
            <w:tcBorders/>
            <w:shd w:fill="auto" w:val="clear"/>
            <w:vAlign w:val="center"/>
          </w:tcPr>
          <w:p>
            <w:pPr>
              <w:pStyle w:val="Normal"/>
              <w:snapToGrid w:val="false"/>
              <w:rPr>
                <w:rFonts w:ascii="Calibri" w:hAnsi="Calibri" w:cs="Calibri"/>
                <w:sz w:val="20"/>
                <w:szCs w:val="24"/>
              </w:rPr>
            </w:pPr>
            <w:r>
              <w:rPr>
                <w:rFonts w:cs="Calibri" w:ascii="Calibri" w:hAnsi="Calibri"/>
                <w:sz w:val="20"/>
                <w:szCs w:val="24"/>
              </w:rPr>
            </w:r>
          </w:p>
        </w:tc>
      </w:tr>
      <w:tr>
        <w:trPr/>
        <w:tc>
          <w:tcPr>
            <w:tcW w:w="8663" w:type="dxa"/>
            <w:tcBorders/>
            <w:shd w:fill="auto" w:val="clear"/>
            <w:vAlign w:val="center"/>
          </w:tcPr>
          <w:tbl>
            <w:tblPr>
              <w:tblW w:w="5000" w:type="pct"/>
              <w:jc w:val="left"/>
              <w:tblInd w:w="0" w:type="dxa"/>
              <w:tblCellMar>
                <w:top w:w="15" w:type="dxa"/>
                <w:left w:w="15" w:type="dxa"/>
                <w:bottom w:w="15" w:type="dxa"/>
                <w:right w:w="15" w:type="dxa"/>
              </w:tblCellMar>
            </w:tblPr>
            <w:tblGrid>
              <w:gridCol w:w="5206"/>
              <w:gridCol w:w="3427"/>
            </w:tblGrid>
            <w:tr>
              <w:trPr/>
              <w:tc>
                <w:tcPr>
                  <w:tcW w:w="5206" w:type="dxa"/>
                  <w:tcBorders/>
                  <w:shd w:fill="auto" w:val="clear"/>
                  <w:vAlign w:val="center"/>
                </w:tcPr>
                <w:p>
                  <w:pPr>
                    <w:pStyle w:val="Normal"/>
                    <w:widowControl/>
                    <w:rPr>
                      <w:szCs w:val="24"/>
                    </w:rPr>
                  </w:pPr>
                  <w:r>
                    <w:rPr>
                      <w:rFonts w:ascii="楷体" w:hAnsi="楷体" w:cs="楷体" w:eastAsia="楷体"/>
                      <w:sz w:val="32"/>
                      <w:szCs w:val="32"/>
                    </w:rPr>
                    <w:t>备案号：</w:t>
                  </w:r>
                  <w:r>
                    <w:rPr>
                      <w:rFonts w:eastAsia="Times New Roman"/>
                    </w:rPr>
                    <w:t xml:space="preserve"> </w:t>
                  </w:r>
                </w:p>
              </w:tc>
              <w:tc>
                <w:tcPr>
                  <w:tcW w:w="3427" w:type="dxa"/>
                  <w:vMerge w:val="restart"/>
                  <w:tcBorders/>
                  <w:shd w:fill="auto" w:val="clear"/>
                </w:tcPr>
                <w:p>
                  <w:pPr>
                    <w:pStyle w:val="Normal"/>
                    <w:snapToGrid w:val="false"/>
                    <w:jc w:val="right"/>
                    <w:rPr>
                      <w:szCs w:val="24"/>
                    </w:rPr>
                  </w:pPr>
                  <w:r>
                    <w:rPr>
                      <w:szCs w:val="24"/>
                    </w:rPr>
                  </w:r>
                </w:p>
              </w:tc>
            </w:tr>
            <w:tr>
              <w:trPr/>
              <w:tc>
                <w:tcPr>
                  <w:tcW w:w="5206" w:type="dxa"/>
                  <w:tcBorders/>
                  <w:shd w:fill="auto" w:val="clear"/>
                  <w:vAlign w:val="center"/>
                </w:tcPr>
                <w:p>
                  <w:pPr>
                    <w:pStyle w:val="Normal"/>
                    <w:rPr/>
                  </w:pPr>
                  <w:r>
                    <w:rPr>
                      <w:rFonts w:ascii="楷体" w:hAnsi="楷体" w:cs="楷体" w:eastAsia="楷体"/>
                      <w:sz w:val="32"/>
                      <w:szCs w:val="32"/>
                    </w:rPr>
                    <w:t>查询码：</w:t>
                  </w:r>
                  <w:r>
                    <w:rPr>
                      <w:rFonts w:eastAsia="Times New Roman"/>
                    </w:rPr>
                    <w:t xml:space="preserve"> </w:t>
                  </w:r>
                </w:p>
              </w:tc>
              <w:tc>
                <w:tcPr>
                  <w:tcW w:w="3427" w:type="dxa"/>
                  <w:vMerge w:val="continue"/>
                  <w:tcBorders/>
                  <w:shd w:fill="auto" w:val="clear"/>
                </w:tcPr>
                <w:p>
                  <w:pPr>
                    <w:pStyle w:val="Normal"/>
                    <w:snapToGrid w:val="false"/>
                    <w:rPr>
                      <w:rFonts w:ascii="宋体;SimSun" w:hAnsi="宋体;SimSun" w:cs="宋体;SimSun"/>
                      <w:szCs w:val="24"/>
                    </w:rPr>
                  </w:pPr>
                  <w:r>
                    <w:rPr>
                      <w:rFonts w:cs="宋体;SimSun" w:ascii="宋体;SimSun" w:hAnsi="宋体;SimSun"/>
                      <w:szCs w:val="24"/>
                    </w:rPr>
                  </w:r>
                </w:p>
              </w:tc>
            </w:tr>
            <w:tr>
              <w:trPr/>
              <w:tc>
                <w:tcPr>
                  <w:tcW w:w="5206" w:type="dxa"/>
                  <w:tcBorders/>
                  <w:shd w:fill="auto" w:val="clear"/>
                  <w:vAlign w:val="center"/>
                </w:tcPr>
                <w:p>
                  <w:pPr>
                    <w:pStyle w:val="Normal"/>
                    <w:rPr/>
                  </w:pPr>
                  <w:r>
                    <w:rPr>
                      <w:rFonts w:ascii="楷体" w:hAnsi="楷体" w:cs="楷体" w:eastAsia="楷体"/>
                      <w:sz w:val="32"/>
                      <w:szCs w:val="32"/>
                    </w:rPr>
                    <w:t> </w:t>
                  </w:r>
                  <w:r>
                    <w:rPr>
                      <w:rFonts w:eastAsia="Times New Roman"/>
                    </w:rPr>
                    <w:t xml:space="preserve"> </w:t>
                  </w:r>
                </w:p>
              </w:tc>
              <w:tc>
                <w:tcPr>
                  <w:tcW w:w="3427" w:type="dxa"/>
                  <w:vMerge w:val="continue"/>
                  <w:tcBorders/>
                  <w:shd w:fill="auto" w:val="clear"/>
                </w:tcPr>
                <w:p>
                  <w:pPr>
                    <w:pStyle w:val="Normal"/>
                    <w:snapToGrid w:val="false"/>
                    <w:rPr>
                      <w:rFonts w:ascii="宋体;SimSun" w:hAnsi="宋体;SimSun" w:cs="宋体;SimSun"/>
                      <w:szCs w:val="24"/>
                    </w:rPr>
                  </w:pPr>
                  <w:r>
                    <w:rPr>
                      <w:rFonts w:cs="宋体;SimSun" w:ascii="宋体;SimSun" w:hAnsi="宋体;SimSun"/>
                      <w:szCs w:val="24"/>
                    </w:rPr>
                  </w:r>
                </w:p>
              </w:tc>
            </w:tr>
            <w:tr>
              <w:trPr/>
              <w:tc>
                <w:tcPr>
                  <w:tcW w:w="5206" w:type="dxa"/>
                  <w:tcBorders/>
                  <w:shd w:fill="auto" w:val="clear"/>
                  <w:vAlign w:val="center"/>
                </w:tcPr>
                <w:p>
                  <w:pPr>
                    <w:pStyle w:val="Normal"/>
                    <w:rPr/>
                  </w:pPr>
                  <w:r>
                    <w:rPr>
                      <w:rFonts w:ascii="楷体" w:hAnsi="楷体" w:cs="楷体" w:eastAsia="楷体"/>
                      <w:sz w:val="32"/>
                      <w:szCs w:val="32"/>
                    </w:rPr>
                    <w:t> </w:t>
                  </w:r>
                  <w:r>
                    <w:rPr>
                      <w:rFonts w:eastAsia="Times New Roman"/>
                    </w:rPr>
                    <w:t xml:space="preserve"> </w:t>
                  </w:r>
                </w:p>
              </w:tc>
              <w:tc>
                <w:tcPr>
                  <w:tcW w:w="3427" w:type="dxa"/>
                  <w:vMerge w:val="continue"/>
                  <w:tcBorders/>
                  <w:shd w:fill="auto" w:val="clear"/>
                </w:tcPr>
                <w:p>
                  <w:pPr>
                    <w:pStyle w:val="Normal"/>
                    <w:snapToGrid w:val="false"/>
                    <w:rPr>
                      <w:rFonts w:ascii="宋体;SimSun" w:hAnsi="宋体;SimSun" w:cs="宋体;SimSun"/>
                      <w:szCs w:val="24"/>
                    </w:rPr>
                  </w:pPr>
                  <w:r>
                    <w:rPr>
                      <w:rFonts w:cs="宋体;SimSun" w:ascii="宋体;SimSun" w:hAnsi="宋体;SimSun"/>
                      <w:szCs w:val="24"/>
                    </w:rPr>
                  </w:r>
                </w:p>
              </w:tc>
            </w:tr>
          </w:tbl>
          <w:p>
            <w:pPr>
              <w:pStyle w:val="Normal"/>
              <w:widowControl/>
              <w:rPr>
                <w:rFonts w:ascii="楷体" w:hAnsi="楷体" w:eastAsia="楷体" w:cs="楷体"/>
                <w:sz w:val="32"/>
                <w:szCs w:val="32"/>
              </w:rPr>
            </w:pPr>
            <w:r>
              <w:rPr>
                <w:rFonts w:ascii="楷体" w:hAnsi="楷体" w:cs="楷体" w:eastAsia="楷体"/>
                <w:sz w:val="32"/>
                <w:szCs w:val="32"/>
              </w:rPr>
              <w:t xml:space="preserve"> </w:t>
            </w:r>
          </w:p>
        </w:tc>
      </w:tr>
    </w:tbl>
    <w:p>
      <w:pPr>
        <w:pStyle w:val="Normal"/>
        <w:spacing w:lineRule="auto" w:line="432"/>
        <w:jc w:val="center"/>
        <w:rPr>
          <w:rFonts w:ascii="Arial" w:hAnsi="Arial" w:eastAsia="仿宋_GB2312;仿宋" w:cs="Arial"/>
          <w:b/>
          <w:b/>
          <w:sz w:val="32"/>
        </w:rPr>
      </w:pPr>
      <w:r>
        <w:rPr>
          <w:rFonts w:eastAsia="仿宋_GB2312;仿宋" w:cs="Arial" w:ascii="Arial" w:hAnsi="Arial"/>
          <w:b/>
          <w:sz w:val="32"/>
        </w:rPr>
      </w:r>
    </w:p>
    <w:p>
      <w:pPr>
        <w:pStyle w:val="Normal"/>
        <w:spacing w:lineRule="auto" w:line="432"/>
        <w:jc w:val="center"/>
        <w:rPr>
          <w:rFonts w:ascii="Arial" w:hAnsi="Arial" w:eastAsia="仿宋_GB2312;仿宋" w:cs="Arial"/>
          <w:b/>
          <w:b/>
          <w:sz w:val="32"/>
        </w:rPr>
      </w:pPr>
      <w:r>
        <w:rPr>
          <w:rFonts w:eastAsia="仿宋_GB2312;仿宋" w:cs="Arial" w:ascii="Arial" w:hAnsi="Arial"/>
          <w:b/>
          <w:sz w:val="32"/>
        </w:rPr>
      </w:r>
    </w:p>
    <w:p>
      <w:pPr>
        <w:pStyle w:val="Normal"/>
        <w:spacing w:lineRule="auto" w:line="432"/>
        <w:jc w:val="center"/>
        <w:rPr>
          <w:rFonts w:ascii="Arial" w:hAnsi="Arial" w:eastAsia="仿宋_GB2312;仿宋" w:cs="Arial"/>
          <w:b/>
          <w:b/>
          <w:sz w:val="32"/>
        </w:rPr>
      </w:pPr>
      <w:r>
        <w:rPr>
          <w:rFonts w:eastAsia="仿宋_GB2312;仿宋" w:cs="Arial" w:ascii="Arial" w:hAnsi="Arial"/>
          <w:b/>
          <w:sz w:val="32"/>
        </w:rPr>
      </w:r>
    </w:p>
    <w:p>
      <w:pPr>
        <w:pStyle w:val="Normal"/>
        <w:spacing w:lineRule="auto" w:line="432"/>
        <w:jc w:val="center"/>
        <w:rPr/>
      </w:pPr>
      <w:r>
        <w:rPr>
          <w:rFonts w:ascii="Arial" w:hAnsi="Arial" w:cs="Arial"/>
          <w:b/>
          <w:sz w:val="44"/>
        </w:rPr>
        <w:t>土</w:t>
      </w:r>
      <w:r>
        <w:rPr>
          <w:rFonts w:ascii="Arial" w:hAnsi="Arial" w:cs="Arial" w:eastAsia="Arial"/>
          <w:b/>
          <w:sz w:val="44"/>
        </w:rPr>
        <w:t xml:space="preserve"> </w:t>
      </w:r>
      <w:r>
        <w:rPr>
          <w:rFonts w:ascii="Arial" w:hAnsi="Arial" w:cs="Arial"/>
          <w:b/>
          <w:sz w:val="44"/>
        </w:rPr>
        <w:t>地</w:t>
      </w:r>
      <w:r>
        <w:rPr>
          <w:rFonts w:ascii="Arial" w:hAnsi="Arial" w:cs="Arial" w:eastAsia="Arial"/>
          <w:b/>
          <w:sz w:val="44"/>
        </w:rPr>
        <w:t xml:space="preserve"> </w:t>
      </w:r>
      <w:r>
        <w:rPr>
          <w:rFonts w:ascii="Arial" w:hAnsi="Arial" w:cs="Arial"/>
          <w:b/>
          <w:sz w:val="44"/>
        </w:rPr>
        <w:t>估</w:t>
      </w:r>
      <w:r>
        <w:rPr>
          <w:rFonts w:ascii="Arial" w:hAnsi="Arial" w:cs="Arial" w:eastAsia="Arial"/>
          <w:b/>
          <w:sz w:val="44"/>
        </w:rPr>
        <w:t xml:space="preserve"> </w:t>
      </w:r>
      <w:r>
        <w:rPr>
          <w:rFonts w:ascii="Arial" w:hAnsi="Arial" w:cs="Arial"/>
          <w:b/>
          <w:sz w:val="44"/>
        </w:rPr>
        <w:t>价</w:t>
      </w:r>
      <w:r>
        <w:rPr>
          <w:rFonts w:ascii="Arial" w:hAnsi="Arial" w:cs="Arial" w:eastAsia="Arial"/>
          <w:b/>
          <w:sz w:val="44"/>
        </w:rPr>
        <w:t xml:space="preserve"> </w:t>
      </w:r>
      <w:r>
        <w:rPr>
          <w:rFonts w:ascii="Arial" w:hAnsi="Arial" w:cs="Arial"/>
          <w:b/>
          <w:sz w:val="44"/>
        </w:rPr>
        <w:t>报</w:t>
      </w:r>
      <w:r>
        <w:rPr>
          <w:rFonts w:ascii="Arial" w:hAnsi="Arial" w:cs="Arial" w:eastAsia="Arial"/>
          <w:b/>
          <w:sz w:val="44"/>
        </w:rPr>
        <w:t xml:space="preserve"> </w:t>
      </w:r>
      <w:r>
        <w:rPr>
          <w:rFonts w:ascii="Arial" w:hAnsi="Arial" w:cs="Arial"/>
          <w:b/>
          <w:sz w:val="44"/>
        </w:rPr>
        <w:t>告</w:t>
      </w:r>
    </w:p>
    <w:p>
      <w:pPr>
        <w:pStyle w:val="Normal"/>
        <w:spacing w:lineRule="auto" w:line="432"/>
        <w:jc w:val="center"/>
        <w:rPr>
          <w:rFonts w:ascii="Arial" w:hAnsi="Arial" w:eastAsia="昆仑仿宋;黑体" w:cs="Arial"/>
          <w:b/>
          <w:b/>
          <w:sz w:val="44"/>
        </w:rPr>
      </w:pPr>
      <w:r>
        <w:rPr>
          <w:rFonts w:eastAsia="昆仑仿宋;黑体" w:cs="Arial" w:ascii="Arial" w:hAnsi="Arial"/>
          <w:b/>
          <w:sz w:val="44"/>
        </w:rPr>
      </w:r>
    </w:p>
    <w:p>
      <w:pPr>
        <w:pStyle w:val="Normal"/>
        <w:spacing w:lineRule="auto" w:line="432"/>
        <w:jc w:val="center"/>
        <w:rPr>
          <w:rFonts w:ascii="Arial" w:hAnsi="Arial" w:eastAsia="昆仑仿宋;黑体" w:cs="Arial"/>
          <w:b/>
          <w:b/>
          <w:sz w:val="44"/>
        </w:rPr>
      </w:pPr>
      <w:r>
        <w:rPr>
          <w:rFonts w:eastAsia="昆仑仿宋;黑体" w:cs="Arial" w:ascii="Arial" w:hAnsi="Arial"/>
          <w:b/>
          <w:sz w:val="44"/>
        </w:rPr>
      </w:r>
    </w:p>
    <w:p>
      <w:pPr>
        <w:pStyle w:val="Normal"/>
        <w:spacing w:lineRule="auto" w:line="432"/>
        <w:jc w:val="center"/>
        <w:rPr>
          <w:rFonts w:ascii="Arial" w:hAnsi="Arial" w:eastAsia="楷体_GB2312;楷体" w:cs="Arial"/>
          <w:b/>
          <w:b/>
          <w:sz w:val="32"/>
        </w:rPr>
      </w:pPr>
      <w:r>
        <w:rPr>
          <w:rFonts w:eastAsia="楷体_GB2312;楷体" w:cs="Arial" w:ascii="Arial" w:hAnsi="Arial"/>
          <w:b/>
          <w:sz w:val="32"/>
        </w:rPr>
      </w:r>
    </w:p>
    <w:p>
      <w:pPr>
        <w:pStyle w:val="Normal"/>
        <w:spacing w:lineRule="auto" w:line="360"/>
        <w:ind w:left="2201" w:hanging="2201"/>
        <w:jc w:val="both"/>
        <w:rPr>
          <w:rFonts w:ascii="Arial" w:hAnsi="Arial" w:eastAsia="楷体_GB2312;楷体" w:cs="Arial"/>
          <w:b/>
          <w:b/>
          <w:i/>
          <w:i/>
          <w:sz w:val="28"/>
          <w:szCs w:val="28"/>
        </w:rPr>
      </w:pPr>
      <w:r>
        <w:rPr>
          <w:rFonts w:ascii="Arial" w:hAnsi="Arial" w:cs="Arial" w:eastAsia="楷体_GB2312;楷体"/>
          <w:b/>
          <w:sz w:val="32"/>
        </w:rPr>
        <w:t>项</w:t>
      </w:r>
      <w:r>
        <w:rPr>
          <w:rFonts w:ascii="Arial" w:hAnsi="Arial" w:cs="Arial" w:eastAsia="Arial"/>
          <w:b/>
          <w:sz w:val="32"/>
        </w:rPr>
        <w:t xml:space="preserve"> </w:t>
      </w:r>
      <w:r>
        <w:rPr>
          <w:rFonts w:ascii="Arial" w:hAnsi="Arial" w:cs="Arial" w:eastAsia="楷体_GB2312;楷体"/>
          <w:b/>
          <w:sz w:val="32"/>
        </w:rPr>
        <w:t>目</w:t>
      </w:r>
      <w:r>
        <w:rPr>
          <w:rFonts w:ascii="Arial" w:hAnsi="Arial" w:cs="Arial" w:eastAsia="Arial"/>
          <w:b/>
          <w:sz w:val="32"/>
        </w:rPr>
        <w:t xml:space="preserve"> </w:t>
      </w:r>
      <w:r>
        <w:rPr>
          <w:rFonts w:ascii="Arial" w:hAnsi="Arial" w:cs="Arial" w:eastAsia="楷体_GB2312;楷体"/>
          <w:b/>
          <w:sz w:val="32"/>
        </w:rPr>
        <w:t>名</w:t>
      </w:r>
      <w:r>
        <w:rPr>
          <w:rFonts w:ascii="Arial" w:hAnsi="Arial" w:cs="Arial" w:eastAsia="Arial"/>
          <w:b/>
          <w:sz w:val="32"/>
        </w:rPr>
        <w:t xml:space="preserve"> </w:t>
      </w:r>
      <w:r>
        <w:rPr>
          <w:rFonts w:ascii="Arial" w:hAnsi="Arial" w:cs="Arial" w:eastAsia="楷体_GB2312;楷体"/>
          <w:b/>
          <w:sz w:val="32"/>
        </w:rPr>
        <w:t>称：北京市海淀区建材城中路</w:t>
      </w:r>
      <w:r>
        <w:rPr>
          <w:rFonts w:eastAsia="楷体_GB2312;楷体" w:cs="Arial" w:ascii="Arial" w:hAnsi="Arial"/>
          <w:b/>
          <w:sz w:val="32"/>
        </w:rPr>
        <w:t>2</w:t>
      </w:r>
      <w:r>
        <w:rPr>
          <w:rFonts w:ascii="Arial" w:hAnsi="Arial" w:cs="Arial" w:eastAsia="楷体_GB2312;楷体"/>
          <w:b/>
          <w:sz w:val="32"/>
        </w:rPr>
        <w:t>号国有建设用地使用权收购补偿价格评估</w:t>
      </w:r>
    </w:p>
    <w:p>
      <w:pPr>
        <w:pStyle w:val="Normal"/>
        <w:spacing w:lineRule="auto" w:line="360"/>
        <w:ind w:left="1925" w:hanging="1925"/>
        <w:jc w:val="both"/>
        <w:rPr>
          <w:rFonts w:ascii="Arial" w:hAnsi="Arial" w:eastAsia="楷体_GB2312;楷体" w:cs="Arial"/>
          <w:b/>
          <w:b/>
          <w:i/>
          <w:i/>
          <w:sz w:val="28"/>
          <w:szCs w:val="28"/>
        </w:rPr>
      </w:pPr>
      <w:r>
        <w:rPr>
          <w:rFonts w:eastAsia="楷体_GB2312;楷体" w:cs="Arial" w:ascii="Arial" w:hAnsi="Arial"/>
          <w:b/>
          <w:i/>
          <w:sz w:val="28"/>
          <w:szCs w:val="28"/>
        </w:rPr>
      </w:r>
    </w:p>
    <w:p>
      <w:pPr>
        <w:pStyle w:val="Normal"/>
        <w:spacing w:lineRule="auto" w:line="360"/>
        <w:jc w:val="both"/>
        <w:rPr/>
      </w:pPr>
      <w:r>
        <w:rPr>
          <w:rFonts w:ascii="Arial" w:hAnsi="Arial" w:cs="Arial" w:eastAsia="楷体_GB2312;楷体"/>
          <w:b/>
          <w:sz w:val="32"/>
        </w:rPr>
        <w:t>受</w:t>
      </w:r>
      <w:r>
        <w:rPr>
          <w:rFonts w:ascii="Arial" w:hAnsi="Arial" w:cs="Arial" w:eastAsia="Arial"/>
          <w:b/>
          <w:sz w:val="32"/>
        </w:rPr>
        <w:t xml:space="preserve"> </w:t>
      </w:r>
      <w:r>
        <w:rPr>
          <w:rFonts w:ascii="Arial" w:hAnsi="Arial" w:cs="Arial" w:eastAsia="楷体_GB2312;楷体"/>
          <w:b/>
          <w:sz w:val="32"/>
        </w:rPr>
        <w:t>托</w:t>
      </w:r>
      <w:r>
        <w:rPr>
          <w:rFonts w:ascii="Arial" w:hAnsi="Arial" w:cs="Arial" w:eastAsia="Arial"/>
          <w:b/>
          <w:sz w:val="32"/>
        </w:rPr>
        <w:t xml:space="preserve"> </w:t>
      </w:r>
      <w:r>
        <w:rPr>
          <w:rFonts w:ascii="Arial" w:hAnsi="Arial" w:cs="Arial" w:eastAsia="楷体_GB2312;楷体"/>
          <w:b/>
          <w:sz w:val="32"/>
        </w:rPr>
        <w:t>单</w:t>
      </w:r>
      <w:r>
        <w:rPr>
          <w:rFonts w:ascii="Arial" w:hAnsi="Arial" w:cs="Arial" w:eastAsia="Arial"/>
          <w:b/>
          <w:sz w:val="32"/>
        </w:rPr>
        <w:t xml:space="preserve"> </w:t>
      </w:r>
      <w:r>
        <w:rPr>
          <w:rFonts w:ascii="Arial" w:hAnsi="Arial" w:cs="Arial" w:eastAsia="楷体_GB2312;楷体"/>
          <w:b/>
          <w:sz w:val="32"/>
        </w:rPr>
        <w:t>位：北京康正宏基房地产评估有限公司</w:t>
      </w:r>
    </w:p>
    <w:p>
      <w:pPr>
        <w:pStyle w:val="Normal"/>
        <w:spacing w:lineRule="auto" w:line="360"/>
        <w:jc w:val="both"/>
        <w:rPr>
          <w:rFonts w:ascii="Arial" w:hAnsi="Arial" w:eastAsia="楷体_GB2312;楷体" w:cs="Arial"/>
          <w:b/>
          <w:b/>
          <w:sz w:val="32"/>
        </w:rPr>
      </w:pPr>
      <w:r>
        <w:rPr>
          <w:rFonts w:eastAsia="楷体_GB2312;楷体" w:cs="Arial" w:ascii="Arial" w:hAnsi="Arial"/>
          <w:b/>
          <w:sz w:val="32"/>
        </w:rPr>
      </w:r>
    </w:p>
    <w:p>
      <w:pPr>
        <w:pStyle w:val="Normal"/>
        <w:spacing w:lineRule="auto" w:line="360"/>
        <w:jc w:val="both"/>
        <w:rPr/>
      </w:pPr>
      <w:r>
        <w:rPr>
          <w:rFonts w:ascii="Arial" w:hAnsi="Arial" w:cs="Arial" w:eastAsia="楷体_GB2312;楷体"/>
          <w:b/>
          <w:sz w:val="32"/>
        </w:rPr>
        <w:t>报</w:t>
      </w:r>
      <w:r>
        <w:rPr>
          <w:rFonts w:ascii="Arial" w:hAnsi="Arial" w:cs="Arial" w:eastAsia="Arial"/>
          <w:b/>
          <w:sz w:val="32"/>
        </w:rPr>
        <w:t xml:space="preserve"> </w:t>
      </w:r>
      <w:r>
        <w:rPr>
          <w:rFonts w:ascii="Arial" w:hAnsi="Arial" w:cs="Arial" w:eastAsia="楷体_GB2312;楷体"/>
          <w:b/>
          <w:sz w:val="32"/>
        </w:rPr>
        <w:t>告</w:t>
      </w:r>
      <w:r>
        <w:rPr>
          <w:rFonts w:ascii="Arial" w:hAnsi="Arial" w:cs="Arial" w:eastAsia="Arial"/>
          <w:b/>
          <w:sz w:val="32"/>
        </w:rPr>
        <w:t xml:space="preserve"> </w:t>
      </w:r>
      <w:r>
        <w:rPr>
          <w:rFonts w:ascii="Arial" w:hAnsi="Arial" w:cs="Arial" w:eastAsia="楷体_GB2312;楷体"/>
          <w:b/>
          <w:sz w:val="32"/>
        </w:rPr>
        <w:t>编</w:t>
      </w:r>
      <w:r>
        <w:rPr>
          <w:rFonts w:ascii="Arial" w:hAnsi="Arial" w:cs="Arial" w:eastAsia="Arial"/>
          <w:b/>
          <w:sz w:val="32"/>
        </w:rPr>
        <w:t xml:space="preserve"> </w:t>
      </w:r>
      <w:r>
        <w:rPr>
          <w:rFonts w:ascii="Arial" w:hAnsi="Arial" w:cs="Arial" w:eastAsia="楷体_GB2312;楷体"/>
          <w:b/>
          <w:sz w:val="32"/>
        </w:rPr>
        <w:t>号：康正评字</w:t>
      </w:r>
      <w:r>
        <w:rPr>
          <w:rFonts w:eastAsia="楷体_GB2312;楷体" w:cs="Arial" w:ascii="Arial" w:hAnsi="Arial"/>
          <w:b/>
          <w:sz w:val="32"/>
        </w:rPr>
        <w:t>2022-1-0543-F02SGCB6</w:t>
      </w:r>
      <w:r>
        <w:rPr>
          <w:rFonts w:ascii="Arial" w:hAnsi="Arial" w:cs="Arial" w:eastAsia="楷体_GB2312;楷体"/>
          <w:b/>
          <w:sz w:val="32"/>
        </w:rPr>
        <w:t>号</w:t>
      </w:r>
    </w:p>
    <w:p>
      <w:pPr>
        <w:pStyle w:val="Normal"/>
        <w:spacing w:lineRule="auto" w:line="360"/>
        <w:jc w:val="both"/>
        <w:rPr>
          <w:rFonts w:ascii="Arial" w:hAnsi="Arial" w:eastAsia="楷体_GB2312;楷体" w:cs="Arial"/>
          <w:b/>
          <w:b/>
          <w:sz w:val="32"/>
        </w:rPr>
      </w:pPr>
      <w:r>
        <w:rPr>
          <w:rFonts w:eastAsia="楷体_GB2312;楷体" w:cs="Arial" w:ascii="Arial" w:hAnsi="Arial"/>
          <w:b/>
          <w:sz w:val="32"/>
        </w:rPr>
      </w:r>
    </w:p>
    <w:p>
      <w:pPr>
        <w:sectPr>
          <w:headerReference w:type="default" r:id="rId2"/>
          <w:headerReference w:type="first" r:id="rId3"/>
          <w:footerReference w:type="default" r:id="rId4"/>
          <w:footerReference w:type="first" r:id="rId5"/>
          <w:type w:val="nextPage"/>
          <w:pgSz w:w="11906" w:h="16838"/>
          <w:pgMar w:left="1803" w:right="1440" w:header="851" w:top="1440" w:footer="1134" w:bottom="1440" w:gutter="0"/>
          <w:pgNumType w:start="0" w:fmt="decimal"/>
          <w:formProt w:val="false"/>
          <w:titlePg/>
          <w:textDirection w:val="lrTb"/>
          <w:docGrid w:type="default" w:linePitch="360" w:charSpace="0"/>
        </w:sectPr>
        <w:pStyle w:val="Normal"/>
        <w:spacing w:lineRule="auto" w:line="360"/>
        <w:jc w:val="both"/>
        <w:rPr>
          <w:rFonts w:ascii="Arial" w:hAnsi="Arial" w:eastAsia="楷体_GB2312;楷体" w:cs="Arial"/>
          <w:b/>
          <w:b/>
          <w:spacing w:val="-20"/>
          <w:sz w:val="32"/>
        </w:rPr>
      </w:pPr>
      <w:r>
        <w:rPr>
          <w:rFonts w:ascii="Arial" w:hAnsi="Arial" w:cs="Arial" w:eastAsia="楷体_GB2312;楷体"/>
          <w:b/>
          <w:sz w:val="32"/>
        </w:rPr>
        <w:t>提交报告日期：</w:t>
      </w:r>
      <w:r>
        <w:rPr>
          <w:rFonts w:eastAsia="楷体_GB2312;楷体" w:cs="Arial" w:ascii="Arial" w:hAnsi="Arial"/>
          <w:b/>
          <w:sz w:val="32"/>
        </w:rPr>
        <w:t>2024</w:t>
      </w:r>
      <w:r>
        <w:rPr>
          <w:rFonts w:ascii="Arial" w:hAnsi="Arial" w:cs="Arial" w:eastAsia="楷体_GB2312;楷体"/>
          <w:b/>
          <w:sz w:val="32"/>
        </w:rPr>
        <w:t>年</w:t>
      </w:r>
      <w:r>
        <w:rPr>
          <w:rFonts w:eastAsia="楷体_GB2312;楷体" w:cs="Arial" w:ascii="Arial" w:hAnsi="Arial"/>
          <w:b/>
          <w:sz w:val="32"/>
        </w:rPr>
        <w:t>5</w:t>
      </w:r>
      <w:r>
        <w:rPr>
          <w:rFonts w:ascii="Arial" w:hAnsi="Arial" w:cs="Arial" w:eastAsia="楷体_GB2312;楷体"/>
          <w:b/>
          <w:sz w:val="32"/>
        </w:rPr>
        <w:t>月</w:t>
      </w:r>
      <w:r>
        <w:rPr>
          <w:rFonts w:eastAsia="楷体_GB2312;楷体" w:cs="Arial" w:ascii="Arial" w:hAnsi="Arial"/>
          <w:b/>
          <w:sz w:val="32"/>
        </w:rPr>
        <w:t>30</w:t>
      </w:r>
      <w:r>
        <w:rPr>
          <w:rFonts w:ascii="Arial" w:hAnsi="Arial" w:cs="Arial" w:eastAsia="楷体_GB2312;楷体"/>
          <w:b/>
          <w:sz w:val="32"/>
        </w:rPr>
        <w:t>日</w:t>
      </w:r>
    </w:p>
    <w:p>
      <w:pPr>
        <w:pStyle w:val="Normal"/>
        <w:spacing w:lineRule="auto" w:line="360"/>
        <w:jc w:val="center"/>
        <w:rPr>
          <w:rFonts w:cs="Arial"/>
        </w:rPr>
      </w:pPr>
      <w:r>
        <w:rPr>
          <w:rFonts w:ascii="Arial" w:hAnsi="Arial" w:cs="Arial"/>
          <w:b/>
          <w:sz w:val="32"/>
          <w:szCs w:val="32"/>
        </w:rPr>
        <w:t>目录</w:t>
      </w:r>
    </w:p>
    <w:sdt>
      <w:sdtPr>
        <w:docPartObj>
          <w:docPartGallery w:val="Table of Contents"/>
          <w:docPartUnique w:val="true"/>
        </w:docPartObj>
      </w:sdtPr>
      <w:sdtContent>
        <w:p>
          <w:pPr>
            <w:pStyle w:val="12"/>
            <w:tabs>
              <w:tab w:val="left" w:pos="840" w:leader="none"/>
              <w:tab w:val="right" w:pos="8654" w:leader="dot"/>
            </w:tabs>
            <w:spacing w:lineRule="auto" w:line="360"/>
            <w:jc w:val="center"/>
            <w:rPr>
              <w:rFonts w:ascii="Arial" w:hAnsi="Arial" w:cs="Arial"/>
              <w:kern w:val="2"/>
            </w:rPr>
          </w:pPr>
          <w:r>
            <w:fldChar w:fldCharType="begin"/>
          </w:r>
          <w:r>
            <w:rPr>
              <w:rStyle w:val="Style"/>
              <w:sz w:val="28"/>
              <w:szCs w:val="28"/>
              <w:rFonts w:ascii="Arial" w:hAnsi="Arial" w:cs="Arial"/>
            </w:rPr>
            <w:instrText> TOC \o "1-2" \h \z \u </w:instrText>
          </w:r>
          <w:r>
            <w:rPr>
              <w:rStyle w:val="Style"/>
              <w:sz w:val="28"/>
              <w:szCs w:val="28"/>
              <w:rFonts w:ascii="Arial" w:hAnsi="Arial" w:cs="Arial"/>
            </w:rPr>
            <w:fldChar w:fldCharType="separate"/>
          </w:r>
          <w:hyperlink w:anchor="__RefHeading___Toc469066127">
            <w:r>
              <w:rPr>
                <w:rStyle w:val="Style"/>
                <w:rFonts w:ascii="Arial" w:hAnsi="Arial" w:cs="Arial"/>
                <w:color w:val="000000"/>
                <w:sz w:val="28"/>
                <w:szCs w:val="28"/>
                <w:lang w:val="zh-CN" w:eastAsia="zh-CN"/>
              </w:rPr>
              <w:t>第一部分</w:t>
            </w:r>
            <w:r>
              <w:rPr>
                <w:rStyle w:val="Style"/>
                <w:rFonts w:ascii="Arial" w:hAnsi="Arial" w:cs="Arial" w:eastAsia="Arial"/>
                <w:color w:val="000000"/>
                <w:sz w:val="28"/>
                <w:szCs w:val="28"/>
                <w:lang w:val="zh-CN" w:eastAsia="zh-CN"/>
              </w:rPr>
              <w:t xml:space="preserve">  </w:t>
            </w:r>
            <w:r>
              <w:rPr>
                <w:rStyle w:val="Style"/>
                <w:rFonts w:ascii="Arial" w:hAnsi="Arial" w:cs="Arial"/>
                <w:color w:val="000000"/>
                <w:sz w:val="28"/>
                <w:szCs w:val="28"/>
                <w:lang w:val="zh-CN" w:eastAsia="zh-CN"/>
              </w:rPr>
              <w:t>摘</w:t>
            </w:r>
            <w:r>
              <w:rPr>
                <w:rStyle w:val="Style"/>
                <w:rFonts w:ascii="Arial" w:hAnsi="Arial" w:cs="Arial" w:eastAsia="Arial"/>
                <w:color w:val="000000"/>
                <w:sz w:val="28"/>
                <w:szCs w:val="28"/>
                <w:lang w:val="zh-CN" w:eastAsia="zh-CN"/>
              </w:rPr>
              <w:t xml:space="preserve">  </w:t>
            </w:r>
            <w:r>
              <w:rPr>
                <w:rStyle w:val="Style"/>
                <w:rFonts w:ascii="Arial" w:hAnsi="Arial" w:cs="Arial"/>
                <w:color w:val="000000"/>
                <w:sz w:val="28"/>
                <w:szCs w:val="28"/>
                <w:lang w:val="zh-CN" w:eastAsia="zh-CN"/>
              </w:rPr>
              <w:t>要</w:t>
            </w:r>
            <w:r>
              <w:rPr>
                <w:rStyle w:val="Style"/>
                <w:rFonts w:eastAsia="仿宋_GB2312;仿宋" w:cs="Arial" w:ascii="Arial" w:hAnsi="Arial"/>
                <w:sz w:val="28"/>
                <w:szCs w:val="28"/>
                <w:lang w:val="zh-CN" w:eastAsia="zh-CN"/>
              </w:rPr>
              <w:tab/>
              <w:t>1</w:t>
            </w:r>
          </w:hyperlink>
        </w:p>
        <w:p>
          <w:pPr>
            <w:pStyle w:val="27"/>
            <w:rPr>
              <w:rFonts w:ascii="Arial" w:hAnsi="Arial" w:cs="Arial"/>
              <w:kern w:val="2"/>
              <w:lang w:val="zh-CN" w:eastAsia="zh-CN"/>
            </w:rPr>
          </w:pPr>
          <w:hyperlink w:anchor="__RefHeading___Toc469066128">
            <w:r>
              <w:rPr>
                <w:rStyle w:val="Style"/>
                <w:rFonts w:ascii="Arial" w:hAnsi="Arial" w:cs="Arial" w:eastAsia="仿宋_GB2312;仿宋"/>
                <w:bCs/>
                <w:color w:val="000000"/>
                <w:szCs w:val="24"/>
                <w:lang w:val="zh-CN" w:eastAsia="zh-CN"/>
              </w:rPr>
              <w:t>一、项目名称</w:t>
            </w:r>
            <w:r>
              <w:rPr>
                <w:rStyle w:val="Style"/>
                <w:rFonts w:cs="Arial" w:ascii="Arial" w:hAnsi="Arial"/>
                <w:lang w:val="zh-CN" w:eastAsia="zh-CN"/>
              </w:rPr>
              <w:tab/>
              <w:t>1</w:t>
            </w:r>
          </w:hyperlink>
        </w:p>
        <w:p>
          <w:pPr>
            <w:pStyle w:val="27"/>
            <w:rPr>
              <w:rFonts w:ascii="Arial" w:hAnsi="Arial" w:cs="Arial"/>
              <w:kern w:val="2"/>
              <w:lang w:val="zh-CN" w:eastAsia="zh-CN"/>
            </w:rPr>
          </w:pPr>
          <w:hyperlink w:anchor="__RefHeading___Toc469066129">
            <w:r>
              <w:rPr>
                <w:rStyle w:val="Style"/>
                <w:rFonts w:ascii="Arial" w:hAnsi="Arial" w:cs="Arial" w:eastAsia="仿宋_GB2312;仿宋"/>
                <w:bCs/>
                <w:color w:val="000000"/>
                <w:szCs w:val="24"/>
                <w:lang w:val="zh-CN" w:eastAsia="zh-CN"/>
              </w:rPr>
              <w:t>二、委托估价方</w:t>
            </w:r>
            <w:r>
              <w:rPr>
                <w:rStyle w:val="Style"/>
                <w:rFonts w:cs="Arial" w:ascii="Arial" w:hAnsi="Arial"/>
                <w:lang w:val="zh-CN" w:eastAsia="zh-CN"/>
              </w:rPr>
              <w:tab/>
              <w:t>1</w:t>
            </w:r>
          </w:hyperlink>
        </w:p>
        <w:p>
          <w:pPr>
            <w:pStyle w:val="27"/>
            <w:rPr>
              <w:rFonts w:ascii="Arial" w:hAnsi="Arial" w:cs="Arial"/>
              <w:kern w:val="2"/>
              <w:lang w:val="zh-CN" w:eastAsia="zh-CN"/>
            </w:rPr>
          </w:pPr>
          <w:hyperlink w:anchor="__RefHeading___Toc469066130">
            <w:r>
              <w:rPr>
                <w:rStyle w:val="Style"/>
                <w:rFonts w:ascii="Arial" w:hAnsi="Arial" w:cs="Arial" w:eastAsia="仿宋_GB2312;仿宋"/>
                <w:bCs/>
                <w:color w:val="000000"/>
                <w:szCs w:val="24"/>
                <w:lang w:val="zh-CN" w:eastAsia="zh-CN"/>
              </w:rPr>
              <w:t>三、估价目的</w:t>
            </w:r>
            <w:r>
              <w:rPr>
                <w:rStyle w:val="Style"/>
                <w:rFonts w:cs="Arial" w:ascii="Arial" w:hAnsi="Arial"/>
                <w:lang w:val="zh-CN" w:eastAsia="zh-CN"/>
              </w:rPr>
              <w:tab/>
              <w:t>1</w:t>
            </w:r>
          </w:hyperlink>
        </w:p>
        <w:p>
          <w:pPr>
            <w:pStyle w:val="27"/>
            <w:rPr>
              <w:rFonts w:ascii="Arial" w:hAnsi="Arial" w:cs="Arial"/>
              <w:kern w:val="2"/>
              <w:lang w:val="zh-CN" w:eastAsia="zh-CN"/>
            </w:rPr>
          </w:pPr>
          <w:hyperlink w:anchor="__RefHeading___Toc469066131">
            <w:r>
              <w:rPr>
                <w:rStyle w:val="Style"/>
                <w:rFonts w:ascii="Arial" w:hAnsi="Arial" w:cs="Arial" w:eastAsia="仿宋_GB2312;仿宋"/>
                <w:bCs/>
                <w:color w:val="000000"/>
                <w:szCs w:val="24"/>
                <w:lang w:val="zh-CN" w:eastAsia="zh-CN"/>
              </w:rPr>
              <w:t>四、估价期日</w:t>
            </w:r>
            <w:r>
              <w:rPr>
                <w:rStyle w:val="Style"/>
                <w:rFonts w:cs="Arial" w:ascii="Arial" w:hAnsi="Arial"/>
                <w:lang w:val="zh-CN" w:eastAsia="zh-CN"/>
              </w:rPr>
              <w:tab/>
              <w:t>1</w:t>
            </w:r>
          </w:hyperlink>
        </w:p>
        <w:p>
          <w:pPr>
            <w:pStyle w:val="27"/>
            <w:rPr>
              <w:rFonts w:ascii="Arial" w:hAnsi="Arial" w:cs="Arial"/>
              <w:kern w:val="2"/>
              <w:lang w:val="zh-CN" w:eastAsia="zh-CN"/>
            </w:rPr>
          </w:pPr>
          <w:hyperlink w:anchor="__RefHeading___Toc469066132">
            <w:r>
              <w:rPr>
                <w:rStyle w:val="Style"/>
                <w:rFonts w:ascii="Arial" w:hAnsi="Arial" w:cs="Arial" w:eastAsia="仿宋_GB2312;仿宋"/>
                <w:bCs/>
                <w:color w:val="000000"/>
                <w:szCs w:val="24"/>
                <w:lang w:val="zh-CN" w:eastAsia="zh-CN"/>
              </w:rPr>
              <w:t>五、估价日期</w:t>
            </w:r>
            <w:r>
              <w:rPr>
                <w:rStyle w:val="Style"/>
                <w:rFonts w:cs="Arial" w:ascii="Arial" w:hAnsi="Arial"/>
                <w:lang w:val="zh-CN" w:eastAsia="zh-CN"/>
              </w:rPr>
              <w:tab/>
              <w:t>1</w:t>
            </w:r>
          </w:hyperlink>
        </w:p>
        <w:p>
          <w:pPr>
            <w:pStyle w:val="27"/>
            <w:rPr>
              <w:rFonts w:ascii="Arial" w:hAnsi="Arial" w:cs="Arial"/>
              <w:kern w:val="2"/>
              <w:lang w:val="zh-CN" w:eastAsia="zh-CN"/>
            </w:rPr>
          </w:pPr>
          <w:hyperlink w:anchor="__RefHeading___Toc469066133">
            <w:r>
              <w:rPr>
                <w:rStyle w:val="Style"/>
                <w:rFonts w:ascii="Arial" w:hAnsi="Arial" w:cs="Arial" w:eastAsia="仿宋_GB2312;仿宋"/>
                <w:bCs/>
                <w:color w:val="000000"/>
                <w:szCs w:val="24"/>
                <w:lang w:val="zh-CN" w:eastAsia="zh-CN"/>
              </w:rPr>
              <w:t>六、地价定义</w:t>
            </w:r>
            <w:r>
              <w:rPr>
                <w:rStyle w:val="Style"/>
                <w:rFonts w:cs="Arial" w:ascii="Arial" w:hAnsi="Arial"/>
                <w:lang w:val="zh-CN" w:eastAsia="zh-CN"/>
              </w:rPr>
              <w:tab/>
              <w:t>1</w:t>
            </w:r>
          </w:hyperlink>
        </w:p>
        <w:p>
          <w:pPr>
            <w:pStyle w:val="27"/>
            <w:rPr>
              <w:rFonts w:ascii="Arial" w:hAnsi="Arial" w:cs="Arial"/>
              <w:kern w:val="2"/>
              <w:lang w:val="zh-CN" w:eastAsia="zh-CN"/>
            </w:rPr>
          </w:pPr>
          <w:hyperlink w:anchor="__RefHeading___Toc469066134">
            <w:r>
              <w:rPr>
                <w:rStyle w:val="Style"/>
                <w:rFonts w:ascii="Arial" w:hAnsi="Arial" w:cs="Arial" w:eastAsia="仿宋_GB2312;仿宋"/>
                <w:color w:val="000000"/>
                <w:szCs w:val="24"/>
                <w:lang w:val="zh-CN" w:eastAsia="zh-CN"/>
              </w:rPr>
              <w:t>七、估价结果</w:t>
            </w:r>
            <w:r>
              <w:rPr>
                <w:rStyle w:val="Style"/>
                <w:rFonts w:cs="Arial" w:ascii="Arial" w:hAnsi="Arial"/>
                <w:lang w:val="zh-CN" w:eastAsia="zh-CN"/>
              </w:rPr>
              <w:tab/>
              <w:t>6</w:t>
            </w:r>
          </w:hyperlink>
        </w:p>
        <w:p>
          <w:pPr>
            <w:pStyle w:val="27"/>
            <w:rPr>
              <w:rFonts w:ascii="Arial" w:hAnsi="Arial" w:cs="Arial"/>
              <w:kern w:val="2"/>
              <w:lang w:val="zh-CN" w:eastAsia="zh-CN"/>
            </w:rPr>
          </w:pPr>
          <w:hyperlink w:anchor="__RefHeading___Toc469066135">
            <w:r>
              <w:rPr>
                <w:rStyle w:val="Style"/>
                <w:rFonts w:ascii="Arial" w:hAnsi="Arial" w:cs="Arial" w:eastAsia="仿宋_GB2312;仿宋"/>
                <w:color w:val="000000"/>
                <w:szCs w:val="24"/>
                <w:lang w:val="zh-CN" w:eastAsia="zh-CN"/>
              </w:rPr>
              <w:t>八、评估专业人员签字</w:t>
            </w:r>
            <w:r>
              <w:rPr>
                <w:rStyle w:val="Style"/>
                <w:rFonts w:cs="Arial" w:ascii="Arial" w:hAnsi="Arial"/>
                <w:lang w:val="zh-CN" w:eastAsia="zh-CN"/>
              </w:rPr>
              <w:tab/>
              <w:t>8</w:t>
            </w:r>
          </w:hyperlink>
        </w:p>
        <w:p>
          <w:pPr>
            <w:pStyle w:val="27"/>
            <w:rPr>
              <w:rFonts w:ascii="Arial" w:hAnsi="Arial" w:cs="Arial"/>
              <w:kern w:val="2"/>
              <w:lang w:val="zh-CN" w:eastAsia="zh-CN"/>
            </w:rPr>
          </w:pPr>
          <w:hyperlink w:anchor="__RefHeading___Toc469066136">
            <w:r>
              <w:rPr>
                <w:rStyle w:val="Style"/>
                <w:rFonts w:ascii="Arial" w:hAnsi="Arial" w:cs="Arial" w:eastAsia="仿宋_GB2312;仿宋"/>
                <w:color w:val="000000"/>
                <w:szCs w:val="24"/>
                <w:lang w:val="zh-CN" w:eastAsia="zh-CN"/>
              </w:rPr>
              <w:t>九、受托单位</w:t>
            </w:r>
            <w:r>
              <w:rPr>
                <w:rStyle w:val="Style"/>
                <w:rFonts w:cs="Arial" w:ascii="Arial" w:hAnsi="Arial"/>
                <w:lang w:val="zh-CN" w:eastAsia="zh-CN"/>
              </w:rPr>
              <w:tab/>
              <w:t>8</w:t>
            </w:r>
          </w:hyperlink>
        </w:p>
        <w:p>
          <w:pPr>
            <w:pStyle w:val="27"/>
            <w:rPr>
              <w:rFonts w:ascii="Arial" w:hAnsi="Arial" w:cs="Arial"/>
              <w:kern w:val="2"/>
              <w:lang w:val="zh-CN" w:eastAsia="zh-CN"/>
            </w:rPr>
          </w:pPr>
          <w:hyperlink w:anchor="__RefHeading___Toc469066137">
            <w:r>
              <w:rPr>
                <w:rStyle w:val="Style"/>
                <w:rFonts w:ascii="Arial" w:hAnsi="Arial" w:cs="Arial" w:eastAsia="仿宋_GB2312;仿宋"/>
                <w:bCs/>
                <w:color w:val="000000"/>
                <w:szCs w:val="24"/>
                <w:lang w:val="zh-CN" w:eastAsia="zh-CN"/>
              </w:rPr>
              <w:t>附</w:t>
            </w:r>
            <w:r>
              <w:rPr>
                <w:rStyle w:val="Style"/>
                <w:rFonts w:ascii="Arial" w:hAnsi="Arial" w:cs="Arial" w:eastAsia="仿宋_GB2312;仿宋"/>
                <w:color w:val="000000"/>
                <w:szCs w:val="24"/>
                <w:lang w:val="zh-CN" w:eastAsia="zh-CN"/>
              </w:rPr>
              <w:t>：估价结果一览表</w:t>
            </w:r>
            <w:r>
              <w:rPr>
                <w:rStyle w:val="Style"/>
                <w:rFonts w:cs="Arial" w:ascii="Arial" w:hAnsi="Arial"/>
                <w:lang w:val="zh-CN" w:eastAsia="zh-CN"/>
              </w:rPr>
              <w:tab/>
              <w:t>9</w:t>
            </w:r>
          </w:hyperlink>
        </w:p>
        <w:p>
          <w:pPr>
            <w:pStyle w:val="12"/>
            <w:rPr>
              <w:rFonts w:ascii="Arial" w:hAnsi="Arial" w:cs="Arial"/>
              <w:kern w:val="2"/>
            </w:rPr>
          </w:pPr>
          <w:hyperlink w:anchor="__RefHeading___Toc469066138">
            <w:r>
              <w:rPr>
                <w:rStyle w:val="Style"/>
                <w:rFonts w:ascii="Arial" w:hAnsi="Arial" w:cs="Arial"/>
                <w:color w:val="000000"/>
              </w:rPr>
              <w:t>第二部分</w:t>
            </w:r>
            <w:r>
              <w:rPr>
                <w:rStyle w:val="Style"/>
                <w:rFonts w:ascii="Arial" w:hAnsi="Arial" w:cs="Arial" w:eastAsia="Arial"/>
                <w:color w:val="000000"/>
              </w:rPr>
              <w:t xml:space="preserve">  </w:t>
            </w:r>
            <w:r>
              <w:rPr>
                <w:rStyle w:val="Style"/>
                <w:rFonts w:ascii="Arial" w:hAnsi="Arial" w:cs="Arial"/>
                <w:color w:val="000000"/>
              </w:rPr>
              <w:t>估价对象界定</w:t>
            </w:r>
            <w:r>
              <w:rPr>
                <w:rStyle w:val="Style"/>
                <w:rFonts w:cs="Arial" w:ascii="Arial" w:hAnsi="Arial"/>
              </w:rPr>
              <w:tab/>
              <w:t>10</w:t>
            </w:r>
          </w:hyperlink>
        </w:p>
        <w:p>
          <w:pPr>
            <w:pStyle w:val="27"/>
            <w:rPr>
              <w:rFonts w:ascii="Arial" w:hAnsi="Arial" w:cs="Arial"/>
              <w:kern w:val="2"/>
              <w:lang w:val="zh-CN" w:eastAsia="zh-CN"/>
            </w:rPr>
          </w:pPr>
          <w:hyperlink w:anchor="__RefHeading___Toc469066139">
            <w:r>
              <w:rPr>
                <w:rStyle w:val="Style"/>
                <w:rFonts w:ascii="Arial" w:hAnsi="Arial" w:cs="Arial" w:eastAsia="仿宋_GB2312;仿宋"/>
                <w:color w:val="000000"/>
                <w:szCs w:val="24"/>
                <w:lang w:val="zh-CN" w:eastAsia="zh-CN"/>
              </w:rPr>
              <w:t>一、委托估价方</w:t>
            </w:r>
            <w:r>
              <w:rPr>
                <w:rStyle w:val="Style"/>
                <w:rFonts w:cs="Arial" w:ascii="Arial" w:hAnsi="Arial"/>
                <w:lang w:val="zh-CN" w:eastAsia="zh-CN"/>
              </w:rPr>
              <w:tab/>
              <w:t>10</w:t>
            </w:r>
          </w:hyperlink>
        </w:p>
        <w:p>
          <w:pPr>
            <w:pStyle w:val="27"/>
            <w:rPr>
              <w:rFonts w:ascii="Arial" w:hAnsi="Arial" w:cs="Arial"/>
              <w:kern w:val="2"/>
              <w:lang w:val="zh-CN" w:eastAsia="zh-CN"/>
            </w:rPr>
          </w:pPr>
          <w:hyperlink w:anchor="__RefHeading___Toc469066140">
            <w:r>
              <w:rPr>
                <w:rStyle w:val="Style"/>
                <w:rFonts w:ascii="Arial" w:hAnsi="Arial" w:cs="Arial" w:eastAsia="仿宋_GB2312;仿宋"/>
                <w:color w:val="000000"/>
                <w:szCs w:val="24"/>
                <w:lang w:val="zh-CN" w:eastAsia="zh-CN"/>
              </w:rPr>
              <w:t>二、估价对象</w:t>
            </w:r>
            <w:r>
              <w:rPr>
                <w:rStyle w:val="Style"/>
                <w:rFonts w:cs="Arial" w:ascii="Arial" w:hAnsi="Arial"/>
                <w:lang w:val="zh-CN" w:eastAsia="zh-CN"/>
              </w:rPr>
              <w:tab/>
              <w:t>10</w:t>
            </w:r>
          </w:hyperlink>
        </w:p>
        <w:p>
          <w:pPr>
            <w:pStyle w:val="27"/>
            <w:rPr>
              <w:rFonts w:ascii="Arial" w:hAnsi="Arial" w:cs="Arial"/>
              <w:kern w:val="2"/>
              <w:lang w:val="zh-CN" w:eastAsia="zh-CN"/>
            </w:rPr>
          </w:pPr>
          <w:hyperlink w:anchor="__RefHeading___Toc469066141">
            <w:r>
              <w:rPr>
                <w:rStyle w:val="Style"/>
                <w:rFonts w:ascii="Arial" w:hAnsi="Arial" w:cs="Arial" w:eastAsia="仿宋_GB2312;仿宋"/>
                <w:color w:val="000000"/>
                <w:szCs w:val="24"/>
                <w:lang w:val="zh-CN" w:eastAsia="zh-CN"/>
              </w:rPr>
              <w:t>三、估价对象概况</w:t>
            </w:r>
            <w:r>
              <w:rPr>
                <w:rStyle w:val="Style"/>
                <w:rFonts w:cs="Arial" w:ascii="Arial" w:hAnsi="Arial"/>
                <w:lang w:val="zh-CN" w:eastAsia="zh-CN"/>
              </w:rPr>
              <w:tab/>
              <w:t>10</w:t>
            </w:r>
          </w:hyperlink>
        </w:p>
        <w:p>
          <w:pPr>
            <w:pStyle w:val="27"/>
            <w:rPr>
              <w:rFonts w:ascii="Arial" w:hAnsi="Arial" w:cs="Arial"/>
              <w:kern w:val="2"/>
              <w:lang w:val="zh-CN" w:eastAsia="zh-CN"/>
            </w:rPr>
          </w:pPr>
          <w:hyperlink w:anchor="__RefHeading___Toc469066142">
            <w:r>
              <w:rPr>
                <w:rStyle w:val="Style"/>
                <w:rFonts w:ascii="Arial" w:hAnsi="Arial" w:cs="Arial" w:eastAsia="仿宋_GB2312;仿宋"/>
                <w:color w:val="000000"/>
                <w:szCs w:val="24"/>
                <w:lang w:val="zh-CN" w:eastAsia="zh-CN"/>
              </w:rPr>
              <w:t>四、影响地价的因素说明</w:t>
            </w:r>
            <w:r>
              <w:rPr>
                <w:rStyle w:val="Style"/>
                <w:rFonts w:cs="Arial" w:ascii="Arial" w:hAnsi="Arial"/>
                <w:lang w:val="zh-CN" w:eastAsia="zh-CN"/>
              </w:rPr>
              <w:tab/>
              <w:t>17</w:t>
            </w:r>
          </w:hyperlink>
        </w:p>
        <w:p>
          <w:pPr>
            <w:pStyle w:val="12"/>
            <w:rPr>
              <w:rFonts w:ascii="Arial" w:hAnsi="Arial" w:cs="Arial"/>
              <w:kern w:val="2"/>
            </w:rPr>
          </w:pPr>
          <w:hyperlink w:anchor="__RefHeading___Toc469066144">
            <w:r>
              <w:rPr>
                <w:rStyle w:val="Style"/>
                <w:rFonts w:ascii="Arial" w:hAnsi="Arial" w:cs="Arial"/>
                <w:color w:val="000000"/>
              </w:rPr>
              <w:t>第三部分</w:t>
            </w:r>
            <w:r>
              <w:rPr>
                <w:rStyle w:val="Style"/>
                <w:rFonts w:ascii="Arial" w:hAnsi="Arial" w:cs="Arial" w:eastAsia="Arial"/>
                <w:color w:val="000000"/>
              </w:rPr>
              <w:t xml:space="preserve">  </w:t>
            </w:r>
            <w:r>
              <w:rPr>
                <w:rStyle w:val="Style"/>
                <w:rFonts w:ascii="Arial" w:hAnsi="Arial" w:cs="Arial"/>
                <w:color w:val="000000"/>
              </w:rPr>
              <w:t>土地估价结果及其使用</w:t>
            </w:r>
            <w:r>
              <w:rPr>
                <w:rStyle w:val="Style"/>
                <w:rFonts w:cs="Arial" w:ascii="Arial" w:hAnsi="Arial"/>
              </w:rPr>
              <w:tab/>
              <w:t>37</w:t>
            </w:r>
          </w:hyperlink>
        </w:p>
        <w:p>
          <w:pPr>
            <w:pStyle w:val="27"/>
            <w:rPr>
              <w:rFonts w:ascii="Arial" w:hAnsi="Arial" w:cs="Arial"/>
              <w:kern w:val="2"/>
              <w:lang w:val="zh-CN" w:eastAsia="zh-CN"/>
            </w:rPr>
          </w:pPr>
          <w:hyperlink w:anchor="__RefHeading___Toc469066145">
            <w:r>
              <w:rPr>
                <w:rStyle w:val="Style"/>
                <w:rFonts w:ascii="Arial" w:hAnsi="Arial" w:cs="Arial" w:eastAsia="仿宋_GB2312;仿宋"/>
                <w:color w:val="000000"/>
                <w:szCs w:val="24"/>
                <w:lang w:val="zh-CN" w:eastAsia="zh-CN"/>
              </w:rPr>
              <w:t>一、估价依据</w:t>
            </w:r>
            <w:r>
              <w:rPr>
                <w:rStyle w:val="Style"/>
                <w:rFonts w:cs="Arial" w:ascii="Arial" w:hAnsi="Arial"/>
                <w:lang w:val="zh-CN" w:eastAsia="zh-CN"/>
              </w:rPr>
              <w:tab/>
              <w:t>37</w:t>
            </w:r>
          </w:hyperlink>
        </w:p>
        <w:p>
          <w:pPr>
            <w:pStyle w:val="27"/>
            <w:rPr>
              <w:rFonts w:ascii="Arial" w:hAnsi="Arial" w:cs="Arial"/>
              <w:kern w:val="2"/>
              <w:lang w:val="zh-CN" w:eastAsia="zh-CN"/>
            </w:rPr>
          </w:pPr>
          <w:hyperlink w:anchor="__RefHeading___Toc469066146">
            <w:r>
              <w:rPr>
                <w:rStyle w:val="Style"/>
                <w:rFonts w:ascii="Arial" w:hAnsi="Arial" w:cs="Arial" w:eastAsia="仿宋_GB2312;仿宋"/>
                <w:color w:val="000000"/>
                <w:szCs w:val="24"/>
                <w:lang w:val="zh-CN" w:eastAsia="zh-CN"/>
              </w:rPr>
              <w:t>二、土地估价</w:t>
            </w:r>
            <w:r>
              <w:rPr>
                <w:rStyle w:val="Style"/>
                <w:rFonts w:cs="Arial" w:ascii="Arial" w:hAnsi="Arial"/>
                <w:lang w:val="zh-CN" w:eastAsia="zh-CN"/>
              </w:rPr>
              <w:tab/>
              <w:t>40</w:t>
            </w:r>
          </w:hyperlink>
        </w:p>
        <w:p>
          <w:pPr>
            <w:pStyle w:val="27"/>
            <w:rPr>
              <w:rFonts w:ascii="Arial" w:hAnsi="Arial" w:cs="Arial"/>
              <w:kern w:val="2"/>
              <w:lang w:val="zh-CN" w:eastAsia="zh-CN"/>
            </w:rPr>
          </w:pPr>
          <w:hyperlink w:anchor="__RefHeading___Toc469066147">
            <w:r>
              <w:rPr>
                <w:rStyle w:val="Style"/>
                <w:rFonts w:ascii="Arial" w:hAnsi="Arial" w:cs="Arial" w:eastAsia="仿宋_GB2312;仿宋"/>
                <w:color w:val="000000"/>
                <w:szCs w:val="24"/>
                <w:lang w:val="zh-CN" w:eastAsia="zh-CN"/>
              </w:rPr>
              <w:t>三、估价结果和估价报告的使用</w:t>
            </w:r>
            <w:r>
              <w:rPr>
                <w:rStyle w:val="Style"/>
                <w:rFonts w:cs="Arial" w:ascii="Arial" w:hAnsi="Arial"/>
                <w:lang w:val="zh-CN" w:eastAsia="zh-CN"/>
              </w:rPr>
              <w:tab/>
              <w:t>50</w:t>
            </w:r>
          </w:hyperlink>
        </w:p>
        <w:p>
          <w:pPr>
            <w:pStyle w:val="12"/>
            <w:rPr>
              <w:rFonts w:ascii="Arial" w:hAnsi="Arial" w:cs="Arial"/>
              <w:kern w:val="2"/>
            </w:rPr>
          </w:pPr>
          <w:hyperlink w:anchor="__RefHeading___Toc469066148">
            <w:r>
              <w:rPr>
                <w:rStyle w:val="Style"/>
                <w:rFonts w:ascii="Arial" w:hAnsi="Arial" w:cs="Arial"/>
                <w:color w:val="000000"/>
              </w:rPr>
              <w:t>第四部分</w:t>
            </w:r>
            <w:r>
              <w:rPr>
                <w:rStyle w:val="Style"/>
                <w:rFonts w:ascii="Arial" w:hAnsi="Arial" w:cs="Arial" w:eastAsia="Arial"/>
                <w:color w:val="000000"/>
              </w:rPr>
              <w:t xml:space="preserve">  </w:t>
            </w:r>
            <w:r>
              <w:rPr>
                <w:rStyle w:val="Style"/>
                <w:rFonts w:ascii="Arial" w:hAnsi="Arial" w:cs="Arial"/>
                <w:color w:val="000000"/>
              </w:rPr>
              <w:t>附</w:t>
            </w:r>
            <w:r>
              <w:rPr>
                <w:rStyle w:val="Style"/>
                <w:rFonts w:ascii="Arial" w:hAnsi="Arial" w:cs="Arial" w:eastAsia="Arial"/>
                <w:color w:val="000000"/>
              </w:rPr>
              <w:t xml:space="preserve">  </w:t>
            </w:r>
            <w:r>
              <w:rPr>
                <w:rStyle w:val="Style"/>
                <w:rFonts w:ascii="Arial" w:hAnsi="Arial" w:cs="Arial"/>
                <w:color w:val="000000"/>
              </w:rPr>
              <w:t>件</w:t>
            </w:r>
            <w:r>
              <w:rPr>
                <w:rStyle w:val="Style"/>
                <w:rFonts w:cs="Arial" w:ascii="Arial" w:hAnsi="Arial"/>
              </w:rPr>
              <w:tab/>
              <w:t>54</w:t>
            </w:r>
          </w:hyperlink>
          <w:r>
            <w:rPr>
              <w:rStyle w:val="Style"/>
              <w:rFonts w:ascii="Arial" w:hAnsi="Arial" w:cs="Arial"/>
            </w:rPr>
            <w:fldChar w:fldCharType="end"/>
          </w:r>
        </w:p>
      </w:sdtContent>
    </w:sdt>
    <w:p>
      <w:pPr>
        <w:pStyle w:val="Normal"/>
        <w:spacing w:lineRule="auto" w:line="360"/>
        <w:jc w:val="center"/>
        <w:rPr>
          <w:rFonts w:ascii="Arial" w:hAnsi="Arial" w:eastAsia="仿宋_GB2312;仿宋" w:cs="Arial"/>
          <w:kern w:val="2"/>
          <w:sz w:val="44"/>
          <w:szCs w:val="28"/>
        </w:rPr>
      </w:pPr>
      <w:r>
        <w:rPr>
          <w:rFonts w:eastAsia="仿宋_GB2312;仿宋" w:cs="Arial" w:ascii="Arial" w:hAnsi="Arial"/>
          <w:kern w:val="2"/>
          <w:sz w:val="44"/>
          <w:szCs w:val="28"/>
        </w:rPr>
      </w:r>
    </w:p>
    <w:p>
      <w:pPr>
        <w:pStyle w:val="Normal"/>
        <w:numPr>
          <w:ilvl w:val="0"/>
          <w:numId w:val="0"/>
        </w:numPr>
        <w:rPr>
          <w:rFonts w:ascii="Arial" w:hAnsi="Arial" w:eastAsia="仿宋_GB2312;仿宋" w:cs="Arial"/>
          <w:sz w:val="44"/>
        </w:rPr>
      </w:pPr>
      <w:r>
        <w:rPr>
          <w:rFonts w:eastAsia="仿宋_GB2312;仿宋" w:cs="Arial" w:ascii="Arial" w:hAnsi="Arial"/>
          <w:sz w:val="44"/>
        </w:rPr>
      </w:r>
    </w:p>
    <w:p>
      <w:pPr>
        <w:sectPr>
          <w:headerReference w:type="default" r:id="rId6"/>
          <w:headerReference w:type="first" r:id="rId7"/>
          <w:footerReference w:type="default" r:id="rId8"/>
          <w:footerReference w:type="first" r:id="rId9"/>
          <w:type w:val="nextPage"/>
          <w:pgSz w:w="11906" w:h="16838"/>
          <w:pgMar w:left="1474" w:right="1134" w:header="1134" w:top="1843" w:footer="907" w:bottom="1134" w:gutter="0"/>
          <w:pgNumType w:start="0" w:fmt="decimal"/>
          <w:formProt w:val="false"/>
          <w:titlePg/>
          <w:textDirection w:val="lrTb"/>
          <w:docGrid w:type="default" w:linePitch="326" w:charSpace="0"/>
        </w:sectPr>
      </w:pPr>
    </w:p>
    <w:p>
      <w:pPr>
        <w:pStyle w:val="Normal"/>
        <w:spacing w:lineRule="auto" w:line="360"/>
        <w:jc w:val="center"/>
        <w:rPr/>
      </w:pPr>
      <w:r>
        <w:rPr>
          <w:rFonts w:ascii="Arial" w:hAnsi="Arial" w:cs="Arial"/>
          <w:b/>
          <w:sz w:val="32"/>
        </w:rPr>
        <w:t>土</w:t>
      </w:r>
      <w:r>
        <w:rPr>
          <w:rFonts w:ascii="Arial" w:hAnsi="Arial" w:cs="Arial" w:eastAsia="Arial"/>
          <w:b/>
          <w:sz w:val="32"/>
        </w:rPr>
        <w:t xml:space="preserve"> </w:t>
      </w:r>
      <w:r>
        <w:rPr>
          <w:rFonts w:ascii="Arial" w:hAnsi="Arial" w:cs="Arial"/>
          <w:b/>
          <w:sz w:val="32"/>
        </w:rPr>
        <w:t>地</w:t>
      </w:r>
      <w:r>
        <w:rPr>
          <w:rFonts w:ascii="Arial" w:hAnsi="Arial" w:cs="Arial" w:eastAsia="Arial"/>
          <w:b/>
          <w:sz w:val="32"/>
        </w:rPr>
        <w:t xml:space="preserve"> </w:t>
      </w:r>
      <w:r>
        <w:rPr>
          <w:rFonts w:ascii="Arial" w:hAnsi="Arial" w:cs="Arial"/>
          <w:b/>
          <w:sz w:val="32"/>
        </w:rPr>
        <w:t>估</w:t>
      </w:r>
      <w:r>
        <w:rPr>
          <w:rFonts w:ascii="Arial" w:hAnsi="Arial" w:cs="Arial" w:eastAsia="Arial"/>
          <w:b/>
          <w:sz w:val="32"/>
        </w:rPr>
        <w:t xml:space="preserve"> </w:t>
      </w:r>
      <w:r>
        <w:rPr>
          <w:rFonts w:ascii="Arial" w:hAnsi="Arial" w:cs="Arial"/>
          <w:b/>
          <w:sz w:val="32"/>
        </w:rPr>
        <w:t>价</w:t>
      </w:r>
      <w:r>
        <w:rPr>
          <w:rFonts w:ascii="Arial" w:hAnsi="Arial" w:cs="Arial" w:eastAsia="Arial"/>
          <w:b/>
          <w:sz w:val="32"/>
        </w:rPr>
        <w:t xml:space="preserve"> </w:t>
      </w:r>
      <w:r>
        <w:rPr>
          <w:rFonts w:ascii="Arial" w:hAnsi="Arial" w:cs="Arial"/>
          <w:b/>
          <w:sz w:val="32"/>
        </w:rPr>
        <w:t>报</w:t>
      </w:r>
      <w:r>
        <w:rPr>
          <w:rFonts w:ascii="Arial" w:hAnsi="Arial" w:cs="Arial" w:eastAsia="Arial"/>
          <w:b/>
          <w:sz w:val="32"/>
        </w:rPr>
        <w:t xml:space="preserve"> </w:t>
      </w:r>
      <w:r>
        <w:rPr>
          <w:rFonts w:ascii="Arial" w:hAnsi="Arial" w:cs="Arial"/>
          <w:b/>
          <w:sz w:val="32"/>
        </w:rPr>
        <w:t>告</w:t>
      </w:r>
    </w:p>
    <w:p>
      <w:pPr>
        <w:pStyle w:val="Normal"/>
        <w:spacing w:lineRule="auto" w:line="360"/>
        <w:rPr>
          <w:rFonts w:ascii="Arial" w:hAnsi="Arial" w:eastAsia="楷体_GB2312;楷体" w:cs="Arial"/>
          <w:b/>
          <w:b/>
          <w:sz w:val="32"/>
        </w:rPr>
      </w:pPr>
      <w:r>
        <w:rPr>
          <w:rFonts w:eastAsia="楷体_GB2312;楷体" w:cs="Arial" w:ascii="Arial" w:hAnsi="Arial"/>
          <w:b/>
          <w:sz w:val="32"/>
        </w:rPr>
      </w:r>
    </w:p>
    <w:p>
      <w:pPr>
        <w:pStyle w:val="Normal"/>
        <w:numPr>
          <w:ilvl w:val="0"/>
          <w:numId w:val="0"/>
        </w:numPr>
        <w:tabs>
          <w:tab w:val="clear" w:pos="420"/>
          <w:tab w:val="center" w:pos="4332" w:leader="none"/>
          <w:tab w:val="right" w:pos="8664" w:leader="none"/>
        </w:tabs>
        <w:spacing w:lineRule="auto" w:line="360"/>
        <w:outlineLvl w:val="0"/>
        <w:rPr>
          <w:rFonts w:ascii="Arial" w:hAnsi="Arial" w:cs="Arial"/>
          <w:sz w:val="32"/>
        </w:rPr>
      </w:pPr>
      <w:r>
        <w:rPr>
          <w:rFonts w:cs="Arial" w:ascii="Arial" w:hAnsi="Arial"/>
          <w:b/>
          <w:sz w:val="32"/>
        </w:rPr>
        <w:tab/>
      </w:r>
      <w:bookmarkStart w:id="0" w:name="__RefHeading___Toc469066127"/>
      <w:r>
        <w:rPr>
          <w:rFonts w:ascii="Arial" w:hAnsi="Arial" w:cs="Arial"/>
          <w:b/>
          <w:sz w:val="32"/>
        </w:rPr>
        <w:t>第一部分</w:t>
      </w:r>
      <w:r>
        <w:rPr>
          <w:rFonts w:ascii="Arial" w:hAnsi="Arial" w:cs="Arial" w:eastAsia="Arial"/>
          <w:b/>
          <w:sz w:val="32"/>
        </w:rPr>
        <w:t xml:space="preserve">  </w:t>
      </w:r>
      <w:r>
        <w:rPr>
          <w:rFonts w:ascii="Arial" w:hAnsi="Arial" w:cs="Arial"/>
          <w:b/>
          <w:sz w:val="32"/>
        </w:rPr>
        <w:t>摘</w:t>
      </w:r>
      <w:r>
        <w:rPr>
          <w:rFonts w:ascii="Arial" w:hAnsi="Arial" w:cs="Arial" w:eastAsia="Arial"/>
          <w:b/>
          <w:sz w:val="32"/>
        </w:rPr>
        <w:t xml:space="preserve">  </w:t>
      </w:r>
      <w:r>
        <w:rPr>
          <w:rFonts w:ascii="Arial" w:hAnsi="Arial" w:cs="Arial"/>
          <w:b/>
          <w:sz w:val="32"/>
        </w:rPr>
        <w:t>要</w:t>
      </w:r>
      <w:bookmarkEnd w:id="0"/>
      <w:r>
        <w:rPr>
          <w:rFonts w:cs="Arial" w:ascii="Arial" w:hAnsi="Arial"/>
          <w:b/>
          <w:sz w:val="32"/>
        </w:rPr>
        <w:tab/>
      </w:r>
    </w:p>
    <w:p>
      <w:pPr>
        <w:pStyle w:val="Normal"/>
        <w:numPr>
          <w:ilvl w:val="0"/>
          <w:numId w:val="0"/>
        </w:numPr>
        <w:spacing w:lineRule="auto" w:line="360"/>
        <w:jc w:val="both"/>
        <w:outlineLvl w:val="1"/>
        <w:rPr/>
      </w:pPr>
      <w:bookmarkStart w:id="1" w:name="__RefHeading___Toc469066128"/>
      <w:bookmarkEnd w:id="1"/>
      <w:r>
        <w:rPr>
          <w:rFonts w:ascii="Arial" w:hAnsi="Arial" w:cs="Arial" w:eastAsia="仿宋_GB2312;仿宋"/>
          <w:b/>
          <w:bCs/>
          <w:sz w:val="28"/>
        </w:rPr>
        <w:t>一、</w:t>
      </w:r>
      <w:r>
        <w:rPr>
          <w:rFonts w:ascii="Arial" w:hAnsi="Arial" w:cs="Arial" w:eastAsia="仿宋_GB2312;仿宋"/>
          <w:b/>
          <w:bCs/>
          <w:sz w:val="28"/>
        </w:rPr>
        <w:t>估价</w:t>
      </w:r>
      <w:r>
        <w:rPr>
          <w:rFonts w:ascii="Arial" w:hAnsi="Arial" w:cs="Arial" w:eastAsia="仿宋_GB2312;仿宋"/>
          <w:b/>
          <w:bCs/>
          <w:sz w:val="28"/>
        </w:rPr>
        <w:t>项目名称</w:t>
      </w:r>
    </w:p>
    <w:p>
      <w:pPr>
        <w:pStyle w:val="Normal"/>
        <w:spacing w:lineRule="auto" w:line="360"/>
        <w:ind w:firstLine="557"/>
        <w:jc w:val="both"/>
        <w:rPr>
          <w:rFonts w:ascii="Arial" w:hAnsi="Arial" w:eastAsia="仿宋_GB2312;仿宋" w:cs="Arial"/>
          <w:sz w:val="28"/>
        </w:rPr>
      </w:pPr>
      <w:r>
        <w:rPr>
          <w:rFonts w:ascii="Arial" w:hAnsi="Arial" w:cs="Arial" w:eastAsia="仿宋_GB2312;仿宋"/>
          <w:sz w:val="28"/>
        </w:rPr>
        <w:t>北京市海淀区建材城中路</w:t>
      </w:r>
      <w:r>
        <w:rPr>
          <w:rFonts w:eastAsia="仿宋_GB2312;仿宋" w:cs="Arial" w:ascii="Arial" w:hAnsi="Arial"/>
          <w:sz w:val="28"/>
        </w:rPr>
        <w:t>2</w:t>
      </w:r>
      <w:r>
        <w:rPr>
          <w:rFonts w:ascii="Arial" w:hAnsi="Arial" w:cs="Arial" w:eastAsia="仿宋_GB2312;仿宋"/>
          <w:sz w:val="28"/>
        </w:rPr>
        <w:t>号国有建设用地使用权收购补偿价格评估</w:t>
      </w:r>
    </w:p>
    <w:p>
      <w:pPr>
        <w:pStyle w:val="Normal"/>
        <w:spacing w:lineRule="auto" w:line="360"/>
        <w:jc w:val="both"/>
        <w:rPr>
          <w:rFonts w:ascii="Arial" w:hAnsi="Arial" w:eastAsia="仿宋_GB2312;仿宋" w:cs="Arial"/>
          <w:b/>
          <w:b/>
          <w:bCs/>
          <w:sz w:val="28"/>
        </w:rPr>
      </w:pPr>
      <w:r>
        <w:rPr>
          <w:rFonts w:eastAsia="仿宋_GB2312;仿宋" w:cs="Arial" w:ascii="Arial" w:hAnsi="Arial"/>
          <w:b/>
          <w:bCs/>
          <w:sz w:val="28"/>
        </w:rPr>
      </w:r>
    </w:p>
    <w:p>
      <w:pPr>
        <w:pStyle w:val="Normal"/>
        <w:numPr>
          <w:ilvl w:val="0"/>
          <w:numId w:val="0"/>
        </w:numPr>
        <w:spacing w:lineRule="auto" w:line="360"/>
        <w:jc w:val="both"/>
        <w:outlineLvl w:val="1"/>
        <w:rPr>
          <w:rFonts w:ascii="Arial" w:hAnsi="Arial" w:eastAsia="仿宋_GB2312;仿宋" w:cs="Arial"/>
          <w:b/>
          <w:b/>
          <w:bCs/>
          <w:sz w:val="28"/>
        </w:rPr>
      </w:pPr>
      <w:bookmarkStart w:id="2" w:name="__RefHeading___Toc469066129"/>
      <w:r>
        <w:rPr>
          <w:rFonts w:ascii="Arial" w:hAnsi="Arial" w:cs="Arial" w:eastAsia="仿宋_GB2312;仿宋"/>
          <w:b/>
          <w:bCs/>
          <w:sz w:val="28"/>
        </w:rPr>
        <w:t>二、</w:t>
      </w:r>
      <w:bookmarkEnd w:id="2"/>
      <w:r>
        <w:rPr>
          <w:rFonts w:ascii="Arial" w:hAnsi="Arial" w:cs="Arial" w:eastAsia="仿宋_GB2312;仿宋"/>
          <w:b/>
          <w:bCs/>
          <w:sz w:val="28"/>
        </w:rPr>
        <w:t>委托</w:t>
      </w:r>
      <w:r>
        <w:rPr>
          <w:rFonts w:ascii="Arial" w:hAnsi="Arial" w:cs="Arial" w:eastAsia="仿宋_GB2312;仿宋"/>
          <w:b/>
          <w:bCs/>
          <w:sz w:val="28"/>
        </w:rPr>
        <w:t>估价</w:t>
      </w:r>
      <w:r>
        <w:rPr>
          <w:rFonts w:ascii="Arial" w:hAnsi="Arial" w:cs="Arial" w:eastAsia="仿宋_GB2312;仿宋"/>
          <w:b/>
          <w:bCs/>
          <w:sz w:val="28"/>
        </w:rPr>
        <w:t>方</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委托估价方：北京市海淀区规划和自然资源综合事务中心</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联系人：</w:t>
      </w:r>
      <w:r>
        <w:rPr>
          <w:rFonts w:ascii="Arial" w:hAnsi="Arial" w:cs="Arial" w:eastAsia="仿宋_GB2312;仿宋"/>
          <w:sz w:val="28"/>
        </w:rPr>
        <w:t>刘争艳</w:t>
      </w:r>
    </w:p>
    <w:p>
      <w:pPr>
        <w:pStyle w:val="Normal"/>
        <w:spacing w:lineRule="auto" w:line="360"/>
        <w:ind w:left="1" w:right="-85" w:firstLine="562"/>
        <w:jc w:val="both"/>
        <w:rPr>
          <w:rFonts w:ascii="Arial" w:hAnsi="Arial" w:eastAsia="仿宋_GB2312;仿宋" w:cs="Arial"/>
          <w:b/>
          <w:b/>
          <w:bCs/>
          <w:sz w:val="28"/>
        </w:rPr>
      </w:pPr>
      <w:r>
        <w:rPr>
          <w:rFonts w:eastAsia="仿宋_GB2312;仿宋" w:cs="Arial" w:ascii="Arial" w:hAnsi="Arial"/>
          <w:b/>
          <w:bCs/>
          <w:sz w:val="28"/>
        </w:rPr>
      </w:r>
    </w:p>
    <w:p>
      <w:pPr>
        <w:pStyle w:val="Normal"/>
        <w:numPr>
          <w:ilvl w:val="0"/>
          <w:numId w:val="0"/>
        </w:numPr>
        <w:spacing w:lineRule="auto" w:line="360"/>
        <w:jc w:val="both"/>
        <w:outlineLvl w:val="1"/>
        <w:rPr>
          <w:rFonts w:ascii="Arial" w:hAnsi="Arial" w:eastAsia="仿宋_GB2312;仿宋" w:cs="Arial"/>
          <w:b/>
          <w:b/>
          <w:bCs/>
          <w:sz w:val="28"/>
        </w:rPr>
      </w:pPr>
      <w:bookmarkStart w:id="3" w:name="__RefHeading___Toc469066130"/>
      <w:bookmarkEnd w:id="3"/>
      <w:r>
        <w:rPr>
          <w:rFonts w:ascii="Arial" w:hAnsi="Arial" w:cs="Arial" w:eastAsia="仿宋_GB2312;仿宋"/>
          <w:b/>
          <w:bCs/>
          <w:sz w:val="28"/>
        </w:rPr>
        <w:t>三、</w:t>
      </w:r>
      <w:r>
        <w:rPr>
          <w:rFonts w:ascii="Arial" w:hAnsi="Arial" w:cs="Arial" w:eastAsia="仿宋_GB2312;仿宋"/>
          <w:b/>
          <w:bCs/>
          <w:sz w:val="28"/>
        </w:rPr>
        <w:t>估价目的</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本报告估价目的是</w:t>
      </w:r>
      <w:r>
        <w:rPr>
          <w:rFonts w:ascii="Arial" w:hAnsi="Arial" w:cs="Arial" w:eastAsia="仿宋_GB2312;仿宋"/>
          <w:sz w:val="28"/>
        </w:rPr>
        <w:t>为北京市海淀区规划和自然资源综合事务中心收购的国有建设用地使用权的补偿提供依据，评估被收购国有建设用地使用权的收购补偿价格</w:t>
      </w:r>
      <w:r>
        <w:rPr>
          <w:rFonts w:ascii="Arial" w:hAnsi="Arial" w:cs="Arial" w:eastAsia="仿宋_GB2312;仿宋"/>
          <w:sz w:val="28"/>
        </w:rPr>
        <w:t>。</w:t>
      </w:r>
    </w:p>
    <w:p>
      <w:pPr>
        <w:pStyle w:val="Normal"/>
        <w:spacing w:lineRule="auto" w:line="360"/>
        <w:ind w:firstLine="562"/>
        <w:jc w:val="both"/>
        <w:rPr>
          <w:rFonts w:ascii="Arial" w:hAnsi="Arial" w:eastAsia="仿宋_GB2312;仿宋" w:cs="Arial"/>
          <w:b/>
          <w:b/>
          <w:bCs/>
          <w:sz w:val="28"/>
        </w:rPr>
      </w:pPr>
      <w:r>
        <w:rPr>
          <w:rFonts w:eastAsia="仿宋_GB2312;仿宋" w:cs="Arial" w:ascii="Arial" w:hAnsi="Arial"/>
          <w:b/>
          <w:bCs/>
          <w:sz w:val="28"/>
        </w:rPr>
      </w:r>
    </w:p>
    <w:p>
      <w:pPr>
        <w:pStyle w:val="Normal"/>
        <w:numPr>
          <w:ilvl w:val="0"/>
          <w:numId w:val="0"/>
        </w:numPr>
        <w:spacing w:lineRule="auto" w:line="360"/>
        <w:jc w:val="both"/>
        <w:outlineLvl w:val="1"/>
        <w:rPr>
          <w:rFonts w:ascii="Arial" w:hAnsi="Arial" w:eastAsia="仿宋_GB2312;仿宋" w:cs="Arial"/>
          <w:b/>
          <w:b/>
          <w:bCs/>
          <w:sz w:val="28"/>
        </w:rPr>
      </w:pPr>
      <w:bookmarkStart w:id="4" w:name="__RefHeading___Toc469066131"/>
      <w:bookmarkEnd w:id="4"/>
      <w:r>
        <w:rPr>
          <w:rFonts w:ascii="Arial" w:hAnsi="Arial" w:cs="Arial" w:eastAsia="仿宋_GB2312;仿宋"/>
          <w:b/>
          <w:bCs/>
          <w:sz w:val="28"/>
        </w:rPr>
        <w:t>四、估价期日</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2023</w:t>
      </w:r>
      <w:r>
        <w:rPr>
          <w:rFonts w:ascii="Arial" w:hAnsi="Arial" w:cs="Arial" w:eastAsia="仿宋_GB2312;仿宋"/>
          <w:sz w:val="28"/>
        </w:rPr>
        <w:t>年</w:t>
      </w:r>
      <w:r>
        <w:rPr>
          <w:rFonts w:eastAsia="仿宋_GB2312;仿宋" w:cs="Arial" w:ascii="Arial" w:hAnsi="Arial"/>
          <w:sz w:val="28"/>
        </w:rPr>
        <w:t>11</w:t>
      </w:r>
      <w:r>
        <w:rPr>
          <w:rFonts w:ascii="Arial" w:hAnsi="Arial" w:cs="Arial" w:eastAsia="仿宋_GB2312;仿宋"/>
          <w:sz w:val="28"/>
        </w:rPr>
        <w:t>月</w:t>
      </w:r>
      <w:r>
        <w:rPr>
          <w:rFonts w:eastAsia="仿宋_GB2312;仿宋" w:cs="Arial" w:ascii="Arial" w:hAnsi="Arial"/>
          <w:sz w:val="28"/>
        </w:rPr>
        <w:t>18</w:t>
      </w:r>
      <w:r>
        <w:rPr>
          <w:rFonts w:ascii="Arial" w:hAnsi="Arial" w:cs="Arial" w:eastAsia="仿宋_GB2312;仿宋"/>
          <w:sz w:val="28"/>
        </w:rPr>
        <w:t>日（</w:t>
      </w:r>
      <w:r>
        <w:rPr>
          <w:rFonts w:ascii="Arial" w:hAnsi="Arial" w:cs="Arial" w:eastAsia="仿宋_GB2312;仿宋"/>
          <w:sz w:val="28"/>
        </w:rPr>
        <w:t>根据《委托估价函》</w:t>
      </w:r>
      <w:r>
        <w:rPr>
          <w:rFonts w:ascii="Arial" w:hAnsi="Arial" w:cs="Arial" w:eastAsia="仿宋_GB2312;仿宋"/>
          <w:sz w:val="28"/>
        </w:rPr>
        <w:t>）</w:t>
      </w:r>
    </w:p>
    <w:p>
      <w:pPr>
        <w:pStyle w:val="Normal"/>
        <w:spacing w:lineRule="auto" w:line="360"/>
        <w:ind w:firstLine="562"/>
        <w:jc w:val="both"/>
        <w:rPr>
          <w:rFonts w:ascii="Arial" w:hAnsi="Arial" w:eastAsia="仿宋_GB2312;仿宋" w:cs="Arial"/>
          <w:b/>
          <w:b/>
          <w:bCs/>
          <w:sz w:val="28"/>
        </w:rPr>
      </w:pPr>
      <w:r>
        <w:rPr>
          <w:rFonts w:eastAsia="仿宋_GB2312;仿宋" w:cs="Arial" w:ascii="Arial" w:hAnsi="Arial"/>
          <w:b/>
          <w:bCs/>
          <w:sz w:val="28"/>
        </w:rPr>
      </w:r>
    </w:p>
    <w:p>
      <w:pPr>
        <w:pStyle w:val="Normal"/>
        <w:numPr>
          <w:ilvl w:val="0"/>
          <w:numId w:val="0"/>
        </w:numPr>
        <w:tabs>
          <w:tab w:val="clear" w:pos="420"/>
          <w:tab w:val="left" w:pos="6957" w:leader="none"/>
        </w:tabs>
        <w:spacing w:lineRule="auto" w:line="360"/>
        <w:jc w:val="both"/>
        <w:outlineLvl w:val="1"/>
        <w:rPr>
          <w:rFonts w:ascii="Arial" w:hAnsi="Arial" w:eastAsia="仿宋_GB2312;仿宋" w:cs="Arial"/>
          <w:b/>
          <w:b/>
          <w:bCs/>
          <w:sz w:val="28"/>
        </w:rPr>
      </w:pPr>
      <w:bookmarkStart w:id="5" w:name="__RefHeading___Toc469066132"/>
      <w:r>
        <w:rPr>
          <w:rFonts w:ascii="Arial" w:hAnsi="Arial" w:cs="Arial" w:eastAsia="仿宋_GB2312;仿宋"/>
          <w:b/>
          <w:bCs/>
          <w:sz w:val="28"/>
        </w:rPr>
        <w:t>五、</w:t>
      </w:r>
      <w:bookmarkEnd w:id="5"/>
      <w:r>
        <w:rPr>
          <w:rFonts w:ascii="Arial" w:hAnsi="Arial" w:cs="Arial" w:eastAsia="仿宋_GB2312;仿宋"/>
          <w:b/>
          <w:bCs/>
          <w:sz w:val="28"/>
        </w:rPr>
        <w:t>估价日期</w:t>
      </w:r>
      <w:r>
        <w:rPr>
          <w:rFonts w:eastAsia="仿宋_GB2312;仿宋" w:cs="Arial" w:ascii="Arial" w:hAnsi="Arial"/>
          <w:b/>
          <w:bCs/>
          <w:sz w:val="28"/>
        </w:rPr>
        <w:tab/>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2022</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2</w:t>
      </w:r>
      <w:r>
        <w:rPr>
          <w:rFonts w:ascii="Arial" w:hAnsi="Arial" w:cs="Arial" w:eastAsia="仿宋_GB2312;仿宋"/>
          <w:sz w:val="28"/>
        </w:rPr>
        <w:t>日至</w:t>
      </w:r>
      <w:bookmarkStart w:id="6" w:name="__RefHeading___Toc469066133"/>
      <w:r>
        <w:rPr>
          <w:rFonts w:eastAsia="仿宋_GB2312;仿宋" w:cs="Arial" w:ascii="Arial" w:hAnsi="Arial"/>
          <w:sz w:val="28"/>
        </w:rPr>
        <w:t>2024</w:t>
      </w:r>
      <w:r>
        <w:rPr>
          <w:rFonts w:ascii="Arial" w:hAnsi="Arial" w:cs="Arial" w:eastAsia="仿宋_GB2312;仿宋"/>
          <w:sz w:val="28"/>
        </w:rPr>
        <w:t>年</w:t>
      </w:r>
      <w:r>
        <w:rPr>
          <w:rFonts w:eastAsia="仿宋_GB2312;仿宋" w:cs="Arial" w:ascii="Arial" w:hAnsi="Arial"/>
          <w:sz w:val="28"/>
        </w:rPr>
        <w:t>5</w:t>
      </w:r>
      <w:r>
        <w:rPr>
          <w:rFonts w:ascii="Arial" w:hAnsi="Arial" w:cs="Arial" w:eastAsia="仿宋_GB2312;仿宋"/>
          <w:sz w:val="28"/>
        </w:rPr>
        <w:t>月</w:t>
      </w:r>
      <w:r>
        <w:rPr>
          <w:rFonts w:eastAsia="仿宋_GB2312;仿宋" w:cs="Arial" w:ascii="Arial" w:hAnsi="Arial"/>
          <w:sz w:val="28"/>
        </w:rPr>
        <w:t>30</w:t>
      </w:r>
      <w:r>
        <w:rPr>
          <w:rFonts w:ascii="Arial" w:hAnsi="Arial" w:cs="Arial" w:eastAsia="仿宋_GB2312;仿宋"/>
          <w:sz w:val="28"/>
        </w:rPr>
        <w:t>日</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r>
    </w:p>
    <w:p>
      <w:pPr>
        <w:pStyle w:val="Normal"/>
        <w:spacing w:lineRule="auto" w:line="360"/>
        <w:jc w:val="both"/>
        <w:rPr/>
      </w:pPr>
      <w:r>
        <w:rPr>
          <w:rFonts w:ascii="Arial" w:hAnsi="Arial" w:cs="Arial" w:eastAsia="仿宋_GB2312;仿宋"/>
          <w:b/>
          <w:bCs/>
          <w:sz w:val="28"/>
        </w:rPr>
        <w:t>六、地价定义</w:t>
      </w:r>
      <w:bookmarkEnd w:id="6"/>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其中：</w:t>
      </w:r>
      <w:r>
        <w:rPr>
          <w:rFonts w:ascii="Arial" w:hAnsi="Arial" w:cs="Arial" w:eastAsia="Arial"/>
          <w:sz w:val="28"/>
        </w:rPr>
        <w:t xml:space="preserve"> </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（一）土地使用权价格</w:t>
      </w:r>
    </w:p>
    <w:p>
      <w:pPr>
        <w:pStyle w:val="Normal"/>
        <w:spacing w:lineRule="auto" w:line="360"/>
        <w:ind w:firstLine="560"/>
        <w:jc w:val="both"/>
        <w:rPr/>
      </w:pPr>
      <w:r>
        <w:rPr>
          <w:rFonts w:ascii="Arial" w:hAnsi="Arial" w:cs="Arial" w:eastAsia="仿宋_GB2312;仿宋"/>
          <w:sz w:val="28"/>
        </w:rPr>
        <w:t>估价对象位于海淀区建材城中路</w:t>
      </w:r>
      <w:r>
        <w:rPr>
          <w:rFonts w:eastAsia="仿宋_GB2312;仿宋" w:cs="Arial" w:ascii="Arial" w:hAnsi="Arial"/>
          <w:sz w:val="28"/>
        </w:rPr>
        <w:t>2</w:t>
      </w:r>
      <w:r>
        <w:rPr>
          <w:rFonts w:ascii="Arial" w:hAnsi="Arial" w:cs="Arial" w:eastAsia="仿宋_GB2312;仿宋"/>
          <w:sz w:val="28"/>
        </w:rPr>
        <w:t>号，根据估价目的及</w:t>
      </w:r>
      <w:r>
        <w:rPr>
          <w:rFonts w:ascii="Arial" w:hAnsi="Arial" w:cs="Arial" w:eastAsia="仿宋_GB2312;仿宋"/>
          <w:sz w:val="28"/>
        </w:rPr>
        <w:t>估价依据</w:t>
      </w:r>
      <w:r>
        <w:rPr>
          <w:rFonts w:ascii="Arial" w:hAnsi="Arial" w:cs="Arial" w:eastAsia="仿宋_GB2312;仿宋"/>
          <w:sz w:val="28"/>
        </w:rPr>
        <w:t>，</w:t>
      </w:r>
      <w:r>
        <w:rPr>
          <w:rFonts w:ascii="Arial" w:hAnsi="Arial" w:cs="Arial" w:eastAsia="仿宋_GB2312;仿宋"/>
          <w:sz w:val="28"/>
        </w:rPr>
        <w:t>地价评估的技术规程、方法和项目的具体要求，参照正常收购价格水平，评估国有建设用地使用权价格。</w:t>
      </w:r>
      <w:r>
        <w:rPr>
          <w:rFonts w:ascii="Arial" w:hAnsi="Arial" w:cs="Arial" w:eastAsia="仿宋_GB2312;仿宋"/>
          <w:sz w:val="28"/>
        </w:rPr>
        <w:t>结合委托估价方提供的资料及</w:t>
      </w:r>
      <w:r>
        <w:rPr>
          <w:rFonts w:ascii="Arial" w:hAnsi="Arial" w:cs="Arial" w:eastAsia="仿宋_GB2312;仿宋"/>
          <w:sz w:val="28"/>
        </w:rPr>
        <w:t>专业</w:t>
      </w:r>
      <w:r>
        <w:rPr>
          <w:rFonts w:ascii="Arial" w:hAnsi="Arial" w:cs="Arial" w:eastAsia="仿宋_GB2312;仿宋"/>
          <w:sz w:val="28"/>
        </w:rPr>
        <w:t>人员现场勘查，在估价期日的地价定义如下。</w:t>
      </w:r>
    </w:p>
    <w:p>
      <w:pPr>
        <w:pStyle w:val="Normal"/>
        <w:numPr>
          <w:ilvl w:val="0"/>
          <w:numId w:val="3"/>
        </w:numPr>
        <w:spacing w:lineRule="auto" w:line="360"/>
        <w:jc w:val="both"/>
        <w:rPr/>
      </w:pPr>
      <w:r>
        <w:rPr>
          <w:rFonts w:ascii="Arial" w:hAnsi="Arial" w:cs="Arial" w:eastAsia="仿宋_GB2312;仿宋"/>
          <w:sz w:val="28"/>
        </w:rPr>
        <w:t>估价期日：</w:t>
      </w:r>
    </w:p>
    <w:p>
      <w:pPr>
        <w:pStyle w:val="Normal"/>
        <w:spacing w:lineRule="auto" w:line="360"/>
        <w:ind w:firstLine="560"/>
        <w:jc w:val="both"/>
        <w:rPr/>
      </w:pPr>
      <w:r>
        <w:rPr>
          <w:rFonts w:ascii="Arial" w:hAnsi="Arial" w:cs="Arial" w:eastAsia="仿宋_GB2312;仿宋"/>
          <w:sz w:val="28"/>
          <w:highlight w:val="yellow"/>
        </w:rPr>
        <w:t>评估专业人员于</w:t>
      </w:r>
      <w:r>
        <w:rPr>
          <w:rFonts w:eastAsia="仿宋_GB2312;仿宋" w:cs="Arial" w:ascii="Arial" w:hAnsi="Arial"/>
          <w:sz w:val="28"/>
          <w:highlight w:val="yellow"/>
        </w:rPr>
        <w:t>2023</w:t>
      </w:r>
      <w:r>
        <w:rPr>
          <w:rFonts w:ascii="Arial" w:hAnsi="Arial" w:cs="Arial" w:eastAsia="仿宋_GB2312;仿宋"/>
          <w:sz w:val="28"/>
          <w:highlight w:val="yellow"/>
        </w:rPr>
        <w:t>年</w:t>
      </w:r>
      <w:r>
        <w:rPr>
          <w:rFonts w:eastAsia="仿宋_GB2312;仿宋" w:cs="Arial" w:ascii="Arial" w:hAnsi="Arial"/>
          <w:sz w:val="28"/>
          <w:highlight w:val="yellow"/>
        </w:rPr>
        <w:t>11</w:t>
      </w:r>
      <w:r>
        <w:rPr>
          <w:rFonts w:ascii="Arial" w:hAnsi="Arial" w:cs="Arial" w:eastAsia="仿宋_GB2312;仿宋"/>
          <w:sz w:val="28"/>
          <w:highlight w:val="yellow"/>
        </w:rPr>
        <w:t>月</w:t>
      </w:r>
      <w:r>
        <w:rPr>
          <w:rFonts w:eastAsia="仿宋_GB2312;仿宋" w:cs="Arial" w:ascii="Arial" w:hAnsi="Arial"/>
          <w:sz w:val="28"/>
          <w:highlight w:val="yellow"/>
        </w:rPr>
        <w:t>18</w:t>
      </w:r>
      <w:r>
        <w:rPr>
          <w:rFonts w:ascii="Arial" w:hAnsi="Arial" w:cs="Arial" w:eastAsia="仿宋_GB2312;仿宋"/>
          <w:sz w:val="28"/>
          <w:highlight w:val="yellow"/>
        </w:rPr>
        <w:t>日对估价对象进行实地查勘</w:t>
      </w:r>
      <w:r>
        <w:rPr>
          <w:rFonts w:ascii="Arial" w:hAnsi="Arial" w:cs="Arial" w:eastAsia="仿宋_GB2312;仿宋"/>
          <w:sz w:val="28"/>
        </w:rPr>
        <w:t>，本次评估设定估价期日即为</w:t>
      </w:r>
      <w:r>
        <w:rPr>
          <w:rFonts w:eastAsia="仿宋_GB2312;仿宋" w:cs="Arial" w:ascii="Arial" w:hAnsi="Arial"/>
          <w:sz w:val="28"/>
        </w:rPr>
        <w:t>2023</w:t>
      </w:r>
      <w:r>
        <w:rPr>
          <w:rFonts w:ascii="Arial" w:hAnsi="Arial" w:cs="Arial" w:eastAsia="仿宋_GB2312;仿宋"/>
          <w:sz w:val="28"/>
        </w:rPr>
        <w:t>年</w:t>
      </w:r>
      <w:r>
        <w:rPr>
          <w:rFonts w:eastAsia="仿宋_GB2312;仿宋" w:cs="Arial" w:ascii="Arial" w:hAnsi="Arial"/>
          <w:sz w:val="28"/>
        </w:rPr>
        <w:t>11</w:t>
      </w:r>
      <w:r>
        <w:rPr>
          <w:rFonts w:ascii="Arial" w:hAnsi="Arial" w:cs="Arial" w:eastAsia="仿宋_GB2312;仿宋"/>
          <w:sz w:val="28"/>
        </w:rPr>
        <w:t>月</w:t>
      </w:r>
      <w:r>
        <w:rPr>
          <w:rFonts w:eastAsia="仿宋_GB2312;仿宋" w:cs="Arial" w:ascii="Arial" w:hAnsi="Arial"/>
          <w:sz w:val="28"/>
        </w:rPr>
        <w:t>18</w:t>
      </w:r>
      <w:r>
        <w:rPr>
          <w:rFonts w:ascii="Arial" w:hAnsi="Arial" w:cs="Arial" w:eastAsia="仿宋_GB2312;仿宋"/>
          <w:sz w:val="28"/>
        </w:rPr>
        <w:t>日。</w:t>
      </w:r>
    </w:p>
    <w:p>
      <w:pPr>
        <w:pStyle w:val="Normal"/>
        <w:spacing w:lineRule="auto" w:line="360"/>
        <w:ind w:firstLine="560"/>
        <w:jc w:val="both"/>
        <w:rPr/>
      </w:pPr>
      <w:r>
        <w:rPr>
          <w:rFonts w:eastAsia="仿宋_GB2312;仿宋" w:cs="Arial" w:ascii="Arial" w:hAnsi="Arial"/>
          <w:sz w:val="28"/>
        </w:rPr>
        <w:t>2.</w:t>
      </w:r>
      <w:r>
        <w:rPr>
          <w:rFonts w:ascii="Arial" w:hAnsi="Arial" w:cs="Arial" w:eastAsia="仿宋_GB2312;仿宋"/>
          <w:sz w:val="28"/>
        </w:rPr>
        <w:t>土地用途设定：</w:t>
      </w:r>
    </w:p>
    <w:p>
      <w:pPr>
        <w:pStyle w:val="Normal"/>
        <w:spacing w:lineRule="auto" w:line="360"/>
        <w:ind w:firstLine="560"/>
        <w:jc w:val="both"/>
        <w:rPr/>
      </w:pPr>
      <w:r>
        <w:rPr>
          <w:rFonts w:ascii="Arial" w:hAnsi="Arial" w:cs="Arial" w:eastAsia="仿宋_GB2312;仿宋"/>
          <w:sz w:val="28"/>
        </w:rPr>
        <w:t>根据《国有土地使用证》</w:t>
      </w:r>
      <w:r>
        <w:rPr>
          <w:rFonts w:eastAsia="仿宋_GB2312;仿宋" w:cs="Arial" w:ascii="Arial" w:hAnsi="Arial"/>
          <w:sz w:val="28"/>
        </w:rPr>
        <w:t>[</w:t>
      </w:r>
      <w:r>
        <w:rPr>
          <w:rFonts w:ascii="Arial" w:hAnsi="Arial" w:cs="Arial" w:eastAsia="仿宋_GB2312;仿宋"/>
          <w:sz w:val="28"/>
        </w:rPr>
        <w:t>京海国用（</w:t>
      </w:r>
      <w:r>
        <w:rPr>
          <w:rFonts w:eastAsia="仿宋_GB2312;仿宋" w:cs="Arial" w:ascii="Arial" w:hAnsi="Arial"/>
          <w:sz w:val="28"/>
        </w:rPr>
        <w:t>2004</w:t>
      </w:r>
      <w:r>
        <w:rPr>
          <w:rFonts w:ascii="Arial" w:hAnsi="Arial" w:cs="Arial" w:eastAsia="仿宋_GB2312;仿宋"/>
          <w:sz w:val="28"/>
        </w:rPr>
        <w:t>划）字第</w:t>
      </w:r>
      <w:r>
        <w:rPr>
          <w:rFonts w:eastAsia="仿宋_GB2312;仿宋" w:cs="Arial" w:ascii="Arial" w:hAnsi="Arial"/>
          <w:sz w:val="28"/>
        </w:rPr>
        <w:t>2880</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复印件，本次评估估价对象证载地类（用途）为工业用地。本次评估设定用途即为证载用途工业用地。</w:t>
      </w:r>
    </w:p>
    <w:p>
      <w:pPr>
        <w:pStyle w:val="Normal"/>
        <w:spacing w:lineRule="auto" w:line="360"/>
        <w:ind w:firstLine="560"/>
        <w:jc w:val="both"/>
        <w:rPr/>
      </w:pPr>
      <w:r>
        <w:rPr>
          <w:rFonts w:eastAsia="仿宋_GB2312;仿宋" w:cs="Arial" w:ascii="Arial" w:hAnsi="Arial"/>
          <w:sz w:val="28"/>
        </w:rPr>
        <w:t>3.</w:t>
      </w:r>
      <w:r>
        <w:rPr>
          <w:rFonts w:ascii="Arial" w:hAnsi="Arial" w:cs="Arial" w:eastAsia="仿宋_GB2312;仿宋"/>
          <w:sz w:val="28"/>
        </w:rPr>
        <w:t>土地使用权类型：</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依据《国有土地使用证》</w:t>
      </w:r>
      <w:r>
        <w:rPr>
          <w:rFonts w:eastAsia="仿宋_GB2312;仿宋" w:cs="Arial" w:ascii="Arial" w:hAnsi="Arial"/>
          <w:sz w:val="28"/>
        </w:rPr>
        <w:t>[</w:t>
      </w:r>
      <w:r>
        <w:rPr>
          <w:rFonts w:ascii="Arial" w:hAnsi="Arial" w:cs="Arial" w:eastAsia="仿宋_GB2312;仿宋"/>
          <w:sz w:val="28"/>
        </w:rPr>
        <w:t>京海国用（</w:t>
      </w:r>
      <w:r>
        <w:rPr>
          <w:rFonts w:eastAsia="仿宋_GB2312;仿宋" w:cs="Arial" w:ascii="Arial" w:hAnsi="Arial"/>
          <w:sz w:val="28"/>
        </w:rPr>
        <w:t>2004</w:t>
      </w:r>
      <w:r>
        <w:rPr>
          <w:rFonts w:ascii="Arial" w:hAnsi="Arial" w:cs="Arial" w:eastAsia="仿宋_GB2312;仿宋"/>
          <w:sz w:val="28"/>
        </w:rPr>
        <w:t>划）字第</w:t>
      </w:r>
      <w:r>
        <w:rPr>
          <w:rFonts w:eastAsia="仿宋_GB2312;仿宋" w:cs="Arial" w:ascii="Arial" w:hAnsi="Arial"/>
          <w:sz w:val="28"/>
        </w:rPr>
        <w:t>2880</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复印件记载，估价对象土地使用权类型为划拨。</w:t>
      </w:r>
      <w:r>
        <w:rPr>
          <w:rFonts w:ascii="Arial" w:hAnsi="Arial" w:cs="Arial" w:eastAsia="仿宋_GB2312;仿宋"/>
          <w:sz w:val="28"/>
        </w:rPr>
        <w:t>故本次评估的是其划拨国有建设用地使用权价格。</w:t>
      </w:r>
    </w:p>
    <w:p>
      <w:pPr>
        <w:pStyle w:val="Normal"/>
        <w:spacing w:lineRule="auto" w:line="360"/>
        <w:ind w:firstLine="560"/>
        <w:jc w:val="both"/>
        <w:rPr/>
      </w:pPr>
      <w:r>
        <w:rPr>
          <w:rFonts w:eastAsia="仿宋_GB2312;仿宋" w:cs="Arial" w:ascii="Arial" w:hAnsi="Arial"/>
          <w:sz w:val="28"/>
        </w:rPr>
        <w:t>4.</w:t>
      </w:r>
      <w:r>
        <w:rPr>
          <w:rFonts w:ascii="Arial" w:hAnsi="Arial" w:cs="Arial" w:eastAsia="仿宋_GB2312;仿宋"/>
          <w:sz w:val="28"/>
        </w:rPr>
        <w:t>土地开发程度设定：</w:t>
      </w:r>
    </w:p>
    <w:p>
      <w:pPr>
        <w:pStyle w:val="Normal"/>
        <w:spacing w:lineRule="auto" w:line="360"/>
        <w:ind w:firstLine="560"/>
        <w:jc w:val="both"/>
        <w:rPr>
          <w:rFonts w:ascii="仿宋_GB2312;仿宋" w:hAnsi="仿宋_GB2312;仿宋" w:eastAsia="仿宋_GB2312;仿宋" w:cs="Arial"/>
          <w:sz w:val="28"/>
        </w:rPr>
      </w:pPr>
      <w:r>
        <w:rPr>
          <w:rFonts w:ascii="仿宋_GB2312;仿宋" w:hAnsi="仿宋_GB2312;仿宋" w:cs="Arial" w:eastAsia="仿宋_GB2312;仿宋"/>
          <w:sz w:val="28"/>
        </w:rPr>
        <w:t>根据委托估价方介绍及评估专业人员现场勘查，估价对象于估价期日的实际开发程度为宗地红线内、外“七通”（即通路、通上水、通下水、通燃气、通电、通讯、通热），宗地红线内有现状房屋。结合估价目的，评估设定宗地外“七通”（即通路、通上水、通下水、通燃气、通电、通讯、通热），宗地内</w:t>
      </w:r>
      <w:commentRangeStart w:id="0"/>
      <w:r>
        <w:rPr>
          <w:rFonts w:ascii="仿宋_GB2312;仿宋" w:hAnsi="仿宋_GB2312;仿宋" w:cs="Arial" w:eastAsia="仿宋_GB2312;仿宋"/>
          <w:sz w:val="28"/>
        </w:rPr>
        <w:t>场地自然平整</w:t>
      </w:r>
      <w:r>
        <w:rPr>
          <w:rFonts w:ascii="仿宋_GB2312;仿宋" w:hAnsi="仿宋_GB2312;仿宋" w:cs="Arial" w:eastAsia="仿宋_GB2312;仿宋"/>
          <w:sz w:val="28"/>
        </w:rPr>
      </w:r>
      <w:commentRangeEnd w:id="0"/>
      <w:r>
        <w:commentReference w:id="0"/>
      </w:r>
      <w:r>
        <w:rPr>
          <w:rFonts w:ascii="仿宋_GB2312;仿宋" w:hAnsi="仿宋_GB2312;仿宋" w:cs="Arial" w:eastAsia="仿宋_GB2312;仿宋"/>
          <w:sz w:val="28"/>
        </w:rPr>
        <w:t>。</w:t>
      </w:r>
    </w:p>
    <w:p>
      <w:pPr>
        <w:pStyle w:val="Normal"/>
        <w:spacing w:lineRule="auto" w:line="360"/>
        <w:ind w:firstLine="560"/>
        <w:jc w:val="both"/>
        <w:rPr/>
      </w:pPr>
      <w:r>
        <w:rPr>
          <w:rFonts w:eastAsia="仿宋_GB2312;仿宋" w:cs="Arial" w:ascii="Arial" w:hAnsi="Arial"/>
          <w:sz w:val="28"/>
        </w:rPr>
        <w:t>5.</w:t>
      </w:r>
      <w:r>
        <w:rPr>
          <w:rFonts w:ascii="Arial" w:hAnsi="Arial" w:cs="Arial" w:eastAsia="仿宋_GB2312;仿宋"/>
          <w:sz w:val="28"/>
        </w:rPr>
        <w:t>土地使用权年限设定：</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本次估价对象为划拨国有建设用地使用权，</w:t>
      </w:r>
      <w:r>
        <w:rPr>
          <w:rFonts w:ascii="Arial" w:hAnsi="Arial" w:cs="Arial" w:eastAsia="仿宋_GB2312;仿宋"/>
          <w:sz w:val="28"/>
        </w:rPr>
        <w:t>无年期限制，</w:t>
      </w:r>
      <w:r>
        <w:rPr>
          <w:rFonts w:ascii="Arial" w:hAnsi="Arial" w:cs="Arial" w:eastAsia="仿宋_GB2312;仿宋"/>
          <w:sz w:val="28"/>
        </w:rPr>
        <w:t>故设定</w:t>
      </w:r>
      <w:commentRangeStart w:id="1"/>
      <w:r>
        <w:rPr>
          <w:rFonts w:ascii="Arial" w:hAnsi="Arial" w:cs="Arial" w:eastAsia="仿宋_GB2312;仿宋"/>
          <w:sz w:val="28"/>
        </w:rPr>
        <w:t>剩余土地使用权</w:t>
      </w:r>
      <w:r>
        <w:rPr>
          <w:rFonts w:ascii="Arial" w:hAnsi="Arial" w:cs="Arial" w:eastAsia="仿宋_GB2312;仿宋"/>
          <w:sz w:val="28"/>
        </w:rPr>
      </w:r>
      <w:commentRangeEnd w:id="1"/>
      <w:r>
        <w:commentReference w:id="1"/>
      </w:r>
      <w:r>
        <w:rPr>
          <w:rFonts w:ascii="Arial" w:hAnsi="Arial" w:cs="Arial" w:eastAsia="仿宋_GB2312;仿宋"/>
          <w:sz w:val="28"/>
        </w:rPr>
        <w:t>无年期限制。</w:t>
      </w:r>
    </w:p>
    <w:p>
      <w:pPr>
        <w:pStyle w:val="Normal"/>
        <w:spacing w:lineRule="auto" w:line="360"/>
        <w:ind w:firstLine="560"/>
        <w:jc w:val="both"/>
        <w:rPr>
          <w:rFonts w:eastAsia="仿宋_GB2312;仿宋"/>
        </w:rPr>
      </w:pPr>
      <w:r>
        <w:rPr>
          <w:rFonts w:eastAsia="仿宋_GB2312;仿宋" w:cs="Arial" w:ascii="Arial" w:hAnsi="Arial"/>
          <w:sz w:val="28"/>
        </w:rPr>
        <w:t>6</w:t>
      </w:r>
      <w:r>
        <w:rPr>
          <w:rFonts w:eastAsia="仿宋_GB2312;仿宋" w:cs="Arial" w:ascii="Arial" w:hAnsi="Arial"/>
          <w:sz w:val="28"/>
        </w:rPr>
        <w:t>.</w:t>
      </w:r>
      <w:r>
        <w:rPr>
          <w:rFonts w:ascii="Arial" w:hAnsi="Arial" w:cs="Arial" w:eastAsia="仿宋_GB2312;仿宋"/>
          <w:sz w:val="28"/>
        </w:rPr>
        <w:t>利用条件及容积率的设定：</w:t>
      </w:r>
      <w:r>
        <w:rPr>
          <w:rFonts w:ascii="Arial" w:hAnsi="Arial" w:cs="Arial" w:eastAsia="Arial"/>
          <w:sz w:val="28"/>
        </w:rPr>
        <w:t xml:space="preserve"> </w:t>
      </w:r>
    </w:p>
    <w:p>
      <w:pPr>
        <w:pStyle w:val="Normal"/>
        <w:spacing w:lineRule="auto" w:line="360"/>
        <w:ind w:firstLine="560"/>
        <w:jc w:val="both"/>
        <w:rPr>
          <w:rFonts w:cs="Arial"/>
        </w:rPr>
      </w:pPr>
      <w:r>
        <w:rPr>
          <w:rFonts w:ascii="Arial" w:hAnsi="Arial" w:cs="Arial" w:eastAsia="仿宋_GB2312;仿宋"/>
          <w:sz w:val="28"/>
        </w:rPr>
        <w:t>根据《国有土地使用证》</w:t>
      </w:r>
      <w:r>
        <w:rPr>
          <w:rFonts w:eastAsia="仿宋_GB2312;仿宋" w:cs="Arial" w:ascii="Arial" w:hAnsi="Arial"/>
          <w:sz w:val="28"/>
        </w:rPr>
        <w:t>[</w:t>
      </w:r>
      <w:r>
        <w:rPr>
          <w:rFonts w:ascii="Arial" w:hAnsi="Arial" w:cs="Arial" w:eastAsia="仿宋_GB2312;仿宋"/>
          <w:sz w:val="28"/>
        </w:rPr>
        <w:t>京海国用（</w:t>
      </w:r>
      <w:r>
        <w:rPr>
          <w:rFonts w:eastAsia="仿宋_GB2312;仿宋" w:cs="Arial" w:ascii="Arial" w:hAnsi="Arial"/>
          <w:sz w:val="28"/>
        </w:rPr>
        <w:t>2004</w:t>
      </w:r>
      <w:r>
        <w:rPr>
          <w:rFonts w:ascii="Arial" w:hAnsi="Arial" w:cs="Arial" w:eastAsia="仿宋_GB2312;仿宋"/>
          <w:sz w:val="28"/>
        </w:rPr>
        <w:t>划）字第</w:t>
      </w:r>
      <w:r>
        <w:rPr>
          <w:rFonts w:eastAsia="仿宋_GB2312;仿宋" w:cs="Arial" w:ascii="Arial" w:hAnsi="Arial"/>
          <w:sz w:val="28"/>
        </w:rPr>
        <w:t>2880</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、《土地权属审查告知书》</w:t>
      </w:r>
      <w:r>
        <w:rPr>
          <w:rFonts w:eastAsia="仿宋_GB2312;仿宋" w:cs="Arial" w:ascii="Arial" w:hAnsi="Arial"/>
          <w:sz w:val="28"/>
        </w:rPr>
        <w:t>[</w:t>
      </w:r>
      <w:r>
        <w:rPr>
          <w:rFonts w:ascii="Arial" w:hAnsi="Arial" w:cs="Arial" w:eastAsia="仿宋_GB2312;仿宋"/>
          <w:sz w:val="28"/>
        </w:rPr>
        <w:t>编号：海权属审（</w:t>
      </w:r>
      <w:r>
        <w:rPr>
          <w:rFonts w:eastAsia="仿宋_GB2312;仿宋" w:cs="Arial" w:ascii="Arial" w:hAnsi="Arial"/>
          <w:sz w:val="28"/>
        </w:rPr>
        <w:t>2020</w:t>
      </w:r>
      <w:r>
        <w:rPr>
          <w:rFonts w:ascii="Arial" w:hAnsi="Arial" w:cs="Arial" w:eastAsia="仿宋_GB2312;仿宋"/>
          <w:sz w:val="28"/>
        </w:rPr>
        <w:t>）字第</w:t>
      </w:r>
      <w:r>
        <w:rPr>
          <w:rFonts w:eastAsia="仿宋_GB2312;仿宋" w:cs="Arial" w:ascii="Arial" w:hAnsi="Arial"/>
          <w:sz w:val="28"/>
        </w:rPr>
        <w:t>1172</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，估价对象土地面积</w:t>
      </w:r>
      <w:r>
        <w:rPr>
          <w:rFonts w:eastAsia="仿宋_GB2312;仿宋" w:cs="Arial" w:ascii="Arial" w:hAnsi="Arial"/>
          <w:sz w:val="28"/>
        </w:rPr>
        <w:t>10738.85</w:t>
      </w:r>
      <w:r>
        <w:rPr>
          <w:rFonts w:ascii="Arial" w:hAnsi="Arial" w:cs="Arial" w:eastAsia="仿宋_GB2312;仿宋"/>
          <w:sz w:val="28"/>
        </w:rPr>
        <w:t>平方米；根据《房屋所有权证》</w:t>
      </w:r>
      <w:r>
        <w:rPr>
          <w:rFonts w:eastAsia="仿宋_GB2312;仿宋" w:cs="Arial" w:ascii="Arial" w:hAnsi="Arial"/>
          <w:sz w:val="28"/>
        </w:rPr>
        <w:t>[</w:t>
      </w:r>
      <w:r>
        <w:rPr>
          <w:rFonts w:ascii="Arial" w:hAnsi="Arial" w:cs="Arial" w:eastAsia="仿宋_GB2312;仿宋"/>
          <w:sz w:val="28"/>
        </w:rPr>
        <w:t>海全字第</w:t>
      </w:r>
      <w:r>
        <w:rPr>
          <w:rFonts w:eastAsia="仿宋_GB2312;仿宋" w:cs="Arial" w:ascii="Arial" w:hAnsi="Arial"/>
          <w:sz w:val="28"/>
        </w:rPr>
        <w:t>01614</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、《关于西三旗建材城中路</w:t>
      </w:r>
      <w:r>
        <w:rPr>
          <w:rFonts w:eastAsia="仿宋_GB2312;仿宋" w:cs="Arial" w:ascii="Arial" w:hAnsi="Arial"/>
          <w:sz w:val="28"/>
        </w:rPr>
        <w:t>2</w:t>
      </w:r>
      <w:r>
        <w:rPr>
          <w:rFonts w:ascii="Arial" w:hAnsi="Arial" w:cs="Arial" w:eastAsia="仿宋_GB2312;仿宋"/>
          <w:sz w:val="28"/>
        </w:rPr>
        <w:t>号地块收储情况说明》</w:t>
      </w:r>
      <w:r>
        <w:rPr>
          <w:rFonts w:ascii="Arial" w:hAnsi="Arial" w:cs="Arial" w:eastAsia="仿宋_GB2312;仿宋"/>
          <w:sz w:val="28"/>
          <w:lang w:val="zh-CN"/>
        </w:rPr>
        <w:t>，</w:t>
      </w:r>
      <w:r>
        <w:rPr>
          <w:rFonts w:ascii="Arial" w:hAnsi="Arial" w:cs="Arial" w:eastAsia="仿宋_GB2312;仿宋"/>
          <w:sz w:val="28"/>
        </w:rPr>
        <w:t>宗地内房屋建筑面积为</w:t>
      </w:r>
      <w:r>
        <w:rPr>
          <w:rFonts w:eastAsia="仿宋_GB2312;仿宋" w:cs="Arial" w:ascii="Arial" w:hAnsi="Arial"/>
          <w:sz w:val="28"/>
        </w:rPr>
        <w:t>677.9</w:t>
      </w:r>
      <w:r>
        <w:rPr>
          <w:rFonts w:ascii="Arial" w:hAnsi="Arial" w:cs="Arial" w:eastAsia="仿宋_GB2312;仿宋"/>
          <w:sz w:val="28"/>
        </w:rPr>
        <w:t>平方米，实际容积率为</w:t>
      </w:r>
      <w:r>
        <w:rPr>
          <w:rFonts w:eastAsia="仿宋_GB2312;仿宋" w:cs="Arial" w:ascii="Arial" w:hAnsi="Arial"/>
          <w:sz w:val="28"/>
        </w:rPr>
        <w:t>0.06</w:t>
      </w:r>
      <w:r>
        <w:rPr>
          <w:rFonts w:ascii="Arial" w:hAnsi="Arial" w:cs="Arial" w:eastAsia="仿宋_GB2312;仿宋"/>
          <w:sz w:val="28"/>
        </w:rPr>
        <w:t>。估价对象房屋情况如下表：</w:t>
      </w:r>
    </w:p>
    <w:tbl>
      <w:tblPr>
        <w:tblW w:w="5770" w:type="dxa"/>
        <w:jc w:val="center"/>
        <w:tblInd w:w="0" w:type="dxa"/>
        <w:tblCellMar>
          <w:top w:w="0" w:type="dxa"/>
          <w:left w:w="108" w:type="dxa"/>
          <w:bottom w:w="0" w:type="dxa"/>
          <w:right w:w="108" w:type="dxa"/>
        </w:tblCellMar>
      </w:tblPr>
      <w:tblGrid>
        <w:gridCol w:w="1080"/>
        <w:gridCol w:w="1080"/>
        <w:gridCol w:w="1316"/>
        <w:gridCol w:w="2294"/>
      </w:tblGrid>
      <w:tr>
        <w:trPr>
          <w:trHeight w:val="315" w:hRule="atLeast"/>
        </w:trPr>
        <w:tc>
          <w:tcPr>
            <w:tcW w:w="1080"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rPr>
            </w:pPr>
            <w:r>
              <w:rPr>
                <w:rFonts w:ascii="Arial" w:hAnsi="Arial" w:cs="Arial" w:eastAsia="仿宋_GB2312;仿宋"/>
                <w:b/>
              </w:rPr>
              <w:t>楼号</w:t>
            </w:r>
          </w:p>
        </w:tc>
        <w:tc>
          <w:tcPr>
            <w:tcW w:w="1080"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rPr>
            </w:pPr>
            <w:r>
              <w:rPr>
                <w:rFonts w:ascii="Arial" w:hAnsi="Arial" w:cs="Arial" w:eastAsia="仿宋_GB2312;仿宋"/>
                <w:b/>
              </w:rPr>
              <w:t>结构</w:t>
            </w:r>
          </w:p>
        </w:tc>
        <w:tc>
          <w:tcPr>
            <w:tcW w:w="1316"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rPr>
            </w:pPr>
            <w:r>
              <w:rPr>
                <w:rFonts w:ascii="Arial" w:hAnsi="Arial" w:cs="Arial" w:eastAsia="仿宋_GB2312;仿宋"/>
                <w:b/>
              </w:rPr>
              <w:t>建成年份</w:t>
            </w:r>
          </w:p>
        </w:tc>
        <w:tc>
          <w:tcPr>
            <w:tcW w:w="22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rPr>
            </w:pPr>
            <w:r>
              <w:rPr>
                <w:rFonts w:ascii="Arial" w:hAnsi="Arial" w:cs="Arial" w:eastAsia="仿宋_GB2312;仿宋"/>
                <w:b/>
              </w:rPr>
              <w:t>建筑面积（㎡）</w:t>
            </w:r>
          </w:p>
        </w:tc>
      </w:tr>
      <w:tr>
        <w:trPr>
          <w:trHeight w:val="300" w:hRule="atLeast"/>
        </w:trPr>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25</w:t>
            </w:r>
          </w:p>
        </w:tc>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混合</w:t>
            </w:r>
          </w:p>
        </w:tc>
        <w:tc>
          <w:tcPr>
            <w:tcW w:w="131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八八</w:t>
            </w:r>
          </w:p>
        </w:tc>
        <w:tc>
          <w:tcPr>
            <w:tcW w:w="2294"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349.6</w:t>
            </w:r>
          </w:p>
        </w:tc>
      </w:tr>
      <w:tr>
        <w:trPr>
          <w:trHeight w:val="300" w:hRule="atLeast"/>
        </w:trPr>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26</w:t>
            </w:r>
          </w:p>
        </w:tc>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混合</w:t>
            </w:r>
          </w:p>
        </w:tc>
        <w:tc>
          <w:tcPr>
            <w:tcW w:w="131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八九</w:t>
            </w:r>
          </w:p>
        </w:tc>
        <w:tc>
          <w:tcPr>
            <w:tcW w:w="2294"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204.4</w:t>
            </w:r>
          </w:p>
        </w:tc>
      </w:tr>
      <w:tr>
        <w:trPr>
          <w:trHeight w:val="300" w:hRule="atLeast"/>
        </w:trPr>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39</w:t>
            </w:r>
          </w:p>
        </w:tc>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混合</w:t>
            </w:r>
          </w:p>
        </w:tc>
        <w:tc>
          <w:tcPr>
            <w:tcW w:w="131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六九</w:t>
            </w:r>
          </w:p>
        </w:tc>
        <w:tc>
          <w:tcPr>
            <w:tcW w:w="2294"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123.9</w:t>
            </w:r>
          </w:p>
        </w:tc>
      </w:tr>
      <w:tr>
        <w:trPr>
          <w:trHeight w:val="315" w:hRule="atLeast"/>
        </w:trPr>
        <w:tc>
          <w:tcPr>
            <w:tcW w:w="3476" w:type="dxa"/>
            <w:gridSpan w:val="3"/>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合计</w:t>
            </w:r>
          </w:p>
        </w:tc>
        <w:tc>
          <w:tcPr>
            <w:tcW w:w="2294"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677.9</w:t>
            </w:r>
          </w:p>
        </w:tc>
      </w:tr>
    </w:tbl>
    <w:p>
      <w:pPr>
        <w:pStyle w:val="Normal"/>
        <w:spacing w:lineRule="auto" w:line="360" w:before="120" w:after="0"/>
        <w:ind w:firstLine="560"/>
        <w:jc w:val="both"/>
        <w:rPr/>
      </w:pPr>
      <w:r>
        <w:rPr>
          <w:rFonts w:ascii="Arial" w:hAnsi="Arial" w:cs="Arial" w:eastAsia="仿宋_GB2312;仿宋"/>
          <w:sz w:val="28"/>
        </w:rPr>
        <w:t>国有建设用地使用权的收购补偿价格评估中，参照《北京市企业国有建设用地使用权收购补偿价格评估技术指引》</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2018</w:t>
      </w:r>
      <w:r>
        <w:rPr>
          <w:rFonts w:ascii="Arial" w:hAnsi="Arial" w:cs="Arial" w:eastAsia="仿宋_GB2312;仿宋"/>
          <w:sz w:val="28"/>
        </w:rPr>
        <w:t>）</w:t>
      </w:r>
      <w:r>
        <w:rPr>
          <w:rFonts w:eastAsia="仿宋_GB2312;仿宋" w:cs="Arial" w:ascii="Arial" w:hAnsi="Arial"/>
          <w:sz w:val="28"/>
        </w:rPr>
        <w:t>004</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、《关于发布</w:t>
      </w:r>
      <w:r>
        <w:rPr>
          <w:rFonts w:ascii="仿宋" w:hAnsi="仿宋" w:cs="Arial" w:eastAsia="仿宋"/>
          <w:sz w:val="28"/>
        </w:rPr>
        <w:t>〈</w:t>
      </w:r>
      <w:r>
        <w:rPr>
          <w:rFonts w:ascii="Arial" w:hAnsi="Arial" w:cs="Arial" w:eastAsia="仿宋_GB2312;仿宋"/>
          <w:sz w:val="28"/>
        </w:rPr>
        <w:t>北京市企业国有建设用地使用权收购补偿价格评估技术指引</w:t>
      </w:r>
      <w:r>
        <w:rPr>
          <w:rFonts w:ascii="仿宋" w:hAnsi="仿宋" w:cs="Arial" w:eastAsia="仿宋"/>
          <w:sz w:val="28"/>
        </w:rPr>
        <w:t>〉</w:t>
      </w:r>
      <w:r>
        <w:rPr>
          <w:rFonts w:ascii="Arial" w:hAnsi="Arial" w:cs="Arial" w:eastAsia="仿宋_GB2312;仿宋"/>
          <w:sz w:val="28"/>
        </w:rPr>
        <w:t>应用有关说明的通知》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2021</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r>
        <w:rPr>
          <w:rFonts w:eastAsia="仿宋_GB2312;仿宋" w:cs="Arial" w:ascii="Arial" w:hAnsi="Arial"/>
          <w:sz w:val="28"/>
        </w:rPr>
        <w:t xml:space="preserve"> </w:t>
      </w:r>
      <w:r>
        <w:rPr>
          <w:rFonts w:ascii="Arial" w:hAnsi="Arial" w:cs="Arial" w:eastAsia="仿宋_GB2312;仿宋"/>
          <w:sz w:val="28"/>
        </w:rPr>
        <w:t>（以下简称《指引》），当采用房地分开评估时，实际容积率小于</w:t>
      </w:r>
      <w:r>
        <w:rPr>
          <w:rFonts w:eastAsia="仿宋_GB2312;仿宋" w:cs="Arial" w:ascii="Arial" w:hAnsi="Arial"/>
          <w:sz w:val="28"/>
        </w:rPr>
        <w:t>1.0</w:t>
      </w:r>
      <w:r>
        <w:rPr>
          <w:rFonts w:ascii="Arial" w:hAnsi="Arial" w:cs="Arial" w:eastAsia="仿宋_GB2312;仿宋"/>
          <w:sz w:val="28"/>
        </w:rPr>
        <w:t>的，设定容积率为</w:t>
      </w:r>
      <w:r>
        <w:rPr>
          <w:rFonts w:eastAsia="仿宋_GB2312;仿宋" w:cs="Arial" w:ascii="Arial" w:hAnsi="Arial"/>
          <w:sz w:val="28"/>
        </w:rPr>
        <w:t>1.0</w:t>
      </w:r>
      <w:r>
        <w:rPr>
          <w:rFonts w:ascii="Arial" w:hAnsi="Arial" w:cs="Arial" w:eastAsia="仿宋_GB2312;仿宋"/>
          <w:sz w:val="28"/>
        </w:rPr>
        <w:t>进行土地使用权价格评估。故本次评估设定容积率为</w:t>
      </w:r>
      <w:r>
        <w:rPr>
          <w:rFonts w:eastAsia="仿宋_GB2312;仿宋" w:cs="Arial" w:ascii="Arial" w:hAnsi="Arial"/>
          <w:sz w:val="28"/>
        </w:rPr>
        <w:t>1.0</w:t>
      </w:r>
      <w:r>
        <w:rPr>
          <w:rFonts w:ascii="Arial" w:hAnsi="Arial" w:cs="Arial" w:eastAsia="仿宋_GB2312;仿宋"/>
          <w:sz w:val="28"/>
        </w:rPr>
        <w:t>。</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7.</w:t>
      </w:r>
      <w:r>
        <w:rPr>
          <w:rFonts w:ascii="Arial" w:hAnsi="Arial" w:cs="Arial" w:eastAsia="仿宋_GB2312;仿宋"/>
          <w:sz w:val="28"/>
        </w:rPr>
        <w:t>价值类型：</w:t>
      </w:r>
    </w:p>
    <w:p>
      <w:pPr>
        <w:pStyle w:val="Normal"/>
        <w:spacing w:lineRule="auto" w:line="360"/>
        <w:ind w:firstLine="560"/>
        <w:jc w:val="both"/>
        <w:rPr/>
      </w:pPr>
      <w:r>
        <w:rPr>
          <w:rFonts w:ascii="Arial" w:hAnsi="Arial" w:cs="Arial" w:eastAsia="仿宋_GB2312;仿宋"/>
          <w:sz w:val="28"/>
        </w:rPr>
        <w:t>本次评估估价目的</w:t>
      </w:r>
      <w:r>
        <w:rPr>
          <w:rFonts w:ascii="Arial" w:hAnsi="Arial" w:cs="Arial" w:eastAsia="仿宋_GB2312;仿宋"/>
          <w:sz w:val="28"/>
        </w:rPr>
        <w:t>：为北京市海淀区规划和自然资源综合事务中心收购的国有建设用地使用权的补偿提供依据，评估被收购国有建设用地使用权的收购补偿价格</w:t>
      </w:r>
      <w:r>
        <w:rPr>
          <w:rFonts w:ascii="Arial" w:hAnsi="Arial" w:cs="Arial" w:eastAsia="仿宋_GB2312;仿宋"/>
          <w:sz w:val="28"/>
        </w:rPr>
        <w:t>。故本次</w:t>
      </w:r>
      <w:r>
        <w:rPr>
          <w:rFonts w:ascii="Arial" w:hAnsi="Arial" w:cs="Arial" w:eastAsia="仿宋_GB2312;仿宋"/>
          <w:sz w:val="28"/>
        </w:rPr>
        <w:t>估算</w:t>
      </w:r>
      <w:r>
        <w:rPr>
          <w:rFonts w:ascii="Arial" w:hAnsi="Arial" w:cs="Arial" w:eastAsia="仿宋_GB2312;仿宋"/>
          <w:sz w:val="28"/>
        </w:rPr>
        <w:t>估价结果为特定条件下土地使用权收购补偿价格。</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综上所述，本报告所</w:t>
      </w:r>
      <w:r>
        <w:rPr>
          <w:rFonts w:ascii="Arial" w:hAnsi="Arial" w:cs="Arial" w:eastAsia="仿宋_GB2312;仿宋"/>
          <w:sz w:val="28"/>
        </w:rPr>
        <w:t>估算</w:t>
      </w:r>
      <w:r>
        <w:rPr>
          <w:rFonts w:ascii="Arial" w:hAnsi="Arial" w:cs="Arial" w:eastAsia="仿宋_GB2312;仿宋"/>
          <w:sz w:val="28"/>
        </w:rPr>
        <w:t>的土地价格为：估价对象在估价期日</w:t>
      </w:r>
      <w:r>
        <w:rPr>
          <w:rFonts w:eastAsia="仿宋_GB2312;仿宋" w:cs="Arial" w:ascii="Arial" w:hAnsi="Arial"/>
          <w:sz w:val="28"/>
        </w:rPr>
        <w:t>2023</w:t>
      </w:r>
      <w:r>
        <w:rPr>
          <w:rFonts w:ascii="Arial" w:hAnsi="Arial" w:cs="Arial" w:eastAsia="仿宋_GB2312;仿宋"/>
          <w:sz w:val="28"/>
        </w:rPr>
        <w:t>年</w:t>
      </w:r>
      <w:r>
        <w:rPr>
          <w:rFonts w:eastAsia="仿宋_GB2312;仿宋" w:cs="Arial" w:ascii="Arial" w:hAnsi="Arial"/>
          <w:sz w:val="28"/>
        </w:rPr>
        <w:t>11</w:t>
      </w:r>
      <w:r>
        <w:rPr>
          <w:rFonts w:ascii="Arial" w:hAnsi="Arial" w:cs="Arial" w:eastAsia="仿宋_GB2312;仿宋"/>
          <w:sz w:val="28"/>
        </w:rPr>
        <w:t>月</w:t>
      </w:r>
      <w:r>
        <w:rPr>
          <w:rFonts w:eastAsia="仿宋_GB2312;仿宋" w:cs="Arial" w:ascii="Arial" w:hAnsi="Arial"/>
          <w:sz w:val="28"/>
        </w:rPr>
        <w:t>18</w:t>
      </w:r>
      <w:r>
        <w:rPr>
          <w:rFonts w:ascii="Arial" w:hAnsi="Arial" w:cs="Arial" w:eastAsia="仿宋_GB2312;仿宋"/>
          <w:sz w:val="28"/>
        </w:rPr>
        <w:t>日，设定土地用途为工业、土地使用权类型为划拨、土地使用权无年期限制、土地开发程度为宗地红线外”七通”（即通路、通上水、通下水、通燃气、通电、通讯、通热）、宗地内场地平整、容积率为</w:t>
      </w:r>
      <w:r>
        <w:rPr>
          <w:rFonts w:eastAsia="仿宋_GB2312;仿宋" w:cs="Arial" w:ascii="Arial" w:hAnsi="Arial"/>
          <w:sz w:val="28"/>
        </w:rPr>
        <w:t>1.0</w:t>
      </w:r>
      <w:r>
        <w:rPr>
          <w:rFonts w:ascii="Arial" w:hAnsi="Arial" w:cs="Arial" w:eastAsia="仿宋_GB2312;仿宋"/>
          <w:sz w:val="28"/>
        </w:rPr>
        <w:t>，于上述设定条件下的收购价格。</w:t>
      </w:r>
      <w:r>
        <w:rPr>
          <w:rFonts w:ascii="Arial" w:hAnsi="Arial" w:cs="Arial" w:eastAsia="Arial"/>
          <w:sz w:val="28"/>
        </w:rPr>
        <w:t xml:space="preserve"> </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（二）建（构）筑物价格</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按照《指引》，房地分开评估时，建（构）筑物价格的</w:t>
      </w:r>
      <w:r>
        <w:rPr>
          <w:rFonts w:ascii="Arial" w:hAnsi="Arial" w:cs="Arial" w:eastAsia="仿宋_GB2312;仿宋"/>
          <w:sz w:val="28"/>
        </w:rPr>
        <w:t>估算</w:t>
      </w:r>
      <w:r>
        <w:rPr>
          <w:rFonts w:ascii="Arial" w:hAnsi="Arial" w:cs="Arial" w:eastAsia="仿宋_GB2312;仿宋"/>
          <w:sz w:val="28"/>
        </w:rPr>
        <w:t>采用北京市相应的房屋重置成新价评估技术标准。补偿价格参考《北京市房屋重置成新价评估技术标准》</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2016</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、《关于调整</w:t>
      </w:r>
      <w:r>
        <w:rPr>
          <w:rFonts w:ascii="仿宋" w:hAnsi="仿宋" w:cs="Arial" w:eastAsia="仿宋"/>
          <w:sz w:val="28"/>
        </w:rPr>
        <w:t>〈</w:t>
      </w:r>
      <w:r>
        <w:rPr>
          <w:rFonts w:ascii="Arial" w:hAnsi="Arial" w:cs="Arial" w:eastAsia="仿宋_GB2312;仿宋"/>
          <w:sz w:val="28"/>
        </w:rPr>
        <w:t>北京市房屋重置成新价评估技术标准</w:t>
      </w:r>
      <w:r>
        <w:rPr>
          <w:rFonts w:ascii="仿宋" w:hAnsi="仿宋" w:cs="Arial" w:eastAsia="仿宋"/>
          <w:sz w:val="28"/>
        </w:rPr>
        <w:t>〉</w:t>
      </w:r>
      <w:r>
        <w:rPr>
          <w:rFonts w:ascii="Arial" w:hAnsi="Arial" w:cs="Arial" w:eastAsia="仿宋_GB2312;仿宋"/>
          <w:sz w:val="28"/>
        </w:rPr>
        <w:t>相关系数的通知》（</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10</w:t>
      </w:r>
      <w:r>
        <w:rPr>
          <w:rFonts w:ascii="Arial" w:hAnsi="Arial" w:cs="Arial" w:eastAsia="仿宋_GB2312;仿宋"/>
          <w:sz w:val="28"/>
        </w:rPr>
        <w:t>日发布）</w:t>
      </w:r>
      <w:r>
        <w:rPr>
          <w:rFonts w:ascii="Arial" w:hAnsi="Arial" w:cs="Arial" w:eastAsia="仿宋_GB2312;仿宋"/>
          <w:sz w:val="28"/>
        </w:rPr>
        <w:t>进行评估。</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（三）附属物价格</w:t>
      </w:r>
    </w:p>
    <w:p>
      <w:pPr>
        <w:pStyle w:val="Normal"/>
        <w:spacing w:lineRule="auto" w:line="360"/>
        <w:ind w:firstLine="560"/>
        <w:jc w:val="both"/>
        <w:rPr/>
      </w:pPr>
      <w:r>
        <w:rPr>
          <w:rFonts w:ascii="Arial" w:hAnsi="Arial" w:cs="Arial" w:eastAsia="仿宋_GB2312;仿宋"/>
          <w:sz w:val="28"/>
        </w:rPr>
        <w:t>附属物包括树木及院地，补偿价格参照《北京市房屋重置成新价评估技术标准》</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2016</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、《关于调整〈北京市房屋重置成新价评估技术标准〉相关系数的通知》（</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10</w:t>
      </w:r>
      <w:r>
        <w:rPr>
          <w:rFonts w:ascii="Arial" w:hAnsi="Arial" w:cs="Arial" w:eastAsia="仿宋_GB2312;仿宋"/>
          <w:sz w:val="28"/>
        </w:rPr>
        <w:t>日发布）</w:t>
      </w:r>
      <w:r>
        <w:rPr>
          <w:rFonts w:ascii="Arial" w:hAnsi="Arial" w:cs="Arial" w:eastAsia="仿宋_GB2312;仿宋"/>
          <w:sz w:val="28"/>
        </w:rPr>
        <w:t>进行评估。</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（四）无法恢复使用的设施设备补偿价格</w:t>
      </w:r>
    </w:p>
    <w:p>
      <w:pPr>
        <w:pStyle w:val="Normal"/>
        <w:spacing w:lineRule="auto" w:line="360"/>
        <w:ind w:firstLine="560"/>
        <w:jc w:val="both"/>
        <w:rPr/>
      </w:pPr>
      <w:r>
        <w:rPr>
          <w:rFonts w:ascii="Arial" w:hAnsi="Arial" w:cs="Arial" w:eastAsia="仿宋_GB2312;仿宋"/>
          <w:sz w:val="28"/>
        </w:rPr>
        <w:t>由于估价对象宗地并未进行生产</w:t>
      </w:r>
      <w:r>
        <w:rPr>
          <w:rFonts w:ascii="Arial" w:hAnsi="Arial" w:cs="Arial" w:eastAsia="仿宋_GB2312;仿宋"/>
          <w:sz w:val="28"/>
        </w:rPr>
        <w:t>使用</w:t>
      </w:r>
      <w:r>
        <w:rPr>
          <w:rFonts w:ascii="Arial" w:hAnsi="Arial" w:cs="Arial" w:eastAsia="仿宋_GB2312;仿宋"/>
          <w:sz w:val="28"/>
        </w:rPr>
        <w:t>，现状实际大部分土地闲置空地，经评估专业人员现场勘察，不存在因土地收购造成的无法恢复使用的设施设备情况。</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（五）因土地收购造成的停产停业损失补偿费用</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停产停业损失补偿包括房屋停产停业期间租金、净利润损失、员工生活补助费，参照《北京市国有土地上房屋征收停产停业损失补偿暂行办法》</w:t>
      </w:r>
      <w:r>
        <w:rPr>
          <w:rFonts w:eastAsia="仿宋_GB2312;仿宋" w:cs="Arial" w:ascii="Arial" w:hAnsi="Arial"/>
          <w:sz w:val="28"/>
        </w:rPr>
        <w:t>[</w:t>
      </w:r>
      <w:r>
        <w:rPr>
          <w:rFonts w:ascii="Arial" w:hAnsi="Arial" w:cs="Arial" w:eastAsia="仿宋_GB2312;仿宋"/>
          <w:sz w:val="28"/>
        </w:rPr>
        <w:t>京建法（</w:t>
      </w:r>
      <w:r>
        <w:rPr>
          <w:rFonts w:eastAsia="仿宋_GB2312;仿宋" w:cs="Arial" w:ascii="Arial" w:hAnsi="Arial"/>
          <w:sz w:val="28"/>
        </w:rPr>
        <w:t>2011</w:t>
      </w:r>
      <w:r>
        <w:rPr>
          <w:rFonts w:ascii="Arial" w:hAnsi="Arial" w:cs="Arial" w:eastAsia="仿宋_GB2312;仿宋"/>
          <w:sz w:val="28"/>
        </w:rPr>
        <w:t>）</w:t>
      </w:r>
      <w:r>
        <w:rPr>
          <w:rFonts w:eastAsia="仿宋_GB2312;仿宋" w:cs="Arial" w:ascii="Arial" w:hAnsi="Arial"/>
          <w:sz w:val="28"/>
        </w:rPr>
        <w:t>18</w:t>
      </w:r>
      <w:r>
        <w:rPr>
          <w:rFonts w:ascii="Arial" w:hAnsi="Arial" w:cs="Arial" w:eastAsia="仿宋_GB2312;仿宋"/>
          <w:sz w:val="28"/>
        </w:rPr>
        <w:t>号</w:t>
      </w:r>
      <w:r>
        <w:rPr>
          <w:rFonts w:eastAsia="仿宋_GB2312;仿宋" w:cs="Arial" w:ascii="Arial" w:hAnsi="Arial"/>
          <w:sz w:val="28"/>
        </w:rPr>
        <w:t xml:space="preserve">] </w:t>
      </w:r>
      <w:r>
        <w:rPr>
          <w:rFonts w:ascii="Arial" w:hAnsi="Arial" w:cs="Arial" w:eastAsia="仿宋_GB2312;仿宋"/>
          <w:sz w:val="28"/>
        </w:rPr>
        <w:t>、《关于发布</w:t>
      </w:r>
      <w:r>
        <w:rPr>
          <w:rFonts w:eastAsia="仿宋_GB2312;仿宋" w:cs="Arial" w:ascii="Arial" w:hAnsi="Arial"/>
          <w:sz w:val="28"/>
        </w:rPr>
        <w:t>&lt;</w:t>
      </w:r>
      <w:r>
        <w:rPr>
          <w:rFonts w:ascii="Arial" w:hAnsi="Arial" w:cs="Arial" w:eastAsia="仿宋_GB2312;仿宋"/>
          <w:sz w:val="28"/>
        </w:rPr>
        <w:t>北京市企业国有建设用地使用权收购补偿价格评估技术指引</w:t>
      </w:r>
      <w:r>
        <w:rPr>
          <w:rFonts w:eastAsia="仿宋_GB2312;仿宋" w:cs="Arial" w:ascii="Arial" w:hAnsi="Arial"/>
          <w:sz w:val="28"/>
        </w:rPr>
        <w:t>&gt;</w:t>
      </w:r>
      <w:r>
        <w:rPr>
          <w:rFonts w:ascii="Arial" w:hAnsi="Arial" w:cs="Arial" w:eastAsia="仿宋_GB2312;仿宋"/>
          <w:sz w:val="28"/>
        </w:rPr>
        <w:t>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2018</w:t>
      </w:r>
      <w:r>
        <w:rPr>
          <w:rFonts w:ascii="Arial" w:hAnsi="Arial" w:cs="Arial" w:eastAsia="仿宋_GB2312;仿宋"/>
          <w:sz w:val="28"/>
        </w:rPr>
        <w:t>）</w:t>
      </w:r>
      <w:r>
        <w:rPr>
          <w:rFonts w:eastAsia="仿宋_GB2312;仿宋" w:cs="Arial" w:ascii="Arial" w:hAnsi="Arial"/>
          <w:sz w:val="28"/>
        </w:rPr>
        <w:t>004</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确定。</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由于</w:t>
      </w:r>
      <w:r>
        <w:rPr>
          <w:rFonts w:ascii="Arial" w:hAnsi="Arial" w:cs="Arial" w:eastAsia="仿宋_GB2312;仿宋"/>
          <w:sz w:val="28"/>
        </w:rPr>
        <w:t>估价对象宗地未进行生产</w:t>
      </w:r>
      <w:r>
        <w:rPr>
          <w:rFonts w:ascii="Arial" w:hAnsi="Arial" w:cs="Arial" w:eastAsia="仿宋_GB2312;仿宋"/>
          <w:sz w:val="28"/>
        </w:rPr>
        <w:t>使用</w:t>
      </w:r>
      <w:r>
        <w:rPr>
          <w:rFonts w:ascii="Arial" w:hAnsi="Arial" w:cs="Arial" w:eastAsia="仿宋_GB2312;仿宋"/>
          <w:sz w:val="28"/>
        </w:rPr>
        <w:t>，现状实际大部分土地闲置空地，经评估专业人员现场勘察，不存在</w:t>
      </w:r>
      <w:r>
        <w:rPr>
          <w:rFonts w:ascii="仿宋_GB2312;仿宋" w:hAnsi="仿宋_GB2312;仿宋" w:cs="Arial" w:eastAsia="仿宋_GB2312;仿宋"/>
          <w:sz w:val="28"/>
        </w:rPr>
        <w:t>因土地收购造成的停产停业损失补偿</w:t>
      </w:r>
      <w:r>
        <w:rPr>
          <w:rFonts w:ascii="Arial" w:hAnsi="Arial" w:cs="Arial" w:eastAsia="仿宋_GB2312;仿宋"/>
          <w:sz w:val="28"/>
        </w:rPr>
        <w:t>情况。</w:t>
      </w:r>
    </w:p>
    <w:p>
      <w:pPr>
        <w:pStyle w:val="Normal"/>
        <w:snapToGrid w:val="false"/>
        <w:spacing w:lineRule="auto" w:line="360"/>
        <w:ind w:left="560" w:hanging="0"/>
        <w:jc w:val="both"/>
        <w:rPr>
          <w:rFonts w:ascii="Arial" w:hAnsi="Arial" w:eastAsia="仿宋_GB2312;仿宋" w:cs="Arial"/>
          <w:sz w:val="28"/>
        </w:rPr>
      </w:pPr>
      <w:r>
        <w:rPr>
          <w:rFonts w:ascii="Arial" w:hAnsi="Arial" w:cs="Arial" w:eastAsia="仿宋_GB2312;仿宋"/>
          <w:sz w:val="28"/>
        </w:rPr>
        <w:t>（六）搬迁、临时安置补助费</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补偿费用参照《关于国有土地上房屋征收与补偿中有关事项的通知》</w:t>
      </w:r>
      <w:r>
        <w:rPr>
          <w:rFonts w:eastAsia="仿宋_GB2312;仿宋" w:cs="Arial" w:ascii="Arial" w:hAnsi="Arial"/>
          <w:sz w:val="28"/>
        </w:rPr>
        <w:t>[</w:t>
      </w:r>
      <w:r>
        <w:rPr>
          <w:rFonts w:ascii="Arial" w:hAnsi="Arial" w:cs="Arial" w:eastAsia="仿宋_GB2312;仿宋"/>
          <w:sz w:val="28"/>
        </w:rPr>
        <w:t>京建法</w:t>
      </w:r>
      <w:r>
        <w:rPr>
          <w:rFonts w:ascii="Arial" w:hAnsi="Arial" w:cs="Arial"/>
          <w:sz w:val="28"/>
        </w:rPr>
        <w:t>（</w:t>
      </w:r>
      <w:r>
        <w:rPr>
          <w:rFonts w:eastAsia="仿宋_GB2312;仿宋" w:cs="Arial" w:ascii="Arial" w:hAnsi="Arial"/>
          <w:sz w:val="28"/>
        </w:rPr>
        <w:t>2012</w:t>
      </w:r>
      <w:r>
        <w:rPr>
          <w:rFonts w:ascii="Arial" w:hAnsi="Arial" w:cs="Arial"/>
          <w:sz w:val="28"/>
        </w:rPr>
        <w:t>）</w:t>
      </w:r>
      <w:r>
        <w:rPr>
          <w:rFonts w:eastAsia="仿宋_GB2312;仿宋" w:cs="Arial" w:ascii="Arial" w:hAnsi="Arial"/>
          <w:sz w:val="28"/>
        </w:rPr>
        <w:t>19</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确定。非住宅按</w:t>
      </w:r>
      <w:r>
        <w:rPr>
          <w:rFonts w:eastAsia="仿宋_GB2312;仿宋" w:cs="Arial" w:ascii="Arial" w:hAnsi="Arial"/>
          <w:sz w:val="28"/>
        </w:rPr>
        <w:t>50</w:t>
      </w:r>
      <w:r>
        <w:rPr>
          <w:rFonts w:ascii="Arial" w:hAnsi="Arial" w:cs="Arial" w:eastAsia="仿宋_GB2312;仿宋"/>
          <w:sz w:val="28"/>
        </w:rPr>
        <w:t>元</w:t>
      </w:r>
      <w:r>
        <w:rPr>
          <w:rFonts w:eastAsia="仿宋_GB2312;仿宋" w:cs="Arial" w:ascii="Arial" w:hAnsi="Arial"/>
          <w:sz w:val="28"/>
        </w:rPr>
        <w:t>/</w:t>
      </w:r>
      <w:r>
        <w:rPr>
          <w:rFonts w:ascii="Arial" w:hAnsi="Arial" w:cs="Arial" w:eastAsia="仿宋_GB2312;仿宋"/>
          <w:sz w:val="28"/>
        </w:rPr>
        <w:t>建筑平方米搬迁、临时安置补偿费确定。</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r>
    </w:p>
    <w:p>
      <w:pPr>
        <w:pStyle w:val="Normal"/>
        <w:numPr>
          <w:ilvl w:val="0"/>
          <w:numId w:val="0"/>
        </w:numPr>
        <w:spacing w:lineRule="auto" w:line="360"/>
        <w:outlineLvl w:val="1"/>
        <w:rPr>
          <w:rFonts w:ascii="Arial" w:hAnsi="Arial" w:eastAsia="仿宋_GB2312;仿宋" w:cs="Arial"/>
          <w:b/>
          <w:b/>
          <w:sz w:val="28"/>
        </w:rPr>
      </w:pPr>
      <w:bookmarkStart w:id="7" w:name="__RefHeading___Toc469066134"/>
      <w:bookmarkEnd w:id="7"/>
      <w:r>
        <w:rPr>
          <w:rFonts w:ascii="Arial" w:hAnsi="Arial" w:cs="Arial" w:eastAsia="仿宋_GB2312;仿宋"/>
          <w:b/>
          <w:sz w:val="28"/>
        </w:rPr>
        <w:t>七、估价结果</w:t>
      </w:r>
    </w:p>
    <w:p>
      <w:pPr>
        <w:pStyle w:val="Normal"/>
        <w:spacing w:lineRule="auto" w:line="360"/>
        <w:ind w:firstLine="560"/>
        <w:jc w:val="both"/>
        <w:rPr>
          <w:rFonts w:ascii="Arial" w:hAnsi="Arial" w:eastAsia="仿宋_GB2312;仿宋" w:cs="Arial"/>
          <w:kern w:val="2"/>
          <w:sz w:val="28"/>
        </w:rPr>
      </w:pPr>
      <w:r>
        <w:rPr>
          <w:rFonts w:ascii="Arial" w:hAnsi="Arial" w:cs="Arial" w:eastAsia="仿宋_GB2312;仿宋"/>
          <w:kern w:val="2"/>
          <w:sz w:val="28"/>
        </w:rPr>
        <w:t>评估专业人员根据估价的目的，按照</w:t>
      </w:r>
      <w:r>
        <w:rPr>
          <w:rFonts w:ascii="Arial" w:hAnsi="Arial" w:cs="Arial" w:eastAsia="仿宋_GB2312;仿宋"/>
          <w:kern w:val="2"/>
          <w:sz w:val="28"/>
        </w:rPr>
        <w:t>估算</w:t>
      </w:r>
      <w:r>
        <w:rPr>
          <w:rFonts w:ascii="Arial" w:hAnsi="Arial" w:cs="Arial" w:eastAsia="仿宋_GB2312;仿宋"/>
          <w:kern w:val="2"/>
          <w:sz w:val="28"/>
        </w:rPr>
        <w:t>的程序，采用科学的</w:t>
      </w:r>
      <w:r>
        <w:rPr>
          <w:rFonts w:ascii="Arial" w:hAnsi="Arial" w:cs="Arial" w:eastAsia="仿宋_GB2312;仿宋"/>
          <w:kern w:val="2"/>
          <w:sz w:val="28"/>
        </w:rPr>
        <w:t>估价方法</w:t>
      </w:r>
      <w:r>
        <w:rPr>
          <w:rFonts w:ascii="Arial" w:hAnsi="Arial" w:cs="Arial" w:eastAsia="仿宋_GB2312;仿宋"/>
          <w:kern w:val="2"/>
          <w:sz w:val="28"/>
        </w:rPr>
        <w:t>（市场比较法和成本逼近法</w:t>
      </w:r>
      <w:r>
        <w:rPr>
          <w:rFonts w:ascii="Arial" w:hAnsi="Arial" w:cs="Arial" w:eastAsia="仿宋_GB2312;仿宋"/>
          <w:kern w:val="2"/>
          <w:sz w:val="28"/>
        </w:rPr>
        <w:t>、重置成本法</w:t>
      </w:r>
      <w:r>
        <w:rPr>
          <w:rFonts w:ascii="Arial" w:hAnsi="Arial" w:cs="Arial" w:eastAsia="仿宋_GB2312;仿宋"/>
          <w:kern w:val="2"/>
          <w:sz w:val="28"/>
        </w:rPr>
        <w:t>），在认真分析现有资料的基础上，通过仔细测算和认真分析各种影响</w:t>
      </w:r>
      <w:r>
        <w:rPr>
          <w:rFonts w:ascii="Arial" w:hAnsi="Arial" w:cs="Arial" w:eastAsia="仿宋_GB2312;仿宋"/>
          <w:sz w:val="28"/>
        </w:rPr>
        <w:t>土地</w:t>
      </w:r>
      <w:r>
        <w:rPr>
          <w:rFonts w:ascii="Arial" w:hAnsi="Arial" w:cs="Arial" w:eastAsia="仿宋_GB2312;仿宋"/>
          <w:kern w:val="2"/>
          <w:sz w:val="28"/>
        </w:rPr>
        <w:t>价格的因素，</w:t>
      </w:r>
      <w:r>
        <w:rPr>
          <w:rFonts w:ascii="Arial" w:hAnsi="Arial" w:cs="Arial" w:eastAsia="仿宋_GB2312;仿宋"/>
          <w:sz w:val="28"/>
          <w:szCs w:val="28"/>
        </w:rPr>
        <w:t>确定估价对象</w:t>
      </w:r>
      <w:r>
        <w:rPr>
          <w:rFonts w:ascii="Arial" w:hAnsi="Arial" w:cs="Arial" w:eastAsia="仿宋_GB2312;仿宋"/>
          <w:kern w:val="2"/>
          <w:sz w:val="28"/>
        </w:rPr>
        <w:t>在估价期日</w:t>
      </w:r>
      <w:r>
        <w:rPr>
          <w:rFonts w:eastAsia="仿宋_GB2312;仿宋" w:cs="Arial" w:ascii="Arial" w:hAnsi="Arial"/>
          <w:kern w:val="2"/>
          <w:sz w:val="28"/>
        </w:rPr>
        <w:t>2023</w:t>
      </w:r>
      <w:r>
        <w:rPr>
          <w:rFonts w:ascii="Arial" w:hAnsi="Arial" w:cs="Arial" w:eastAsia="仿宋_GB2312;仿宋"/>
          <w:kern w:val="2"/>
          <w:sz w:val="28"/>
        </w:rPr>
        <w:t>年</w:t>
      </w:r>
      <w:r>
        <w:rPr>
          <w:rFonts w:eastAsia="仿宋_GB2312;仿宋" w:cs="Arial" w:ascii="Arial" w:hAnsi="Arial"/>
          <w:kern w:val="2"/>
          <w:sz w:val="28"/>
        </w:rPr>
        <w:t>11</w:t>
      </w:r>
      <w:r>
        <w:rPr>
          <w:rFonts w:ascii="Arial" w:hAnsi="Arial" w:cs="Arial" w:eastAsia="仿宋_GB2312;仿宋"/>
          <w:kern w:val="2"/>
          <w:sz w:val="28"/>
        </w:rPr>
        <w:t>月</w:t>
      </w:r>
      <w:r>
        <w:rPr>
          <w:rFonts w:eastAsia="仿宋_GB2312;仿宋" w:cs="Arial" w:ascii="Arial" w:hAnsi="Arial"/>
          <w:kern w:val="2"/>
          <w:sz w:val="28"/>
        </w:rPr>
        <w:t>18</w:t>
      </w:r>
      <w:r>
        <w:rPr>
          <w:rFonts w:ascii="Arial" w:hAnsi="Arial" w:cs="Arial" w:eastAsia="仿宋_GB2312;仿宋"/>
          <w:kern w:val="2"/>
          <w:sz w:val="28"/>
        </w:rPr>
        <w:t>日的土地使用权收购补偿价格为</w:t>
      </w:r>
      <w:r>
        <w:rPr>
          <w:rFonts w:ascii="Arial" w:hAnsi="Arial" w:cs="Arial" w:eastAsia="仿宋_GB2312;仿宋"/>
          <w:b/>
          <w:kern w:val="2"/>
          <w:sz w:val="28"/>
        </w:rPr>
        <w:t>人民币</w:t>
      </w:r>
      <w:r>
        <w:rPr>
          <w:rFonts w:eastAsia="仿宋_GB2312;仿宋" w:cs="Arial" w:ascii="Arial" w:hAnsi="Arial"/>
          <w:b/>
          <w:kern w:val="2"/>
          <w:sz w:val="28"/>
        </w:rPr>
        <w:t>9373.4213</w:t>
      </w:r>
      <w:r>
        <w:rPr>
          <w:rFonts w:ascii="Arial" w:hAnsi="Arial" w:cs="Arial" w:eastAsia="仿宋_GB2312;仿宋"/>
          <w:b/>
          <w:kern w:val="2"/>
          <w:sz w:val="28"/>
        </w:rPr>
        <w:t>万元，大写玖仟叁佰柒拾叁万肆仟贰佰壹拾叁元整</w:t>
      </w:r>
      <w:r>
        <w:rPr>
          <w:rFonts w:ascii="Arial" w:hAnsi="Arial" w:cs="Arial" w:eastAsia="仿宋_GB2312;仿宋"/>
          <w:kern w:val="2"/>
          <w:sz w:val="28"/>
        </w:rPr>
        <w:t>。</w:t>
      </w:r>
      <w:r>
        <w:rPr>
          <w:rFonts w:ascii="Arial" w:hAnsi="Arial" w:cs="Arial" w:eastAsia="仿宋_GB2312;仿宋"/>
          <w:sz w:val="28"/>
        </w:rPr>
        <w:t>估价结果明细如下：</w:t>
      </w:r>
    </w:p>
    <w:p>
      <w:pPr>
        <w:pStyle w:val="Normal"/>
        <w:spacing w:lineRule="auto" w:line="360"/>
        <w:ind w:firstLine="560"/>
        <w:jc w:val="both"/>
        <w:rPr>
          <w:rFonts w:ascii="Arial" w:hAnsi="Arial" w:eastAsia="仿宋_GB2312;仿宋" w:cs="Arial"/>
          <w:sz w:val="28"/>
          <w:szCs w:val="28"/>
        </w:rPr>
      </w:pPr>
      <w:r>
        <w:rPr>
          <w:rFonts w:ascii="Arial" w:hAnsi="Arial" w:cs="Arial" w:eastAsia="仿宋_GB2312;仿宋"/>
          <w:sz w:val="28"/>
          <w:szCs w:val="28"/>
        </w:rPr>
        <w:t>（转下页）</w:t>
      </w:r>
      <w:r>
        <w:br w:type="page"/>
      </w:r>
    </w:p>
    <w:p>
      <w:pPr>
        <w:pStyle w:val="Normal"/>
        <w:spacing w:lineRule="auto" w:line="360"/>
        <w:jc w:val="center"/>
        <w:rPr>
          <w:rFonts w:cs="Arial"/>
        </w:rPr>
      </w:pPr>
      <w:bookmarkStart w:id="8" w:name="__RefHeading___Toc469066135"/>
      <w:r>
        <w:rPr>
          <w:rFonts w:ascii="Arial" w:hAnsi="Arial" w:cs="Arial" w:eastAsia="仿宋_GB2312;仿宋"/>
          <w:b/>
          <w:bCs/>
          <w:sz w:val="28"/>
          <w:szCs w:val="28"/>
        </w:rPr>
        <w:t>收购补偿价格评估结果</w:t>
      </w:r>
    </w:p>
    <w:tbl>
      <w:tblPr>
        <w:tblW w:w="5000" w:type="pct"/>
        <w:jc w:val="center"/>
        <w:tblInd w:w="0" w:type="dxa"/>
        <w:tblCellMar>
          <w:top w:w="0" w:type="dxa"/>
          <w:left w:w="108" w:type="dxa"/>
          <w:bottom w:w="0" w:type="dxa"/>
          <w:right w:w="108" w:type="dxa"/>
        </w:tblCellMar>
      </w:tblPr>
      <w:tblGrid>
        <w:gridCol w:w="890"/>
        <w:gridCol w:w="3074"/>
        <w:gridCol w:w="2108"/>
        <w:gridCol w:w="3226"/>
      </w:tblGrid>
      <w:tr>
        <w:trPr>
          <w:trHeight w:val="454" w:hRule="atLeast"/>
        </w:trPr>
        <w:tc>
          <w:tcPr>
            <w:tcW w:w="890"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序号</w:t>
            </w:r>
          </w:p>
        </w:tc>
        <w:tc>
          <w:tcPr>
            <w:tcW w:w="3074"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项目</w:t>
            </w:r>
          </w:p>
        </w:tc>
        <w:tc>
          <w:tcPr>
            <w:tcW w:w="210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评估价格</w:t>
            </w:r>
          </w:p>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备注</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1</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土地使用权价格</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commentRangeStart w:id="2"/>
            <w:r>
              <w:rPr>
                <w:rFonts w:eastAsia="仿宋_GB2312;仿宋" w:cs="Arial" w:ascii="Arial" w:hAnsi="Arial"/>
                <w:sz w:val="28"/>
                <w:szCs w:val="28"/>
              </w:rPr>
              <w:t>9452.3358</w:t>
            </w:r>
            <w:commentRangeEnd w:id="2"/>
            <w:r>
              <w:commentReference w:id="2"/>
            </w:r>
            <w:r>
              <w:rPr>
                <w:rFonts w:eastAsia="仿宋_GB2312;仿宋" w:cs="Arial" w:ascii="Arial" w:hAnsi="Arial"/>
                <w:sz w:val="28"/>
                <w:szCs w:val="28"/>
              </w:rPr>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采用市场比较法、成本逼近法评估测算</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2</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建（构）筑物价格</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46.8404</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采用重置成本法测算</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3</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附属物（树木）价格</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11.5346</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采用重置成本法测算</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4</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无法恢复使用的设施设备补偿价</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0</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仿宋_GB2312;仿宋" w:hAnsi="仿宋_GB2312;仿宋" w:cs="仿宋_GB2312;仿宋" w:eastAsia="仿宋_GB2312;仿宋"/>
                <w:sz w:val="28"/>
                <w:szCs w:val="28"/>
              </w:rPr>
              <w:t>——</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5</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停产停业损失补偿费用</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0</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6</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搬迁、临时安置补偿费用</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3.3895</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参照《关于国有土地上房屋征收与补偿中有关事项的通知》</w:t>
            </w:r>
            <w:r>
              <w:rPr>
                <w:rFonts w:eastAsia="仿宋_GB2312;仿宋" w:cs="Arial" w:ascii="Arial" w:hAnsi="Arial"/>
                <w:sz w:val="28"/>
                <w:szCs w:val="28"/>
              </w:rPr>
              <w:t>[</w:t>
            </w:r>
            <w:r>
              <w:rPr>
                <w:rFonts w:ascii="Arial" w:hAnsi="Arial" w:cs="Arial" w:eastAsia="仿宋_GB2312;仿宋"/>
                <w:sz w:val="28"/>
                <w:szCs w:val="28"/>
              </w:rPr>
              <w:t>京建法（</w:t>
            </w:r>
            <w:r>
              <w:rPr>
                <w:rFonts w:eastAsia="仿宋_GB2312;仿宋" w:cs="Arial" w:ascii="Arial" w:hAnsi="Arial"/>
                <w:sz w:val="28"/>
                <w:szCs w:val="28"/>
              </w:rPr>
              <w:t>2012</w:t>
            </w:r>
            <w:r>
              <w:rPr>
                <w:rFonts w:ascii="Arial" w:hAnsi="Arial" w:cs="Arial" w:eastAsia="仿宋_GB2312;仿宋"/>
                <w:sz w:val="28"/>
                <w:szCs w:val="28"/>
              </w:rPr>
              <w:t>）</w:t>
            </w:r>
            <w:r>
              <w:rPr>
                <w:rFonts w:eastAsia="仿宋_GB2312;仿宋" w:cs="Arial" w:ascii="Arial" w:hAnsi="Arial"/>
                <w:sz w:val="28"/>
                <w:szCs w:val="28"/>
              </w:rPr>
              <w:t>19</w:t>
            </w:r>
            <w:r>
              <w:rPr>
                <w:rFonts w:ascii="Arial" w:hAnsi="Arial" w:cs="Arial" w:eastAsia="仿宋_GB2312;仿宋"/>
                <w:sz w:val="28"/>
                <w:szCs w:val="28"/>
              </w:rPr>
              <w:t>号</w:t>
            </w:r>
            <w:r>
              <w:rPr>
                <w:rFonts w:eastAsia="仿宋_GB2312;仿宋" w:cs="Arial" w:ascii="Arial" w:hAnsi="Arial"/>
                <w:sz w:val="28"/>
                <w:szCs w:val="28"/>
              </w:rPr>
              <w:t>]</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7</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土地收购补偿价格</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9373.4213</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eastAsia="仿宋_GB2312;仿宋" w:cs="Arial" w:ascii="Arial" w:hAnsi="Arial"/>
                <w:sz w:val="28"/>
                <w:szCs w:val="28"/>
              </w:rPr>
              <w:t>=1+2+3+4+5+6</w:t>
            </w:r>
          </w:p>
        </w:tc>
      </w:tr>
    </w:tbl>
    <w:p>
      <w:pPr>
        <w:pStyle w:val="Normal"/>
        <w:spacing w:lineRule="auto" w:line="360" w:before="120" w:after="0"/>
        <w:ind w:firstLine="700"/>
        <w:jc w:val="both"/>
        <w:rPr>
          <w:rFonts w:ascii="Arial" w:hAnsi="Arial" w:eastAsia="仿宋_GB2312;仿宋" w:cs="Arial"/>
          <w:sz w:val="28"/>
        </w:rPr>
      </w:pPr>
      <w:r>
        <w:rPr>
          <w:rFonts w:ascii="Arial" w:hAnsi="Arial" w:cs="Arial" w:eastAsia="仿宋_GB2312;仿宋"/>
          <w:kern w:val="2"/>
          <w:sz w:val="28"/>
        </w:rPr>
        <w:t>详见《土地估价结果一览表》</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注：其中土地使用权价格测算各方法权重的确定详见《土地估价技术报告》中</w:t>
      </w:r>
      <w:r>
        <w:rPr>
          <w:rFonts w:ascii="Arial" w:hAnsi="Arial" w:cs="Arial" w:eastAsia="仿宋_GB2312;仿宋"/>
          <w:sz w:val="28"/>
        </w:rPr>
        <w:t>估价方法估算</w:t>
      </w:r>
      <w:r>
        <w:rPr>
          <w:rFonts w:ascii="Arial" w:hAnsi="Arial" w:cs="Arial" w:eastAsia="仿宋_GB2312;仿宋"/>
          <w:sz w:val="28"/>
        </w:rPr>
        <w:t>过程一节。</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r>
      <w:r>
        <w:br w:type="page"/>
      </w:r>
    </w:p>
    <w:p>
      <w:pPr>
        <w:pStyle w:val="Normal"/>
        <w:spacing w:lineRule="auto" w:line="360"/>
        <w:jc w:val="both"/>
        <w:rPr>
          <w:rFonts w:cs="Arial"/>
        </w:rPr>
      </w:pPr>
      <w:bookmarkStart w:id="9" w:name="__RefHeading___Toc469066135"/>
      <w:r>
        <w:rPr>
          <w:rFonts w:ascii="Arial" w:hAnsi="Arial" w:cs="Arial" w:eastAsia="仿宋_GB2312;仿宋"/>
          <w:b/>
          <w:sz w:val="28"/>
        </w:rPr>
        <w:t>八、评估专业人员签字</w:t>
      </w:r>
      <w:bookmarkEnd w:id="9"/>
    </w:p>
    <w:tbl>
      <w:tblPr>
        <w:tblW w:w="9309" w:type="dxa"/>
        <w:jc w:val="center"/>
        <w:tblInd w:w="0" w:type="dxa"/>
        <w:tblCellMar>
          <w:top w:w="28" w:type="dxa"/>
          <w:left w:w="85" w:type="dxa"/>
          <w:bottom w:w="28" w:type="dxa"/>
          <w:right w:w="85" w:type="dxa"/>
        </w:tblCellMar>
      </w:tblPr>
      <w:tblGrid>
        <w:gridCol w:w="2603"/>
        <w:gridCol w:w="4031"/>
        <w:gridCol w:w="2675"/>
      </w:tblGrid>
      <w:tr>
        <w:trPr>
          <w:trHeight w:val="70" w:hRule="atLeast"/>
        </w:trPr>
        <w:tc>
          <w:tcPr>
            <w:tcW w:w="930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b/>
                <w:b/>
                <w:bCs/>
                <w:sz w:val="28"/>
                <w:szCs w:val="28"/>
              </w:rPr>
            </w:pPr>
            <w:r>
              <w:rPr>
                <w:rFonts w:ascii="Arial" w:hAnsi="Arial" w:cs="Arial" w:eastAsia="仿宋_GB2312;仿宋"/>
                <w:b/>
                <w:bCs/>
                <w:sz w:val="28"/>
                <w:szCs w:val="28"/>
              </w:rPr>
              <w:t>土地估价师</w:t>
            </w:r>
          </w:p>
        </w:tc>
      </w:tr>
      <w:tr>
        <w:trPr>
          <w:trHeight w:val="370" w:hRule="atLeast"/>
        </w:trPr>
        <w:tc>
          <w:tcPr>
            <w:tcW w:w="260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姓名</w:t>
            </w:r>
          </w:p>
        </w:tc>
        <w:tc>
          <w:tcPr>
            <w:tcW w:w="403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资格证号</w:t>
            </w:r>
          </w:p>
        </w:tc>
        <w:tc>
          <w:tcPr>
            <w:tcW w:w="26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签名</w:t>
            </w:r>
          </w:p>
        </w:tc>
      </w:tr>
      <w:tr>
        <w:trPr>
          <w:trHeight w:val="1134" w:hRule="exact"/>
        </w:trPr>
        <w:tc>
          <w:tcPr>
            <w:tcW w:w="260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赵</w:t>
            </w:r>
            <w:r>
              <w:rPr>
                <w:rFonts w:ascii="Arial" w:hAnsi="Arial" w:cs="Arial" w:eastAsia="Arial"/>
                <w:sz w:val="28"/>
                <w:szCs w:val="28"/>
              </w:rPr>
              <w:t xml:space="preserve"> </w:t>
            </w:r>
            <w:r>
              <w:rPr>
                <w:rFonts w:ascii="Arial" w:hAnsi="Arial" w:cs="Arial" w:eastAsia="仿宋_GB2312;仿宋"/>
                <w:sz w:val="28"/>
                <w:szCs w:val="28"/>
              </w:rPr>
              <w:t>雯</w:t>
            </w:r>
          </w:p>
        </w:tc>
        <w:tc>
          <w:tcPr>
            <w:tcW w:w="403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eastAsia="仿宋_GB2312;仿宋" w:cs="Arial" w:ascii="Arial" w:hAnsi="Arial"/>
                <w:sz w:val="28"/>
                <w:szCs w:val="28"/>
              </w:rPr>
              <w:t>2011110090</w:t>
            </w:r>
          </w:p>
        </w:tc>
        <w:tc>
          <w:tcPr>
            <w:tcW w:w="26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　</w:t>
            </w:r>
          </w:p>
        </w:tc>
      </w:tr>
      <w:tr>
        <w:trPr>
          <w:trHeight w:val="1134" w:hRule="exact"/>
        </w:trPr>
        <w:tc>
          <w:tcPr>
            <w:tcW w:w="260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叶</w:t>
            </w:r>
            <w:r>
              <w:rPr>
                <w:rFonts w:ascii="Arial" w:hAnsi="Arial" w:cs="Arial" w:eastAsia="Arial"/>
                <w:sz w:val="28"/>
                <w:szCs w:val="28"/>
              </w:rPr>
              <w:t xml:space="preserve"> </w:t>
            </w:r>
            <w:r>
              <w:rPr>
                <w:rFonts w:ascii="Arial" w:hAnsi="Arial" w:cs="Arial" w:eastAsia="仿宋_GB2312;仿宋"/>
                <w:sz w:val="28"/>
                <w:szCs w:val="28"/>
              </w:rPr>
              <w:t>凌</w:t>
            </w:r>
          </w:p>
        </w:tc>
        <w:tc>
          <w:tcPr>
            <w:tcW w:w="403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eastAsia="仿宋_GB2312;仿宋" w:cs="Arial" w:ascii="Arial" w:hAnsi="Arial"/>
                <w:sz w:val="28"/>
                <w:szCs w:val="28"/>
              </w:rPr>
              <w:t>94010078</w:t>
            </w:r>
          </w:p>
        </w:tc>
        <w:tc>
          <w:tcPr>
            <w:tcW w:w="26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　</w:t>
            </w:r>
          </w:p>
        </w:tc>
      </w:tr>
      <w:tr>
        <w:trPr>
          <w:trHeight w:val="194" w:hRule="atLeast"/>
        </w:trPr>
        <w:tc>
          <w:tcPr>
            <w:tcW w:w="930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both"/>
              <w:textAlignment w:val="auto"/>
              <w:rPr>
                <w:rFonts w:eastAsia="仿宋_GB2312;仿宋"/>
              </w:rPr>
            </w:pPr>
            <w:r>
              <w:rPr>
                <w:rFonts w:ascii="Arial" w:hAnsi="Arial" w:cs="Arial" w:eastAsia="仿宋_GB2312;仿宋"/>
                <w:b/>
                <w:bCs/>
                <w:sz w:val="28"/>
                <w:szCs w:val="28"/>
              </w:rPr>
              <w:t>其他评估专业人员</w:t>
            </w:r>
            <w:r>
              <w:rPr>
                <w:rFonts w:ascii="Arial" w:hAnsi="Arial" w:cs="Arial" w:eastAsia="Arial"/>
                <w:b/>
                <w:bCs/>
                <w:sz w:val="28"/>
                <w:szCs w:val="28"/>
              </w:rPr>
              <w:t xml:space="preserve"> </w:t>
            </w:r>
          </w:p>
        </w:tc>
      </w:tr>
      <w:tr>
        <w:trPr>
          <w:trHeight w:val="119" w:hRule="atLeast"/>
        </w:trPr>
        <w:tc>
          <w:tcPr>
            <w:tcW w:w="260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姓名</w:t>
            </w:r>
          </w:p>
        </w:tc>
        <w:tc>
          <w:tcPr>
            <w:tcW w:w="403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相关资格或职称</w:t>
            </w:r>
          </w:p>
        </w:tc>
        <w:tc>
          <w:tcPr>
            <w:tcW w:w="26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签名</w:t>
            </w:r>
          </w:p>
        </w:tc>
      </w:tr>
      <w:tr>
        <w:trPr>
          <w:trHeight w:val="1134" w:hRule="exact"/>
        </w:trPr>
        <w:tc>
          <w:tcPr>
            <w:tcW w:w="260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常</w:t>
            </w:r>
            <w:r>
              <w:rPr>
                <w:rFonts w:ascii="Arial" w:hAnsi="Arial" w:cs="Arial" w:eastAsia="Arial"/>
                <w:sz w:val="28"/>
                <w:szCs w:val="28"/>
              </w:rPr>
              <w:t xml:space="preserve"> </w:t>
            </w:r>
            <w:r>
              <w:rPr>
                <w:rFonts w:ascii="Arial" w:hAnsi="Arial" w:cs="Arial" w:eastAsia="仿宋_GB2312;仿宋"/>
                <w:sz w:val="28"/>
                <w:szCs w:val="28"/>
              </w:rPr>
              <w:t>畅</w:t>
            </w:r>
          </w:p>
        </w:tc>
        <w:tc>
          <w:tcPr>
            <w:tcW w:w="403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w:t>
            </w:r>
          </w:p>
        </w:tc>
        <w:tc>
          <w:tcPr>
            <w:tcW w:w="26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　</w:t>
            </w:r>
          </w:p>
        </w:tc>
      </w:tr>
    </w:tbl>
    <w:p>
      <w:pPr>
        <w:pStyle w:val="Normal"/>
        <w:spacing w:lineRule="auto" w:line="360"/>
        <w:rPr>
          <w:rFonts w:ascii="Arial" w:hAnsi="Arial" w:eastAsia="仿宋_GB2312;仿宋" w:cs="Arial"/>
          <w:sz w:val="28"/>
        </w:rPr>
      </w:pPr>
      <w:r>
        <w:rPr>
          <w:rFonts w:eastAsia="仿宋_GB2312;仿宋" w:cs="Arial" w:ascii="Arial" w:hAnsi="Arial"/>
          <w:sz w:val="28"/>
        </w:rPr>
      </w:r>
    </w:p>
    <w:p>
      <w:pPr>
        <w:pStyle w:val="Normal"/>
        <w:numPr>
          <w:ilvl w:val="0"/>
          <w:numId w:val="0"/>
        </w:numPr>
        <w:spacing w:lineRule="auto" w:line="360"/>
        <w:outlineLvl w:val="1"/>
        <w:rPr>
          <w:rFonts w:ascii="Arial" w:hAnsi="Arial" w:eastAsia="仿宋_GB2312;仿宋" w:cs="Arial"/>
          <w:b/>
          <w:b/>
          <w:sz w:val="28"/>
        </w:rPr>
      </w:pPr>
      <w:bookmarkStart w:id="10" w:name="__RefHeading___Toc469066136"/>
      <w:r>
        <w:rPr>
          <w:rFonts w:ascii="Arial" w:hAnsi="Arial" w:cs="Arial" w:eastAsia="仿宋_GB2312;仿宋"/>
          <w:b/>
          <w:sz w:val="28"/>
        </w:rPr>
        <w:t>九、</w:t>
      </w:r>
      <w:bookmarkEnd w:id="10"/>
      <w:r>
        <w:rPr>
          <w:rFonts w:ascii="Arial" w:hAnsi="Arial" w:cs="Arial" w:eastAsia="仿宋_GB2312;仿宋"/>
          <w:b/>
          <w:sz w:val="28"/>
        </w:rPr>
        <w:t>受托单位</w:t>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spacing w:lineRule="auto" w:line="360"/>
        <w:rPr>
          <w:rFonts w:eastAsia="仿宋_GB2312;仿宋"/>
        </w:rPr>
      </w:pPr>
      <w:r>
        <w:rPr>
          <w:rFonts w:ascii="Arial" w:hAnsi="Arial" w:cs="Arial" w:eastAsia="Arial"/>
          <w:sz w:val="28"/>
        </w:rPr>
        <w:t xml:space="preserve"> </w:t>
      </w:r>
    </w:p>
    <w:p>
      <w:pPr>
        <w:pStyle w:val="Normal"/>
        <w:spacing w:lineRule="auto" w:line="360"/>
        <w:rPr>
          <w:rFonts w:cs="Arial"/>
        </w:rPr>
      </w:pPr>
      <w:r>
        <w:rPr>
          <w:rFonts w:ascii="Arial" w:hAnsi="Arial" w:cs="Arial" w:eastAsia="仿宋_GB2312;仿宋"/>
          <w:sz w:val="28"/>
        </w:rPr>
        <w:t xml:space="preserve">                              </w:t>
      </w:r>
    </w:p>
    <w:tbl>
      <w:tblPr>
        <w:tblW w:w="4445" w:type="dxa"/>
        <w:jc w:val="right"/>
        <w:tblInd w:w="0" w:type="dxa"/>
        <w:tblCellMar>
          <w:top w:w="28" w:type="dxa"/>
          <w:left w:w="85" w:type="dxa"/>
          <w:bottom w:w="28" w:type="dxa"/>
          <w:right w:w="85" w:type="dxa"/>
        </w:tblCellMar>
      </w:tblPr>
      <w:tblGrid>
        <w:gridCol w:w="4445"/>
      </w:tblGrid>
      <w:tr>
        <w:trPr/>
        <w:tc>
          <w:tcPr>
            <w:tcW w:w="4445" w:type="dxa"/>
            <w:tcBorders/>
            <w:shd w:fill="auto" w:val="clear"/>
          </w:tcPr>
          <w:p>
            <w:pPr>
              <w:pStyle w:val="Normal"/>
              <w:spacing w:lineRule="auto" w:line="360"/>
              <w:rPr>
                <w:rFonts w:ascii="Arial" w:hAnsi="Arial" w:eastAsia="仿宋_GB2312;仿宋" w:cs="Arial"/>
                <w:sz w:val="28"/>
                <w:szCs w:val="21"/>
              </w:rPr>
            </w:pPr>
            <w:r>
              <w:rPr>
                <w:rFonts w:ascii="Arial" w:hAnsi="Arial" w:cs="Arial" w:eastAsia="仿宋_GB2312;仿宋"/>
                <w:sz w:val="28"/>
                <w:szCs w:val="21"/>
              </w:rPr>
              <w:t>北京康正宏基房地产评估有限公司</w:t>
            </w:r>
          </w:p>
        </w:tc>
      </w:tr>
      <w:tr>
        <w:trPr>
          <w:trHeight w:val="1431" w:hRule="atLeast"/>
        </w:trPr>
        <w:tc>
          <w:tcPr>
            <w:tcW w:w="4445" w:type="dxa"/>
            <w:tcBorders/>
            <w:shd w:fill="auto" w:val="clear"/>
          </w:tcPr>
          <w:p>
            <w:pPr>
              <w:pStyle w:val="Normal"/>
              <w:spacing w:lineRule="auto" w:line="480"/>
              <w:rPr>
                <w:rFonts w:ascii="Arial" w:hAnsi="Arial" w:eastAsia="仿宋_GB2312;仿宋" w:cs="Arial"/>
                <w:sz w:val="28"/>
                <w:szCs w:val="21"/>
              </w:rPr>
            </w:pPr>
            <w:r>
              <w:rPr>
                <w:rFonts w:ascii="Arial" w:hAnsi="Arial" w:cs="Arial" w:eastAsia="仿宋_GB2312;仿宋"/>
                <w:sz w:val="28"/>
                <w:szCs w:val="21"/>
              </w:rPr>
              <w:t>法定代表人：</w:t>
            </w:r>
          </w:p>
        </w:tc>
      </w:tr>
      <w:tr>
        <w:trPr>
          <w:cantSplit w:val="true"/>
        </w:trPr>
        <w:tc>
          <w:tcPr>
            <w:tcW w:w="4445" w:type="dxa"/>
            <w:tcBorders/>
            <w:shd w:fill="auto" w:val="clear"/>
          </w:tcPr>
          <w:p>
            <w:pPr>
              <w:pStyle w:val="Normal"/>
              <w:spacing w:lineRule="auto" w:line="240"/>
              <w:jc w:val="right"/>
              <w:rPr>
                <w:rFonts w:ascii="Arial" w:hAnsi="Arial" w:eastAsia="仿宋_GB2312;仿宋" w:cs="Arial"/>
                <w:sz w:val="28"/>
                <w:szCs w:val="21"/>
              </w:rPr>
            </w:pPr>
            <w:r>
              <w:rPr>
                <w:rFonts w:ascii="Arial" w:hAnsi="Arial" w:cs="Arial" w:eastAsia="仿宋_GB2312;仿宋"/>
                <w:sz w:val="28"/>
                <w:szCs w:val="21"/>
              </w:rPr>
              <w:t>二〇二四年五月三十日</w:t>
            </w:r>
          </w:p>
        </w:tc>
      </w:tr>
    </w:tbl>
    <w:p>
      <w:pPr>
        <w:pStyle w:val="Normal"/>
        <w:spacing w:lineRule="auto" w:line="360"/>
        <w:rPr>
          <w:rFonts w:ascii="Arial" w:hAnsi="Arial" w:eastAsia="仿宋_GB2312;仿宋" w:cs="Arial"/>
          <w:sz w:val="28"/>
        </w:rPr>
      </w:pPr>
      <w:r>
        <w:rPr>
          <w:rFonts w:eastAsia="仿宋_GB2312;仿宋" w:cs="Arial" w:ascii="Arial" w:hAnsi="Arial"/>
          <w:sz w:val="28"/>
        </w:rPr>
      </w:r>
    </w:p>
    <w:p>
      <w:pPr>
        <w:sectPr>
          <w:headerReference w:type="default" r:id="rId10"/>
          <w:headerReference w:type="first" r:id="rId11"/>
          <w:footerReference w:type="default" r:id="rId12"/>
          <w:footerReference w:type="first" r:id="rId13"/>
          <w:type w:val="nextPage"/>
          <w:pgSz w:w="11906" w:h="16838"/>
          <w:pgMar w:left="1474" w:right="1134" w:header="1134" w:top="1843" w:footer="907" w:bottom="1134" w:gutter="0"/>
          <w:pgNumType w:start="1" w:fmt="decimal"/>
          <w:formProt w:val="false"/>
          <w:titlePg/>
          <w:textDirection w:val="lrTb"/>
          <w:docGrid w:type="default" w:linePitch="326" w:charSpace="0"/>
        </w:sectPr>
        <w:pStyle w:val="Normal"/>
        <w:spacing w:lineRule="auto" w:line="360"/>
        <w:ind w:firstLine="4480"/>
        <w:jc w:val="right"/>
        <w:rPr>
          <w:rFonts w:ascii="Arial" w:hAnsi="Arial" w:eastAsia="仿宋_GB2312;仿宋" w:cs="Arial"/>
          <w:sz w:val="28"/>
        </w:rPr>
      </w:pPr>
      <w:r>
        <w:rPr>
          <w:rFonts w:eastAsia="仿宋_GB2312;仿宋" w:cs="Arial" w:ascii="Arial" w:hAnsi="Arial"/>
          <w:sz w:val="28"/>
        </w:rPr>
      </w:r>
    </w:p>
    <w:p>
      <w:pPr>
        <w:pStyle w:val="Normal"/>
        <w:numPr>
          <w:ilvl w:val="0"/>
          <w:numId w:val="0"/>
        </w:numPr>
        <w:spacing w:lineRule="auto" w:line="240"/>
        <w:outlineLvl w:val="1"/>
        <w:rPr/>
      </w:pPr>
      <w:bookmarkStart w:id="11" w:name="__RefHeading___Toc469066137"/>
      <w:bookmarkEnd w:id="11"/>
      <w:r>
        <w:rPr>
          <w:rFonts w:ascii="Arial" w:hAnsi="Arial" w:cs="Arial" w:eastAsia="仿宋_GB2312;仿宋"/>
          <w:bCs/>
          <w:sz w:val="28"/>
        </w:rPr>
        <w:t>附</w:t>
      </w:r>
      <w:r>
        <w:rPr>
          <w:rFonts w:ascii="Arial" w:hAnsi="Arial" w:cs="Arial" w:eastAsia="Arial"/>
          <w:b/>
          <w:sz w:val="28"/>
        </w:rPr>
        <w:t xml:space="preserve">                                           </w:t>
      </w:r>
      <w:r>
        <w:rPr>
          <w:rFonts w:ascii="Arial" w:hAnsi="Arial" w:cs="Arial" w:eastAsia="仿宋_GB2312;仿宋"/>
          <w:b/>
          <w:sz w:val="28"/>
        </w:rPr>
        <w:t>估价结果一览表</w:t>
      </w:r>
    </w:p>
    <w:p>
      <w:pPr>
        <w:pStyle w:val="Normal"/>
        <w:spacing w:lineRule="auto" w:line="240"/>
        <w:rPr>
          <w:rFonts w:cs="Arial"/>
        </w:rPr>
      </w:pPr>
      <w:r>
        <w:rPr>
          <w:rFonts w:ascii="Arial" w:hAnsi="Arial" w:cs="Arial" w:eastAsia="仿宋_GB2312;仿宋"/>
          <w:bCs/>
          <w:sz w:val="18"/>
        </w:rPr>
        <w:t>受托单位：北京康正宏基房地产评估有限公司   估价报告编号：康正评字</w:t>
      </w:r>
      <w:r>
        <w:rPr>
          <w:rFonts w:eastAsia="仿宋_GB2312;仿宋" w:cs="Arial" w:ascii="Arial" w:hAnsi="Arial"/>
          <w:bCs/>
          <w:sz w:val="18"/>
        </w:rPr>
        <w:t>2022-1-0543-F02SGCB6</w:t>
      </w:r>
      <w:r>
        <w:rPr>
          <w:rFonts w:ascii="Arial" w:hAnsi="Arial" w:cs="Arial" w:eastAsia="仿宋_GB2312;仿宋"/>
          <w:bCs/>
          <w:sz w:val="18"/>
        </w:rPr>
        <w:t>号   估价期日：</w:t>
      </w:r>
      <w:r>
        <w:rPr>
          <w:rFonts w:eastAsia="仿宋_GB2312;仿宋" w:cs="Arial" w:ascii="Arial" w:hAnsi="Arial"/>
          <w:bCs/>
          <w:sz w:val="18"/>
        </w:rPr>
        <w:t>2023</w:t>
      </w:r>
      <w:r>
        <w:rPr>
          <w:rFonts w:ascii="Arial" w:hAnsi="Arial" w:cs="Arial" w:eastAsia="仿宋_GB2312;仿宋"/>
          <w:bCs/>
          <w:sz w:val="18"/>
        </w:rPr>
        <w:t>年</w:t>
      </w:r>
      <w:r>
        <w:rPr>
          <w:rFonts w:eastAsia="仿宋_GB2312;仿宋" w:cs="Arial" w:ascii="Arial" w:hAnsi="Arial"/>
          <w:bCs/>
          <w:sz w:val="18"/>
        </w:rPr>
        <w:t>11</w:t>
      </w:r>
      <w:r>
        <w:rPr>
          <w:rFonts w:ascii="Arial" w:hAnsi="Arial" w:cs="Arial" w:eastAsia="仿宋_GB2312;仿宋"/>
          <w:bCs/>
          <w:sz w:val="18"/>
        </w:rPr>
        <w:t>月</w:t>
      </w:r>
      <w:r>
        <w:rPr>
          <w:rFonts w:eastAsia="仿宋_GB2312;仿宋" w:cs="Arial" w:ascii="Arial" w:hAnsi="Arial"/>
          <w:bCs/>
          <w:sz w:val="18"/>
        </w:rPr>
        <w:t>18</w:t>
      </w:r>
      <w:r>
        <w:rPr>
          <w:rFonts w:ascii="Arial" w:hAnsi="Arial" w:cs="Arial" w:eastAsia="仿宋_GB2312;仿宋"/>
          <w:bCs/>
          <w:sz w:val="18"/>
        </w:rPr>
        <w:t>日   估价期日的国有建设用地使用权性质：划拨</w:t>
      </w:r>
    </w:p>
    <w:tbl>
      <w:tblPr>
        <w:tblW w:w="14479" w:type="dxa"/>
        <w:jc w:val="left"/>
        <w:tblInd w:w="0" w:type="dxa"/>
        <w:tblCellMar>
          <w:top w:w="0" w:type="dxa"/>
          <w:left w:w="108" w:type="dxa"/>
          <w:bottom w:w="0" w:type="dxa"/>
          <w:right w:w="108" w:type="dxa"/>
        </w:tblCellMar>
      </w:tblPr>
      <w:tblGrid>
        <w:gridCol w:w="709"/>
        <w:gridCol w:w="567"/>
        <w:gridCol w:w="709"/>
        <w:gridCol w:w="567"/>
        <w:gridCol w:w="425"/>
        <w:gridCol w:w="425"/>
        <w:gridCol w:w="426"/>
        <w:gridCol w:w="425"/>
        <w:gridCol w:w="567"/>
        <w:gridCol w:w="425"/>
        <w:gridCol w:w="1843"/>
        <w:gridCol w:w="1843"/>
        <w:gridCol w:w="1275"/>
        <w:gridCol w:w="993"/>
        <w:gridCol w:w="1275"/>
        <w:gridCol w:w="2005"/>
      </w:tblGrid>
      <w:tr>
        <w:trPr>
          <w:trHeight w:val="255" w:hRule="atLeast"/>
        </w:trPr>
        <w:tc>
          <w:tcPr>
            <w:tcW w:w="709" w:type="dxa"/>
            <w:vMerge w:val="restart"/>
            <w:tcBorders>
              <w:top w:val="single" w:sz="8" w:space="0" w:color="000000"/>
              <w:left w:val="single" w:sz="8" w:space="0" w:color="000000"/>
              <w:bottom w:val="single" w:sz="6" w:space="0" w:color="000000"/>
            </w:tcBorders>
            <w:shd w:fill="auto" w:val="clear"/>
            <w:vAlign w:val="center"/>
          </w:tcPr>
          <w:p>
            <w:pPr>
              <w:pStyle w:val="Normal"/>
              <w:spacing w:lineRule="auto" w:line="240"/>
              <w:jc w:val="center"/>
              <w:rPr/>
            </w:pPr>
            <w:r>
              <w:rPr>
                <w:rFonts w:ascii="Arial" w:hAnsi="Arial" w:cs="Arial" w:eastAsia="仿宋_GB2312;仿宋"/>
                <w:sz w:val="18"/>
                <w:szCs w:val="18"/>
              </w:rPr>
              <w:t>估价期日的土地使用者</w:t>
            </w:r>
          </w:p>
        </w:tc>
        <w:tc>
          <w:tcPr>
            <w:tcW w:w="567" w:type="dxa"/>
            <w:vMerge w:val="restart"/>
            <w:tcBorders>
              <w:top w:val="single" w:sz="8"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宗地编号</w:t>
            </w:r>
          </w:p>
        </w:tc>
        <w:tc>
          <w:tcPr>
            <w:tcW w:w="709" w:type="dxa"/>
            <w:vMerge w:val="restart"/>
            <w:tcBorders>
              <w:top w:val="single" w:sz="8"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宗地名称</w:t>
            </w:r>
          </w:p>
        </w:tc>
        <w:tc>
          <w:tcPr>
            <w:tcW w:w="567" w:type="dxa"/>
            <w:vMerge w:val="restart"/>
            <w:tcBorders>
              <w:top w:val="single" w:sz="8"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土地使用证编号</w:t>
            </w:r>
          </w:p>
        </w:tc>
        <w:tc>
          <w:tcPr>
            <w:tcW w:w="1276" w:type="dxa"/>
            <w:gridSpan w:val="3"/>
            <w:tcBorders>
              <w:top w:val="single" w:sz="8" w:space="0" w:color="000000"/>
              <w:left w:val="single" w:sz="6" w:space="0" w:color="000000"/>
              <w:bottom w:val="single" w:sz="6" w:space="0" w:color="000000"/>
            </w:tcBorders>
            <w:shd w:fill="auto" w:val="clear"/>
            <w:vAlign w:val="center"/>
          </w:tcPr>
          <w:p>
            <w:pPr>
              <w:pStyle w:val="Normal"/>
              <w:widowControl/>
              <w:spacing w:lineRule="auto" w:line="240"/>
              <w:jc w:val="center"/>
              <w:rPr/>
            </w:pPr>
            <w:r>
              <w:rPr>
                <w:rFonts w:ascii="Arial" w:hAnsi="Arial" w:cs="Arial" w:eastAsia="仿宋_GB2312;仿宋"/>
                <w:sz w:val="18"/>
                <w:szCs w:val="18"/>
              </w:rPr>
              <w:t>估价期日的用途</w:t>
            </w:r>
          </w:p>
        </w:tc>
        <w:tc>
          <w:tcPr>
            <w:tcW w:w="1417" w:type="dxa"/>
            <w:gridSpan w:val="3"/>
            <w:tcBorders>
              <w:top w:val="single" w:sz="8"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容积率</w:t>
            </w:r>
          </w:p>
        </w:tc>
        <w:tc>
          <w:tcPr>
            <w:tcW w:w="1843" w:type="dxa"/>
            <w:vMerge w:val="restart"/>
            <w:tcBorders>
              <w:top w:val="single" w:sz="8" w:space="0" w:color="000000"/>
              <w:left w:val="single" w:sz="6" w:space="0" w:color="000000"/>
              <w:bottom w:val="single" w:sz="6" w:space="0" w:color="000000"/>
            </w:tcBorders>
            <w:shd w:fill="auto" w:val="clear"/>
            <w:vAlign w:val="center"/>
          </w:tcPr>
          <w:p>
            <w:pPr>
              <w:pStyle w:val="Normal"/>
              <w:spacing w:lineRule="auto" w:line="240"/>
              <w:jc w:val="center"/>
              <w:rPr/>
            </w:pPr>
            <w:r>
              <w:rPr>
                <w:rFonts w:ascii="Arial" w:hAnsi="Arial" w:cs="Arial" w:eastAsia="仿宋_GB2312;仿宋"/>
                <w:sz w:val="18"/>
                <w:szCs w:val="18"/>
              </w:rPr>
              <w:t>估价期日实际土地开发程度</w:t>
            </w:r>
          </w:p>
        </w:tc>
        <w:tc>
          <w:tcPr>
            <w:tcW w:w="1843" w:type="dxa"/>
            <w:vMerge w:val="restart"/>
            <w:tcBorders>
              <w:top w:val="single" w:sz="8" w:space="0" w:color="000000"/>
              <w:left w:val="single" w:sz="6" w:space="0" w:color="000000"/>
              <w:bottom w:val="single" w:sz="6" w:space="0" w:color="000000"/>
            </w:tcBorders>
            <w:shd w:fill="auto" w:val="clear"/>
            <w:vAlign w:val="center"/>
          </w:tcPr>
          <w:p>
            <w:pPr>
              <w:pStyle w:val="Normal"/>
              <w:spacing w:lineRule="auto" w:line="240"/>
              <w:jc w:val="center"/>
              <w:rPr/>
            </w:pPr>
            <w:r>
              <w:rPr>
                <w:rFonts w:ascii="Arial" w:hAnsi="Arial" w:cs="Arial" w:eastAsia="仿宋_GB2312;仿宋"/>
                <w:sz w:val="18"/>
                <w:szCs w:val="18"/>
              </w:rPr>
              <w:t>估价设定土地开发程度</w:t>
            </w:r>
          </w:p>
        </w:tc>
        <w:tc>
          <w:tcPr>
            <w:tcW w:w="1275" w:type="dxa"/>
            <w:vMerge w:val="restart"/>
            <w:tcBorders>
              <w:top w:val="single" w:sz="8" w:space="0" w:color="000000"/>
              <w:left w:val="single" w:sz="6" w:space="0" w:color="000000"/>
              <w:bottom w:val="single" w:sz="6" w:space="0" w:color="000000"/>
            </w:tcBorders>
            <w:shd w:fill="auto" w:val="clear"/>
            <w:vAlign w:val="center"/>
          </w:tcPr>
          <w:p>
            <w:pPr>
              <w:pStyle w:val="Normal"/>
              <w:spacing w:lineRule="auto" w:line="240"/>
              <w:jc w:val="center"/>
              <w:rPr/>
            </w:pPr>
            <w:r>
              <w:rPr>
                <w:rFonts w:ascii="Arial" w:hAnsi="Arial" w:cs="Arial" w:eastAsia="仿宋_GB2312;仿宋"/>
                <w:sz w:val="18"/>
                <w:szCs w:val="18"/>
              </w:rPr>
              <w:t>土地补偿面积或房屋建筑面积（</w:t>
            </w:r>
            <w:r>
              <w:rPr>
                <w:rFonts w:ascii="Arial" w:hAnsi="Arial" w:cs="Arial"/>
                <w:sz w:val="18"/>
                <w:szCs w:val="18"/>
              </w:rPr>
              <w:t>㎡</w:t>
            </w:r>
            <w:r>
              <w:rPr>
                <w:rFonts w:ascii="Arial" w:hAnsi="Arial" w:cs="Arial" w:eastAsia="仿宋_GB2312;仿宋"/>
                <w:sz w:val="18"/>
                <w:szCs w:val="18"/>
              </w:rPr>
              <w:t>）</w:t>
            </w:r>
          </w:p>
        </w:tc>
        <w:tc>
          <w:tcPr>
            <w:tcW w:w="993" w:type="dxa"/>
            <w:vMerge w:val="restart"/>
            <w:tcBorders>
              <w:top w:val="single" w:sz="8"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土地单位面积地价</w:t>
            </w:r>
          </w:p>
          <w:p>
            <w:pPr>
              <w:pStyle w:val="Normal"/>
              <w:spacing w:lineRule="auto" w:line="240"/>
              <w:jc w:val="center"/>
              <w:rPr/>
            </w:pPr>
            <w:r>
              <w:rPr>
                <w:rFonts w:ascii="Arial" w:hAnsi="Arial" w:cs="Arial" w:eastAsia="仿宋_GB2312;仿宋"/>
                <w:sz w:val="18"/>
                <w:szCs w:val="18"/>
              </w:rPr>
              <w:t>（元</w:t>
            </w:r>
            <w:r>
              <w:rPr>
                <w:rFonts w:eastAsia="仿宋_GB2312;仿宋" w:cs="Arial" w:ascii="Arial" w:hAnsi="Arial"/>
                <w:sz w:val="18"/>
                <w:szCs w:val="18"/>
              </w:rPr>
              <w:t>/</w:t>
            </w:r>
            <w:r>
              <w:rPr>
                <w:rFonts w:ascii="Arial" w:hAnsi="Arial" w:cs="Arial"/>
                <w:sz w:val="18"/>
                <w:szCs w:val="18"/>
              </w:rPr>
              <w:t>㎡</w:t>
            </w:r>
            <w:r>
              <w:rPr>
                <w:rFonts w:ascii="Arial" w:hAnsi="Arial" w:cs="Arial" w:eastAsia="仿宋_GB2312;仿宋"/>
                <w:sz w:val="18"/>
                <w:szCs w:val="18"/>
              </w:rPr>
              <w:t>）</w:t>
            </w:r>
          </w:p>
        </w:tc>
        <w:tc>
          <w:tcPr>
            <w:tcW w:w="1275" w:type="dxa"/>
            <w:vMerge w:val="restart"/>
            <w:tcBorders>
              <w:top w:val="single" w:sz="8" w:space="0" w:color="000000"/>
              <w:left w:val="single" w:sz="6" w:space="0" w:color="000000"/>
              <w:bottom w:val="single" w:sz="6" w:space="0" w:color="000000"/>
            </w:tcBorders>
            <w:shd w:fill="auto" w:val="clear"/>
            <w:vAlign w:val="center"/>
          </w:tcPr>
          <w:p>
            <w:pPr>
              <w:pStyle w:val="Normal"/>
              <w:spacing w:lineRule="auto" w:line="240"/>
              <w:jc w:val="center"/>
              <w:rPr/>
            </w:pPr>
            <w:r>
              <w:rPr>
                <w:rFonts w:ascii="Arial" w:hAnsi="Arial" w:cs="Arial" w:eastAsia="仿宋_GB2312;仿宋"/>
                <w:sz w:val="18"/>
                <w:szCs w:val="18"/>
              </w:rPr>
              <w:t>评估价格（万元）</w:t>
            </w:r>
          </w:p>
        </w:tc>
        <w:tc>
          <w:tcPr>
            <w:tcW w:w="2005" w:type="dxa"/>
            <w:vMerge w:val="restart"/>
            <w:tcBorders>
              <w:top w:val="single" w:sz="8" w:space="0" w:color="000000"/>
              <w:left w:val="single" w:sz="6" w:space="0" w:color="000000"/>
              <w:bottom w:val="single" w:sz="6" w:space="0" w:color="000000"/>
              <w:right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备注</w:t>
            </w:r>
          </w:p>
        </w:tc>
      </w:tr>
      <w:tr>
        <w:trPr>
          <w:trHeight w:val="814" w:hRule="atLeast"/>
        </w:trPr>
        <w:tc>
          <w:tcPr>
            <w:tcW w:w="709" w:type="dxa"/>
            <w:vMerge w:val="continue"/>
            <w:tcBorders>
              <w:top w:val="single" w:sz="8" w:space="0" w:color="000000"/>
              <w:left w:val="single" w:sz="8"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8"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709" w:type="dxa"/>
            <w:vMerge w:val="continue"/>
            <w:tcBorders>
              <w:top w:val="single" w:sz="8"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8"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证载</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实际</w:t>
            </w:r>
          </w:p>
        </w:tc>
        <w:tc>
          <w:tcPr>
            <w:tcW w:w="426"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设定</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规划</w:t>
            </w:r>
          </w:p>
        </w:tc>
        <w:tc>
          <w:tcPr>
            <w:tcW w:w="567"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实际</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设定</w:t>
            </w:r>
          </w:p>
        </w:tc>
        <w:tc>
          <w:tcPr>
            <w:tcW w:w="1843" w:type="dxa"/>
            <w:vMerge w:val="continue"/>
            <w:tcBorders>
              <w:top w:val="single" w:sz="8"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1843" w:type="dxa"/>
            <w:vMerge w:val="continue"/>
            <w:tcBorders>
              <w:top w:val="single" w:sz="8"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1275" w:type="dxa"/>
            <w:vMerge w:val="continue"/>
            <w:tcBorders>
              <w:top w:val="single" w:sz="8"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993" w:type="dxa"/>
            <w:vMerge w:val="continue"/>
            <w:tcBorders>
              <w:top w:val="single" w:sz="8"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1275" w:type="dxa"/>
            <w:vMerge w:val="continue"/>
            <w:tcBorders>
              <w:top w:val="single" w:sz="8"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2005" w:type="dxa"/>
            <w:vMerge w:val="continue"/>
            <w:tcBorders>
              <w:top w:val="single" w:sz="8" w:space="0" w:color="000000"/>
              <w:left w:val="single" w:sz="6" w:space="0" w:color="000000"/>
              <w:bottom w:val="single" w:sz="6" w:space="0" w:color="000000"/>
              <w:right w:val="single" w:sz="8"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r>
      <w:tr>
        <w:trPr>
          <w:trHeight w:val="255" w:hRule="atLeast"/>
        </w:trPr>
        <w:tc>
          <w:tcPr>
            <w:tcW w:w="709" w:type="dxa"/>
            <w:vMerge w:val="restart"/>
            <w:tcBorders>
              <w:top w:val="single" w:sz="6" w:space="0" w:color="000000"/>
              <w:left w:val="single" w:sz="8"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北京双合盛五星啤酒有限公司（原北京双合盛五星啤酒集团公司）</w:t>
            </w:r>
          </w:p>
        </w:tc>
        <w:tc>
          <w:tcPr>
            <w:tcW w:w="567" w:type="dxa"/>
            <w:vMerge w:val="restart"/>
            <w:tcBorders>
              <w:top w:val="single" w:sz="6" w:space="0" w:color="000000"/>
              <w:left w:val="single" w:sz="6" w:space="0" w:color="000000"/>
              <w:bottom w:val="single" w:sz="6" w:space="0" w:color="000000"/>
            </w:tcBorders>
            <w:shd w:fill="auto" w:val="clear"/>
            <w:vAlign w:val="center"/>
          </w:tcPr>
          <w:p>
            <w:pPr>
              <w:pStyle w:val="Normal"/>
              <w:widowControl/>
              <w:spacing w:lineRule="auto" w:line="240"/>
              <w:rPr>
                <w:rFonts w:ascii="Arial" w:hAnsi="Arial" w:eastAsia="仿宋_GB2312;仿宋" w:cs="Arial"/>
                <w:sz w:val="18"/>
                <w:szCs w:val="18"/>
              </w:rPr>
            </w:pPr>
            <w:r>
              <w:rPr>
                <w:rFonts w:eastAsia="仿宋_GB2312;仿宋" w:cs="Arial" w:ascii="Arial" w:hAnsi="Arial"/>
                <w:sz w:val="18"/>
                <w:szCs w:val="18"/>
              </w:rPr>
              <w:t>-</w:t>
            </w:r>
          </w:p>
        </w:tc>
        <w:tc>
          <w:tcPr>
            <w:tcW w:w="709" w:type="dxa"/>
            <w:vMerge w:val="restart"/>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海淀区建材城中路</w:t>
            </w:r>
            <w:r>
              <w:rPr>
                <w:rFonts w:eastAsia="仿宋_GB2312;仿宋" w:cs="Arial" w:ascii="Arial" w:hAnsi="Arial"/>
                <w:sz w:val="18"/>
                <w:szCs w:val="18"/>
              </w:rPr>
              <w:t>2</w:t>
            </w:r>
            <w:r>
              <w:rPr>
                <w:rFonts w:ascii="Arial" w:hAnsi="Arial" w:cs="Arial" w:eastAsia="仿宋_GB2312;仿宋"/>
                <w:sz w:val="18"/>
                <w:szCs w:val="18"/>
              </w:rPr>
              <w:t>号</w:t>
            </w:r>
          </w:p>
        </w:tc>
        <w:tc>
          <w:tcPr>
            <w:tcW w:w="567" w:type="dxa"/>
            <w:vMerge w:val="restart"/>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京海国用（</w:t>
            </w:r>
            <w:r>
              <w:rPr>
                <w:rFonts w:eastAsia="仿宋_GB2312;仿宋" w:cs="Arial" w:ascii="Arial" w:hAnsi="Arial"/>
                <w:sz w:val="18"/>
                <w:szCs w:val="18"/>
              </w:rPr>
              <w:t>2004</w:t>
            </w:r>
            <w:r>
              <w:rPr>
                <w:rFonts w:ascii="Arial" w:hAnsi="Arial" w:cs="Arial" w:eastAsia="仿宋_GB2312;仿宋"/>
                <w:sz w:val="18"/>
                <w:szCs w:val="18"/>
              </w:rPr>
              <w:t>划）字第</w:t>
            </w:r>
            <w:r>
              <w:rPr>
                <w:rFonts w:eastAsia="仿宋_GB2312;仿宋" w:cs="Arial" w:ascii="Arial" w:hAnsi="Arial"/>
                <w:sz w:val="18"/>
                <w:szCs w:val="18"/>
              </w:rPr>
              <w:t>2880</w:t>
            </w:r>
            <w:r>
              <w:rPr>
                <w:rFonts w:ascii="Arial" w:hAnsi="Arial" w:cs="Arial" w:eastAsia="仿宋_GB2312;仿宋"/>
                <w:sz w:val="18"/>
                <w:szCs w:val="18"/>
              </w:rPr>
              <w:t>号</w:t>
            </w:r>
          </w:p>
        </w:tc>
        <w:tc>
          <w:tcPr>
            <w:tcW w:w="425" w:type="dxa"/>
            <w:vMerge w:val="restart"/>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工业</w:t>
            </w:r>
          </w:p>
        </w:tc>
        <w:tc>
          <w:tcPr>
            <w:tcW w:w="425" w:type="dxa"/>
            <w:vMerge w:val="restart"/>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工业</w:t>
            </w:r>
          </w:p>
        </w:tc>
        <w:tc>
          <w:tcPr>
            <w:tcW w:w="426" w:type="dxa"/>
            <w:vMerge w:val="restart"/>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工业</w:t>
            </w:r>
          </w:p>
        </w:tc>
        <w:tc>
          <w:tcPr>
            <w:tcW w:w="425" w:type="dxa"/>
            <w:vMerge w:val="restart"/>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567"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0.06</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1</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pPr>
            <w:r>
              <w:rPr>
                <w:rFonts w:ascii="Arial" w:hAnsi="Arial" w:cs="Arial" w:eastAsia="仿宋_GB2312;仿宋"/>
                <w:sz w:val="18"/>
                <w:szCs w:val="18"/>
              </w:rPr>
              <w:t>宗地红线外”</w:t>
            </w:r>
            <w:r>
              <w:rPr>
                <w:rFonts w:ascii="Arial" w:hAnsi="Arial" w:cs="Arial" w:eastAsia="仿宋_GB2312;仿宋"/>
                <w:sz w:val="18"/>
                <w:szCs w:val="18"/>
              </w:rPr>
              <w:t>七通</w:t>
            </w:r>
            <w:r>
              <w:rPr>
                <w:rFonts w:ascii="Arial" w:hAnsi="Arial" w:cs="Arial" w:eastAsia="仿宋_GB2312;仿宋"/>
                <w:sz w:val="18"/>
                <w:szCs w:val="18"/>
              </w:rPr>
              <w:t>”</w:t>
            </w:r>
            <w:r>
              <w:rPr>
                <w:rFonts w:ascii="Arial" w:hAnsi="Arial" w:cs="Arial" w:eastAsia="仿宋_GB2312;仿宋"/>
                <w:sz w:val="18"/>
                <w:szCs w:val="18"/>
              </w:rPr>
              <w:t>上水、通下水、通燃气、通电、通讯、通热</w:t>
            </w:r>
            <w:r>
              <w:rPr>
                <w:rFonts w:ascii="Arial" w:hAnsi="Arial" w:cs="Arial" w:eastAsia="仿宋_GB2312;仿宋"/>
                <w:sz w:val="18"/>
                <w:szCs w:val="18"/>
              </w:rPr>
              <w:t>），宗地红线内有现状房屋</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pPr>
            <w:r>
              <w:rPr>
                <w:rFonts w:ascii="Arial" w:hAnsi="Arial" w:cs="Arial" w:eastAsia="仿宋_GB2312;仿宋"/>
                <w:sz w:val="18"/>
                <w:szCs w:val="18"/>
              </w:rPr>
              <w:t>宗地红线外”</w:t>
            </w:r>
            <w:r>
              <w:rPr>
                <w:rFonts w:ascii="Arial" w:hAnsi="Arial" w:cs="Arial" w:eastAsia="仿宋_GB2312;仿宋"/>
                <w:sz w:val="18"/>
                <w:szCs w:val="18"/>
              </w:rPr>
              <w:t>七通</w:t>
            </w:r>
            <w:r>
              <w:rPr>
                <w:rFonts w:ascii="Arial" w:hAnsi="Arial" w:cs="Arial" w:eastAsia="仿宋_GB2312;仿宋"/>
                <w:sz w:val="18"/>
                <w:szCs w:val="18"/>
              </w:rPr>
              <w:t>”</w:t>
            </w:r>
            <w:r>
              <w:rPr>
                <w:rFonts w:ascii="Arial" w:hAnsi="Arial" w:cs="Arial" w:eastAsia="仿宋_GB2312;仿宋"/>
                <w:sz w:val="18"/>
                <w:szCs w:val="18"/>
              </w:rPr>
              <w:t>上水、通下水、通燃气、通电、通讯、通热</w:t>
            </w:r>
            <w:r>
              <w:rPr>
                <w:rFonts w:ascii="Arial" w:hAnsi="Arial" w:cs="Arial" w:eastAsia="仿宋_GB2312;仿宋"/>
                <w:sz w:val="18"/>
                <w:szCs w:val="18"/>
              </w:rPr>
              <w:t>），宗地红线内“场地平整”</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10738.85</w:t>
            </w:r>
          </w:p>
        </w:tc>
        <w:tc>
          <w:tcPr>
            <w:tcW w:w="993"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8671</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commentRangeStart w:id="3"/>
            <w:r>
              <w:rPr>
                <w:rFonts w:eastAsia="仿宋_GB2312;仿宋" w:cs="Arial" w:ascii="Arial" w:hAnsi="Arial"/>
                <w:sz w:val="18"/>
                <w:szCs w:val="18"/>
              </w:rPr>
              <w:t>9452.3358</w:t>
            </w:r>
          </w:p>
        </w:tc>
        <w:tc>
          <w:tcPr>
            <w:tcW w:w="2005" w:type="dxa"/>
            <w:tcBorders>
              <w:top w:val="single" w:sz="6" w:space="0" w:color="000000"/>
              <w:left w:val="single" w:sz="6" w:space="0" w:color="000000"/>
              <w:bottom w:val="single" w:sz="6" w:space="0" w:color="000000"/>
              <w:right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土地使用权价格</w:t>
            </w:r>
          </w:p>
        </w:tc>
      </w:tr>
      <w:tr>
        <w:trPr>
          <w:trHeight w:val="369" w:hRule="atLeast"/>
        </w:trPr>
        <w:tc>
          <w:tcPr>
            <w:tcW w:w="709" w:type="dxa"/>
            <w:vMerge w:val="continue"/>
            <w:tcBorders>
              <w:top w:val="single" w:sz="6" w:space="0" w:color="000000"/>
              <w:left w:val="single" w:sz="8" w:space="0" w:color="000000"/>
              <w:bottom w:val="single" w:sz="6" w:space="0" w:color="000000"/>
            </w:tcBorders>
            <w:shd w:fill="auto" w:val="clear"/>
            <w:vAlign w:val="center"/>
          </w:tcPr>
          <w:p>
            <w:pPr>
              <w:pStyle w:val="Norma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709"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6"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677.9</w:t>
            </w:r>
          </w:p>
        </w:tc>
        <w:tc>
          <w:tcPr>
            <w:tcW w:w="993"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46.8404</w:t>
            </w:r>
          </w:p>
        </w:tc>
        <w:tc>
          <w:tcPr>
            <w:tcW w:w="2005" w:type="dxa"/>
            <w:tcBorders>
              <w:top w:val="single" w:sz="6" w:space="0" w:color="000000"/>
              <w:left w:val="single" w:sz="6" w:space="0" w:color="000000"/>
              <w:bottom w:val="single" w:sz="6" w:space="0" w:color="000000"/>
              <w:right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建（构）筑物价格</w:t>
            </w:r>
          </w:p>
        </w:tc>
      </w:tr>
      <w:tr>
        <w:trPr>
          <w:trHeight w:val="369" w:hRule="atLeast"/>
        </w:trPr>
        <w:tc>
          <w:tcPr>
            <w:tcW w:w="709" w:type="dxa"/>
            <w:vMerge w:val="continue"/>
            <w:tcBorders>
              <w:top w:val="single" w:sz="6" w:space="0" w:color="000000"/>
              <w:left w:val="single" w:sz="8" w:space="0" w:color="000000"/>
              <w:bottom w:val="single" w:sz="6" w:space="0" w:color="000000"/>
            </w:tcBorders>
            <w:shd w:fill="auto" w:val="clear"/>
            <w:vAlign w:val="center"/>
          </w:tcPr>
          <w:p>
            <w:pPr>
              <w:pStyle w:val="Norma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709"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6"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993"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11.5346</w:t>
            </w:r>
          </w:p>
        </w:tc>
        <w:tc>
          <w:tcPr>
            <w:tcW w:w="2005" w:type="dxa"/>
            <w:tcBorders>
              <w:top w:val="single" w:sz="6" w:space="0" w:color="000000"/>
              <w:left w:val="single" w:sz="6" w:space="0" w:color="000000"/>
              <w:bottom w:val="single" w:sz="6" w:space="0" w:color="000000"/>
              <w:right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附属物价格</w:t>
            </w:r>
          </w:p>
        </w:tc>
      </w:tr>
      <w:tr>
        <w:trPr>
          <w:trHeight w:val="369" w:hRule="atLeast"/>
        </w:trPr>
        <w:tc>
          <w:tcPr>
            <w:tcW w:w="709" w:type="dxa"/>
            <w:vMerge w:val="continue"/>
            <w:tcBorders>
              <w:top w:val="single" w:sz="6" w:space="0" w:color="000000"/>
              <w:left w:val="single" w:sz="8" w:space="0" w:color="000000"/>
              <w:bottom w:val="single" w:sz="6" w:space="0" w:color="000000"/>
            </w:tcBorders>
            <w:shd w:fill="auto" w:val="clear"/>
            <w:vAlign w:val="center"/>
          </w:tcPr>
          <w:p>
            <w:pPr>
              <w:pStyle w:val="Norma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709"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6"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993"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无法恢复使用的设施设备补偿价格</w:t>
            </w:r>
          </w:p>
        </w:tc>
      </w:tr>
      <w:tr>
        <w:trPr>
          <w:trHeight w:val="369" w:hRule="atLeast"/>
        </w:trPr>
        <w:tc>
          <w:tcPr>
            <w:tcW w:w="709" w:type="dxa"/>
            <w:vMerge w:val="continue"/>
            <w:tcBorders>
              <w:top w:val="single" w:sz="6" w:space="0" w:color="000000"/>
              <w:left w:val="single" w:sz="8" w:space="0" w:color="000000"/>
              <w:bottom w:val="single" w:sz="6" w:space="0" w:color="000000"/>
            </w:tcBorders>
            <w:shd w:fill="auto" w:val="clear"/>
            <w:vAlign w:val="center"/>
          </w:tcPr>
          <w:p>
            <w:pPr>
              <w:pStyle w:val="Norma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709"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6"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993"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停产停业损失补偿费用</w:t>
            </w:r>
          </w:p>
        </w:tc>
      </w:tr>
      <w:tr>
        <w:trPr>
          <w:trHeight w:val="369" w:hRule="atLeast"/>
        </w:trPr>
        <w:tc>
          <w:tcPr>
            <w:tcW w:w="709" w:type="dxa"/>
            <w:vMerge w:val="continue"/>
            <w:tcBorders>
              <w:top w:val="single" w:sz="6" w:space="0" w:color="000000"/>
              <w:left w:val="single" w:sz="8" w:space="0" w:color="000000"/>
              <w:bottom w:val="single" w:sz="6" w:space="0" w:color="000000"/>
            </w:tcBorders>
            <w:shd w:fill="auto" w:val="clear"/>
            <w:vAlign w:val="center"/>
          </w:tcPr>
          <w:p>
            <w:pPr>
              <w:pStyle w:val="Norma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709"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6"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993"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3.3895</w:t>
            </w:r>
          </w:p>
        </w:tc>
        <w:tc>
          <w:tcPr>
            <w:tcW w:w="2005" w:type="dxa"/>
            <w:tcBorders>
              <w:top w:val="single" w:sz="6" w:space="0" w:color="000000"/>
              <w:left w:val="single" w:sz="6" w:space="0" w:color="000000"/>
              <w:bottom w:val="single" w:sz="6" w:space="0" w:color="000000"/>
              <w:right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搬迁、临时安置补偿费用</w:t>
            </w:r>
          </w:p>
        </w:tc>
      </w:tr>
      <w:tr>
        <w:trPr>
          <w:trHeight w:val="369" w:hRule="atLeast"/>
        </w:trPr>
        <w:tc>
          <w:tcPr>
            <w:tcW w:w="3828" w:type="dxa"/>
            <w:gridSpan w:val="7"/>
            <w:tcBorders>
              <w:top w:val="single" w:sz="4" w:space="0" w:color="000000"/>
              <w:left w:val="single" w:sz="8" w:space="0" w:color="000000"/>
              <w:bottom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合计</w:t>
            </w:r>
          </w:p>
        </w:tc>
        <w:tc>
          <w:tcPr>
            <w:tcW w:w="425" w:type="dxa"/>
            <w:tcBorders>
              <w:top w:val="single" w:sz="6" w:space="0" w:color="000000"/>
              <w:left w:val="single" w:sz="6" w:space="0" w:color="000000"/>
              <w:bottom w:val="single" w:sz="8"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tcBorders>
              <w:top w:val="single" w:sz="6" w:space="0" w:color="000000"/>
              <w:left w:val="single" w:sz="6" w:space="0" w:color="000000"/>
              <w:bottom w:val="single" w:sz="8"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425" w:type="dxa"/>
            <w:tcBorders>
              <w:top w:val="single" w:sz="6" w:space="0" w:color="000000"/>
              <w:left w:val="single" w:sz="6" w:space="0" w:color="000000"/>
              <w:bottom w:val="single" w:sz="8"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8"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8"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8"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993" w:type="dxa"/>
            <w:tcBorders>
              <w:top w:val="single" w:sz="6" w:space="0" w:color="000000"/>
              <w:left w:val="single" w:sz="6" w:space="0" w:color="000000"/>
              <w:bottom w:val="single" w:sz="8" w:space="0" w:color="000000"/>
            </w:tcBorders>
            <w:shd w:fill="auto" w:val="clear"/>
            <w:vAlign w:val="center"/>
          </w:tcPr>
          <w:p>
            <w:pPr>
              <w:pStyle w:val="Normal"/>
              <w:spacing w:lineRule="auto" w:line="240"/>
              <w:jc w:val="center"/>
              <w:rPr>
                <w:rFonts w:ascii="Arial" w:hAnsi="Arial"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9373.4213</w:t>
            </w:r>
            <w:commentRangeEnd w:id="3"/>
            <w:r>
              <w:commentReference w:id="3"/>
            </w:r>
            <w:r>
              <w:rPr>
                <w:rFonts w:eastAsia="仿宋_GB2312;仿宋" w:cs="Arial" w:ascii="Arial" w:hAnsi="Arial"/>
                <w:sz w:val="18"/>
                <w:szCs w:val="18"/>
              </w:rPr>
            </w:r>
          </w:p>
        </w:tc>
        <w:tc>
          <w:tcPr>
            <w:tcW w:w="2005" w:type="dxa"/>
            <w:tcBorders>
              <w:top w:val="single" w:sz="6" w:space="0" w:color="000000"/>
              <w:left w:val="single" w:sz="6" w:space="0" w:color="000000"/>
              <w:bottom w:val="single" w:sz="8" w:space="0" w:color="000000"/>
              <w:right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r>
    </w:tbl>
    <w:p>
      <w:pPr>
        <w:pStyle w:val="Normal"/>
        <w:spacing w:lineRule="auto" w:line="360"/>
        <w:rPr>
          <w:rFonts w:ascii="Arial" w:hAnsi="Arial" w:eastAsia="仿宋_GB2312;仿宋" w:cs="Arial"/>
          <w:sz w:val="18"/>
          <w:szCs w:val="18"/>
        </w:rPr>
      </w:pPr>
      <w:r>
        <w:rPr>
          <w:rFonts w:ascii="Arial" w:hAnsi="Arial" w:cs="Arial" w:eastAsia="仿宋_GB2312;仿宋"/>
          <w:sz w:val="18"/>
          <w:szCs w:val="18"/>
        </w:rPr>
        <w:t>币种：人民币</w:t>
      </w:r>
    </w:p>
    <w:p>
      <w:pPr>
        <w:sectPr>
          <w:headerReference w:type="default" r:id="rId14"/>
          <w:headerReference w:type="first" r:id="rId15"/>
          <w:footerReference w:type="default" r:id="rId16"/>
          <w:footerReference w:type="first" r:id="rId17"/>
          <w:type w:val="nextPage"/>
          <w:pgSz w:orient="landscape" w:w="16838" w:h="11906"/>
          <w:pgMar w:left="1474" w:right="1134" w:header="1134" w:top="1508" w:footer="907" w:bottom="1134" w:gutter="0"/>
          <w:pgNumType w:fmt="decimal"/>
          <w:formProt w:val="false"/>
          <w:titlePg/>
          <w:textDirection w:val="lrTb"/>
          <w:docGrid w:type="default" w:linePitch="326" w:charSpace="0"/>
        </w:sectPr>
        <w:pStyle w:val="Normal"/>
        <w:spacing w:lineRule="auto" w:line="360"/>
        <w:rPr>
          <w:rFonts w:ascii="Arial" w:hAnsi="Arial" w:eastAsia="仿宋_GB2312;仿宋" w:cs="Arial"/>
          <w:sz w:val="28"/>
          <w:szCs w:val="28"/>
        </w:rPr>
      </w:pPr>
      <w:r>
        <w:rPr>
          <w:rFonts w:ascii="Arial" w:hAnsi="Arial" w:cs="Arial" w:eastAsia="仿宋_GB2312;仿宋"/>
          <w:sz w:val="28"/>
          <w:szCs w:val="28"/>
        </w:rPr>
        <w:t>（转下页）</w:t>
      </w:r>
    </w:p>
    <w:p>
      <w:pPr>
        <w:pStyle w:val="Normal"/>
        <w:spacing w:lineRule="auto" w:line="240"/>
        <w:ind w:left="1" w:hanging="0"/>
        <w:jc w:val="both"/>
        <w:rPr/>
      </w:pPr>
      <w:r>
        <w:rPr>
          <w:rFonts w:ascii="Arial" w:hAnsi="Arial" w:cs="Arial" w:eastAsia="仿宋_GB2312;仿宋"/>
          <w:b/>
        </w:rPr>
        <w:t>一、上述估价结果的限定条件</w:t>
      </w:r>
    </w:p>
    <w:p>
      <w:pPr>
        <w:pStyle w:val="Normal"/>
        <w:spacing w:lineRule="auto" w:line="240"/>
        <w:jc w:val="both"/>
        <w:rPr>
          <w:rFonts w:ascii="Arial" w:hAnsi="Arial" w:eastAsia="仿宋_GB2312;仿宋" w:cs="Arial"/>
          <w:bCs/>
        </w:rPr>
      </w:pPr>
      <w:r>
        <w:rPr>
          <w:rFonts w:ascii="Arial" w:hAnsi="Arial" w:cs="Arial" w:eastAsia="仿宋_GB2312;仿宋"/>
          <w:bCs/>
        </w:rPr>
        <w:t>（一）土地权利限制：截至估价期日，估价对象未设定抵押、租赁等他项权利；</w:t>
      </w:r>
      <w:r>
        <w:rPr>
          <w:rFonts w:ascii="Arial" w:hAnsi="Arial" w:cs="Arial" w:eastAsia="Arial"/>
          <w:bCs/>
        </w:rPr>
        <w:t xml:space="preserve"> </w:t>
      </w:r>
    </w:p>
    <w:p>
      <w:pPr>
        <w:pStyle w:val="Normal"/>
        <w:spacing w:lineRule="auto" w:line="240"/>
        <w:jc w:val="both"/>
        <w:rPr/>
      </w:pPr>
      <w:r>
        <w:rPr>
          <w:rFonts w:ascii="Arial" w:hAnsi="Arial" w:cs="Arial" w:eastAsia="仿宋_GB2312;仿宋"/>
          <w:bCs/>
        </w:rPr>
        <w:t>（二）基础设施条件：根据委托估价方介绍及评估专业人员现场勘查，本次评估估价对象实际土地开发程度为宗地红线外”七通”（即通路、通上水、通下水、通燃气、通电、通讯、通热）、宗地红线内有现状房屋。本次评估设定土地开发程度即为实际开发程度红线外市政基础设施达”七通”上水、通下水、通燃气、通电、通讯、通热）、宗地红线内“场地平整”；</w:t>
      </w:r>
    </w:p>
    <w:p>
      <w:pPr>
        <w:pStyle w:val="Normal"/>
        <w:spacing w:lineRule="auto" w:line="240"/>
        <w:ind w:left="2" w:hanging="0"/>
        <w:jc w:val="both"/>
        <w:rPr>
          <w:rFonts w:ascii="Arial" w:hAnsi="Arial" w:eastAsia="仿宋_GB2312;仿宋" w:cs="Arial"/>
          <w:bCs/>
        </w:rPr>
      </w:pPr>
      <w:r>
        <w:rPr>
          <w:rFonts w:ascii="Arial" w:hAnsi="Arial" w:cs="Arial" w:eastAsia="仿宋_GB2312;仿宋"/>
          <w:bCs/>
        </w:rPr>
        <w:t>（三）规划限制条件：</w:t>
      </w:r>
      <w:r>
        <w:rPr>
          <w:rFonts w:ascii="Arial" w:hAnsi="Arial" w:cs="Arial" w:eastAsia="仿宋_GB2312;仿宋"/>
          <w:bCs/>
        </w:rPr>
        <w:t>无</w:t>
      </w:r>
      <w:r>
        <w:rPr>
          <w:rFonts w:ascii="Arial" w:hAnsi="Arial" w:cs="Arial" w:eastAsia="仿宋_GB2312;仿宋"/>
          <w:bCs/>
        </w:rPr>
        <w:t>；</w:t>
      </w:r>
      <w:r>
        <w:rPr>
          <w:rFonts w:ascii="Arial" w:hAnsi="Arial" w:cs="Arial" w:eastAsia="Arial"/>
          <w:bCs/>
        </w:rPr>
        <w:t xml:space="preserve"> </w:t>
      </w:r>
    </w:p>
    <w:p>
      <w:pPr>
        <w:pStyle w:val="Normal"/>
        <w:spacing w:lineRule="auto" w:line="240"/>
        <w:ind w:left="2" w:hanging="0"/>
        <w:jc w:val="both"/>
        <w:rPr>
          <w:rFonts w:ascii="Arial" w:hAnsi="Arial" w:eastAsia="仿宋_GB2312;仿宋" w:cs="Arial"/>
          <w:bCs/>
        </w:rPr>
      </w:pPr>
      <w:r>
        <w:rPr>
          <w:rFonts w:ascii="Arial" w:hAnsi="Arial" w:cs="Arial" w:eastAsia="仿宋_GB2312;仿宋"/>
          <w:bCs/>
        </w:rPr>
        <w:t>（四）影响土地价格的其他限定条件：无。</w:t>
      </w:r>
    </w:p>
    <w:p>
      <w:pPr>
        <w:pStyle w:val="Normal"/>
        <w:spacing w:lineRule="auto" w:line="240"/>
        <w:jc w:val="both"/>
        <w:rPr>
          <w:rFonts w:ascii="Arial" w:hAnsi="Arial" w:eastAsia="仿宋_GB2312;仿宋" w:cs="Arial"/>
          <w:bCs/>
        </w:rPr>
      </w:pPr>
      <w:r>
        <w:rPr>
          <w:rFonts w:ascii="Arial" w:hAnsi="Arial" w:cs="Arial" w:eastAsia="仿宋_GB2312;仿宋"/>
          <w:b/>
        </w:rPr>
        <w:t>二、其他需要说明的事项</w:t>
      </w:r>
      <w:r>
        <w:rPr>
          <w:rFonts w:ascii="Arial" w:hAnsi="Arial" w:cs="Arial" w:eastAsia="仿宋_GB2312;仿宋"/>
          <w:bCs/>
        </w:rPr>
        <w:t>：详见报告中的特殊事项说明及假设和限制条件。</w:t>
      </w:r>
    </w:p>
    <w:p>
      <w:pPr>
        <w:pStyle w:val="Normal"/>
        <w:spacing w:lineRule="auto" w:line="240"/>
        <w:rPr>
          <w:rFonts w:eastAsia="仿宋_GB2312;仿宋"/>
        </w:rPr>
      </w:pPr>
      <w:r>
        <w:rPr>
          <w:rFonts w:ascii="Arial" w:hAnsi="Arial" w:cs="Arial" w:eastAsia="Arial"/>
          <w:bCs/>
        </w:rPr>
        <w:t xml:space="preserve"> </w:t>
      </w:r>
    </w:p>
    <w:p>
      <w:pPr>
        <w:pStyle w:val="Normal"/>
        <w:spacing w:lineRule="auto" w:line="240"/>
        <w:rPr>
          <w:rFonts w:ascii="Arial" w:hAnsi="Arial" w:eastAsia="仿宋_GB2312;仿宋" w:cs="Arial"/>
          <w:bCs/>
        </w:rPr>
      </w:pPr>
      <w:r>
        <w:rPr>
          <w:rFonts w:eastAsia="仿宋_GB2312;仿宋" w:cs="Arial" w:ascii="Arial" w:hAnsi="Arial"/>
          <w:bCs/>
        </w:rPr>
      </w:r>
    </w:p>
    <w:p>
      <w:pPr>
        <w:pStyle w:val="Normal"/>
        <w:spacing w:lineRule="auto" w:line="240"/>
        <w:ind w:firstLine="7500"/>
        <w:jc w:val="right"/>
        <w:rPr>
          <w:rFonts w:ascii="Arial" w:hAnsi="Arial" w:eastAsia="仿宋_GB2312;仿宋" w:cs="Arial"/>
          <w:bCs/>
        </w:rPr>
      </w:pPr>
      <w:r>
        <w:rPr>
          <w:rFonts w:eastAsia="仿宋_GB2312;仿宋" w:cs="Arial" w:ascii="Arial" w:hAnsi="Arial"/>
          <w:bCs/>
        </w:rPr>
      </w:r>
    </w:p>
    <w:p>
      <w:pPr>
        <w:pStyle w:val="Normal"/>
        <w:spacing w:lineRule="auto" w:line="240"/>
        <w:ind w:firstLine="7500"/>
        <w:jc w:val="right"/>
        <w:rPr>
          <w:rFonts w:ascii="Arial" w:hAnsi="Arial" w:eastAsia="仿宋_GB2312;仿宋" w:cs="Arial"/>
          <w:bCs/>
        </w:rPr>
      </w:pPr>
      <w:r>
        <w:rPr>
          <w:rFonts w:eastAsia="仿宋_GB2312;仿宋" w:cs="Arial" w:ascii="Arial" w:hAnsi="Arial"/>
          <w:bCs/>
        </w:rPr>
      </w:r>
    </w:p>
    <w:p>
      <w:pPr>
        <w:pStyle w:val="Normal"/>
        <w:spacing w:lineRule="auto" w:line="240"/>
        <w:ind w:firstLine="7500"/>
        <w:jc w:val="right"/>
        <w:rPr>
          <w:rFonts w:ascii="Arial" w:hAnsi="Arial" w:eastAsia="仿宋_GB2312;仿宋" w:cs="Arial"/>
          <w:bCs/>
        </w:rPr>
      </w:pPr>
      <w:r>
        <w:rPr>
          <w:rFonts w:eastAsia="仿宋_GB2312;仿宋" w:cs="Arial" w:ascii="Arial" w:hAnsi="Arial"/>
          <w:bCs/>
        </w:rPr>
      </w:r>
    </w:p>
    <w:p>
      <w:pPr>
        <w:pStyle w:val="Normal"/>
        <w:spacing w:lineRule="auto" w:line="240"/>
        <w:ind w:firstLine="7500"/>
        <w:jc w:val="right"/>
        <w:rPr>
          <w:rFonts w:ascii="Arial" w:hAnsi="Arial" w:eastAsia="仿宋_GB2312;仿宋" w:cs="Arial"/>
          <w:bCs/>
        </w:rPr>
      </w:pPr>
      <w:r>
        <w:rPr>
          <w:rFonts w:eastAsia="仿宋_GB2312;仿宋" w:cs="Arial" w:ascii="Arial" w:hAnsi="Arial"/>
          <w:bCs/>
        </w:rPr>
      </w:r>
    </w:p>
    <w:p>
      <w:pPr>
        <w:pStyle w:val="Normal"/>
        <w:spacing w:lineRule="auto" w:line="240"/>
        <w:ind w:firstLine="7500"/>
        <w:jc w:val="right"/>
        <w:rPr>
          <w:rFonts w:ascii="Arial" w:hAnsi="Arial" w:eastAsia="仿宋_GB2312;仿宋" w:cs="Arial"/>
          <w:bCs/>
        </w:rPr>
      </w:pPr>
      <w:r>
        <w:rPr>
          <w:rFonts w:eastAsia="仿宋_GB2312;仿宋" w:cs="Arial" w:ascii="Arial" w:hAnsi="Arial"/>
          <w:bCs/>
        </w:rPr>
      </w:r>
    </w:p>
    <w:p>
      <w:pPr>
        <w:pStyle w:val="Normal"/>
        <w:spacing w:lineRule="auto" w:line="240"/>
        <w:ind w:firstLine="3828"/>
        <w:jc w:val="right"/>
        <w:rPr/>
      </w:pPr>
      <w:r>
        <w:rPr>
          <w:rFonts w:ascii="Arial" w:hAnsi="Arial" w:cs="Arial" w:eastAsia="仿宋_GB2312;仿宋"/>
          <w:bCs/>
        </w:rPr>
        <w:t>受托单位：北京康正宏基房地产评估有限公司</w:t>
      </w:r>
    </w:p>
    <w:p>
      <w:pPr>
        <w:sectPr>
          <w:headerReference w:type="default" r:id="rId18"/>
          <w:headerReference w:type="first" r:id="rId19"/>
          <w:footerReference w:type="default" r:id="rId20"/>
          <w:footerReference w:type="first" r:id="rId21"/>
          <w:type w:val="nextPage"/>
          <w:pgSz w:w="11906" w:h="16838"/>
          <w:pgMar w:left="1474" w:right="1134" w:header="1134" w:top="1843" w:footer="850" w:bottom="1134" w:gutter="0"/>
          <w:pgNumType w:fmt="decimal"/>
          <w:formProt w:val="false"/>
          <w:titlePg/>
          <w:textDirection w:val="lrTb"/>
          <w:docGrid w:type="default" w:linePitch="326" w:charSpace="0"/>
        </w:sectPr>
        <w:pStyle w:val="Normal"/>
        <w:spacing w:lineRule="auto" w:line="240"/>
        <w:ind w:firstLine="7385"/>
        <w:jc w:val="right"/>
        <w:rPr>
          <w:rFonts w:ascii="Arial" w:hAnsi="Arial" w:eastAsia="仿宋_GB2312;仿宋" w:cs="Arial"/>
          <w:sz w:val="28"/>
        </w:rPr>
      </w:pPr>
      <w:r>
        <w:rPr>
          <w:rFonts w:ascii="Arial" w:hAnsi="Arial" w:cs="Arial" w:eastAsia="Arial"/>
          <w:bCs/>
        </w:rPr>
        <w:t xml:space="preserve">                </w:t>
      </w:r>
      <w:r>
        <w:rPr>
          <w:rFonts w:eastAsia="仿宋_GB2312;仿宋" w:cs="Arial" w:ascii="Arial" w:hAnsi="Arial"/>
          <w:bCs/>
        </w:rPr>
        <w:t>2024</w:t>
      </w:r>
      <w:r>
        <w:rPr>
          <w:rFonts w:ascii="Arial" w:hAnsi="Arial" w:cs="Arial" w:eastAsia="仿宋_GB2312;仿宋"/>
          <w:bCs/>
        </w:rPr>
        <w:t>年</w:t>
      </w:r>
      <w:r>
        <w:rPr>
          <w:rFonts w:eastAsia="仿宋_GB2312;仿宋" w:cs="Arial" w:ascii="Arial" w:hAnsi="Arial"/>
          <w:bCs/>
        </w:rPr>
        <w:t>5</w:t>
      </w:r>
      <w:r>
        <w:rPr>
          <w:rFonts w:ascii="Arial" w:hAnsi="Arial" w:cs="Arial" w:eastAsia="仿宋_GB2312;仿宋"/>
          <w:bCs/>
        </w:rPr>
        <w:t>月</w:t>
      </w:r>
      <w:r>
        <w:rPr>
          <w:rFonts w:eastAsia="仿宋_GB2312;仿宋" w:cs="Arial" w:ascii="Arial" w:hAnsi="Arial"/>
          <w:bCs/>
        </w:rPr>
        <w:t>30</w:t>
      </w:r>
      <w:r>
        <w:rPr>
          <w:rFonts w:ascii="Arial" w:hAnsi="Arial" w:cs="Arial" w:eastAsia="仿宋_GB2312;仿宋"/>
          <w:bCs/>
        </w:rPr>
        <w:t>日</w:t>
      </w:r>
    </w:p>
    <w:p>
      <w:pPr>
        <w:pStyle w:val="Normal"/>
        <w:numPr>
          <w:ilvl w:val="0"/>
          <w:numId w:val="0"/>
        </w:numPr>
        <w:spacing w:lineRule="auto" w:line="360"/>
        <w:jc w:val="center"/>
        <w:outlineLvl w:val="0"/>
        <w:rPr/>
      </w:pPr>
      <w:bookmarkStart w:id="12" w:name="__RefHeading___Toc469066138"/>
      <w:bookmarkEnd w:id="12"/>
      <w:r>
        <w:rPr>
          <w:rFonts w:ascii="Arial" w:hAnsi="Arial" w:cs="Arial"/>
          <w:b/>
          <w:sz w:val="32"/>
        </w:rPr>
        <w:t>第二部分</w:t>
      </w:r>
      <w:r>
        <w:rPr>
          <w:rFonts w:ascii="Arial" w:hAnsi="Arial" w:cs="Arial" w:eastAsia="Arial"/>
          <w:b/>
          <w:sz w:val="32"/>
        </w:rPr>
        <w:t xml:space="preserve">  </w:t>
      </w:r>
      <w:r>
        <w:rPr>
          <w:rFonts w:ascii="Arial" w:hAnsi="Arial" w:cs="Arial"/>
          <w:b/>
          <w:sz w:val="32"/>
        </w:rPr>
        <w:t>估价对象界定</w:t>
      </w:r>
    </w:p>
    <w:p>
      <w:pPr>
        <w:pStyle w:val="Normal"/>
        <w:spacing w:lineRule="auto" w:line="360"/>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bookmarkStart w:id="13" w:name="__RefHeading___Toc469066139"/>
      <w:r>
        <w:rPr>
          <w:rFonts w:ascii="Arial" w:hAnsi="Arial" w:cs="Arial" w:eastAsia="仿宋_GB2312;仿宋"/>
          <w:b/>
          <w:sz w:val="28"/>
        </w:rPr>
        <w:t>一、</w:t>
      </w:r>
      <w:bookmarkEnd w:id="13"/>
      <w:r>
        <w:rPr>
          <w:rFonts w:ascii="Arial" w:hAnsi="Arial" w:cs="Arial" w:eastAsia="仿宋_GB2312;仿宋"/>
          <w:b/>
          <w:sz w:val="28"/>
        </w:rPr>
        <w:t>委托估价方</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委托估价方：北京市海淀区规划和自然资源综合事务中心</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联系人：</w:t>
      </w:r>
      <w:r>
        <w:rPr>
          <w:rFonts w:ascii="Arial" w:hAnsi="Arial" w:cs="Arial" w:eastAsia="仿宋_GB2312;仿宋"/>
          <w:sz w:val="28"/>
        </w:rPr>
        <w:t>刘争艳</w:t>
      </w:r>
    </w:p>
    <w:p>
      <w:pPr>
        <w:pStyle w:val="Normal"/>
        <w:spacing w:lineRule="auto" w:line="360"/>
        <w:jc w:val="both"/>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bookmarkStart w:id="14" w:name="__RefHeading___Toc469066140"/>
      <w:bookmarkEnd w:id="14"/>
      <w:r>
        <w:rPr>
          <w:rFonts w:ascii="Arial" w:hAnsi="Arial" w:cs="Arial" w:eastAsia="仿宋_GB2312;仿宋"/>
          <w:b/>
          <w:sz w:val="28"/>
        </w:rPr>
        <w:t>二、估价对象</w:t>
      </w:r>
    </w:p>
    <w:p>
      <w:pPr>
        <w:pStyle w:val="Normal"/>
        <w:tabs>
          <w:tab w:val="clear" w:pos="420"/>
          <w:tab w:val="left" w:pos="9027" w:leader="none"/>
        </w:tabs>
        <w:spacing w:lineRule="auto" w:line="360"/>
        <w:ind w:firstLine="560"/>
        <w:jc w:val="both"/>
        <w:rPr/>
      </w:pPr>
      <w:r>
        <w:rPr>
          <w:rFonts w:ascii="Arial" w:hAnsi="Arial" w:cs="Arial" w:eastAsia="仿宋_GB2312;仿宋"/>
          <w:sz w:val="28"/>
        </w:rPr>
        <w:t>估价对象为北京市海淀区建材城中路</w:t>
      </w:r>
      <w:r>
        <w:rPr>
          <w:rFonts w:eastAsia="仿宋_GB2312;仿宋" w:cs="Arial" w:ascii="Arial" w:hAnsi="Arial"/>
          <w:sz w:val="28"/>
        </w:rPr>
        <w:t>2</w:t>
      </w:r>
      <w:r>
        <w:rPr>
          <w:rFonts w:ascii="Arial" w:hAnsi="Arial" w:cs="Arial" w:eastAsia="仿宋_GB2312;仿宋"/>
          <w:sz w:val="28"/>
        </w:rPr>
        <w:t>号北京双合盛五星啤酒集团公司</w:t>
      </w:r>
      <w:r>
        <w:rPr>
          <w:rFonts w:eastAsia="仿宋_GB2312;仿宋" w:cs="Arial" w:ascii="Arial" w:hAnsi="Arial"/>
          <w:sz w:val="28"/>
        </w:rPr>
        <w:t>10738.85</w:t>
      </w:r>
      <w:r>
        <w:rPr>
          <w:rFonts w:ascii="Arial" w:hAnsi="Arial" w:cs="Arial" w:eastAsia="仿宋_GB2312;仿宋"/>
          <w:sz w:val="28"/>
        </w:rPr>
        <w:t>平方米国有建设用地使用权，属国有划拨工业用地，根据估价目的，估价对象还包括宗地内建（构）筑物、附属物</w:t>
      </w:r>
      <w:r>
        <w:rPr>
          <w:rFonts w:ascii="Arial" w:hAnsi="Arial" w:cs="Arial" w:eastAsia="仿宋_GB2312;仿宋"/>
          <w:sz w:val="28"/>
        </w:rPr>
        <w:t>（详见建筑物、附属物清单）、搬迁补偿费用。因土地收购造成的无法恢复使用的设施设备补偿、停产停业损失补偿等内容暂未评估</w:t>
      </w:r>
      <w:r>
        <w:rPr>
          <w:rFonts w:ascii="Arial" w:hAnsi="Arial" w:cs="Arial" w:eastAsia="仿宋_GB2312;仿宋"/>
          <w:sz w:val="28"/>
        </w:rPr>
        <w:t>。</w:t>
      </w:r>
    </w:p>
    <w:p>
      <w:pPr>
        <w:pStyle w:val="Normal"/>
        <w:spacing w:lineRule="auto" w:line="360"/>
        <w:jc w:val="both"/>
        <w:rPr>
          <w:rFonts w:ascii="Arial" w:hAnsi="Arial" w:eastAsia="仿宋_GB2312;仿宋" w:cs="Arial"/>
          <w:b/>
          <w:b/>
          <w:sz w:val="21"/>
          <w:szCs w:val="21"/>
        </w:rPr>
      </w:pPr>
      <w:r>
        <w:rPr>
          <w:rFonts w:eastAsia="仿宋_GB2312;仿宋" w:cs="Arial" w:ascii="Arial" w:hAnsi="Arial"/>
          <w:b/>
          <w:sz w:val="21"/>
          <w:szCs w:val="21"/>
        </w:rPr>
      </w:r>
    </w:p>
    <w:p>
      <w:pPr>
        <w:pStyle w:val="Normal"/>
        <w:numPr>
          <w:ilvl w:val="0"/>
          <w:numId w:val="0"/>
        </w:numPr>
        <w:spacing w:lineRule="auto" w:line="360"/>
        <w:outlineLvl w:val="1"/>
        <w:rPr/>
      </w:pPr>
      <w:bookmarkStart w:id="15" w:name="__RefHeading___Toc469066141"/>
      <w:bookmarkEnd w:id="15"/>
      <w:r>
        <w:rPr>
          <w:rFonts w:ascii="Arial" w:hAnsi="Arial" w:cs="Arial" w:eastAsia="仿宋_GB2312;仿宋"/>
          <w:b/>
          <w:sz w:val="28"/>
        </w:rPr>
        <w:t>三、估价对象概况</w:t>
      </w:r>
    </w:p>
    <w:p>
      <w:pPr>
        <w:pStyle w:val="Normal"/>
        <w:spacing w:lineRule="auto" w:line="360"/>
        <w:jc w:val="both"/>
        <w:rPr>
          <w:rFonts w:ascii="Arial" w:hAnsi="Arial" w:eastAsia="仿宋_GB2312;仿宋" w:cs="Arial"/>
          <w:sz w:val="28"/>
        </w:rPr>
      </w:pPr>
      <w:r>
        <w:rPr>
          <w:rFonts w:ascii="Arial" w:hAnsi="Arial" w:cs="Arial" w:eastAsia="仿宋_GB2312;仿宋"/>
          <w:sz w:val="28"/>
        </w:rPr>
        <w:t>（一）土地登记状况</w:t>
      </w:r>
    </w:p>
    <w:p>
      <w:pPr>
        <w:pStyle w:val="Normal"/>
        <w:spacing w:lineRule="auto" w:line="360"/>
        <w:ind w:firstLine="560"/>
        <w:jc w:val="both"/>
        <w:rPr>
          <w:rFonts w:ascii="Arial" w:hAnsi="Arial" w:eastAsia="仿宋_GB2312;仿宋" w:cs="Arial"/>
          <w:bCs/>
          <w:sz w:val="28"/>
        </w:rPr>
      </w:pPr>
      <w:r>
        <w:rPr>
          <w:rFonts w:ascii="Arial" w:hAnsi="Arial" w:cs="Arial" w:eastAsia="仿宋_GB2312;仿宋"/>
          <w:bCs/>
          <w:sz w:val="28"/>
        </w:rPr>
        <w:t>根据《国有土地使用证》</w:t>
      </w:r>
      <w:r>
        <w:rPr>
          <w:rFonts w:eastAsia="仿宋_GB2312;仿宋" w:cs="Arial" w:ascii="Arial" w:hAnsi="Arial"/>
          <w:bCs/>
          <w:sz w:val="28"/>
        </w:rPr>
        <w:t>[</w:t>
      </w:r>
      <w:r>
        <w:rPr>
          <w:rFonts w:ascii="Arial" w:hAnsi="Arial" w:cs="Arial" w:eastAsia="仿宋_GB2312;仿宋"/>
          <w:bCs/>
          <w:sz w:val="28"/>
        </w:rPr>
        <w:t>京海国用（</w:t>
      </w:r>
      <w:r>
        <w:rPr>
          <w:rFonts w:eastAsia="仿宋_GB2312;仿宋" w:cs="Arial" w:ascii="Arial" w:hAnsi="Arial"/>
          <w:bCs/>
          <w:sz w:val="28"/>
        </w:rPr>
        <w:t>2004</w:t>
      </w:r>
      <w:r>
        <w:rPr>
          <w:rFonts w:ascii="Arial" w:hAnsi="Arial" w:cs="Arial" w:eastAsia="仿宋_GB2312;仿宋"/>
          <w:bCs/>
          <w:sz w:val="28"/>
        </w:rPr>
        <w:t>划）字第</w:t>
      </w:r>
      <w:r>
        <w:rPr>
          <w:rFonts w:eastAsia="仿宋_GB2312;仿宋" w:cs="Arial" w:ascii="Arial" w:hAnsi="Arial"/>
          <w:bCs/>
          <w:sz w:val="28"/>
        </w:rPr>
        <w:t>2880</w:t>
      </w:r>
      <w:r>
        <w:rPr>
          <w:rFonts w:ascii="Arial" w:hAnsi="Arial" w:cs="Arial" w:eastAsia="仿宋_GB2312;仿宋"/>
          <w:bCs/>
          <w:sz w:val="28"/>
        </w:rPr>
        <w:t>号</w:t>
      </w:r>
      <w:r>
        <w:rPr>
          <w:rFonts w:eastAsia="仿宋_GB2312;仿宋" w:cs="Arial" w:ascii="Arial" w:hAnsi="Arial"/>
          <w:bCs/>
          <w:sz w:val="28"/>
        </w:rPr>
        <w:t>]</w:t>
      </w:r>
      <w:r>
        <w:rPr>
          <w:rFonts w:ascii="Arial" w:hAnsi="Arial" w:cs="Arial" w:eastAsia="仿宋_GB2312;仿宋"/>
          <w:bCs/>
          <w:sz w:val="28"/>
        </w:rPr>
        <w:t>、</w:t>
      </w:r>
      <w:r>
        <w:rPr>
          <w:rFonts w:ascii="Arial" w:hAnsi="Arial" w:cs="Arial" w:eastAsia="仿宋_GB2312;仿宋"/>
          <w:bCs/>
          <w:sz w:val="28"/>
        </w:rPr>
        <w:t>《土地权属审查告知书》</w:t>
      </w:r>
      <w:r>
        <w:rPr>
          <w:rFonts w:eastAsia="仿宋_GB2312;仿宋" w:cs="Arial" w:ascii="Arial" w:hAnsi="Arial"/>
          <w:bCs/>
          <w:sz w:val="28"/>
        </w:rPr>
        <w:t>[</w:t>
      </w:r>
      <w:r>
        <w:rPr>
          <w:rFonts w:ascii="Arial" w:hAnsi="Arial" w:cs="Arial" w:eastAsia="仿宋_GB2312;仿宋"/>
          <w:bCs/>
          <w:sz w:val="28"/>
        </w:rPr>
        <w:t>编号：海权属审（</w:t>
      </w:r>
      <w:r>
        <w:rPr>
          <w:rFonts w:eastAsia="仿宋_GB2312;仿宋" w:cs="Arial" w:ascii="Arial" w:hAnsi="Arial"/>
          <w:bCs/>
          <w:sz w:val="28"/>
        </w:rPr>
        <w:t>2020</w:t>
      </w:r>
      <w:r>
        <w:rPr>
          <w:rFonts w:ascii="Arial" w:hAnsi="Arial" w:cs="Arial" w:eastAsia="仿宋_GB2312;仿宋"/>
          <w:bCs/>
          <w:sz w:val="28"/>
        </w:rPr>
        <w:t>）字第</w:t>
      </w:r>
      <w:r>
        <w:rPr>
          <w:rFonts w:eastAsia="仿宋_GB2312;仿宋" w:cs="Arial" w:ascii="Arial" w:hAnsi="Arial"/>
          <w:bCs/>
          <w:sz w:val="28"/>
        </w:rPr>
        <w:t>1172</w:t>
      </w:r>
      <w:r>
        <w:rPr>
          <w:rFonts w:ascii="Arial" w:hAnsi="Arial" w:cs="Arial" w:eastAsia="仿宋_GB2312;仿宋"/>
          <w:bCs/>
          <w:sz w:val="28"/>
        </w:rPr>
        <w:t>号</w:t>
      </w:r>
      <w:r>
        <w:rPr>
          <w:rFonts w:eastAsia="仿宋_GB2312;仿宋" w:cs="Arial" w:ascii="Arial" w:hAnsi="Arial"/>
          <w:bCs/>
          <w:sz w:val="28"/>
        </w:rPr>
        <w:t>]</w:t>
      </w:r>
      <w:r>
        <w:rPr>
          <w:rFonts w:ascii="Arial" w:hAnsi="Arial" w:cs="Arial" w:eastAsia="仿宋_GB2312;仿宋"/>
          <w:bCs/>
          <w:sz w:val="28"/>
        </w:rPr>
        <w:t>，北京双合盛五星啤酒集团公司拥有估价对象的划拨国有建设用地使用权，估价对象土地面积为</w:t>
      </w:r>
      <w:r>
        <w:rPr>
          <w:rFonts w:eastAsia="仿宋_GB2312;仿宋" w:cs="Arial" w:ascii="Arial" w:hAnsi="Arial"/>
          <w:bCs/>
          <w:sz w:val="28"/>
        </w:rPr>
        <w:t>10738.85</w:t>
      </w:r>
      <w:r>
        <w:rPr>
          <w:rFonts w:ascii="Arial" w:hAnsi="Arial" w:cs="Arial" w:eastAsia="仿宋_GB2312;仿宋"/>
          <w:bCs/>
          <w:sz w:val="28"/>
        </w:rPr>
        <w:t>平方米。</w:t>
      </w:r>
    </w:p>
    <w:p>
      <w:pPr>
        <w:pStyle w:val="Normal"/>
        <w:spacing w:lineRule="auto" w:line="360"/>
        <w:ind w:firstLine="560"/>
        <w:jc w:val="both"/>
        <w:rPr>
          <w:rFonts w:ascii="Arial" w:hAnsi="Arial" w:eastAsia="仿宋_GB2312;仿宋" w:cs="Arial"/>
          <w:bCs/>
          <w:sz w:val="28"/>
        </w:rPr>
      </w:pPr>
      <w:r>
        <w:rPr>
          <w:rFonts w:ascii="Arial" w:hAnsi="Arial" w:cs="Arial" w:eastAsia="仿宋_GB2312;仿宋"/>
          <w:bCs/>
          <w:sz w:val="28"/>
        </w:rPr>
        <w:t>土地使用权人：北京双合盛五星啤酒集团公司</w:t>
      </w:r>
      <w:r>
        <w:rPr>
          <w:rFonts w:ascii="Arial" w:hAnsi="Arial" w:cs="Arial" w:eastAsia="Arial"/>
          <w:sz w:val="28"/>
        </w:rPr>
        <w:t xml:space="preserve"> </w:t>
      </w:r>
    </w:p>
    <w:p>
      <w:pPr>
        <w:pStyle w:val="Normal"/>
        <w:spacing w:lineRule="auto" w:line="360"/>
        <w:ind w:firstLine="560"/>
        <w:jc w:val="both"/>
        <w:rPr>
          <w:rFonts w:ascii="Arial" w:hAnsi="Arial" w:eastAsia="仿宋_GB2312;仿宋" w:cs="Arial"/>
          <w:sz w:val="28"/>
        </w:rPr>
      </w:pPr>
      <w:r>
        <w:rPr>
          <w:rFonts w:ascii="Arial" w:hAnsi="Arial" w:cs="Arial" w:eastAsia="仿宋_GB2312;仿宋"/>
          <w:bCs/>
          <w:sz w:val="28"/>
        </w:rPr>
        <w:t>坐落：海淀区建材城中路</w:t>
      </w:r>
      <w:r>
        <w:rPr>
          <w:rFonts w:eastAsia="仿宋_GB2312;仿宋" w:cs="Arial" w:ascii="Arial" w:hAnsi="Arial"/>
          <w:bCs/>
          <w:sz w:val="28"/>
        </w:rPr>
        <w:t>2</w:t>
      </w:r>
      <w:r>
        <w:rPr>
          <w:rFonts w:ascii="Arial" w:hAnsi="Arial" w:cs="Arial" w:eastAsia="仿宋_GB2312;仿宋"/>
          <w:bCs/>
          <w:sz w:val="28"/>
        </w:rPr>
        <w:t>号</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地号：</w:t>
      </w:r>
      <w:r>
        <w:rPr>
          <w:rFonts w:eastAsia="仿宋_GB2312;仿宋" w:cs="Arial" w:ascii="Arial" w:hAnsi="Arial"/>
          <w:sz w:val="28"/>
        </w:rPr>
        <w:t>-</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图号：</w:t>
      </w:r>
      <w:r>
        <w:rPr>
          <w:rFonts w:eastAsia="仿宋_GB2312;仿宋" w:cs="Arial" w:ascii="Arial" w:hAnsi="Arial"/>
          <w:sz w:val="28"/>
        </w:rPr>
        <w:t>-</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地类（用途）：工业</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土地面积：</w:t>
      </w:r>
      <w:r>
        <w:rPr>
          <w:rFonts w:eastAsia="仿宋_GB2312;仿宋" w:cs="Arial" w:ascii="Arial" w:hAnsi="Arial"/>
          <w:sz w:val="28"/>
        </w:rPr>
        <w:t>10738.85</w:t>
      </w:r>
      <w:r>
        <w:rPr>
          <w:rFonts w:ascii="Arial" w:hAnsi="Arial" w:cs="Arial" w:eastAsia="仿宋_GB2312;仿宋"/>
          <w:sz w:val="28"/>
        </w:rPr>
        <w:t>平方米</w:t>
      </w:r>
      <w:r>
        <w:rPr>
          <w:rFonts w:ascii="Arial" w:hAnsi="Arial" w:cs="Arial" w:eastAsia="Arial"/>
          <w:sz w:val="28"/>
        </w:rPr>
        <w:t xml:space="preserve"> </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估价对象四至：</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东至：北京市昌平区东小口镇兰各庄村股份经济合作社；</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南至：北京市昌平区东小口镇兰各庄村股份经济合作社、北京五星青岛啤酒有限公司；</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西至：北京南牧兴资产管理中心有限公司；</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北至：中国铁路北京局集团有限公司、无人申请。</w:t>
      </w:r>
    </w:p>
    <w:p>
      <w:pPr>
        <w:pStyle w:val="Normal"/>
        <w:spacing w:lineRule="auto" w:line="360"/>
        <w:ind w:firstLine="560"/>
        <w:jc w:val="both"/>
        <w:rPr/>
      </w:pPr>
      <w:r>
        <w:rPr>
          <w:rFonts w:ascii="Arial" w:hAnsi="Arial" w:cs="Arial" w:eastAsia="仿宋_GB2312;仿宋"/>
          <w:sz w:val="28"/>
        </w:rPr>
        <w:t>土地级别：根据</w:t>
      </w:r>
      <w:bookmarkStart w:id="16" w:name="_Hlk144827128"/>
      <w:r>
        <w:rPr>
          <w:rFonts w:ascii="Arial" w:hAnsi="Arial" w:cs="Arial" w:eastAsia="仿宋_GB2312;仿宋"/>
          <w:sz w:val="28"/>
        </w:rPr>
        <w:t>《北京市人民政府关于更新出让国有建设用地使用权基准地价的通知》</w:t>
      </w:r>
      <w:r>
        <w:rPr>
          <w:rFonts w:eastAsia="仿宋_GB2312;仿宋" w:cs="Arial" w:ascii="Arial" w:hAnsi="Arial"/>
          <w:sz w:val="28"/>
        </w:rPr>
        <w:t>[</w:t>
      </w:r>
      <w:r>
        <w:rPr>
          <w:rFonts w:ascii="Arial" w:hAnsi="Arial" w:cs="Arial" w:eastAsia="仿宋_GB2312;仿宋"/>
          <w:sz w:val="28"/>
        </w:rPr>
        <w:t>京政发（</w:t>
      </w:r>
      <w:r>
        <w:rPr>
          <w:rFonts w:eastAsia="仿宋_GB2312;仿宋" w:cs="Arial" w:ascii="Arial" w:hAnsi="Arial"/>
          <w:sz w:val="28"/>
        </w:rPr>
        <w:t>2022</w:t>
      </w:r>
      <w:r>
        <w:rPr>
          <w:rFonts w:ascii="Arial" w:hAnsi="Arial" w:cs="Arial" w:eastAsia="仿宋_GB2312;仿宋"/>
          <w:sz w:val="28"/>
        </w:rPr>
        <w:t>）</w:t>
      </w:r>
      <w:r>
        <w:rPr>
          <w:rFonts w:eastAsia="仿宋_GB2312;仿宋" w:cs="Arial" w:ascii="Arial" w:hAnsi="Arial"/>
          <w:sz w:val="28"/>
        </w:rPr>
        <w:t>12</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的规定</w:t>
      </w:r>
      <w:bookmarkEnd w:id="16"/>
      <w:r>
        <w:rPr>
          <w:rFonts w:ascii="Arial" w:hAnsi="Arial" w:cs="Arial" w:eastAsia="仿宋_GB2312;仿宋"/>
          <w:sz w:val="28"/>
        </w:rPr>
        <w:t>，估价对象属于工业类六级地价区</w:t>
      </w:r>
      <w:r>
        <w:rPr>
          <w:rFonts w:eastAsia="仿宋_GB2312;仿宋" w:cs="Arial" w:ascii="Arial" w:hAnsi="Arial"/>
          <w:sz w:val="28"/>
        </w:rPr>
        <w:t>VI-01</w:t>
      </w:r>
      <w:r>
        <w:rPr>
          <w:rFonts w:ascii="Arial" w:hAnsi="Arial" w:cs="Arial" w:eastAsia="仿宋_GB2312;仿宋"/>
          <w:sz w:val="28"/>
        </w:rPr>
        <w:t>区片。</w:t>
      </w:r>
    </w:p>
    <w:p>
      <w:pPr>
        <w:pStyle w:val="Normal"/>
        <w:spacing w:lineRule="auto" w:line="360"/>
        <w:jc w:val="both"/>
        <w:rPr>
          <w:rFonts w:ascii="Arial" w:hAnsi="Arial" w:eastAsia="仿宋_GB2312;仿宋" w:cs="Arial"/>
          <w:sz w:val="28"/>
        </w:rPr>
      </w:pPr>
      <w:r>
        <w:rPr>
          <w:rFonts w:ascii="Arial" w:hAnsi="Arial" w:cs="Arial" w:eastAsia="仿宋_GB2312;仿宋"/>
          <w:sz w:val="28"/>
        </w:rPr>
        <w:t>（二）土地权利状况</w:t>
      </w:r>
    </w:p>
    <w:p>
      <w:pPr>
        <w:pStyle w:val="Normal"/>
        <w:spacing w:lineRule="auto" w:line="360"/>
        <w:ind w:firstLine="560"/>
        <w:jc w:val="both"/>
        <w:rPr/>
      </w:pPr>
      <w:r>
        <w:rPr>
          <w:rFonts w:ascii="Arial" w:hAnsi="Arial" w:cs="Arial" w:eastAsia="仿宋_GB2312;仿宋"/>
          <w:sz w:val="28"/>
        </w:rPr>
        <w:t>估价对象为国有土地，土地所有权为国家所有，土地使用权人为北京双合盛五星啤酒集团公司，并已取得《国有土地使用证》</w:t>
      </w:r>
      <w:r>
        <w:rPr>
          <w:rFonts w:eastAsia="仿宋_GB2312;仿宋" w:cs="Arial" w:ascii="Arial" w:hAnsi="Arial"/>
          <w:sz w:val="28"/>
        </w:rPr>
        <w:t>[</w:t>
      </w:r>
      <w:r>
        <w:rPr>
          <w:rFonts w:ascii="Arial" w:hAnsi="Arial" w:cs="Arial" w:eastAsia="仿宋_GB2312;仿宋"/>
          <w:sz w:val="28"/>
        </w:rPr>
        <w:t>京海国用（</w:t>
      </w:r>
      <w:r>
        <w:rPr>
          <w:rFonts w:eastAsia="仿宋_GB2312;仿宋" w:cs="Arial" w:ascii="Arial" w:hAnsi="Arial"/>
          <w:sz w:val="28"/>
        </w:rPr>
        <w:t>2004</w:t>
      </w:r>
      <w:r>
        <w:rPr>
          <w:rFonts w:ascii="Arial" w:hAnsi="Arial" w:cs="Arial" w:eastAsia="仿宋_GB2312;仿宋"/>
          <w:sz w:val="28"/>
        </w:rPr>
        <w:t>划）字第</w:t>
      </w:r>
      <w:r>
        <w:rPr>
          <w:rFonts w:eastAsia="仿宋_GB2312;仿宋" w:cs="Arial" w:ascii="Arial" w:hAnsi="Arial"/>
          <w:sz w:val="28"/>
        </w:rPr>
        <w:t>2880</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w:t>
      </w:r>
    </w:p>
    <w:p>
      <w:pPr>
        <w:pStyle w:val="Normal"/>
        <w:spacing w:lineRule="auto" w:line="360"/>
        <w:ind w:firstLine="560"/>
        <w:jc w:val="both"/>
        <w:rPr/>
      </w:pPr>
      <w:r>
        <w:rPr>
          <w:rFonts w:ascii="Arial" w:hAnsi="Arial" w:cs="Arial" w:eastAsia="仿宋_GB2312;仿宋"/>
          <w:sz w:val="28"/>
        </w:rPr>
        <w:t>评估专业人员根据委托估价方所提供的资料，未发现有抵押、租赁的登记信息，本次评估设定估价对象不存在抵押、租赁等他项权利。</w:t>
      </w:r>
    </w:p>
    <w:p>
      <w:pPr>
        <w:pStyle w:val="Normal"/>
        <w:spacing w:lineRule="auto" w:line="360"/>
        <w:jc w:val="both"/>
        <w:rPr>
          <w:rFonts w:ascii="Arial" w:hAnsi="Arial" w:eastAsia="仿宋_GB2312;仿宋" w:cs="Arial"/>
          <w:sz w:val="28"/>
        </w:rPr>
      </w:pPr>
      <w:r>
        <w:rPr>
          <w:rFonts w:ascii="Arial" w:hAnsi="Arial" w:cs="Arial" w:eastAsia="仿宋_GB2312;仿宋"/>
          <w:sz w:val="28"/>
        </w:rPr>
        <w:t>（三）土地利用状况</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w:t>
      </w:r>
      <w:r>
        <w:rPr>
          <w:rFonts w:ascii="Arial" w:hAnsi="Arial" w:cs="Arial" w:eastAsia="仿宋_GB2312;仿宋"/>
          <w:sz w:val="28"/>
        </w:rPr>
        <w:t>土地规划设计条件</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szCs w:val="28"/>
        </w:rPr>
        <w:t>根据《国有土地使用证》</w:t>
      </w:r>
      <w:r>
        <w:rPr>
          <w:rFonts w:eastAsia="仿宋_GB2312;仿宋" w:cs="Arial" w:ascii="Arial" w:hAnsi="Arial"/>
          <w:sz w:val="28"/>
          <w:szCs w:val="28"/>
        </w:rPr>
        <w:t>[</w:t>
      </w:r>
      <w:r>
        <w:rPr>
          <w:rFonts w:ascii="Arial" w:hAnsi="Arial" w:cs="Arial" w:eastAsia="仿宋_GB2312;仿宋"/>
          <w:sz w:val="28"/>
          <w:szCs w:val="28"/>
        </w:rPr>
        <w:t>京海国用（</w:t>
      </w:r>
      <w:r>
        <w:rPr>
          <w:rFonts w:eastAsia="仿宋_GB2312;仿宋" w:cs="Arial" w:ascii="Arial" w:hAnsi="Arial"/>
          <w:sz w:val="28"/>
          <w:szCs w:val="28"/>
        </w:rPr>
        <w:t>2004</w:t>
      </w:r>
      <w:r>
        <w:rPr>
          <w:rFonts w:ascii="Arial" w:hAnsi="Arial" w:cs="Arial" w:eastAsia="仿宋_GB2312;仿宋"/>
          <w:sz w:val="28"/>
          <w:szCs w:val="28"/>
        </w:rPr>
        <w:t>划）字第</w:t>
      </w:r>
      <w:r>
        <w:rPr>
          <w:rFonts w:eastAsia="仿宋_GB2312;仿宋" w:cs="Arial" w:ascii="Arial" w:hAnsi="Arial"/>
          <w:sz w:val="28"/>
          <w:szCs w:val="28"/>
        </w:rPr>
        <w:t>2880</w:t>
      </w:r>
      <w:r>
        <w:rPr>
          <w:rFonts w:ascii="Arial" w:hAnsi="Arial" w:cs="Arial" w:eastAsia="仿宋_GB2312;仿宋"/>
          <w:sz w:val="28"/>
          <w:szCs w:val="28"/>
        </w:rPr>
        <w:t>号</w:t>
      </w:r>
      <w:r>
        <w:rPr>
          <w:rFonts w:eastAsia="仿宋_GB2312;仿宋" w:cs="Arial" w:ascii="Arial" w:hAnsi="Arial"/>
          <w:sz w:val="28"/>
          <w:szCs w:val="28"/>
        </w:rPr>
        <w:t>]</w:t>
      </w:r>
      <w:r>
        <w:rPr>
          <w:rFonts w:ascii="Arial" w:hAnsi="Arial" w:cs="Arial" w:eastAsia="仿宋_GB2312;仿宋"/>
          <w:sz w:val="28"/>
          <w:szCs w:val="28"/>
        </w:rPr>
        <w:t>、</w:t>
      </w:r>
      <w:r>
        <w:rPr>
          <w:rFonts w:ascii="Arial" w:hAnsi="Arial" w:cs="Arial" w:eastAsia="仿宋_GB2312;仿宋"/>
          <w:sz w:val="28"/>
          <w:szCs w:val="28"/>
        </w:rPr>
        <w:t>《土地权属审查告知书》</w:t>
      </w:r>
      <w:r>
        <w:rPr>
          <w:rFonts w:eastAsia="仿宋_GB2312;仿宋" w:cs="Arial" w:ascii="Arial" w:hAnsi="Arial"/>
          <w:sz w:val="28"/>
          <w:szCs w:val="28"/>
        </w:rPr>
        <w:t>[</w:t>
      </w:r>
      <w:r>
        <w:rPr>
          <w:rFonts w:ascii="Arial" w:hAnsi="Arial" w:cs="Arial" w:eastAsia="仿宋_GB2312;仿宋"/>
          <w:sz w:val="28"/>
          <w:szCs w:val="28"/>
        </w:rPr>
        <w:t>编号：海权属审（</w:t>
      </w:r>
      <w:r>
        <w:rPr>
          <w:rFonts w:eastAsia="仿宋_GB2312;仿宋" w:cs="Arial" w:ascii="Arial" w:hAnsi="Arial"/>
          <w:sz w:val="28"/>
          <w:szCs w:val="28"/>
        </w:rPr>
        <w:t>2020</w:t>
      </w:r>
      <w:r>
        <w:rPr>
          <w:rFonts w:ascii="Arial" w:hAnsi="Arial" w:cs="Arial" w:eastAsia="仿宋_GB2312;仿宋"/>
          <w:sz w:val="28"/>
          <w:szCs w:val="28"/>
        </w:rPr>
        <w:t>）字第</w:t>
      </w:r>
      <w:r>
        <w:rPr>
          <w:rFonts w:eastAsia="仿宋_GB2312;仿宋" w:cs="Arial" w:ascii="Arial" w:hAnsi="Arial"/>
          <w:sz w:val="28"/>
          <w:szCs w:val="28"/>
        </w:rPr>
        <w:t>1172</w:t>
      </w:r>
      <w:r>
        <w:rPr>
          <w:rFonts w:ascii="Arial" w:hAnsi="Arial" w:cs="Arial" w:eastAsia="仿宋_GB2312;仿宋"/>
          <w:sz w:val="28"/>
          <w:szCs w:val="28"/>
        </w:rPr>
        <w:t>号</w:t>
      </w:r>
      <w:r>
        <w:rPr>
          <w:rFonts w:eastAsia="仿宋_GB2312;仿宋" w:cs="Arial" w:ascii="Arial" w:hAnsi="Arial"/>
          <w:sz w:val="28"/>
          <w:szCs w:val="28"/>
        </w:rPr>
        <w:t>]</w:t>
      </w:r>
      <w:r>
        <w:rPr>
          <w:rFonts w:ascii="Arial" w:hAnsi="Arial" w:cs="Arial" w:eastAsia="仿宋_GB2312;仿宋"/>
          <w:sz w:val="28"/>
          <w:szCs w:val="28"/>
        </w:rPr>
        <w:t>，估价对象土地使用权类型为划拨，土地面积为</w:t>
      </w:r>
      <w:r>
        <w:rPr>
          <w:rFonts w:eastAsia="仿宋_GB2312;仿宋" w:cs="Arial" w:ascii="Arial" w:hAnsi="Arial"/>
          <w:sz w:val="28"/>
          <w:szCs w:val="28"/>
        </w:rPr>
        <w:t>10738.85</w:t>
      </w:r>
      <w:r>
        <w:rPr>
          <w:rFonts w:ascii="Arial" w:hAnsi="Arial" w:cs="Arial" w:eastAsia="仿宋_GB2312;仿宋"/>
          <w:sz w:val="28"/>
          <w:szCs w:val="28"/>
        </w:rPr>
        <w:t>平方米。另根据《房屋所有权证》</w:t>
      </w:r>
      <w:r>
        <w:rPr>
          <w:rFonts w:eastAsia="仿宋_GB2312;仿宋" w:cs="Arial" w:ascii="Arial" w:hAnsi="Arial"/>
          <w:sz w:val="28"/>
          <w:szCs w:val="28"/>
        </w:rPr>
        <w:t>[</w:t>
      </w:r>
      <w:r>
        <w:rPr>
          <w:rFonts w:ascii="Arial" w:hAnsi="Arial" w:cs="Arial" w:eastAsia="仿宋_GB2312;仿宋"/>
          <w:sz w:val="28"/>
          <w:szCs w:val="28"/>
        </w:rPr>
        <w:t>海全字第</w:t>
      </w:r>
      <w:r>
        <w:rPr>
          <w:rFonts w:eastAsia="仿宋_GB2312;仿宋" w:cs="Arial" w:ascii="Arial" w:hAnsi="Arial"/>
          <w:sz w:val="28"/>
          <w:szCs w:val="28"/>
        </w:rPr>
        <w:t>01614</w:t>
      </w:r>
      <w:r>
        <w:rPr>
          <w:rFonts w:ascii="Arial" w:hAnsi="Arial" w:cs="Arial" w:eastAsia="仿宋_GB2312;仿宋"/>
          <w:sz w:val="28"/>
          <w:szCs w:val="28"/>
        </w:rPr>
        <w:t>号</w:t>
      </w:r>
      <w:r>
        <w:rPr>
          <w:rFonts w:eastAsia="仿宋_GB2312;仿宋" w:cs="Arial" w:ascii="Arial" w:hAnsi="Arial"/>
          <w:sz w:val="28"/>
          <w:szCs w:val="28"/>
        </w:rPr>
        <w:t>]</w:t>
      </w:r>
      <w:r>
        <w:rPr>
          <w:rFonts w:ascii="Arial" w:hAnsi="Arial" w:cs="Arial" w:eastAsia="仿宋_GB2312;仿宋"/>
          <w:sz w:val="28"/>
          <w:szCs w:val="28"/>
        </w:rPr>
        <w:t>、</w:t>
      </w:r>
      <w:r>
        <w:rPr>
          <w:rFonts w:ascii="Arial" w:hAnsi="Arial" w:cs="Arial" w:eastAsia="仿宋_GB2312;仿宋"/>
          <w:sz w:val="28"/>
          <w:szCs w:val="28"/>
        </w:rPr>
        <w:t>《关于西三旗建材城中路</w:t>
      </w:r>
      <w:r>
        <w:rPr>
          <w:rFonts w:eastAsia="仿宋_GB2312;仿宋" w:cs="Arial" w:ascii="Arial" w:hAnsi="Arial"/>
          <w:sz w:val="28"/>
          <w:szCs w:val="28"/>
        </w:rPr>
        <w:t>2</w:t>
      </w:r>
      <w:r>
        <w:rPr>
          <w:rFonts w:ascii="Arial" w:hAnsi="Arial" w:cs="Arial" w:eastAsia="仿宋_GB2312;仿宋"/>
          <w:sz w:val="28"/>
          <w:szCs w:val="28"/>
        </w:rPr>
        <w:t>号地块收储情况说明》，估价对象</w:t>
      </w:r>
      <w:r>
        <w:rPr>
          <w:rFonts w:ascii="Arial" w:hAnsi="Arial" w:cs="Arial" w:eastAsia="仿宋_GB2312;仿宋"/>
          <w:sz w:val="28"/>
          <w:szCs w:val="28"/>
        </w:rPr>
        <w:t>建筑面积为</w:t>
      </w:r>
      <w:r>
        <w:rPr>
          <w:rFonts w:eastAsia="仿宋_GB2312;仿宋" w:cs="Arial" w:ascii="Arial" w:hAnsi="Arial"/>
          <w:sz w:val="28"/>
          <w:szCs w:val="28"/>
        </w:rPr>
        <w:t>677.9</w:t>
      </w:r>
      <w:r>
        <w:rPr>
          <w:rFonts w:ascii="Arial" w:hAnsi="Arial" w:cs="Arial" w:eastAsia="仿宋_GB2312;仿宋"/>
          <w:sz w:val="28"/>
          <w:szCs w:val="28"/>
        </w:rPr>
        <w:t>平方米，估价对象实际容积率为</w:t>
      </w:r>
      <w:r>
        <w:rPr>
          <w:rFonts w:eastAsia="仿宋_GB2312;仿宋" w:cs="Arial" w:ascii="Arial" w:hAnsi="Arial"/>
          <w:sz w:val="28"/>
          <w:szCs w:val="28"/>
        </w:rPr>
        <w:t>0.06</w:t>
      </w:r>
      <w:r>
        <w:rPr>
          <w:rFonts w:ascii="Arial" w:hAnsi="Arial" w:cs="Arial" w:eastAsia="仿宋_GB2312;仿宋"/>
          <w:sz w:val="28"/>
          <w:szCs w:val="28"/>
        </w:rPr>
        <w:t>。</w:t>
      </w:r>
    </w:p>
    <w:p>
      <w:pPr>
        <w:pStyle w:val="Normal"/>
        <w:spacing w:lineRule="auto" w:line="360"/>
        <w:ind w:firstLine="512"/>
        <w:jc w:val="both"/>
        <w:rPr>
          <w:rFonts w:ascii="Arial" w:hAnsi="Arial" w:eastAsia="仿宋_GB2312;仿宋" w:cs="Arial"/>
          <w:spacing w:val="-12"/>
          <w:sz w:val="28"/>
        </w:rPr>
      </w:pPr>
      <w:r>
        <w:rPr>
          <w:rFonts w:eastAsia="仿宋_GB2312;仿宋" w:cs="Arial" w:ascii="Arial" w:hAnsi="Arial"/>
          <w:spacing w:val="-12"/>
          <w:sz w:val="28"/>
        </w:rPr>
        <w:t>2.</w:t>
      </w:r>
      <w:r>
        <w:rPr>
          <w:rFonts w:ascii="Arial" w:hAnsi="Arial" w:cs="Arial" w:eastAsia="仿宋_GB2312;仿宋"/>
          <w:spacing w:val="-12"/>
          <w:sz w:val="28"/>
        </w:rPr>
        <w:t>土地利用现状</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w:t>
      </w:r>
      <w:r>
        <w:rPr>
          <w:rFonts w:eastAsia="仿宋_GB2312;仿宋" w:cs="Arial" w:ascii="Arial" w:hAnsi="Arial"/>
          <w:spacing w:val="-12"/>
          <w:sz w:val="28"/>
        </w:rPr>
        <w:t>1</w:t>
      </w:r>
      <w:r>
        <w:rPr>
          <w:rFonts w:ascii="Arial" w:hAnsi="Arial" w:cs="Arial" w:eastAsia="仿宋_GB2312;仿宋"/>
          <w:spacing w:val="-12"/>
          <w:sz w:val="28"/>
        </w:rPr>
        <w:t>）建筑物</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根据《房屋所有权证》</w:t>
      </w:r>
      <w:r>
        <w:rPr>
          <w:rFonts w:eastAsia="仿宋_GB2312;仿宋" w:cs="Arial" w:ascii="Arial" w:hAnsi="Arial"/>
          <w:sz w:val="28"/>
        </w:rPr>
        <w:t>[</w:t>
      </w:r>
      <w:r>
        <w:rPr>
          <w:rFonts w:ascii="Arial" w:hAnsi="Arial" w:cs="Arial" w:eastAsia="仿宋_GB2312;仿宋"/>
          <w:sz w:val="28"/>
        </w:rPr>
        <w:t>海全字第</w:t>
      </w:r>
      <w:r>
        <w:rPr>
          <w:rFonts w:eastAsia="仿宋_GB2312;仿宋" w:cs="Arial" w:ascii="Arial" w:hAnsi="Arial"/>
          <w:sz w:val="28"/>
        </w:rPr>
        <w:t>01614</w:t>
      </w:r>
      <w:r>
        <w:rPr>
          <w:rFonts w:ascii="Arial" w:hAnsi="Arial" w:cs="Arial" w:eastAsia="仿宋_GB2312;仿宋"/>
          <w:sz w:val="28"/>
        </w:rPr>
        <w:t>号</w:t>
      </w:r>
      <w:r>
        <w:rPr>
          <w:rFonts w:eastAsia="仿宋_GB2312;仿宋" w:cs="Arial" w:ascii="Arial" w:hAnsi="Arial"/>
          <w:sz w:val="28"/>
        </w:rPr>
        <w:t>]</w:t>
      </w:r>
      <w:r>
        <w:rPr>
          <w:rFonts w:eastAsia="仿宋_GB2312;仿宋" w:cs="Arial" w:ascii="Arial" w:hAnsi="Arial"/>
          <w:sz w:val="28"/>
          <w:szCs w:val="28"/>
        </w:rPr>
        <w:t xml:space="preserve"> </w:t>
      </w:r>
      <w:r>
        <w:rPr>
          <w:rFonts w:ascii="Arial" w:hAnsi="Arial" w:cs="Arial" w:eastAsia="仿宋_GB2312;仿宋"/>
          <w:sz w:val="28"/>
          <w:szCs w:val="28"/>
        </w:rPr>
        <w:t>、</w:t>
      </w:r>
      <w:r>
        <w:rPr>
          <w:rFonts w:ascii="Arial" w:hAnsi="Arial" w:cs="Arial" w:eastAsia="仿宋_GB2312;仿宋"/>
          <w:sz w:val="28"/>
          <w:szCs w:val="28"/>
        </w:rPr>
        <w:t>《关于西三旗建材城中路</w:t>
      </w:r>
      <w:r>
        <w:rPr>
          <w:rFonts w:eastAsia="仿宋_GB2312;仿宋" w:cs="Arial" w:ascii="Arial" w:hAnsi="Arial"/>
          <w:sz w:val="28"/>
          <w:szCs w:val="28"/>
        </w:rPr>
        <w:t>2</w:t>
      </w:r>
      <w:r>
        <w:rPr>
          <w:rFonts w:ascii="Arial" w:hAnsi="Arial" w:cs="Arial" w:eastAsia="仿宋_GB2312;仿宋"/>
          <w:sz w:val="28"/>
          <w:szCs w:val="28"/>
        </w:rPr>
        <w:t>号地块收储情况说明》</w:t>
      </w:r>
      <w:r>
        <w:rPr>
          <w:rFonts w:ascii="Arial" w:hAnsi="Arial" w:cs="Arial" w:eastAsia="仿宋_GB2312;仿宋"/>
          <w:sz w:val="28"/>
        </w:rPr>
        <w:t>，估价对象宗地内现存房屋建筑面积为</w:t>
      </w:r>
      <w:r>
        <w:rPr>
          <w:rFonts w:eastAsia="仿宋_GB2312;仿宋" w:cs="Arial" w:ascii="Arial" w:hAnsi="Arial"/>
          <w:sz w:val="28"/>
        </w:rPr>
        <w:t>677.9</w:t>
      </w:r>
      <w:r>
        <w:rPr>
          <w:rFonts w:ascii="Arial" w:hAnsi="Arial" w:cs="Arial" w:eastAsia="仿宋_GB2312;仿宋"/>
          <w:sz w:val="28"/>
        </w:rPr>
        <w:t>平方米。详见下表：</w:t>
      </w:r>
    </w:p>
    <w:p>
      <w:pPr>
        <w:pStyle w:val="Normal"/>
        <w:spacing w:lineRule="auto" w:line="360"/>
        <w:ind w:firstLine="482"/>
        <w:jc w:val="center"/>
        <w:rPr>
          <w:rFonts w:cs="Arial"/>
        </w:rPr>
      </w:pPr>
      <w:bookmarkStart w:id="17" w:name="_Hlk144825331"/>
      <w:r>
        <w:rPr>
          <w:rFonts w:ascii="Arial" w:hAnsi="Arial" w:cs="Arial" w:eastAsia="仿宋_GB2312;仿宋"/>
          <w:b/>
          <w:bCs/>
          <w:szCs w:val="18"/>
        </w:rPr>
        <w:t>建筑物清单</w:t>
      </w:r>
      <w:bookmarkEnd w:id="17"/>
    </w:p>
    <w:tbl>
      <w:tblPr>
        <w:tblW w:w="5770" w:type="dxa"/>
        <w:jc w:val="center"/>
        <w:tblInd w:w="0" w:type="dxa"/>
        <w:tblCellMar>
          <w:top w:w="0" w:type="dxa"/>
          <w:left w:w="108" w:type="dxa"/>
          <w:bottom w:w="0" w:type="dxa"/>
          <w:right w:w="108" w:type="dxa"/>
        </w:tblCellMar>
      </w:tblPr>
      <w:tblGrid>
        <w:gridCol w:w="1080"/>
        <w:gridCol w:w="1080"/>
        <w:gridCol w:w="1316"/>
        <w:gridCol w:w="2294"/>
      </w:tblGrid>
      <w:tr>
        <w:trPr>
          <w:trHeight w:val="315" w:hRule="atLeast"/>
        </w:trPr>
        <w:tc>
          <w:tcPr>
            <w:tcW w:w="1080"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rPr>
            </w:pPr>
            <w:r>
              <w:rPr>
                <w:rFonts w:ascii="Arial" w:hAnsi="Arial" w:cs="Arial" w:eastAsia="仿宋_GB2312;仿宋"/>
                <w:b/>
              </w:rPr>
              <w:t>楼号</w:t>
            </w:r>
          </w:p>
        </w:tc>
        <w:tc>
          <w:tcPr>
            <w:tcW w:w="1080"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rPr>
            </w:pPr>
            <w:r>
              <w:rPr>
                <w:rFonts w:ascii="Arial" w:hAnsi="Arial" w:cs="Arial" w:eastAsia="仿宋_GB2312;仿宋"/>
                <w:b/>
              </w:rPr>
              <w:t>结构</w:t>
            </w:r>
          </w:p>
        </w:tc>
        <w:tc>
          <w:tcPr>
            <w:tcW w:w="1316"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rPr>
            </w:pPr>
            <w:r>
              <w:rPr>
                <w:rFonts w:ascii="Arial" w:hAnsi="Arial" w:cs="Arial" w:eastAsia="仿宋_GB2312;仿宋"/>
                <w:b/>
              </w:rPr>
              <w:t>建成年份</w:t>
            </w:r>
          </w:p>
        </w:tc>
        <w:tc>
          <w:tcPr>
            <w:tcW w:w="22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rPr>
            </w:pPr>
            <w:r>
              <w:rPr>
                <w:rFonts w:ascii="Arial" w:hAnsi="Arial" w:cs="Arial" w:eastAsia="仿宋_GB2312;仿宋"/>
                <w:b/>
              </w:rPr>
              <w:t>建筑面积（㎡）</w:t>
            </w:r>
          </w:p>
        </w:tc>
      </w:tr>
      <w:tr>
        <w:trPr>
          <w:trHeight w:val="300" w:hRule="atLeast"/>
        </w:trPr>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25</w:t>
            </w:r>
          </w:p>
        </w:tc>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混合</w:t>
            </w:r>
          </w:p>
        </w:tc>
        <w:tc>
          <w:tcPr>
            <w:tcW w:w="131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八八</w:t>
            </w:r>
          </w:p>
        </w:tc>
        <w:tc>
          <w:tcPr>
            <w:tcW w:w="2294"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349.6</w:t>
            </w:r>
          </w:p>
        </w:tc>
      </w:tr>
      <w:tr>
        <w:trPr>
          <w:trHeight w:val="300" w:hRule="atLeast"/>
        </w:trPr>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26</w:t>
            </w:r>
          </w:p>
        </w:tc>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混合</w:t>
            </w:r>
          </w:p>
        </w:tc>
        <w:tc>
          <w:tcPr>
            <w:tcW w:w="131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八九</w:t>
            </w:r>
          </w:p>
        </w:tc>
        <w:tc>
          <w:tcPr>
            <w:tcW w:w="2294"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204.4</w:t>
            </w:r>
          </w:p>
        </w:tc>
      </w:tr>
      <w:tr>
        <w:trPr>
          <w:trHeight w:val="300" w:hRule="atLeast"/>
        </w:trPr>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39</w:t>
            </w:r>
          </w:p>
        </w:tc>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混合</w:t>
            </w:r>
          </w:p>
        </w:tc>
        <w:tc>
          <w:tcPr>
            <w:tcW w:w="131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六九</w:t>
            </w:r>
          </w:p>
        </w:tc>
        <w:tc>
          <w:tcPr>
            <w:tcW w:w="2294"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123.9</w:t>
            </w:r>
          </w:p>
        </w:tc>
      </w:tr>
      <w:tr>
        <w:trPr>
          <w:trHeight w:val="315" w:hRule="atLeast"/>
        </w:trPr>
        <w:tc>
          <w:tcPr>
            <w:tcW w:w="3476" w:type="dxa"/>
            <w:gridSpan w:val="3"/>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合计</w:t>
            </w:r>
          </w:p>
        </w:tc>
        <w:tc>
          <w:tcPr>
            <w:tcW w:w="2294"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677.9</w:t>
            </w:r>
          </w:p>
        </w:tc>
      </w:tr>
    </w:tbl>
    <w:p>
      <w:pPr>
        <w:pStyle w:val="Normal"/>
        <w:spacing w:lineRule="auto" w:line="360"/>
        <w:ind w:firstLine="420"/>
        <w:jc w:val="both"/>
        <w:rPr>
          <w:rFonts w:ascii="Arial" w:hAnsi="Arial" w:eastAsia="仿宋_GB2312;仿宋" w:cs="Arial"/>
          <w:sz w:val="21"/>
          <w:szCs w:val="21"/>
        </w:rPr>
      </w:pPr>
      <w:r>
        <w:rPr>
          <w:rFonts w:eastAsia="仿宋_GB2312;仿宋" w:cs="Arial" w:ascii="Arial" w:hAnsi="Arial"/>
          <w:sz w:val="21"/>
          <w:szCs w:val="21"/>
        </w:rPr>
      </w:r>
    </w:p>
    <w:p>
      <w:pPr>
        <w:pStyle w:val="Normal"/>
        <w:spacing w:lineRule="auto" w:line="360"/>
        <w:ind w:firstLine="512"/>
        <w:jc w:val="both"/>
        <w:rPr>
          <w:rFonts w:cs="Arial"/>
        </w:rPr>
      </w:pPr>
      <w:r>
        <w:rPr>
          <w:rFonts w:ascii="Arial" w:hAnsi="Arial" w:cs="Arial" w:eastAsia="仿宋_GB2312;仿宋"/>
          <w:spacing w:val="-12"/>
          <w:sz w:val="28"/>
        </w:rPr>
        <w:t>根据</w:t>
      </w:r>
      <w:r>
        <w:rPr>
          <w:rFonts w:eastAsia="仿宋_GB2312;仿宋" w:cs="Arial" w:ascii="Arial" w:hAnsi="Arial"/>
          <w:spacing w:val="-12"/>
          <w:sz w:val="28"/>
        </w:rPr>
        <w:t>2023</w:t>
      </w:r>
      <w:r>
        <w:rPr>
          <w:rFonts w:ascii="Arial" w:hAnsi="Arial" w:cs="Arial" w:eastAsia="仿宋_GB2312;仿宋"/>
          <w:spacing w:val="-12"/>
          <w:sz w:val="28"/>
        </w:rPr>
        <w:t>年</w:t>
      </w:r>
      <w:r>
        <w:rPr>
          <w:rFonts w:eastAsia="仿宋_GB2312;仿宋" w:cs="Arial" w:ascii="Arial" w:hAnsi="Arial"/>
          <w:spacing w:val="-12"/>
          <w:sz w:val="28"/>
        </w:rPr>
        <w:t>9</w:t>
      </w:r>
      <w:r>
        <w:rPr>
          <w:rFonts w:ascii="Arial" w:hAnsi="Arial" w:cs="Arial" w:eastAsia="仿宋_GB2312;仿宋"/>
          <w:spacing w:val="-12"/>
          <w:sz w:val="28"/>
        </w:rPr>
        <w:t>月</w:t>
      </w:r>
      <w:r>
        <w:rPr>
          <w:rFonts w:eastAsia="仿宋_GB2312;仿宋" w:cs="Arial" w:ascii="Arial" w:hAnsi="Arial"/>
          <w:spacing w:val="-12"/>
          <w:sz w:val="28"/>
        </w:rPr>
        <w:t>28</w:t>
      </w:r>
      <w:r>
        <w:rPr>
          <w:rFonts w:ascii="Arial" w:hAnsi="Arial" w:cs="Arial" w:eastAsia="仿宋_GB2312;仿宋"/>
          <w:spacing w:val="-12"/>
          <w:sz w:val="28"/>
        </w:rPr>
        <w:t>日发布的</w:t>
      </w:r>
      <w:bookmarkStart w:id="18" w:name="__DdeLink__345_1649102138"/>
      <w:r>
        <w:rPr>
          <w:rFonts w:ascii="Arial" w:hAnsi="Arial" w:cs="Arial" w:eastAsia="仿宋_GB2312;仿宋"/>
          <w:spacing w:val="-12"/>
          <w:sz w:val="28"/>
        </w:rPr>
        <w:t>《关于国有建设用地使用权收购工作有关事项的通知（试行）》</w:t>
      </w:r>
      <w:r>
        <w:rPr>
          <w:rFonts w:eastAsia="仿宋_GB2312;仿宋" w:cs="Arial" w:ascii="Arial" w:hAnsi="Arial"/>
          <w:spacing w:val="-12"/>
          <w:sz w:val="28"/>
        </w:rPr>
        <w:t>[</w:t>
      </w:r>
      <w:r>
        <w:rPr>
          <w:rFonts w:ascii="Arial" w:hAnsi="Arial" w:cs="Arial" w:eastAsia="仿宋_GB2312;仿宋"/>
          <w:spacing w:val="-12"/>
          <w:sz w:val="28"/>
        </w:rPr>
        <w:t>京规自发（</w:t>
      </w:r>
      <w:r>
        <w:rPr>
          <w:rFonts w:eastAsia="仿宋_GB2312;仿宋" w:cs="Arial" w:ascii="Arial" w:hAnsi="Arial"/>
          <w:spacing w:val="-12"/>
          <w:sz w:val="28"/>
        </w:rPr>
        <w:t>2023</w:t>
      </w:r>
      <w:r>
        <w:rPr>
          <w:rFonts w:ascii="Arial" w:hAnsi="Arial" w:cs="Arial" w:eastAsia="仿宋_GB2312;仿宋"/>
          <w:spacing w:val="-12"/>
          <w:sz w:val="28"/>
        </w:rPr>
        <w:t>）</w:t>
      </w:r>
      <w:r>
        <w:rPr>
          <w:rFonts w:eastAsia="仿宋_GB2312;仿宋" w:cs="Arial" w:ascii="Arial" w:hAnsi="Arial"/>
          <w:spacing w:val="-12"/>
          <w:sz w:val="28"/>
        </w:rPr>
        <w:t>264</w:t>
      </w:r>
      <w:r>
        <w:rPr>
          <w:rFonts w:ascii="Arial" w:hAnsi="Arial" w:cs="Arial" w:eastAsia="仿宋_GB2312;仿宋"/>
          <w:spacing w:val="-12"/>
          <w:sz w:val="28"/>
        </w:rPr>
        <w:t>号</w:t>
      </w:r>
      <w:r>
        <w:rPr>
          <w:rFonts w:eastAsia="仿宋_GB2312;仿宋" w:cs="Arial" w:ascii="Arial" w:hAnsi="Arial"/>
          <w:spacing w:val="-12"/>
          <w:sz w:val="28"/>
        </w:rPr>
        <w:t>]</w:t>
      </w:r>
      <w:bookmarkEnd w:id="18"/>
      <w:r>
        <w:rPr>
          <w:rFonts w:ascii="Arial" w:hAnsi="Arial" w:cs="Arial" w:eastAsia="仿宋_GB2312;仿宋"/>
          <w:spacing w:val="-12"/>
          <w:sz w:val="28"/>
        </w:rPr>
        <w:t>相关要求</w:t>
      </w:r>
      <w:r>
        <w:rPr>
          <w:rFonts w:ascii="Arial" w:hAnsi="Arial" w:cs="Arial" w:eastAsia="仿宋_GB2312;仿宋"/>
          <w:spacing w:val="-12"/>
          <w:sz w:val="28"/>
        </w:rPr>
        <w:t>，委托方于近日对估价对象进行了实地</w:t>
      </w:r>
      <w:r>
        <w:rPr>
          <w:rFonts w:ascii="Arial" w:hAnsi="Arial" w:cs="Arial" w:eastAsia="仿宋_GB2312;仿宋"/>
          <w:spacing w:val="-12"/>
          <w:sz w:val="28"/>
        </w:rPr>
        <w:t>踏勘</w:t>
      </w:r>
      <w:r>
        <w:rPr>
          <w:rFonts w:ascii="Arial" w:hAnsi="Arial" w:cs="Arial" w:eastAsia="仿宋_GB2312;仿宋"/>
          <w:spacing w:val="-12"/>
          <w:sz w:val="28"/>
        </w:rPr>
        <w:t>，并由</w:t>
      </w:r>
      <w:r>
        <w:rPr>
          <w:rFonts w:ascii="Arial" w:hAnsi="Arial" w:cs="Arial" w:eastAsia="仿宋_GB2312;仿宋"/>
          <w:spacing w:val="-12"/>
          <w:sz w:val="28"/>
        </w:rPr>
        <w:t>河北省地理信息集团有限公司</w:t>
      </w:r>
      <w:r>
        <w:rPr>
          <w:rFonts w:ascii="Arial" w:hAnsi="Arial" w:cs="Arial" w:eastAsia="仿宋_GB2312;仿宋"/>
          <w:spacing w:val="-12"/>
          <w:sz w:val="28"/>
        </w:rPr>
        <w:t>出具了《</w:t>
      </w:r>
      <w:r>
        <w:rPr>
          <w:rFonts w:ascii="Arial" w:hAnsi="Arial" w:cs="Arial" w:eastAsia="仿宋_GB2312;仿宋"/>
          <w:spacing w:val="-12"/>
          <w:sz w:val="28"/>
        </w:rPr>
        <w:t>海淀区北京五星青岛啤酒有限公司用地项目地形及地上物测绘技术报告书</w:t>
      </w:r>
      <w:r>
        <w:rPr>
          <w:rFonts w:ascii="Arial" w:hAnsi="Arial" w:cs="Arial" w:eastAsia="仿宋_GB2312;仿宋"/>
          <w:spacing w:val="-12"/>
          <w:sz w:val="28"/>
        </w:rPr>
        <w:t>》，实测面积为</w:t>
      </w:r>
      <w:r>
        <w:rPr>
          <w:rFonts w:eastAsia="仿宋_GB2312;仿宋" w:cs="Arial" w:ascii="Arial" w:hAnsi="Arial"/>
          <w:spacing w:val="-12"/>
          <w:sz w:val="28"/>
        </w:rPr>
        <w:t>761.963</w:t>
      </w:r>
      <w:r>
        <w:rPr>
          <w:rFonts w:ascii="Arial" w:hAnsi="Arial" w:cs="Arial" w:eastAsia="仿宋_GB2312;仿宋"/>
          <w:spacing w:val="-12"/>
          <w:sz w:val="28"/>
        </w:rPr>
        <w:t>平方米。根据《房屋所有权证》</w:t>
      </w:r>
      <w:r>
        <w:rPr>
          <w:rFonts w:eastAsia="仿宋_GB2312;仿宋" w:cs="Arial" w:ascii="Arial" w:hAnsi="Arial"/>
          <w:spacing w:val="-12"/>
          <w:sz w:val="28"/>
        </w:rPr>
        <w:t>[</w:t>
      </w:r>
      <w:r>
        <w:rPr>
          <w:rFonts w:ascii="Arial" w:hAnsi="Arial" w:cs="Arial" w:eastAsia="仿宋_GB2312;仿宋"/>
          <w:spacing w:val="-12"/>
          <w:sz w:val="28"/>
        </w:rPr>
        <w:t>海全字第</w:t>
      </w:r>
      <w:r>
        <w:rPr>
          <w:rFonts w:eastAsia="仿宋_GB2312;仿宋" w:cs="Arial" w:ascii="Arial" w:hAnsi="Arial"/>
          <w:spacing w:val="-12"/>
          <w:sz w:val="28"/>
        </w:rPr>
        <w:t>01614</w:t>
      </w:r>
      <w:r>
        <w:rPr>
          <w:rFonts w:ascii="Arial" w:hAnsi="Arial" w:cs="Arial" w:eastAsia="仿宋_GB2312;仿宋"/>
          <w:spacing w:val="-12"/>
          <w:sz w:val="28"/>
        </w:rPr>
        <w:t>号</w:t>
      </w:r>
      <w:r>
        <w:rPr>
          <w:rFonts w:eastAsia="仿宋_GB2312;仿宋" w:cs="Arial" w:ascii="Arial" w:hAnsi="Arial"/>
          <w:spacing w:val="-12"/>
          <w:sz w:val="28"/>
        </w:rPr>
        <w:t>]</w:t>
      </w:r>
      <w:r>
        <w:rPr>
          <w:rFonts w:eastAsia="仿宋_GB2312;仿宋" w:cs="Arial" w:ascii="Arial" w:hAnsi="Arial"/>
          <w:spacing w:val="-12"/>
          <w:sz w:val="28"/>
          <w:szCs w:val="28"/>
        </w:rPr>
        <w:t xml:space="preserve"> </w:t>
      </w:r>
      <w:r>
        <w:rPr>
          <w:rFonts w:ascii="Arial" w:hAnsi="Arial" w:cs="Arial" w:eastAsia="仿宋_GB2312;仿宋"/>
          <w:spacing w:val="-12"/>
          <w:sz w:val="28"/>
          <w:szCs w:val="28"/>
        </w:rPr>
        <w:t>、</w:t>
      </w:r>
      <w:r>
        <w:rPr>
          <w:rFonts w:ascii="Arial" w:hAnsi="Arial" w:cs="Arial" w:eastAsia="仿宋_GB2312;仿宋"/>
          <w:spacing w:val="-12"/>
          <w:sz w:val="28"/>
          <w:szCs w:val="28"/>
        </w:rPr>
        <w:t>《关于西三旗建材城中路</w:t>
      </w:r>
      <w:r>
        <w:rPr>
          <w:rFonts w:eastAsia="仿宋_GB2312;仿宋" w:cs="Arial" w:ascii="Arial" w:hAnsi="Arial"/>
          <w:spacing w:val="-12"/>
          <w:sz w:val="28"/>
          <w:szCs w:val="28"/>
        </w:rPr>
        <w:t>2</w:t>
      </w:r>
      <w:r>
        <w:rPr>
          <w:rFonts w:ascii="Arial" w:hAnsi="Arial" w:cs="Arial" w:eastAsia="仿宋_GB2312;仿宋"/>
          <w:spacing w:val="-12"/>
          <w:sz w:val="28"/>
          <w:szCs w:val="28"/>
        </w:rPr>
        <w:t>号地块收储情况说明》</w:t>
      </w:r>
      <w:r>
        <w:rPr>
          <w:rFonts w:ascii="Arial" w:hAnsi="Arial" w:cs="Arial" w:eastAsia="仿宋_GB2312;仿宋"/>
          <w:spacing w:val="-12"/>
          <w:sz w:val="28"/>
        </w:rPr>
        <w:t>，估价对象宗地内现存房屋建筑面积为</w:t>
      </w:r>
      <w:r>
        <w:rPr>
          <w:rFonts w:eastAsia="仿宋_GB2312;仿宋" w:cs="Arial" w:ascii="Arial" w:hAnsi="Arial"/>
          <w:spacing w:val="-12"/>
          <w:sz w:val="28"/>
        </w:rPr>
        <w:t>677.9</w:t>
      </w:r>
      <w:r>
        <w:rPr>
          <w:rFonts w:ascii="Arial" w:hAnsi="Arial" w:cs="Arial" w:eastAsia="仿宋_GB2312;仿宋"/>
          <w:spacing w:val="-12"/>
          <w:sz w:val="28"/>
        </w:rPr>
        <w:t>平方米，</w:t>
      </w:r>
      <w:r>
        <w:rPr>
          <w:rFonts w:ascii="Arial" w:hAnsi="Arial" w:cs="Arial" w:eastAsia="仿宋_GB2312;仿宋"/>
          <w:spacing w:val="-12"/>
          <w:sz w:val="28"/>
        </w:rPr>
        <w:t>详见下表</w:t>
      </w:r>
      <w:r>
        <w:rPr>
          <w:rFonts w:eastAsia="仿宋_GB2312;仿宋" w:cs="Arial" w:ascii="Arial" w:hAnsi="Arial"/>
          <w:spacing w:val="-12"/>
          <w:sz w:val="28"/>
        </w:rPr>
        <w:t>:</w:t>
      </w:r>
    </w:p>
    <w:tbl>
      <w:tblPr>
        <w:tblW w:w="5970" w:type="dxa"/>
        <w:jc w:val="center"/>
        <w:tblInd w:w="0" w:type="dxa"/>
        <w:tblCellMar>
          <w:top w:w="0" w:type="dxa"/>
          <w:left w:w="108" w:type="dxa"/>
          <w:bottom w:w="0" w:type="dxa"/>
          <w:right w:w="108" w:type="dxa"/>
        </w:tblCellMar>
      </w:tblPr>
      <w:tblGrid>
        <w:gridCol w:w="920"/>
        <w:gridCol w:w="2440"/>
        <w:gridCol w:w="2610"/>
      </w:tblGrid>
      <w:tr>
        <w:trPr>
          <w:trHeight w:val="285" w:hRule="atLeast"/>
        </w:trPr>
        <w:tc>
          <w:tcPr>
            <w:tcW w:w="920"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pacing w:val="-12"/>
                <w:szCs w:val="18"/>
              </w:rPr>
            </w:pPr>
            <w:r>
              <w:rPr>
                <w:rFonts w:ascii="Arial" w:hAnsi="Arial" w:cs="Arial" w:eastAsia="仿宋_GB2312;仿宋"/>
                <w:spacing w:val="-12"/>
                <w:szCs w:val="18"/>
              </w:rPr>
              <w:t>序号</w:t>
            </w:r>
          </w:p>
        </w:tc>
        <w:tc>
          <w:tcPr>
            <w:tcW w:w="2440"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pacing w:val="-12"/>
                <w:szCs w:val="18"/>
              </w:rPr>
            </w:pPr>
            <w:r>
              <w:rPr>
                <w:rFonts w:ascii="Arial" w:hAnsi="Arial" w:cs="Arial" w:eastAsia="仿宋_GB2312;仿宋"/>
                <w:spacing w:val="-12"/>
                <w:szCs w:val="18"/>
              </w:rPr>
              <w:t>证载建筑面积（㎡）</w:t>
            </w:r>
          </w:p>
        </w:tc>
        <w:tc>
          <w:tcPr>
            <w:tcW w:w="261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jc w:val="center"/>
              <w:rPr>
                <w:rFonts w:ascii="Arial" w:hAnsi="Arial" w:eastAsia="仿宋_GB2312;仿宋" w:cs="Arial"/>
                <w:spacing w:val="-12"/>
                <w:szCs w:val="18"/>
              </w:rPr>
            </w:pPr>
            <w:r>
              <w:rPr>
                <w:rFonts w:ascii="Arial" w:hAnsi="Arial" w:cs="Arial" w:eastAsia="仿宋_GB2312;仿宋"/>
                <w:spacing w:val="-12"/>
                <w:szCs w:val="18"/>
              </w:rPr>
              <w:t>实测建筑面积（㎡）</w:t>
            </w:r>
          </w:p>
        </w:tc>
      </w:tr>
      <w:tr>
        <w:trPr>
          <w:trHeight w:val="300" w:hRule="atLeast"/>
        </w:trPr>
        <w:tc>
          <w:tcPr>
            <w:tcW w:w="920" w:type="dxa"/>
            <w:tcBorders>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1</w:t>
            </w:r>
          </w:p>
        </w:tc>
        <w:tc>
          <w:tcPr>
            <w:tcW w:w="2440" w:type="dxa"/>
            <w:tcBorders>
              <w:left w:val="single" w:sz="4" w:space="0" w:color="000000"/>
              <w:bottom w:val="single" w:sz="4" w:space="0" w:color="000000"/>
            </w:tcBorders>
            <w:shd w:fill="auto" w:val="clea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349.6</w:t>
            </w:r>
          </w:p>
        </w:tc>
        <w:tc>
          <w:tcPr>
            <w:tcW w:w="2610" w:type="dxa"/>
            <w:tcBorders>
              <w:left w:val="single" w:sz="4" w:space="0" w:color="000000"/>
              <w:bottom w:val="single" w:sz="4" w:space="0" w:color="000000"/>
              <w:right w:val="single" w:sz="4" w:space="0" w:color="000000"/>
            </w:tcBorders>
            <w:shd w:fill="FFFFFF" w:val="clea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389.479</w:t>
            </w:r>
          </w:p>
        </w:tc>
      </w:tr>
      <w:tr>
        <w:trPr>
          <w:trHeight w:val="300" w:hRule="atLeast"/>
        </w:trPr>
        <w:tc>
          <w:tcPr>
            <w:tcW w:w="920" w:type="dxa"/>
            <w:tcBorders>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2</w:t>
            </w:r>
          </w:p>
        </w:tc>
        <w:tc>
          <w:tcPr>
            <w:tcW w:w="2440" w:type="dxa"/>
            <w:tcBorders>
              <w:left w:val="single" w:sz="4" w:space="0" w:color="000000"/>
              <w:bottom w:val="single" w:sz="4" w:space="0" w:color="000000"/>
            </w:tcBorders>
            <w:shd w:fill="auto" w:val="clea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204.4</w:t>
            </w:r>
          </w:p>
        </w:tc>
        <w:tc>
          <w:tcPr>
            <w:tcW w:w="2610" w:type="dxa"/>
            <w:tcBorders>
              <w:left w:val="single" w:sz="4" w:space="0" w:color="000000"/>
              <w:bottom w:val="single" w:sz="4" w:space="0" w:color="000000"/>
              <w:right w:val="single" w:sz="4" w:space="0" w:color="000000"/>
            </w:tcBorders>
            <w:shd w:fill="FFFFFF" w:val="clea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217.219</w:t>
            </w:r>
          </w:p>
        </w:tc>
      </w:tr>
      <w:tr>
        <w:trPr>
          <w:trHeight w:val="300" w:hRule="atLeast"/>
        </w:trPr>
        <w:tc>
          <w:tcPr>
            <w:tcW w:w="920" w:type="dxa"/>
            <w:tcBorders>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3</w:t>
            </w:r>
          </w:p>
        </w:tc>
        <w:tc>
          <w:tcPr>
            <w:tcW w:w="2440" w:type="dxa"/>
            <w:tcBorders>
              <w:left w:val="single" w:sz="4" w:space="0" w:color="000000"/>
              <w:bottom w:val="single" w:sz="4" w:space="0" w:color="000000"/>
            </w:tcBorders>
            <w:shd w:fill="auto" w:val="clea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123.9</w:t>
            </w:r>
          </w:p>
        </w:tc>
        <w:tc>
          <w:tcPr>
            <w:tcW w:w="2610" w:type="dxa"/>
            <w:tcBorders>
              <w:left w:val="single" w:sz="4" w:space="0" w:color="000000"/>
              <w:bottom w:val="single" w:sz="4" w:space="0" w:color="000000"/>
              <w:right w:val="single" w:sz="4" w:space="0" w:color="000000"/>
            </w:tcBorders>
            <w:shd w:fill="FFFFFF" w:val="clea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138.968</w:t>
            </w:r>
          </w:p>
        </w:tc>
      </w:tr>
      <w:tr>
        <w:trPr>
          <w:trHeight w:val="300" w:hRule="atLeast"/>
        </w:trPr>
        <w:tc>
          <w:tcPr>
            <w:tcW w:w="920" w:type="dxa"/>
            <w:tcBorders>
              <w:left w:val="single" w:sz="4" w:space="0" w:color="000000"/>
              <w:bottom w:val="single" w:sz="4" w:space="0" w:color="000000"/>
            </w:tcBorders>
            <w:shd w:fill="auto" w:val="clear"/>
            <w:vAlign w:val="center"/>
          </w:tcPr>
          <w:p>
            <w:pPr>
              <w:pStyle w:val="Normal"/>
              <w:widowControl/>
              <w:jc w:val="center"/>
              <w:rPr/>
            </w:pPr>
            <w:r>
              <w:rPr>
                <w:rFonts w:ascii="Arial" w:hAnsi="Arial" w:cs="Arial" w:eastAsia="仿宋_GB2312;仿宋"/>
                <w:spacing w:val="-12"/>
                <w:szCs w:val="18"/>
              </w:rPr>
              <w:t>其他</w:t>
            </w:r>
            <w:r>
              <w:rPr>
                <w:rFonts w:eastAsia="仿宋_GB2312;仿宋" w:cs="Arial" w:ascii="Arial" w:hAnsi="Arial"/>
                <w:spacing w:val="-12"/>
                <w:szCs w:val="18"/>
              </w:rPr>
              <w:t>1</w:t>
            </w:r>
          </w:p>
        </w:tc>
        <w:tc>
          <w:tcPr>
            <w:tcW w:w="2440" w:type="dxa"/>
            <w:tcBorders>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pacing w:val="-12"/>
                <w:szCs w:val="18"/>
              </w:rPr>
            </w:pPr>
            <w:r>
              <w:rPr>
                <w:rFonts w:ascii="Arial" w:hAnsi="Arial" w:cs="Arial" w:eastAsia="仿宋_GB2312;仿宋"/>
                <w:spacing w:val="-12"/>
                <w:szCs w:val="18"/>
              </w:rPr>
              <w:t>无权属</w:t>
            </w:r>
          </w:p>
        </w:tc>
        <w:tc>
          <w:tcPr>
            <w:tcW w:w="2610" w:type="dxa"/>
            <w:tcBorders>
              <w:left w:val="single" w:sz="4" w:space="0" w:color="000000"/>
              <w:bottom w:val="single" w:sz="4" w:space="0" w:color="000000"/>
              <w:right w:val="single" w:sz="4" w:space="0" w:color="000000"/>
            </w:tcBorders>
            <w:shd w:fill="FFFFFF" w:val="clear"/>
          </w:tcPr>
          <w:p>
            <w:pPr>
              <w:pStyle w:val="Normal"/>
              <w:jc w:val="center"/>
              <w:rPr>
                <w:rFonts w:ascii="Arial" w:hAnsi="Arial" w:eastAsia="仿宋_GB2312;仿宋" w:cs="Arial"/>
                <w:spacing w:val="-12"/>
                <w:szCs w:val="18"/>
              </w:rPr>
            </w:pPr>
            <w:r>
              <w:rPr>
                <w:rFonts w:eastAsia="仿宋_GB2312;仿宋" w:cs="Arial" w:ascii="Arial" w:hAnsi="Arial"/>
                <w:spacing w:val="-12"/>
                <w:szCs w:val="18"/>
              </w:rPr>
              <w:t>8.026</w:t>
            </w:r>
          </w:p>
        </w:tc>
      </w:tr>
      <w:tr>
        <w:trPr>
          <w:trHeight w:val="300" w:hRule="atLeast"/>
        </w:trPr>
        <w:tc>
          <w:tcPr>
            <w:tcW w:w="920" w:type="dxa"/>
            <w:tcBorders>
              <w:left w:val="single" w:sz="4" w:space="0" w:color="000000"/>
              <w:bottom w:val="single" w:sz="4" w:space="0" w:color="000000"/>
            </w:tcBorders>
            <w:shd w:fill="auto" w:val="clear"/>
            <w:vAlign w:val="center"/>
          </w:tcPr>
          <w:p>
            <w:pPr>
              <w:pStyle w:val="Normal"/>
              <w:widowControl/>
              <w:jc w:val="center"/>
              <w:rPr/>
            </w:pPr>
            <w:r>
              <w:rPr>
                <w:rFonts w:ascii="Arial" w:hAnsi="Arial" w:cs="Arial" w:eastAsia="仿宋_GB2312;仿宋"/>
                <w:spacing w:val="-12"/>
                <w:szCs w:val="18"/>
              </w:rPr>
              <w:t>其他</w:t>
            </w:r>
            <w:r>
              <w:rPr>
                <w:rFonts w:eastAsia="仿宋_GB2312;仿宋" w:cs="Arial" w:ascii="Arial" w:hAnsi="Arial"/>
                <w:spacing w:val="-12"/>
                <w:szCs w:val="18"/>
              </w:rPr>
              <w:t>2</w:t>
            </w:r>
          </w:p>
        </w:tc>
        <w:tc>
          <w:tcPr>
            <w:tcW w:w="2440" w:type="dxa"/>
            <w:tcBorders>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pacing w:val="-12"/>
                <w:szCs w:val="18"/>
              </w:rPr>
            </w:pPr>
            <w:r>
              <w:rPr>
                <w:rFonts w:ascii="Arial" w:hAnsi="Arial" w:cs="Arial" w:eastAsia="仿宋_GB2312;仿宋"/>
                <w:spacing w:val="-12"/>
                <w:szCs w:val="18"/>
              </w:rPr>
              <w:t>无权属</w:t>
            </w:r>
          </w:p>
        </w:tc>
        <w:tc>
          <w:tcPr>
            <w:tcW w:w="2610" w:type="dxa"/>
            <w:tcBorders>
              <w:left w:val="single" w:sz="4" w:space="0" w:color="000000"/>
              <w:bottom w:val="single" w:sz="4" w:space="0" w:color="000000"/>
              <w:right w:val="single" w:sz="4" w:space="0" w:color="000000"/>
            </w:tcBorders>
            <w:shd w:fill="FFFFFF" w:val="clear"/>
          </w:tcPr>
          <w:p>
            <w:pPr>
              <w:pStyle w:val="Normal"/>
              <w:jc w:val="center"/>
              <w:rPr>
                <w:rFonts w:ascii="Arial" w:hAnsi="Arial" w:eastAsia="仿宋_GB2312;仿宋" w:cs="Arial"/>
                <w:spacing w:val="-12"/>
                <w:szCs w:val="18"/>
              </w:rPr>
            </w:pPr>
            <w:r>
              <w:rPr>
                <w:rFonts w:eastAsia="仿宋_GB2312;仿宋" w:cs="Arial" w:ascii="Arial" w:hAnsi="Arial"/>
                <w:spacing w:val="-12"/>
                <w:szCs w:val="18"/>
              </w:rPr>
              <w:t>8.271</w:t>
            </w:r>
          </w:p>
        </w:tc>
      </w:tr>
      <w:tr>
        <w:trPr>
          <w:trHeight w:val="300" w:hRule="atLeast"/>
        </w:trPr>
        <w:tc>
          <w:tcPr>
            <w:tcW w:w="920" w:type="dxa"/>
            <w:tcBorders>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b/>
                <w:b/>
                <w:bCs/>
                <w:spacing w:val="-12"/>
                <w:szCs w:val="18"/>
              </w:rPr>
            </w:pPr>
            <w:r>
              <w:rPr>
                <w:rFonts w:ascii="Arial" w:hAnsi="Arial" w:cs="Arial" w:eastAsia="仿宋_GB2312;仿宋"/>
                <w:b/>
                <w:bCs/>
                <w:spacing w:val="-12"/>
                <w:szCs w:val="18"/>
              </w:rPr>
              <w:t>合计</w:t>
            </w:r>
          </w:p>
        </w:tc>
        <w:tc>
          <w:tcPr>
            <w:tcW w:w="2440" w:type="dxa"/>
            <w:tcBorders>
              <w:left w:val="single" w:sz="4" w:space="0" w:color="000000"/>
              <w:bottom w:val="single" w:sz="4" w:space="0" w:color="000000"/>
            </w:tcBorders>
            <w:shd w:fill="auto" w:val="clear"/>
            <w:vAlign w:val="center"/>
          </w:tcPr>
          <w:p>
            <w:pPr>
              <w:pStyle w:val="Normal"/>
              <w:widowControl/>
              <w:jc w:val="center"/>
              <w:rPr/>
            </w:pPr>
            <w:r>
              <w:rPr>
                <w:rFonts w:eastAsia="仿宋_GB2312;仿宋" w:cs="Arial" w:ascii="Arial" w:hAnsi="Arial"/>
                <w:b/>
                <w:bCs/>
                <w:spacing w:val="-12"/>
                <w:szCs w:val="18"/>
              </w:rPr>
              <w:t>677.9</w:t>
            </w:r>
          </w:p>
        </w:tc>
        <w:tc>
          <w:tcPr>
            <w:tcW w:w="2610" w:type="dxa"/>
            <w:tcBorders>
              <w:left w:val="single" w:sz="4" w:space="0" w:color="000000"/>
              <w:bottom w:val="single" w:sz="4" w:space="0" w:color="000000"/>
              <w:right w:val="single" w:sz="4" w:space="0" w:color="000000"/>
            </w:tcBorders>
            <w:shd w:fill="auto" w:val="clear"/>
            <w:vAlign w:val="center"/>
          </w:tcPr>
          <w:p>
            <w:pPr>
              <w:pStyle w:val="Normal"/>
              <w:widowControl/>
              <w:jc w:val="center"/>
              <w:rPr>
                <w:rFonts w:ascii="Arial" w:hAnsi="Arial" w:eastAsia="仿宋_GB2312;仿宋" w:cs="Arial"/>
                <w:b/>
                <w:b/>
                <w:bCs/>
                <w:spacing w:val="-12"/>
                <w:szCs w:val="18"/>
              </w:rPr>
            </w:pPr>
            <w:r>
              <w:rPr>
                <w:rFonts w:eastAsia="仿宋_GB2312;仿宋" w:cs="Arial" w:ascii="Arial" w:hAnsi="Arial"/>
                <w:b/>
                <w:bCs/>
                <w:spacing w:val="-12"/>
                <w:szCs w:val="18"/>
              </w:rPr>
              <w:t>761.963</w:t>
            </w:r>
          </w:p>
        </w:tc>
      </w:tr>
    </w:tbl>
    <w:p>
      <w:pPr>
        <w:pStyle w:val="Normal"/>
        <w:spacing w:lineRule="auto" w:line="360" w:before="120" w:after="0"/>
        <w:ind w:firstLine="512"/>
        <w:rPr>
          <w:rFonts w:ascii="Arial" w:hAnsi="Arial" w:eastAsia="仿宋_GB2312;仿宋" w:cs="Arial"/>
          <w:spacing w:val="-12"/>
          <w:sz w:val="28"/>
        </w:rPr>
      </w:pPr>
      <w:r>
        <w:rPr>
          <w:rFonts w:ascii="Arial" w:hAnsi="Arial" w:cs="Arial" w:eastAsia="仿宋_GB2312;仿宋"/>
          <w:spacing w:val="-12"/>
          <w:sz w:val="28"/>
        </w:rPr>
        <w:t>根据上表，实测建筑面积与证载面积存在一定差异，其中</w:t>
      </w:r>
      <w:r>
        <w:rPr>
          <w:rFonts w:eastAsia="仿宋_GB2312;仿宋" w:cs="Arial" w:ascii="Arial" w:hAnsi="Arial"/>
          <w:spacing w:val="-12"/>
          <w:sz w:val="28"/>
        </w:rPr>
        <w:t>1</w:t>
      </w:r>
      <w:r>
        <w:rPr>
          <w:rFonts w:eastAsia="仿宋_GB2312;仿宋" w:cs="Arial" w:ascii="Arial" w:hAnsi="Arial"/>
          <w:spacing w:val="-12"/>
          <w:sz w:val="28"/>
        </w:rPr>
        <w:t>-3</w:t>
      </w:r>
      <w:r>
        <w:rPr>
          <w:rFonts w:ascii="Arial" w:hAnsi="Arial" w:cs="Arial" w:eastAsia="仿宋_GB2312;仿宋"/>
          <w:spacing w:val="-12"/>
          <w:sz w:val="28"/>
        </w:rPr>
        <w:t>号为估价对象证载房屋，其他</w:t>
      </w:r>
      <w:r>
        <w:rPr>
          <w:rFonts w:eastAsia="仿宋_GB2312;仿宋" w:cs="Arial" w:ascii="Arial" w:hAnsi="Arial"/>
          <w:spacing w:val="-12"/>
          <w:sz w:val="28"/>
        </w:rPr>
        <w:t>1</w:t>
      </w:r>
      <w:r>
        <w:rPr>
          <w:rFonts w:ascii="Arial" w:hAnsi="Arial" w:cs="Arial" w:eastAsia="仿宋_GB2312;仿宋"/>
          <w:spacing w:val="-12"/>
          <w:sz w:val="28"/>
        </w:rPr>
        <w:t>、</w:t>
      </w:r>
      <w:r>
        <w:rPr>
          <w:rFonts w:eastAsia="仿宋_GB2312;仿宋" w:cs="Arial" w:ascii="Arial" w:hAnsi="Arial"/>
          <w:spacing w:val="-12"/>
          <w:sz w:val="28"/>
        </w:rPr>
        <w:t>2</w:t>
      </w:r>
      <w:r>
        <w:rPr>
          <w:rFonts w:ascii="Arial" w:hAnsi="Arial" w:cs="Arial" w:eastAsia="仿宋_GB2312;仿宋"/>
          <w:spacing w:val="-12"/>
          <w:sz w:val="28"/>
        </w:rPr>
        <w:t>为现状新增建筑物。</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依照《北京市企业国有建设用地使用权收购</w:t>
      </w:r>
      <w:r>
        <w:rPr>
          <w:rFonts w:ascii="Arial" w:hAnsi="Arial" w:cs="Arial" w:eastAsia="仿宋_GB2312;仿宋"/>
          <w:spacing w:val="-12"/>
          <w:sz w:val="28"/>
        </w:rPr>
        <w:t>补偿价格评技术指引》，关于“用途及面积认定”，“企业国有建设用地使用权收购补偿价格应当按照合法用途和面积进行评估。当实际用途、面积与合法用途、面积不一致时，以合法用途、面积为准”。故此，我们在评估报告中依照估价对象的合法权属文件进行评估。</w:t>
      </w:r>
    </w:p>
    <w:p>
      <w:pPr>
        <w:pStyle w:val="Normal"/>
        <w:spacing w:lineRule="auto" w:line="360"/>
        <w:ind w:firstLine="512"/>
        <w:jc w:val="both"/>
        <w:rPr>
          <w:rFonts w:eastAsia="仿宋_GB2312;仿宋"/>
        </w:rPr>
      </w:pPr>
      <w:r>
        <w:rPr>
          <w:rFonts w:ascii="Arial" w:hAnsi="Arial" w:cs="Arial" w:eastAsia="仿宋_GB2312;仿宋"/>
          <w:spacing w:val="-12"/>
          <w:sz w:val="28"/>
        </w:rPr>
        <w:t>（</w:t>
      </w:r>
      <w:r>
        <w:rPr>
          <w:rFonts w:eastAsia="仿宋_GB2312;仿宋" w:cs="Arial" w:ascii="Arial" w:hAnsi="Arial"/>
          <w:spacing w:val="-12"/>
          <w:sz w:val="28"/>
        </w:rPr>
        <w:t>2</w:t>
      </w:r>
      <w:r>
        <w:rPr>
          <w:rFonts w:ascii="Arial" w:hAnsi="Arial" w:cs="Arial" w:eastAsia="仿宋_GB2312;仿宋"/>
          <w:spacing w:val="-12"/>
          <w:sz w:val="28"/>
        </w:rPr>
        <w:t>）</w:t>
      </w:r>
      <w:r>
        <w:rPr>
          <w:rFonts w:eastAsia="仿宋_GB2312;仿宋" w:cs="Arial" w:ascii="Arial" w:hAnsi="Arial"/>
          <w:spacing w:val="-12"/>
          <w:sz w:val="28"/>
        </w:rPr>
        <w:tab/>
      </w:r>
      <w:r>
        <w:rPr>
          <w:rFonts w:ascii="Arial" w:hAnsi="Arial" w:cs="Arial" w:eastAsia="仿宋_GB2312;仿宋"/>
          <w:spacing w:val="-12"/>
          <w:sz w:val="28"/>
        </w:rPr>
        <w:t>附属物、设施设备情况</w:t>
      </w:r>
      <w:r>
        <w:rPr>
          <w:rFonts w:ascii="Arial" w:hAnsi="Arial" w:cs="Arial" w:eastAsia="Arial"/>
          <w:spacing w:val="-12"/>
          <w:sz w:val="28"/>
        </w:rPr>
        <w:t xml:space="preserve"> </w:t>
      </w:r>
    </w:p>
    <w:p>
      <w:pPr>
        <w:pStyle w:val="Normal"/>
        <w:spacing w:lineRule="auto" w:line="360"/>
        <w:ind w:firstLine="512"/>
        <w:jc w:val="both"/>
        <w:rPr/>
      </w:pPr>
      <w:r>
        <w:rPr>
          <w:rFonts w:ascii="Arial" w:hAnsi="Arial" w:cs="Arial" w:eastAsia="仿宋_GB2312;仿宋"/>
          <w:spacing w:val="-12"/>
          <w:sz w:val="28"/>
        </w:rPr>
        <w:t>根据委托估价方提供资料以及评估专业人员实地查勘，宗地现状为工业，配套的附属物、设施设备情况如下：</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宗地内涉院</w:t>
      </w:r>
      <w:r>
        <w:rPr>
          <w:rFonts w:ascii="Arial" w:hAnsi="Arial" w:cs="Arial" w:eastAsia="仿宋_GB2312;仿宋"/>
          <w:spacing w:val="-12"/>
          <w:sz w:val="28"/>
        </w:rPr>
        <w:t>地</w:t>
      </w:r>
      <w:r>
        <w:rPr>
          <w:rFonts w:ascii="Arial" w:hAnsi="Arial" w:cs="Arial" w:eastAsia="仿宋_GB2312;仿宋"/>
          <w:spacing w:val="-12"/>
          <w:sz w:val="28"/>
        </w:rPr>
        <w:t>等附属物；</w:t>
      </w:r>
      <w:r>
        <w:rPr>
          <w:rFonts w:ascii="Arial" w:hAnsi="Arial" w:cs="Arial" w:eastAsia="仿宋_GB2312;仿宋"/>
          <w:spacing w:val="-12"/>
          <w:sz w:val="28"/>
        </w:rPr>
        <w:t>柳</w:t>
      </w:r>
      <w:r>
        <w:rPr>
          <w:rFonts w:ascii="Arial" w:hAnsi="Arial" w:cs="Arial" w:eastAsia="仿宋_GB2312;仿宋"/>
          <w:spacing w:val="-12"/>
          <w:sz w:val="28"/>
        </w:rPr>
        <w:t>树、杨树等树木</w:t>
      </w:r>
      <w:r>
        <w:rPr>
          <w:rFonts w:ascii="Arial" w:hAnsi="Arial" w:cs="Arial" w:eastAsia="仿宋_GB2312;仿宋"/>
          <w:spacing w:val="-12"/>
          <w:sz w:val="28"/>
        </w:rPr>
        <w:t>，详见下表</w:t>
      </w:r>
      <w:r>
        <w:rPr>
          <w:rFonts w:eastAsia="仿宋_GB2312;仿宋" w:cs="Arial" w:ascii="Arial" w:hAnsi="Arial"/>
          <w:spacing w:val="-12"/>
          <w:sz w:val="28"/>
        </w:rPr>
        <w:t>:</w:t>
      </w:r>
    </w:p>
    <w:p>
      <w:pPr>
        <w:pStyle w:val="Normal"/>
        <w:spacing w:lineRule="auto" w:line="360"/>
        <w:jc w:val="center"/>
        <w:rPr>
          <w:rFonts w:cs="Arial"/>
        </w:rPr>
      </w:pPr>
      <w:r>
        <w:rPr>
          <w:rFonts w:ascii="Arial" w:hAnsi="Arial" w:cs="Arial" w:eastAsia="仿宋_GB2312;仿宋"/>
          <w:spacing w:val="-12"/>
          <w:sz w:val="28"/>
          <w:szCs w:val="18"/>
        </w:rPr>
        <w:t>附属物</w:t>
      </w:r>
      <w:r>
        <w:rPr>
          <w:rFonts w:ascii="Arial" w:hAnsi="Arial" w:cs="Arial" w:eastAsia="仿宋_GB2312;仿宋"/>
          <w:spacing w:val="-12"/>
          <w:sz w:val="28"/>
          <w:szCs w:val="18"/>
        </w:rPr>
        <w:t>清单</w:t>
      </w:r>
    </w:p>
    <w:tbl>
      <w:tblPr>
        <w:tblW w:w="4236" w:type="dxa"/>
        <w:jc w:val="center"/>
        <w:tblInd w:w="0" w:type="dxa"/>
        <w:tblCellMar>
          <w:top w:w="0" w:type="dxa"/>
          <w:left w:w="108" w:type="dxa"/>
          <w:bottom w:w="0" w:type="dxa"/>
          <w:right w:w="108" w:type="dxa"/>
        </w:tblCellMar>
      </w:tblPr>
      <w:tblGrid>
        <w:gridCol w:w="950"/>
        <w:gridCol w:w="1256"/>
        <w:gridCol w:w="936"/>
        <w:gridCol w:w="1094"/>
      </w:tblGrid>
      <w:tr>
        <w:trPr>
          <w:tblHeader w:val="true"/>
          <w:trHeight w:val="300" w:hRule="atLeast"/>
        </w:trPr>
        <w:tc>
          <w:tcPr>
            <w:tcW w:w="950"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bCs/>
              </w:rPr>
            </w:pPr>
            <w:r>
              <w:rPr>
                <w:rFonts w:ascii="Arial" w:hAnsi="Arial" w:cs="Arial" w:eastAsia="仿宋_GB2312;仿宋"/>
                <w:b/>
                <w:bCs/>
              </w:rPr>
              <w:t>序号</w:t>
            </w:r>
          </w:p>
        </w:tc>
        <w:tc>
          <w:tcPr>
            <w:tcW w:w="1256"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bCs/>
              </w:rPr>
            </w:pPr>
            <w:r>
              <w:rPr>
                <w:rFonts w:ascii="Arial" w:hAnsi="Arial" w:cs="Arial" w:eastAsia="仿宋_GB2312;仿宋"/>
                <w:b/>
                <w:bCs/>
              </w:rPr>
              <w:t>名称</w:t>
            </w:r>
          </w:p>
        </w:tc>
        <w:tc>
          <w:tcPr>
            <w:tcW w:w="936"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bCs/>
              </w:rPr>
            </w:pPr>
            <w:r>
              <w:rPr>
                <w:rFonts w:ascii="Arial" w:hAnsi="Arial" w:cs="Arial" w:eastAsia="仿宋_GB2312;仿宋"/>
                <w:b/>
                <w:bCs/>
              </w:rPr>
              <w:t>单位</w:t>
            </w:r>
          </w:p>
        </w:tc>
        <w:tc>
          <w:tcPr>
            <w:tcW w:w="10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bCs/>
              </w:rPr>
            </w:pPr>
            <w:r>
              <w:rPr>
                <w:rFonts w:ascii="Arial" w:hAnsi="Arial" w:cs="Arial" w:eastAsia="仿宋_GB2312;仿宋"/>
                <w:b/>
                <w:bCs/>
              </w:rPr>
              <w:t>数量</w:t>
            </w:r>
          </w:p>
        </w:tc>
      </w:tr>
      <w:tr>
        <w:trPr>
          <w:trHeight w:val="300" w:hRule="atLeast"/>
        </w:trPr>
        <w:tc>
          <w:tcPr>
            <w:tcW w:w="95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1</w:t>
            </w:r>
          </w:p>
        </w:tc>
        <w:tc>
          <w:tcPr>
            <w:tcW w:w="1256" w:type="dxa"/>
            <w:tcBorders>
              <w:left w:val="single" w:sz="4" w:space="0" w:color="000000"/>
              <w:bottom w:val="single" w:sz="4" w:space="0" w:color="000000"/>
            </w:tcBorders>
            <w:shd w:fill="auto" w:val="clea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院地</w:t>
            </w:r>
            <w:r>
              <w:rPr>
                <w:rFonts w:eastAsia="仿宋_GB2312;仿宋" w:cs="Arial" w:ascii="Arial" w:hAnsi="Arial"/>
              </w:rPr>
              <w:t>-</w:t>
            </w:r>
            <w:r>
              <w:rPr>
                <w:rFonts w:ascii="Arial" w:hAnsi="Arial" w:cs="Arial" w:eastAsia="仿宋_GB2312;仿宋"/>
              </w:rPr>
              <w:t>方砖</w:t>
            </w:r>
          </w:p>
        </w:tc>
        <w:tc>
          <w:tcPr>
            <w:tcW w:w="936" w:type="dxa"/>
            <w:tcBorders>
              <w:left w:val="single" w:sz="4" w:space="0" w:color="000000"/>
              <w:bottom w:val="single" w:sz="4" w:space="0" w:color="000000"/>
            </w:tcBorders>
            <w:shd w:fill="auto" w:val="clea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平方米</w:t>
            </w:r>
          </w:p>
        </w:tc>
        <w:tc>
          <w:tcPr>
            <w:tcW w:w="1094" w:type="dxa"/>
            <w:tcBorders>
              <w:left w:val="single" w:sz="4" w:space="0" w:color="000000"/>
              <w:bottom w:val="single" w:sz="4" w:space="0" w:color="000000"/>
              <w:right w:val="single" w:sz="4" w:space="0" w:color="000000"/>
            </w:tcBorders>
            <w:shd w:fill="auto" w:val="clea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188.68</w:t>
            </w:r>
          </w:p>
        </w:tc>
      </w:tr>
      <w:tr>
        <w:trPr>
          <w:trHeight w:val="300" w:hRule="atLeast"/>
        </w:trPr>
        <w:tc>
          <w:tcPr>
            <w:tcW w:w="95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w:t>
            </w:r>
          </w:p>
        </w:tc>
        <w:tc>
          <w:tcPr>
            <w:tcW w:w="1256" w:type="dxa"/>
            <w:tcBorders>
              <w:left w:val="single" w:sz="4" w:space="0" w:color="000000"/>
              <w:bottom w:val="single" w:sz="4" w:space="0" w:color="000000"/>
            </w:tcBorders>
            <w:shd w:fill="auto" w:val="clea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院地</w:t>
            </w:r>
            <w:r>
              <w:rPr>
                <w:rFonts w:eastAsia="仿宋_GB2312;仿宋" w:cs="Arial" w:ascii="Arial" w:hAnsi="Arial"/>
              </w:rPr>
              <w:t>-</w:t>
            </w:r>
            <w:r>
              <w:rPr>
                <w:rFonts w:ascii="Arial" w:hAnsi="Arial" w:cs="Arial" w:eastAsia="仿宋_GB2312;仿宋"/>
              </w:rPr>
              <w:t>水泥</w:t>
            </w:r>
          </w:p>
        </w:tc>
        <w:tc>
          <w:tcPr>
            <w:tcW w:w="936" w:type="dxa"/>
            <w:tcBorders>
              <w:left w:val="single" w:sz="4" w:space="0" w:color="000000"/>
              <w:bottom w:val="single" w:sz="4" w:space="0" w:color="000000"/>
            </w:tcBorders>
            <w:shd w:fill="auto" w:val="clea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平方米</w:t>
            </w:r>
          </w:p>
        </w:tc>
        <w:tc>
          <w:tcPr>
            <w:tcW w:w="1094" w:type="dxa"/>
            <w:tcBorders>
              <w:left w:val="single" w:sz="4" w:space="0" w:color="000000"/>
              <w:bottom w:val="single" w:sz="4" w:space="0" w:color="000000"/>
              <w:right w:val="single" w:sz="4" w:space="0" w:color="000000"/>
            </w:tcBorders>
            <w:shd w:fill="auto" w:val="clea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1010.63</w:t>
            </w:r>
          </w:p>
        </w:tc>
      </w:tr>
    </w:tbl>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r>
    </w:p>
    <w:p>
      <w:pPr>
        <w:pStyle w:val="Normal"/>
        <w:spacing w:lineRule="auto" w:line="360"/>
        <w:jc w:val="center"/>
        <w:rPr>
          <w:rFonts w:cs="Arial"/>
        </w:rPr>
      </w:pPr>
      <w:r>
        <w:rPr>
          <w:rFonts w:ascii="Arial" w:hAnsi="Arial" w:cs="Arial" w:eastAsia="仿宋_GB2312;仿宋"/>
          <w:spacing w:val="-12"/>
          <w:sz w:val="28"/>
          <w:szCs w:val="18"/>
        </w:rPr>
        <w:t>树木清单</w:t>
      </w:r>
    </w:p>
    <w:tbl>
      <w:tblPr>
        <w:tblW w:w="4836" w:type="dxa"/>
        <w:jc w:val="center"/>
        <w:tblInd w:w="0" w:type="dxa"/>
        <w:tblCellMar>
          <w:top w:w="0" w:type="dxa"/>
          <w:left w:w="108" w:type="dxa"/>
          <w:bottom w:w="0" w:type="dxa"/>
          <w:right w:w="108" w:type="dxa"/>
        </w:tblCellMar>
      </w:tblPr>
      <w:tblGrid>
        <w:gridCol w:w="698"/>
        <w:gridCol w:w="1180"/>
        <w:gridCol w:w="1527"/>
        <w:gridCol w:w="1431"/>
      </w:tblGrid>
      <w:tr>
        <w:trPr>
          <w:trHeight w:val="285" w:hRule="atLeast"/>
        </w:trPr>
        <w:tc>
          <w:tcPr>
            <w:tcW w:w="698" w:type="dxa"/>
            <w:tcBorders>
              <w:top w:val="single" w:sz="4" w:space="0" w:color="000000"/>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b/>
                <w:b/>
                <w:bCs/>
              </w:rPr>
            </w:pPr>
            <w:r>
              <w:rPr>
                <w:rFonts w:ascii="Arial" w:hAnsi="Arial" w:cs="Arial" w:eastAsia="仿宋_GB2312;仿宋"/>
                <w:b/>
                <w:bCs/>
              </w:rPr>
              <w:t>序号</w:t>
            </w:r>
          </w:p>
        </w:tc>
        <w:tc>
          <w:tcPr>
            <w:tcW w:w="1180" w:type="dxa"/>
            <w:tcBorders>
              <w:top w:val="single" w:sz="4" w:space="0" w:color="000000"/>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b/>
                <w:b/>
                <w:bCs/>
              </w:rPr>
            </w:pPr>
            <w:r>
              <w:rPr>
                <w:rFonts w:ascii="Arial" w:hAnsi="Arial" w:cs="Arial" w:eastAsia="仿宋_GB2312;仿宋"/>
                <w:b/>
                <w:bCs/>
              </w:rPr>
              <w:t>树木种类</w:t>
            </w:r>
          </w:p>
        </w:tc>
        <w:tc>
          <w:tcPr>
            <w:tcW w:w="1527" w:type="dxa"/>
            <w:tcBorders>
              <w:top w:val="single" w:sz="4" w:space="0" w:color="000000"/>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b/>
                <w:b/>
                <w:bCs/>
              </w:rPr>
            </w:pPr>
            <w:r>
              <w:rPr>
                <w:rFonts w:ascii="Arial" w:hAnsi="Arial" w:cs="Arial" w:eastAsia="仿宋_GB2312;仿宋"/>
                <w:b/>
                <w:bCs/>
              </w:rPr>
              <w:t>胸径（</w:t>
            </w:r>
            <w:r>
              <w:rPr>
                <w:rFonts w:eastAsia="仿宋_GB2312;仿宋" w:cs="Arial" w:ascii="Arial" w:hAnsi="Arial"/>
                <w:b/>
                <w:bCs/>
              </w:rPr>
              <w:t>cm</w:t>
            </w:r>
            <w:r>
              <w:rPr>
                <w:rFonts w:ascii="Arial" w:hAnsi="Arial" w:cs="Arial" w:eastAsia="仿宋_GB2312;仿宋"/>
                <w:b/>
                <w:bCs/>
              </w:rPr>
              <w:t>）</w:t>
            </w:r>
          </w:p>
        </w:tc>
        <w:tc>
          <w:tcPr>
            <w:tcW w:w="143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b/>
                <w:b/>
                <w:bCs/>
              </w:rPr>
            </w:pPr>
            <w:r>
              <w:rPr>
                <w:rFonts w:ascii="Arial" w:hAnsi="Arial" w:cs="Arial" w:eastAsia="仿宋_GB2312;仿宋"/>
                <w:b/>
                <w:bCs/>
              </w:rPr>
              <w:t>数量（株）</w:t>
            </w:r>
          </w:p>
        </w:tc>
      </w:tr>
      <w:tr>
        <w:trPr>
          <w:trHeight w:val="285" w:hRule="atLeast"/>
        </w:trPr>
        <w:tc>
          <w:tcPr>
            <w:tcW w:w="698"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1</w:t>
            </w:r>
          </w:p>
        </w:tc>
        <w:tc>
          <w:tcPr>
            <w:tcW w:w="1180"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pPr>
            <w:r>
              <w:rPr>
                <w:rFonts w:ascii="Arial" w:hAnsi="Arial" w:cs="Arial" w:eastAsia="仿宋_GB2312;仿宋"/>
              </w:rPr>
              <w:t>柳树</w:t>
            </w:r>
          </w:p>
        </w:tc>
        <w:tc>
          <w:tcPr>
            <w:tcW w:w="1527"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3</w:t>
            </w:r>
            <w:r>
              <w:rPr>
                <w:rFonts w:eastAsia="仿宋_GB2312;仿宋" w:cs="Arial" w:ascii="Arial" w:hAnsi="Arial"/>
              </w:rPr>
              <w:t>0</w:t>
            </w:r>
            <w:r>
              <w:rPr>
                <w:rFonts w:eastAsia="仿宋_GB2312;仿宋" w:cs="仿宋_GB2312;仿宋" w:ascii="仿宋_GB2312;仿宋" w:hAnsi="仿宋_GB2312;仿宋"/>
              </w:rPr>
              <w:t>—</w:t>
            </w:r>
            <w:r>
              <w:rPr>
                <w:rFonts w:eastAsia="仿宋_GB2312;仿宋" w:cs="Arial" w:ascii="Arial" w:hAnsi="Arial"/>
              </w:rPr>
              <w:t>39</w:t>
            </w:r>
          </w:p>
        </w:tc>
        <w:tc>
          <w:tcPr>
            <w:tcW w:w="1431" w:type="dxa"/>
            <w:tcBorders>
              <w:left w:val="single" w:sz="4" w:space="0" w:color="000000"/>
              <w:bottom w:val="single" w:sz="4" w:space="0" w:color="000000"/>
              <w:right w:val="single" w:sz="4" w:space="0" w:color="000000"/>
            </w:tcBorders>
            <w:shd w:fill="FFFFFF" w:val="clea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w:t>
            </w:r>
          </w:p>
        </w:tc>
      </w:tr>
      <w:tr>
        <w:trPr>
          <w:trHeight w:val="285" w:hRule="atLeast"/>
        </w:trPr>
        <w:tc>
          <w:tcPr>
            <w:tcW w:w="698"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w:t>
            </w:r>
          </w:p>
        </w:tc>
        <w:tc>
          <w:tcPr>
            <w:tcW w:w="1180"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pPr>
            <w:r>
              <w:rPr>
                <w:rFonts w:ascii="Arial" w:hAnsi="Arial" w:cs="Arial" w:eastAsia="仿宋_GB2312;仿宋"/>
              </w:rPr>
              <w:t>杨树</w:t>
            </w:r>
          </w:p>
        </w:tc>
        <w:tc>
          <w:tcPr>
            <w:tcW w:w="1527"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pPr>
            <w:r>
              <w:rPr>
                <w:rFonts w:eastAsia="仿宋_GB2312;仿宋" w:cs="Arial" w:ascii="Arial" w:hAnsi="Arial"/>
              </w:rPr>
              <w:t>4</w:t>
            </w:r>
            <w:r>
              <w:rPr>
                <w:rFonts w:eastAsia="仿宋_GB2312;仿宋" w:cs="Arial" w:ascii="Arial" w:hAnsi="Arial"/>
              </w:rPr>
              <w:t>0</w:t>
            </w:r>
            <w:r>
              <w:rPr>
                <w:rFonts w:eastAsia="仿宋_GB2312;仿宋" w:cs="仿宋_GB2312;仿宋" w:ascii="仿宋_GB2312;仿宋" w:hAnsi="仿宋_GB2312;仿宋"/>
              </w:rPr>
              <w:t>—</w:t>
            </w:r>
            <w:r>
              <w:rPr>
                <w:rFonts w:eastAsia="仿宋_GB2312;仿宋" w:cs="Arial" w:ascii="Arial" w:hAnsi="Arial"/>
              </w:rPr>
              <w:t>4</w:t>
            </w:r>
            <w:r>
              <w:rPr>
                <w:rFonts w:eastAsia="仿宋_GB2312;仿宋" w:cs="Arial" w:ascii="Arial" w:hAnsi="Arial"/>
              </w:rPr>
              <w:t>9</w:t>
            </w:r>
          </w:p>
        </w:tc>
        <w:tc>
          <w:tcPr>
            <w:tcW w:w="1431" w:type="dxa"/>
            <w:tcBorders>
              <w:left w:val="single" w:sz="4" w:space="0" w:color="000000"/>
              <w:bottom w:val="single" w:sz="4" w:space="0" w:color="000000"/>
              <w:right w:val="single" w:sz="4" w:space="0" w:color="000000"/>
            </w:tcBorders>
            <w:shd w:fill="FFFFFF" w:val="clea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24</w:t>
            </w:r>
          </w:p>
        </w:tc>
      </w:tr>
    </w:tbl>
    <w:p>
      <w:pPr>
        <w:pStyle w:val="Normal"/>
        <w:spacing w:lineRule="auto" w:line="360" w:before="120" w:after="0"/>
        <w:ind w:firstLine="512"/>
        <w:jc w:val="both"/>
        <w:rPr>
          <w:rFonts w:eastAsia="仿宋_GB2312;仿宋"/>
        </w:rPr>
      </w:pPr>
      <w:r>
        <w:rPr>
          <w:rFonts w:ascii="Arial" w:hAnsi="Arial" w:cs="Arial" w:eastAsia="仿宋_GB2312;仿宋"/>
          <w:spacing w:val="-12"/>
          <w:sz w:val="28"/>
        </w:rPr>
        <w:t>（</w:t>
      </w:r>
      <w:r>
        <w:rPr>
          <w:rFonts w:eastAsia="仿宋_GB2312;仿宋" w:cs="Arial" w:ascii="Arial" w:hAnsi="Arial"/>
          <w:spacing w:val="-12"/>
          <w:sz w:val="28"/>
        </w:rPr>
        <w:t>3</w:t>
      </w:r>
      <w:r>
        <w:rPr>
          <w:rFonts w:ascii="Arial" w:hAnsi="Arial" w:cs="Arial" w:eastAsia="仿宋_GB2312;仿宋"/>
          <w:spacing w:val="-12"/>
          <w:sz w:val="28"/>
        </w:rPr>
        <w:t>）</w:t>
      </w:r>
      <w:r>
        <w:rPr>
          <w:rFonts w:eastAsia="仿宋_GB2312;仿宋" w:cs="Arial" w:ascii="Arial" w:hAnsi="Arial"/>
          <w:spacing w:val="-12"/>
          <w:sz w:val="28"/>
        </w:rPr>
        <w:tab/>
      </w:r>
      <w:r>
        <w:rPr>
          <w:rFonts w:ascii="Arial" w:hAnsi="Arial" w:cs="Arial" w:eastAsia="仿宋_GB2312;仿宋"/>
          <w:spacing w:val="-12"/>
          <w:sz w:val="28"/>
        </w:rPr>
        <w:t>土地利用情况</w:t>
      </w:r>
      <w:r>
        <w:rPr>
          <w:rFonts w:ascii="Arial" w:hAnsi="Arial" w:cs="Arial" w:eastAsia="Arial"/>
          <w:spacing w:val="-12"/>
          <w:sz w:val="28"/>
        </w:rPr>
        <w:t xml:space="preserve"> </w:t>
      </w:r>
    </w:p>
    <w:p>
      <w:pPr>
        <w:pStyle w:val="Normal"/>
        <w:spacing w:lineRule="auto" w:line="360"/>
        <w:ind w:firstLine="512"/>
        <w:jc w:val="both"/>
        <w:rPr>
          <w:rFonts w:eastAsia="仿宋_GB2312;仿宋"/>
        </w:rPr>
      </w:pPr>
      <w:r>
        <w:rPr>
          <w:rFonts w:ascii="Arial" w:hAnsi="Arial" w:cs="Arial" w:eastAsia="仿宋_GB2312;仿宋"/>
          <w:spacing w:val="-12"/>
          <w:sz w:val="28"/>
        </w:rPr>
        <w:t>宗地红线外基础设施已达到”七通”（</w:t>
      </w:r>
      <w:r>
        <w:rPr>
          <w:rFonts w:ascii="仿宋_GB2312;仿宋" w:hAnsi="仿宋_GB2312;仿宋" w:cs="仿宋" w:eastAsia="仿宋_GB2312;仿宋"/>
          <w:sz w:val="28"/>
        </w:rPr>
        <w:t>即通路、通上水、通下水、通燃气、通电、通讯、通热</w:t>
      </w:r>
      <w:r>
        <w:rPr>
          <w:rFonts w:ascii="Arial" w:hAnsi="Arial" w:cs="Arial" w:eastAsia="仿宋_GB2312;仿宋"/>
          <w:spacing w:val="-12"/>
          <w:sz w:val="28"/>
        </w:rPr>
        <w:t>），具体状况如下：</w:t>
      </w:r>
      <w:r>
        <w:rPr>
          <w:rFonts w:ascii="Arial" w:hAnsi="Arial" w:cs="Arial" w:eastAsia="Arial"/>
          <w:spacing w:val="-12"/>
          <w:sz w:val="28"/>
        </w:rPr>
        <w:t xml:space="preserve"> </w:t>
      </w:r>
    </w:p>
    <w:p>
      <w:pPr>
        <w:pStyle w:val="Normal"/>
        <w:spacing w:lineRule="auto" w:line="360"/>
        <w:ind w:firstLine="512"/>
        <w:jc w:val="both"/>
        <w:rPr>
          <w:rFonts w:eastAsia="仿宋_GB2312;仿宋"/>
        </w:rPr>
      </w:pPr>
      <w:r>
        <w:rPr>
          <w:rFonts w:ascii="Arial" w:hAnsi="Arial" w:cs="Arial" w:eastAsia="仿宋_GB2312;仿宋"/>
          <w:spacing w:val="-12"/>
          <w:sz w:val="28"/>
        </w:rPr>
        <w:t>通路：</w:t>
      </w:r>
      <w:r>
        <w:rPr>
          <w:rFonts w:ascii="Arial" w:hAnsi="Arial" w:cs="Arial" w:eastAsia="仿宋_GB2312;仿宋"/>
          <w:spacing w:val="-12"/>
          <w:sz w:val="28"/>
        </w:rPr>
        <w:t>无名市政道路，为城市支路</w:t>
      </w:r>
      <w:r>
        <w:rPr>
          <w:rFonts w:ascii="Arial" w:hAnsi="Arial" w:cs="Arial" w:eastAsia="仿宋_GB2312;仿宋"/>
          <w:spacing w:val="-12"/>
          <w:sz w:val="28"/>
        </w:rPr>
        <w:t>；</w:t>
      </w:r>
      <w:r>
        <w:rPr>
          <w:rFonts w:ascii="Arial" w:hAnsi="Arial" w:cs="Arial" w:eastAsia="Arial"/>
          <w:spacing w:val="-12"/>
          <w:sz w:val="28"/>
        </w:rPr>
        <w:t xml:space="preserve"> </w:t>
      </w:r>
    </w:p>
    <w:p>
      <w:pPr>
        <w:pStyle w:val="Normal"/>
        <w:spacing w:lineRule="auto" w:line="360"/>
        <w:ind w:firstLine="512"/>
        <w:jc w:val="both"/>
        <w:rPr/>
      </w:pPr>
      <w:r>
        <w:rPr>
          <w:rFonts w:ascii="Arial" w:hAnsi="Arial" w:cs="Arial" w:eastAsia="仿宋_GB2312;仿宋"/>
          <w:spacing w:val="-12"/>
          <w:sz w:val="28"/>
        </w:rPr>
        <w:t>通电：市政供电网络</w:t>
      </w:r>
      <w:r>
        <w:rPr>
          <w:rFonts w:ascii="Arial" w:hAnsi="Arial" w:cs="Arial" w:eastAsia="仿宋_GB2312;仿宋"/>
          <w:spacing w:val="-12"/>
          <w:sz w:val="28"/>
        </w:rPr>
        <w:t>；</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通上水：</w:t>
      </w:r>
      <w:r>
        <w:rPr>
          <w:rFonts w:ascii="Arial" w:hAnsi="Arial" w:cs="Arial" w:eastAsia="仿宋_GB2312;仿宋"/>
          <w:spacing w:val="-12"/>
          <w:sz w:val="28"/>
        </w:rPr>
        <w:t>市政管网供水</w:t>
      </w:r>
      <w:r>
        <w:rPr>
          <w:rFonts w:ascii="Arial" w:hAnsi="Arial" w:cs="Arial" w:eastAsia="仿宋_GB2312;仿宋"/>
          <w:spacing w:val="-12"/>
          <w:sz w:val="28"/>
        </w:rPr>
        <w:t>，设施完备，水源稳定；</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通下水：市政管网排水；</w:t>
      </w:r>
    </w:p>
    <w:p>
      <w:pPr>
        <w:pStyle w:val="Normal"/>
        <w:spacing w:lineRule="auto" w:line="360"/>
        <w:ind w:firstLine="512"/>
        <w:jc w:val="both"/>
        <w:rPr/>
      </w:pPr>
      <w:r>
        <w:rPr>
          <w:rFonts w:ascii="Arial" w:hAnsi="Arial" w:cs="Arial" w:eastAsia="仿宋_GB2312;仿宋"/>
          <w:spacing w:val="-12"/>
          <w:sz w:val="28"/>
        </w:rPr>
        <w:t>通热力：</w:t>
      </w:r>
      <w:r>
        <w:rPr>
          <w:rFonts w:ascii="Arial" w:hAnsi="Arial" w:cs="Arial" w:eastAsia="仿宋_GB2312;仿宋"/>
          <w:spacing w:val="-12"/>
          <w:sz w:val="28"/>
        </w:rPr>
        <w:t>集中</w:t>
      </w:r>
      <w:r>
        <w:rPr>
          <w:rFonts w:ascii="Arial" w:hAnsi="Arial" w:cs="Arial" w:eastAsia="仿宋_GB2312;仿宋"/>
          <w:spacing w:val="-12"/>
          <w:sz w:val="28"/>
        </w:rPr>
        <w:t>供暖；</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通燃气：</w:t>
      </w:r>
      <w:r>
        <w:rPr>
          <w:rFonts w:ascii="Arial" w:hAnsi="Arial" w:cs="Arial" w:eastAsia="仿宋_GB2312;仿宋"/>
          <w:spacing w:val="-12"/>
          <w:sz w:val="28"/>
        </w:rPr>
        <w:t>项目用地有天然气管道</w:t>
      </w:r>
      <w:r>
        <w:rPr>
          <w:rFonts w:ascii="Arial" w:hAnsi="Arial" w:cs="Arial" w:eastAsia="仿宋_GB2312;仿宋"/>
          <w:spacing w:val="-12"/>
          <w:sz w:val="28"/>
        </w:rPr>
        <w:t>；</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通讯：项目用地有电信管道。</w:t>
      </w:r>
    </w:p>
    <w:p>
      <w:pPr>
        <w:pStyle w:val="Normal"/>
        <w:spacing w:lineRule="auto" w:line="360"/>
        <w:jc w:val="both"/>
        <w:rPr>
          <w:rFonts w:ascii="Arial" w:hAnsi="Arial" w:eastAsia="仿宋_GB2312;仿宋" w:cs="Arial"/>
          <w:spacing w:val="-12"/>
          <w:sz w:val="28"/>
        </w:rPr>
      </w:pPr>
      <w:r>
        <w:rPr>
          <w:rFonts w:eastAsia="仿宋_GB2312;仿宋" w:cs="Arial" w:ascii="Arial" w:hAnsi="Arial"/>
          <w:spacing w:val="-12"/>
          <w:sz w:val="28"/>
        </w:rPr>
      </w:r>
    </w:p>
    <w:p>
      <w:pPr>
        <w:pStyle w:val="Normal"/>
        <w:numPr>
          <w:ilvl w:val="0"/>
          <w:numId w:val="0"/>
        </w:numPr>
        <w:spacing w:lineRule="auto" w:line="360"/>
        <w:outlineLvl w:val="1"/>
        <w:rPr/>
      </w:pPr>
      <w:bookmarkStart w:id="19" w:name="__RefHeading___Toc469066142"/>
      <w:bookmarkEnd w:id="19"/>
      <w:r>
        <w:rPr>
          <w:rFonts w:ascii="Arial" w:hAnsi="Arial" w:cs="Arial" w:eastAsia="仿宋_GB2312;仿宋"/>
          <w:b/>
          <w:sz w:val="28"/>
        </w:rPr>
        <w:t>四、影响地价的因素说明</w:t>
      </w:r>
    </w:p>
    <w:p>
      <w:pPr>
        <w:pStyle w:val="Normal"/>
        <w:spacing w:lineRule="auto" w:line="360"/>
        <w:jc w:val="both"/>
        <w:rPr>
          <w:rFonts w:ascii="Arial" w:hAnsi="Arial" w:eastAsia="仿宋_GB2312;仿宋" w:cs="Arial"/>
          <w:sz w:val="28"/>
        </w:rPr>
      </w:pPr>
      <w:r>
        <w:rPr>
          <w:rFonts w:ascii="Arial" w:hAnsi="Arial" w:cs="Arial" w:eastAsia="仿宋_GB2312;仿宋"/>
          <w:sz w:val="28"/>
        </w:rPr>
        <w:t>（一）一般因素</w:t>
      </w:r>
    </w:p>
    <w:p>
      <w:pPr>
        <w:pStyle w:val="Normal"/>
        <w:widowControl/>
        <w:spacing w:lineRule="auto" w:line="360"/>
        <w:ind w:firstLine="560"/>
        <w:jc w:val="both"/>
        <w:rPr>
          <w:rFonts w:ascii="Arial" w:hAnsi="Arial" w:eastAsia="仿宋_GB2312;仿宋" w:cs="Arial"/>
          <w:bCs/>
          <w:sz w:val="28"/>
          <w:szCs w:val="28"/>
        </w:rPr>
      </w:pPr>
      <w:r>
        <w:rPr>
          <w:rFonts w:eastAsia="仿宋_GB2312;仿宋" w:cs="Arial" w:ascii="Arial" w:hAnsi="Arial"/>
          <w:bCs/>
          <w:sz w:val="28"/>
          <w:szCs w:val="28"/>
        </w:rPr>
        <w:t>1.</w:t>
      </w:r>
      <w:r>
        <w:rPr>
          <w:rFonts w:ascii="Arial" w:hAnsi="Arial" w:cs="Arial" w:eastAsia="仿宋_GB2312;仿宋"/>
          <w:bCs/>
          <w:sz w:val="28"/>
          <w:szCs w:val="28"/>
        </w:rPr>
        <w:t>城市资源状况</w:t>
      </w:r>
    </w:p>
    <w:p>
      <w:pPr>
        <w:pStyle w:val="Normal"/>
        <w:numPr>
          <w:ilvl w:val="0"/>
          <w:numId w:val="0"/>
        </w:numPr>
        <w:spacing w:lineRule="auto" w:line="360"/>
        <w:ind w:firstLine="562"/>
        <w:jc w:val="both"/>
        <w:outlineLvl w:val="0"/>
        <w:rPr>
          <w:rFonts w:ascii="Arial" w:hAnsi="Arial" w:eastAsia="仿宋_GB2312;仿宋" w:cs="Arial"/>
          <w:bCs/>
          <w:color w:val="000000"/>
          <w:sz w:val="28"/>
          <w:szCs w:val="28"/>
        </w:rPr>
      </w:pPr>
      <w:r>
        <w:rPr>
          <w:rFonts w:ascii="仿宋_GB2312;仿宋" w:hAnsi="仿宋_GB2312;仿宋" w:eastAsia="仿宋_GB2312;仿宋"/>
          <w:b/>
          <w:bCs/>
          <w:color w:val="000000"/>
          <w:sz w:val="28"/>
          <w:szCs w:val="28"/>
        </w:rPr>
        <w:t>地理位置：</w:t>
      </w:r>
      <w:r>
        <w:rPr>
          <w:rFonts w:ascii="Arial" w:hAnsi="Arial" w:cs="Arial" w:eastAsia="仿宋"/>
          <w:color w:val="000000"/>
          <w:kern w:val="2"/>
          <w:sz w:val="28"/>
          <w:szCs w:val="28"/>
        </w:rPr>
        <w:t>北京，简称“京”，是中华人民共和国的首都，是全国的政治中心、文化中心，是世界著名古都和现代化国际城市。北京位于北纬</w:t>
      </w:r>
      <w:r>
        <w:rPr>
          <w:rFonts w:eastAsia="仿宋" w:cs="Arial" w:ascii="Arial" w:hAnsi="Arial"/>
          <w:color w:val="000000"/>
          <w:kern w:val="2"/>
          <w:sz w:val="28"/>
          <w:szCs w:val="28"/>
        </w:rPr>
        <w:t>39</w:t>
      </w:r>
      <w:r>
        <w:rPr>
          <w:rFonts w:ascii="Arial" w:hAnsi="Arial" w:cs="Arial" w:eastAsia="仿宋"/>
          <w:color w:val="000000"/>
          <w:kern w:val="2"/>
          <w:sz w:val="28"/>
          <w:szCs w:val="28"/>
        </w:rPr>
        <w:t>度</w:t>
      </w:r>
      <w:r>
        <w:rPr>
          <w:rFonts w:eastAsia="仿宋" w:cs="Arial" w:ascii="Arial" w:hAnsi="Arial"/>
          <w:color w:val="000000"/>
          <w:kern w:val="2"/>
          <w:sz w:val="28"/>
          <w:szCs w:val="28"/>
        </w:rPr>
        <w:t>56</w:t>
      </w:r>
      <w:r>
        <w:rPr>
          <w:rFonts w:ascii="Arial" w:hAnsi="Arial" w:cs="Arial" w:eastAsia="仿宋"/>
          <w:color w:val="000000"/>
          <w:kern w:val="2"/>
          <w:sz w:val="28"/>
          <w:szCs w:val="28"/>
        </w:rPr>
        <w:t>分、东经</w:t>
      </w:r>
      <w:r>
        <w:rPr>
          <w:rFonts w:eastAsia="仿宋" w:cs="Arial" w:ascii="Arial" w:hAnsi="Arial"/>
          <w:color w:val="000000"/>
          <w:kern w:val="2"/>
          <w:sz w:val="28"/>
          <w:szCs w:val="28"/>
        </w:rPr>
        <w:t>116</w:t>
      </w:r>
      <w:r>
        <w:rPr>
          <w:rFonts w:ascii="Arial" w:hAnsi="Arial" w:cs="Arial" w:eastAsia="仿宋"/>
          <w:color w:val="000000"/>
          <w:kern w:val="2"/>
          <w:sz w:val="28"/>
          <w:szCs w:val="28"/>
        </w:rPr>
        <w:t>度</w:t>
      </w:r>
      <w:r>
        <w:rPr>
          <w:rFonts w:eastAsia="仿宋" w:cs="Arial" w:ascii="Arial" w:hAnsi="Arial"/>
          <w:color w:val="000000"/>
          <w:kern w:val="2"/>
          <w:sz w:val="28"/>
          <w:szCs w:val="28"/>
        </w:rPr>
        <w:t>20</w:t>
      </w:r>
      <w:r>
        <w:rPr>
          <w:rFonts w:ascii="Arial" w:hAnsi="Arial" w:cs="Arial" w:eastAsia="仿宋"/>
          <w:color w:val="000000"/>
          <w:kern w:val="2"/>
          <w:sz w:val="28"/>
          <w:szCs w:val="28"/>
        </w:rPr>
        <w:t>分，地处华北大平原的北部，东面与天津市毗连，其余均与河北省相邻。</w:t>
      </w:r>
    </w:p>
    <w:p>
      <w:pPr>
        <w:pStyle w:val="Normal"/>
        <w:widowControl/>
        <w:spacing w:lineRule="auto" w:line="360"/>
        <w:ind w:firstLine="562"/>
        <w:jc w:val="both"/>
        <w:rPr>
          <w:rFonts w:ascii="Arial" w:hAnsi="Arial" w:eastAsia="仿宋_GB2312;仿宋" w:cs="Arial"/>
          <w:bCs/>
          <w:color w:val="000000"/>
          <w:sz w:val="28"/>
          <w:szCs w:val="28"/>
        </w:rPr>
      </w:pPr>
      <w:r>
        <w:rPr>
          <w:rFonts w:ascii="仿宋_GB2312;仿宋" w:hAnsi="仿宋_GB2312;仿宋" w:eastAsia="仿宋_GB2312;仿宋"/>
          <w:b/>
          <w:bCs/>
          <w:color w:val="000000"/>
          <w:sz w:val="28"/>
          <w:szCs w:val="28"/>
        </w:rPr>
        <w:t>城市人口：</w:t>
      </w:r>
      <w:bookmarkStart w:id="20" w:name="OLE_LINK33"/>
      <w:bookmarkStart w:id="21" w:name="OLE_LINK34"/>
      <w:bookmarkStart w:id="22" w:name="OLE_LINK38"/>
      <w:r>
        <w:rPr>
          <w:rFonts w:ascii="Arial" w:hAnsi="Arial" w:cs="Arial" w:eastAsia="仿宋_GB2312;仿宋"/>
          <w:bCs/>
          <w:color w:val="000000"/>
          <w:sz w:val="28"/>
          <w:szCs w:val="28"/>
        </w:rPr>
        <w:t>截至</w:t>
      </w:r>
      <w:r>
        <w:rPr>
          <w:rFonts w:eastAsia="仿宋_GB2312;仿宋" w:cs="Arial" w:ascii="Arial" w:hAnsi="Arial"/>
          <w:bCs/>
          <w:color w:val="000000"/>
          <w:sz w:val="28"/>
          <w:szCs w:val="28"/>
        </w:rPr>
        <w:t>2022</w:t>
      </w:r>
      <w:r>
        <w:rPr>
          <w:rFonts w:ascii="Arial" w:hAnsi="Arial" w:cs="Arial" w:eastAsia="仿宋_GB2312;仿宋"/>
          <w:bCs/>
          <w:color w:val="000000"/>
          <w:sz w:val="28"/>
          <w:szCs w:val="28"/>
        </w:rPr>
        <w:t>年年末，北京市常住人口为</w:t>
      </w:r>
      <w:r>
        <w:rPr>
          <w:rFonts w:eastAsia="仿宋_GB2312;仿宋" w:cs="Arial" w:ascii="Arial" w:hAnsi="Arial"/>
          <w:bCs/>
          <w:color w:val="000000"/>
          <w:sz w:val="28"/>
          <w:szCs w:val="28"/>
        </w:rPr>
        <w:t>2184.3</w:t>
      </w:r>
      <w:r>
        <w:rPr>
          <w:rFonts w:ascii="Arial" w:hAnsi="Arial" w:cs="Arial" w:eastAsia="仿宋_GB2312;仿宋"/>
          <w:bCs/>
          <w:color w:val="000000"/>
          <w:sz w:val="28"/>
          <w:szCs w:val="28"/>
        </w:rPr>
        <w:t>万人，从年龄构成看，</w:t>
      </w:r>
      <w:r>
        <w:rPr>
          <w:rFonts w:eastAsia="仿宋_GB2312;仿宋" w:cs="Arial" w:ascii="Arial" w:hAnsi="Arial"/>
          <w:bCs/>
          <w:color w:val="000000"/>
          <w:sz w:val="28"/>
          <w:szCs w:val="28"/>
        </w:rPr>
        <w:t>0-14</w:t>
      </w:r>
      <w:r>
        <w:rPr>
          <w:rFonts w:ascii="Arial" w:hAnsi="Arial" w:cs="Arial" w:eastAsia="仿宋_GB2312;仿宋"/>
          <w:bCs/>
          <w:color w:val="000000"/>
          <w:sz w:val="28"/>
          <w:szCs w:val="28"/>
        </w:rPr>
        <w:t>岁常住人口</w:t>
      </w:r>
      <w:r>
        <w:rPr>
          <w:rFonts w:eastAsia="仿宋_GB2312;仿宋" w:cs="Arial" w:ascii="Arial" w:hAnsi="Arial"/>
          <w:bCs/>
          <w:color w:val="000000"/>
          <w:sz w:val="28"/>
          <w:szCs w:val="28"/>
        </w:rPr>
        <w:t>264</w:t>
      </w:r>
      <w:r>
        <w:rPr>
          <w:rFonts w:ascii="Arial" w:hAnsi="Arial" w:cs="Arial" w:eastAsia="仿宋_GB2312;仿宋"/>
          <w:bCs/>
          <w:color w:val="000000"/>
          <w:sz w:val="28"/>
          <w:szCs w:val="28"/>
        </w:rPr>
        <w:t>万人，占全市常住人口的比重为</w:t>
      </w:r>
      <w:r>
        <w:rPr>
          <w:rFonts w:eastAsia="仿宋_GB2312;仿宋" w:cs="Arial" w:ascii="Arial" w:hAnsi="Arial"/>
          <w:bCs/>
          <w:color w:val="000000"/>
          <w:sz w:val="28"/>
          <w:szCs w:val="28"/>
        </w:rPr>
        <w:t>12.1%</w:t>
      </w:r>
      <w:r>
        <w:rPr>
          <w:rFonts w:ascii="Arial" w:hAnsi="Arial" w:cs="Arial" w:eastAsia="仿宋_GB2312;仿宋"/>
          <w:bCs/>
          <w:color w:val="000000"/>
          <w:sz w:val="28"/>
          <w:szCs w:val="28"/>
        </w:rPr>
        <w:t>；</w:t>
      </w:r>
      <w:r>
        <w:rPr>
          <w:rFonts w:eastAsia="仿宋_GB2312;仿宋" w:cs="Arial" w:ascii="Arial" w:hAnsi="Arial"/>
          <w:bCs/>
          <w:color w:val="000000"/>
          <w:sz w:val="28"/>
          <w:szCs w:val="28"/>
        </w:rPr>
        <w:t>15-59</w:t>
      </w:r>
      <w:r>
        <w:rPr>
          <w:rFonts w:ascii="Arial" w:hAnsi="Arial" w:cs="Arial" w:eastAsia="仿宋_GB2312;仿宋"/>
          <w:bCs/>
          <w:color w:val="000000"/>
          <w:sz w:val="28"/>
          <w:szCs w:val="28"/>
        </w:rPr>
        <w:t>岁常住人口</w:t>
      </w:r>
      <w:r>
        <w:rPr>
          <w:rFonts w:eastAsia="仿宋_GB2312;仿宋" w:cs="Arial" w:ascii="Arial" w:hAnsi="Arial"/>
          <w:bCs/>
          <w:color w:val="000000"/>
          <w:sz w:val="28"/>
          <w:szCs w:val="28"/>
        </w:rPr>
        <w:t>1455.2</w:t>
      </w:r>
      <w:r>
        <w:rPr>
          <w:rFonts w:ascii="Arial" w:hAnsi="Arial" w:cs="Arial" w:eastAsia="仿宋_GB2312;仿宋"/>
          <w:bCs/>
          <w:color w:val="000000"/>
          <w:sz w:val="28"/>
          <w:szCs w:val="28"/>
        </w:rPr>
        <w:t>万人，占</w:t>
      </w:r>
      <w:r>
        <w:rPr>
          <w:rFonts w:eastAsia="仿宋_GB2312;仿宋" w:cs="Arial" w:ascii="Arial" w:hAnsi="Arial"/>
          <w:bCs/>
          <w:color w:val="000000"/>
          <w:sz w:val="28"/>
          <w:szCs w:val="28"/>
        </w:rPr>
        <w:t>66.6%</w:t>
      </w:r>
      <w:r>
        <w:rPr>
          <w:rFonts w:ascii="Arial" w:hAnsi="Arial" w:cs="Arial" w:eastAsia="仿宋_GB2312;仿宋"/>
          <w:bCs/>
          <w:color w:val="000000"/>
          <w:sz w:val="28"/>
          <w:szCs w:val="28"/>
        </w:rPr>
        <w:t>；</w:t>
      </w:r>
      <w:r>
        <w:rPr>
          <w:rFonts w:eastAsia="仿宋_GB2312;仿宋" w:cs="Arial" w:ascii="Arial" w:hAnsi="Arial"/>
          <w:bCs/>
          <w:color w:val="000000"/>
          <w:sz w:val="28"/>
          <w:szCs w:val="28"/>
        </w:rPr>
        <w:t>60</w:t>
      </w:r>
      <w:r>
        <w:rPr>
          <w:rFonts w:ascii="Arial" w:hAnsi="Arial" w:cs="Arial" w:eastAsia="仿宋_GB2312;仿宋"/>
          <w:bCs/>
          <w:color w:val="000000"/>
          <w:sz w:val="28"/>
          <w:szCs w:val="28"/>
        </w:rPr>
        <w:t>岁及以上常住人口</w:t>
      </w:r>
      <w:r>
        <w:rPr>
          <w:rFonts w:eastAsia="仿宋_GB2312;仿宋" w:cs="Arial" w:ascii="Arial" w:hAnsi="Arial"/>
          <w:bCs/>
          <w:color w:val="000000"/>
          <w:sz w:val="28"/>
          <w:szCs w:val="28"/>
        </w:rPr>
        <w:t>465.1</w:t>
      </w:r>
      <w:r>
        <w:rPr>
          <w:rFonts w:ascii="Arial" w:hAnsi="Arial" w:cs="Arial" w:eastAsia="仿宋_GB2312;仿宋"/>
          <w:bCs/>
          <w:color w:val="000000"/>
          <w:sz w:val="28"/>
          <w:szCs w:val="28"/>
        </w:rPr>
        <w:t>万人，占</w:t>
      </w:r>
      <w:r>
        <w:rPr>
          <w:rFonts w:eastAsia="仿宋_GB2312;仿宋" w:cs="Arial" w:ascii="Arial" w:hAnsi="Arial"/>
          <w:bCs/>
          <w:color w:val="000000"/>
          <w:sz w:val="28"/>
          <w:szCs w:val="28"/>
        </w:rPr>
        <w:t>21.3%</w:t>
      </w:r>
      <w:r>
        <w:rPr>
          <w:rFonts w:ascii="Arial" w:hAnsi="Arial" w:cs="Arial" w:eastAsia="仿宋_GB2312;仿宋"/>
          <w:bCs/>
          <w:color w:val="000000"/>
          <w:sz w:val="28"/>
          <w:szCs w:val="28"/>
        </w:rPr>
        <w:t>。</w:t>
      </w:r>
    </w:p>
    <w:p>
      <w:pPr>
        <w:pStyle w:val="Normal"/>
        <w:overflowPunct w:val="false"/>
        <w:spacing w:lineRule="auto" w:line="360"/>
        <w:jc w:val="center"/>
        <w:rPr>
          <w:rFonts w:ascii="Arial" w:hAnsi="Arial" w:eastAsia="仿宋_GB2312;仿宋" w:cs="Arial"/>
          <w:b/>
          <w:b/>
          <w:bCs/>
          <w:color w:val="000000"/>
          <w:szCs w:val="24"/>
        </w:rPr>
      </w:pPr>
      <w:r>
        <w:rPr>
          <w:rFonts w:eastAsia="仿宋_GB2312;仿宋" w:cs="Arial" w:ascii="Arial" w:hAnsi="Arial"/>
          <w:b/>
          <w:bCs/>
          <w:color w:val="000000"/>
          <w:szCs w:val="24"/>
        </w:rPr>
        <w:t>2018-2022</w:t>
      </w:r>
      <w:r>
        <w:rPr>
          <w:rFonts w:ascii="Arial" w:hAnsi="Arial" w:cs="Arial" w:eastAsia="仿宋_GB2312;仿宋"/>
          <w:b/>
          <w:bCs/>
          <w:color w:val="000000"/>
          <w:szCs w:val="24"/>
        </w:rPr>
        <w:t>年常住人口增量及增长速度</w:t>
      </w:r>
    </w:p>
    <w:p>
      <w:pPr>
        <w:pStyle w:val="Normal"/>
        <w:numPr>
          <w:ilvl w:val="0"/>
          <w:numId w:val="0"/>
        </w:numPr>
        <w:spacing w:lineRule="auto" w:line="360"/>
        <w:jc w:val="center"/>
        <w:outlineLvl w:val="0"/>
        <w:rPr>
          <w:rFonts w:ascii="Arial" w:hAnsi="Arial" w:eastAsia="仿宋_GB2312;仿宋" w:cs="Arial"/>
          <w:bCs/>
          <w:color w:val="000000"/>
          <w:sz w:val="28"/>
          <w:szCs w:val="28"/>
        </w:rPr>
      </w:pPr>
      <w:bookmarkEnd w:id="20"/>
      <w:bookmarkEnd w:id="21"/>
      <w:bookmarkEnd w:id="22"/>
      <w:r>
        <w:rPr>
          <w:color w:val="000000"/>
          <w:lang w:val="zh-CN" w:eastAsia="zh-CN"/>
        </w:rPr>
        <w:drawing>
          <wp:inline distT="0" distB="0" distL="0" distR="0">
            <wp:extent cx="5905500" cy="2735580"/>
            <wp:effectExtent l="0" t="0" r="0" b="0"/>
            <wp:docPr id="11" name="图表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表 1" descr=""/>
                    <pic:cNvPicPr>
                      <a:picLocks noChangeAspect="1" noChangeArrowheads="1"/>
                    </pic:cNvPicPr>
                  </pic:nvPicPr>
                  <pic:blipFill>
                    <a:blip r:embed="rId22"/>
                    <a:srcRect l="-6" t="-14" r="-6" b="-14"/>
                    <a:stretch>
                      <a:fillRect/>
                    </a:stretch>
                  </pic:blipFill>
                  <pic:spPr bwMode="auto">
                    <a:xfrm>
                      <a:off x="0" y="0"/>
                      <a:ext cx="5905500" cy="2735580"/>
                    </a:xfrm>
                    <a:prstGeom prst="rect">
                      <a:avLst/>
                    </a:prstGeom>
                  </pic:spPr>
                </pic:pic>
              </a:graphicData>
            </a:graphic>
          </wp:inline>
        </w:drawing>
      </w:r>
    </w:p>
    <w:p>
      <w:pPr>
        <w:pStyle w:val="Normal"/>
        <w:numPr>
          <w:ilvl w:val="0"/>
          <w:numId w:val="0"/>
        </w:numPr>
        <w:spacing w:lineRule="auto" w:line="360"/>
        <w:ind w:firstLine="562"/>
        <w:jc w:val="both"/>
        <w:outlineLvl w:val="0"/>
        <w:rPr/>
      </w:pPr>
      <w:r>
        <w:rPr>
          <w:rFonts w:ascii="仿宋_GB2312;仿宋" w:hAnsi="仿宋_GB2312;仿宋" w:eastAsia="仿宋_GB2312;仿宋"/>
          <w:b/>
          <w:bCs/>
          <w:color w:val="000000"/>
          <w:sz w:val="28"/>
          <w:szCs w:val="28"/>
        </w:rPr>
        <w:t>城市面积：</w:t>
      </w:r>
      <w:r>
        <w:rPr>
          <w:rFonts w:ascii="Arial" w:hAnsi="Arial" w:cs="Arial" w:eastAsia="仿宋"/>
          <w:color w:val="000000"/>
          <w:kern w:val="2"/>
          <w:sz w:val="28"/>
          <w:szCs w:val="28"/>
        </w:rPr>
        <w:t>北京市下辖</w:t>
      </w:r>
      <w:r>
        <w:rPr>
          <w:rFonts w:eastAsia="仿宋" w:cs="Arial" w:ascii="Arial" w:hAnsi="Arial"/>
          <w:color w:val="000000"/>
          <w:kern w:val="2"/>
          <w:sz w:val="28"/>
          <w:szCs w:val="28"/>
        </w:rPr>
        <w:t>16</w:t>
      </w:r>
      <w:r>
        <w:rPr>
          <w:rFonts w:ascii="Arial" w:hAnsi="Arial" w:cs="Arial" w:eastAsia="仿宋"/>
          <w:color w:val="000000"/>
          <w:kern w:val="2"/>
          <w:sz w:val="28"/>
          <w:szCs w:val="28"/>
        </w:rPr>
        <w:t>个区（</w:t>
      </w:r>
      <w:r>
        <w:rPr>
          <w:rFonts w:ascii="Arial" w:hAnsi="Arial" w:cs="Arial" w:eastAsia="仿宋_GB2312;仿宋"/>
          <w:bCs/>
          <w:color w:val="000000"/>
          <w:sz w:val="28"/>
          <w:szCs w:val="28"/>
        </w:rPr>
        <w:t>即东城、西城、海淀、朝阳、丰台、顺义、昌平、通州、门头沟、石景山、房山、大兴、怀柔、平谷、密云、延庆</w:t>
      </w:r>
      <w:r>
        <w:rPr>
          <w:rFonts w:ascii="Arial" w:hAnsi="Arial" w:cs="Arial" w:eastAsia="仿宋"/>
          <w:color w:val="000000"/>
          <w:kern w:val="2"/>
          <w:sz w:val="28"/>
          <w:szCs w:val="28"/>
        </w:rPr>
        <w:t>），行政辖区总面积为</w:t>
      </w:r>
      <w:r>
        <w:rPr>
          <w:rFonts w:eastAsia="仿宋" w:cs="Arial" w:ascii="Arial" w:hAnsi="Arial"/>
          <w:color w:val="000000"/>
          <w:kern w:val="2"/>
          <w:sz w:val="28"/>
          <w:szCs w:val="28"/>
        </w:rPr>
        <w:t>16410</w:t>
      </w:r>
      <w:r>
        <w:rPr>
          <w:rFonts w:ascii="Arial" w:hAnsi="Arial" w:cs="Arial" w:eastAsia="仿宋"/>
          <w:color w:val="000000"/>
          <w:kern w:val="2"/>
          <w:sz w:val="28"/>
          <w:szCs w:val="28"/>
        </w:rPr>
        <w:t>平方公里。</w:t>
      </w:r>
    </w:p>
    <w:p>
      <w:pPr>
        <w:pStyle w:val="Normal"/>
        <w:numPr>
          <w:ilvl w:val="0"/>
          <w:numId w:val="0"/>
        </w:numPr>
        <w:spacing w:lineRule="auto" w:line="360"/>
        <w:ind w:firstLine="562"/>
        <w:jc w:val="both"/>
        <w:outlineLvl w:val="0"/>
        <w:rPr>
          <w:rFonts w:ascii="Arial" w:hAnsi="Arial" w:eastAsia="仿宋" w:cs="Arial"/>
          <w:color w:val="000000"/>
          <w:kern w:val="2"/>
          <w:sz w:val="28"/>
          <w:szCs w:val="28"/>
        </w:rPr>
      </w:pPr>
      <w:r>
        <w:rPr>
          <w:rFonts w:ascii="仿宋_GB2312;仿宋" w:hAnsi="仿宋_GB2312;仿宋" w:eastAsia="仿宋_GB2312;仿宋"/>
          <w:b/>
          <w:bCs/>
          <w:color w:val="000000"/>
          <w:sz w:val="28"/>
          <w:szCs w:val="28"/>
        </w:rPr>
        <w:t>城市自然条件：</w:t>
      </w:r>
      <w:r>
        <w:rPr>
          <w:rFonts w:ascii="Arial" w:hAnsi="Arial" w:cs="Arial" w:eastAsia="仿宋"/>
          <w:color w:val="000000"/>
          <w:kern w:val="2"/>
          <w:sz w:val="28"/>
          <w:szCs w:val="28"/>
        </w:rPr>
        <w:t>北京气候属暖温带半湿润半干旱季风气候，夏季高温多雨，冬季寒冷干燥，春、秋短促。全年无霜期</w:t>
      </w:r>
      <w:r>
        <w:rPr>
          <w:rFonts w:eastAsia="仿宋" w:cs="Arial" w:ascii="Arial" w:hAnsi="Arial"/>
          <w:color w:val="000000"/>
          <w:kern w:val="2"/>
          <w:sz w:val="28"/>
          <w:szCs w:val="28"/>
        </w:rPr>
        <w:t>180</w:t>
      </w:r>
      <w:r>
        <w:rPr>
          <w:rFonts w:ascii="Arial" w:hAnsi="Arial" w:cs="Arial" w:eastAsia="仿宋"/>
          <w:color w:val="000000"/>
          <w:kern w:val="2"/>
          <w:sz w:val="28"/>
          <w:szCs w:val="28"/>
        </w:rPr>
        <w:t>～</w:t>
      </w:r>
      <w:r>
        <w:rPr>
          <w:rFonts w:eastAsia="仿宋" w:cs="Arial" w:ascii="Arial" w:hAnsi="Arial"/>
          <w:color w:val="000000"/>
          <w:kern w:val="2"/>
          <w:sz w:val="28"/>
          <w:szCs w:val="28"/>
        </w:rPr>
        <w:t>200</w:t>
      </w:r>
      <w:r>
        <w:rPr>
          <w:rFonts w:ascii="Arial" w:hAnsi="Arial" w:cs="Arial" w:eastAsia="仿宋"/>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Pr>
          <w:rFonts w:eastAsia="仿宋" w:cs="Arial" w:ascii="Arial" w:hAnsi="Arial"/>
          <w:color w:val="000000"/>
          <w:kern w:val="2"/>
          <w:sz w:val="28"/>
          <w:szCs w:val="28"/>
        </w:rPr>
        <w:t>85</w:t>
      </w:r>
      <w:r>
        <w:rPr>
          <w:rFonts w:ascii="Arial" w:hAnsi="Arial" w:cs="Arial" w:eastAsia="仿宋"/>
          <w:color w:val="000000"/>
          <w:kern w:val="2"/>
          <w:sz w:val="28"/>
          <w:szCs w:val="28"/>
        </w:rPr>
        <w:t>座，其中大型水库有密云水库、官厅水库、怀柔水库、海子水库。北京市地下水多年平均补给量约为</w:t>
      </w:r>
      <w:r>
        <w:rPr>
          <w:rFonts w:eastAsia="仿宋" w:cs="Arial" w:ascii="Arial" w:hAnsi="Arial"/>
          <w:color w:val="000000"/>
          <w:kern w:val="2"/>
          <w:sz w:val="28"/>
          <w:szCs w:val="28"/>
        </w:rPr>
        <w:t>29.21</w:t>
      </w:r>
      <w:r>
        <w:rPr>
          <w:rFonts w:ascii="Arial" w:hAnsi="Arial" w:cs="Arial" w:eastAsia="仿宋"/>
          <w:color w:val="000000"/>
          <w:kern w:val="2"/>
          <w:sz w:val="28"/>
          <w:szCs w:val="28"/>
        </w:rPr>
        <w:t>亿立方米，平均年可开采量约</w:t>
      </w:r>
      <w:r>
        <w:rPr>
          <w:rFonts w:eastAsia="仿宋" w:cs="Arial" w:ascii="Arial" w:hAnsi="Arial"/>
          <w:color w:val="000000"/>
          <w:kern w:val="2"/>
          <w:sz w:val="28"/>
          <w:szCs w:val="28"/>
        </w:rPr>
        <w:t>24~25</w:t>
      </w:r>
      <w:r>
        <w:rPr>
          <w:rFonts w:ascii="Arial" w:hAnsi="Arial" w:cs="Arial" w:eastAsia="仿宋"/>
          <w:color w:val="000000"/>
          <w:kern w:val="2"/>
          <w:sz w:val="28"/>
          <w:szCs w:val="28"/>
        </w:rPr>
        <w:t>亿立方米。一次性天然水资源年平均总量为</w:t>
      </w:r>
      <w:r>
        <w:rPr>
          <w:rFonts w:eastAsia="仿宋" w:cs="Arial" w:ascii="Arial" w:hAnsi="Arial"/>
          <w:color w:val="000000"/>
          <w:kern w:val="2"/>
          <w:sz w:val="28"/>
          <w:szCs w:val="28"/>
        </w:rPr>
        <w:t>55.21</w:t>
      </w:r>
      <w:r>
        <w:rPr>
          <w:rFonts w:ascii="Arial" w:hAnsi="Arial" w:cs="Arial" w:eastAsia="仿宋"/>
          <w:color w:val="000000"/>
          <w:kern w:val="2"/>
          <w:sz w:val="28"/>
          <w:szCs w:val="28"/>
        </w:rPr>
        <w:t>亿立方米。</w:t>
      </w:r>
    </w:p>
    <w:p>
      <w:pPr>
        <w:pStyle w:val="Normal"/>
        <w:widowControl/>
        <w:spacing w:lineRule="auto" w:line="360"/>
        <w:ind w:firstLine="562"/>
        <w:jc w:val="both"/>
        <w:rPr>
          <w:rFonts w:ascii="Arial" w:hAnsi="Arial" w:eastAsia="仿宋" w:cs="Arial"/>
          <w:color w:val="000000"/>
          <w:kern w:val="2"/>
          <w:sz w:val="28"/>
          <w:szCs w:val="28"/>
        </w:rPr>
      </w:pPr>
      <w:r>
        <w:rPr>
          <w:rFonts w:ascii="仿宋_GB2312;仿宋" w:hAnsi="仿宋_GB2312;仿宋" w:eastAsia="仿宋_GB2312;仿宋"/>
          <w:b/>
          <w:bCs/>
          <w:color w:val="000000"/>
          <w:sz w:val="28"/>
          <w:szCs w:val="28"/>
        </w:rPr>
        <w:t>土地利用状况：</w:t>
      </w:r>
      <w:r>
        <w:rPr>
          <w:rFonts w:eastAsia="仿宋" w:cs="Arial" w:ascii="Arial" w:hAnsi="Arial"/>
          <w:color w:val="000000"/>
          <w:kern w:val="2"/>
          <w:sz w:val="28"/>
          <w:szCs w:val="28"/>
        </w:rPr>
        <w:t>2021</w:t>
      </w:r>
      <w:r>
        <w:rPr>
          <w:rFonts w:ascii="Arial" w:hAnsi="Arial" w:cs="Arial" w:eastAsia="仿宋"/>
          <w:color w:val="000000"/>
          <w:kern w:val="2"/>
          <w:sz w:val="28"/>
          <w:szCs w:val="28"/>
        </w:rPr>
        <w:t>年</w:t>
      </w:r>
      <w:r>
        <w:rPr>
          <w:rFonts w:eastAsia="仿宋" w:cs="Arial" w:ascii="Arial" w:hAnsi="Arial"/>
          <w:color w:val="000000"/>
          <w:kern w:val="2"/>
          <w:sz w:val="28"/>
          <w:szCs w:val="28"/>
        </w:rPr>
        <w:t>11</w:t>
      </w:r>
      <w:r>
        <w:rPr>
          <w:rFonts w:ascii="Arial" w:hAnsi="Arial" w:cs="Arial" w:eastAsia="仿宋"/>
          <w:color w:val="000000"/>
          <w:kern w:val="2"/>
          <w:sz w:val="28"/>
          <w:szCs w:val="28"/>
        </w:rPr>
        <w:t>月</w:t>
      </w:r>
      <w:r>
        <w:rPr>
          <w:rFonts w:eastAsia="仿宋" w:cs="Arial" w:ascii="Arial" w:hAnsi="Arial"/>
          <w:color w:val="000000"/>
          <w:kern w:val="2"/>
          <w:sz w:val="28"/>
          <w:szCs w:val="28"/>
        </w:rPr>
        <w:t>5</w:t>
      </w:r>
      <w:r>
        <w:rPr>
          <w:rFonts w:ascii="Arial" w:hAnsi="Arial" w:cs="Arial" w:eastAsia="仿宋"/>
          <w:color w:val="000000"/>
          <w:kern w:val="2"/>
          <w:sz w:val="28"/>
          <w:szCs w:val="28"/>
        </w:rPr>
        <w:t>日，北京市发布第三次全国国土调查主要数据公报。数据显示，北京市现有耕地</w:t>
      </w:r>
      <w:r>
        <w:rPr>
          <w:rFonts w:eastAsia="仿宋" w:cs="Arial" w:ascii="Arial" w:hAnsi="Arial"/>
          <w:color w:val="000000"/>
          <w:kern w:val="2"/>
          <w:sz w:val="28"/>
          <w:szCs w:val="28"/>
        </w:rPr>
        <w:t>93547.9</w:t>
      </w:r>
      <w:r>
        <w:rPr>
          <w:rFonts w:ascii="Arial" w:hAnsi="Arial" w:cs="Arial" w:eastAsia="仿宋"/>
          <w:color w:val="000000"/>
          <w:kern w:val="2"/>
          <w:sz w:val="28"/>
          <w:szCs w:val="28"/>
        </w:rPr>
        <w:t>公顷（</w:t>
      </w:r>
      <w:r>
        <w:rPr>
          <w:rFonts w:eastAsia="仿宋" w:cs="Arial" w:ascii="Arial" w:hAnsi="Arial"/>
          <w:color w:val="000000"/>
          <w:kern w:val="2"/>
          <w:sz w:val="28"/>
          <w:szCs w:val="28"/>
        </w:rPr>
        <w:t>1403218.5</w:t>
      </w:r>
      <w:r>
        <w:rPr>
          <w:rFonts w:ascii="Arial" w:hAnsi="Arial" w:cs="Arial" w:eastAsia="仿宋"/>
          <w:color w:val="000000"/>
          <w:kern w:val="2"/>
          <w:sz w:val="28"/>
          <w:szCs w:val="28"/>
        </w:rPr>
        <w:t>亩）、园地</w:t>
      </w:r>
      <w:r>
        <w:rPr>
          <w:rFonts w:eastAsia="仿宋" w:cs="Arial" w:ascii="Arial" w:hAnsi="Arial"/>
          <w:color w:val="000000"/>
          <w:kern w:val="2"/>
          <w:sz w:val="28"/>
          <w:szCs w:val="28"/>
        </w:rPr>
        <w:t>126274.55</w:t>
      </w:r>
      <w:r>
        <w:rPr>
          <w:rFonts w:ascii="Arial" w:hAnsi="Arial" w:cs="Arial" w:eastAsia="仿宋"/>
          <w:color w:val="000000"/>
          <w:kern w:val="2"/>
          <w:sz w:val="28"/>
          <w:szCs w:val="28"/>
        </w:rPr>
        <w:t>公顷（</w:t>
      </w:r>
      <w:r>
        <w:rPr>
          <w:rFonts w:eastAsia="仿宋" w:cs="Arial" w:ascii="Arial" w:hAnsi="Arial"/>
          <w:color w:val="000000"/>
          <w:kern w:val="2"/>
          <w:sz w:val="28"/>
          <w:szCs w:val="28"/>
        </w:rPr>
        <w:t>1894118.25</w:t>
      </w:r>
      <w:r>
        <w:rPr>
          <w:rFonts w:ascii="Arial" w:hAnsi="Arial" w:cs="Arial" w:eastAsia="仿宋"/>
          <w:color w:val="000000"/>
          <w:kern w:val="2"/>
          <w:sz w:val="28"/>
          <w:szCs w:val="28"/>
        </w:rPr>
        <w:t>亩）、林地</w:t>
      </w:r>
      <w:r>
        <w:rPr>
          <w:rFonts w:eastAsia="仿宋" w:cs="Arial" w:ascii="Arial" w:hAnsi="Arial"/>
          <w:color w:val="000000"/>
          <w:kern w:val="2"/>
          <w:sz w:val="28"/>
          <w:szCs w:val="28"/>
        </w:rPr>
        <w:t>967628.62</w:t>
      </w:r>
      <w:r>
        <w:rPr>
          <w:rFonts w:ascii="Arial" w:hAnsi="Arial" w:cs="Arial" w:eastAsia="仿宋"/>
          <w:color w:val="000000"/>
          <w:kern w:val="2"/>
          <w:sz w:val="28"/>
          <w:szCs w:val="28"/>
        </w:rPr>
        <w:t>公顷（</w:t>
      </w:r>
      <w:r>
        <w:rPr>
          <w:rFonts w:eastAsia="仿宋" w:cs="Arial" w:ascii="Arial" w:hAnsi="Arial"/>
          <w:color w:val="000000"/>
          <w:kern w:val="2"/>
          <w:sz w:val="28"/>
          <w:szCs w:val="28"/>
        </w:rPr>
        <w:t>14514429.3</w:t>
      </w:r>
      <w:r>
        <w:rPr>
          <w:rFonts w:ascii="Arial" w:hAnsi="Arial" w:cs="Arial" w:eastAsia="仿宋"/>
          <w:color w:val="000000"/>
          <w:kern w:val="2"/>
          <w:sz w:val="28"/>
          <w:szCs w:val="28"/>
        </w:rPr>
        <w:t>亩）、草地</w:t>
      </w:r>
      <w:r>
        <w:rPr>
          <w:rFonts w:eastAsia="仿宋" w:cs="Arial" w:ascii="Arial" w:hAnsi="Arial"/>
          <w:color w:val="000000"/>
          <w:kern w:val="2"/>
          <w:sz w:val="28"/>
          <w:szCs w:val="28"/>
        </w:rPr>
        <w:t>14460.44</w:t>
      </w:r>
      <w:r>
        <w:rPr>
          <w:rFonts w:ascii="Arial" w:hAnsi="Arial" w:cs="Arial" w:eastAsia="仿宋"/>
          <w:color w:val="000000"/>
          <w:kern w:val="2"/>
          <w:sz w:val="28"/>
          <w:szCs w:val="28"/>
        </w:rPr>
        <w:t>公顷（</w:t>
      </w:r>
      <w:r>
        <w:rPr>
          <w:rFonts w:eastAsia="仿宋" w:cs="Arial" w:ascii="Arial" w:hAnsi="Arial"/>
          <w:color w:val="000000"/>
          <w:kern w:val="2"/>
          <w:sz w:val="28"/>
          <w:szCs w:val="28"/>
        </w:rPr>
        <w:t>216906.6</w:t>
      </w:r>
      <w:r>
        <w:rPr>
          <w:rFonts w:ascii="Arial" w:hAnsi="Arial" w:cs="Arial" w:eastAsia="仿宋"/>
          <w:color w:val="000000"/>
          <w:kern w:val="2"/>
          <w:sz w:val="28"/>
          <w:szCs w:val="28"/>
        </w:rPr>
        <w:t>亩）、湿地</w:t>
      </w:r>
      <w:r>
        <w:rPr>
          <w:rFonts w:eastAsia="仿宋" w:cs="Arial" w:ascii="Arial" w:hAnsi="Arial"/>
          <w:color w:val="000000"/>
          <w:kern w:val="2"/>
          <w:sz w:val="28"/>
          <w:szCs w:val="28"/>
        </w:rPr>
        <w:t>3107.98</w:t>
      </w:r>
      <w:r>
        <w:rPr>
          <w:rFonts w:ascii="Arial" w:hAnsi="Arial" w:cs="Arial" w:eastAsia="仿宋"/>
          <w:color w:val="000000"/>
          <w:kern w:val="2"/>
          <w:sz w:val="28"/>
          <w:szCs w:val="28"/>
        </w:rPr>
        <w:t>公顷（</w:t>
      </w:r>
      <w:r>
        <w:rPr>
          <w:rFonts w:eastAsia="仿宋" w:cs="Arial" w:ascii="Arial" w:hAnsi="Arial"/>
          <w:color w:val="000000"/>
          <w:kern w:val="2"/>
          <w:sz w:val="28"/>
          <w:szCs w:val="28"/>
        </w:rPr>
        <w:t>46619.7</w:t>
      </w:r>
      <w:r>
        <w:rPr>
          <w:rFonts w:ascii="Arial" w:hAnsi="Arial" w:cs="Arial" w:eastAsia="仿宋"/>
          <w:color w:val="000000"/>
          <w:kern w:val="2"/>
          <w:sz w:val="28"/>
          <w:szCs w:val="28"/>
        </w:rPr>
        <w:t>亩）、城镇村及工矿用地</w:t>
      </w:r>
      <w:r>
        <w:rPr>
          <w:rFonts w:eastAsia="仿宋" w:cs="Arial" w:ascii="Arial" w:hAnsi="Arial"/>
          <w:color w:val="000000"/>
          <w:kern w:val="2"/>
          <w:sz w:val="28"/>
          <w:szCs w:val="28"/>
        </w:rPr>
        <w:t>313643.87</w:t>
      </w:r>
      <w:r>
        <w:rPr>
          <w:rFonts w:ascii="Arial" w:hAnsi="Arial" w:cs="Arial" w:eastAsia="仿宋"/>
          <w:color w:val="000000"/>
          <w:kern w:val="2"/>
          <w:sz w:val="28"/>
          <w:szCs w:val="28"/>
        </w:rPr>
        <w:t>公顷（</w:t>
      </w:r>
      <w:r>
        <w:rPr>
          <w:rFonts w:eastAsia="仿宋" w:cs="Arial" w:ascii="Arial" w:hAnsi="Arial"/>
          <w:color w:val="000000"/>
          <w:kern w:val="2"/>
          <w:sz w:val="28"/>
          <w:szCs w:val="28"/>
        </w:rPr>
        <w:t>4704658.05</w:t>
      </w:r>
      <w:r>
        <w:rPr>
          <w:rFonts w:ascii="Arial" w:hAnsi="Arial" w:cs="Arial" w:eastAsia="仿宋"/>
          <w:color w:val="000000"/>
          <w:kern w:val="2"/>
          <w:sz w:val="28"/>
          <w:szCs w:val="28"/>
        </w:rPr>
        <w:t>亩）、交通运输用地</w:t>
      </w:r>
      <w:r>
        <w:rPr>
          <w:rFonts w:eastAsia="仿宋" w:cs="Arial" w:ascii="Arial" w:hAnsi="Arial"/>
          <w:color w:val="000000"/>
          <w:kern w:val="2"/>
          <w:sz w:val="28"/>
          <w:szCs w:val="28"/>
        </w:rPr>
        <w:t>49281.38</w:t>
      </w:r>
      <w:r>
        <w:rPr>
          <w:rFonts w:ascii="Arial" w:hAnsi="Arial" w:cs="Arial" w:eastAsia="仿宋"/>
          <w:color w:val="000000"/>
          <w:kern w:val="2"/>
          <w:sz w:val="28"/>
          <w:szCs w:val="28"/>
        </w:rPr>
        <w:t>公顷（</w:t>
      </w:r>
      <w:r>
        <w:rPr>
          <w:rFonts w:eastAsia="仿宋" w:cs="Arial" w:ascii="Arial" w:hAnsi="Arial"/>
          <w:color w:val="000000"/>
          <w:kern w:val="2"/>
          <w:sz w:val="28"/>
          <w:szCs w:val="28"/>
        </w:rPr>
        <w:t>739220.7</w:t>
      </w:r>
      <w:r>
        <w:rPr>
          <w:rFonts w:ascii="Arial" w:hAnsi="Arial" w:cs="Arial" w:eastAsia="仿宋"/>
          <w:color w:val="000000"/>
          <w:kern w:val="2"/>
          <w:sz w:val="28"/>
          <w:szCs w:val="28"/>
        </w:rPr>
        <w:t>亩）、水域及水利设施用地</w:t>
      </w:r>
      <w:r>
        <w:rPr>
          <w:rFonts w:eastAsia="仿宋" w:cs="Arial" w:ascii="Arial" w:hAnsi="Arial"/>
          <w:color w:val="000000"/>
          <w:kern w:val="2"/>
          <w:sz w:val="28"/>
          <w:szCs w:val="28"/>
        </w:rPr>
        <w:t>61704</w:t>
      </w:r>
      <w:r>
        <w:rPr>
          <w:rFonts w:ascii="Arial" w:hAnsi="Arial" w:cs="Arial" w:eastAsia="仿宋"/>
          <w:color w:val="000000"/>
          <w:kern w:val="2"/>
          <w:sz w:val="28"/>
          <w:szCs w:val="28"/>
        </w:rPr>
        <w:t>公顷（</w:t>
      </w:r>
      <w:r>
        <w:rPr>
          <w:rFonts w:eastAsia="仿宋" w:cs="Arial" w:ascii="Arial" w:hAnsi="Arial"/>
          <w:color w:val="000000"/>
          <w:kern w:val="2"/>
          <w:sz w:val="28"/>
          <w:szCs w:val="28"/>
        </w:rPr>
        <w:t>925560</w:t>
      </w:r>
      <w:r>
        <w:rPr>
          <w:rFonts w:ascii="Arial" w:hAnsi="Arial" w:cs="Arial" w:eastAsia="仿宋"/>
          <w:color w:val="000000"/>
          <w:kern w:val="2"/>
          <w:sz w:val="28"/>
          <w:szCs w:val="28"/>
        </w:rPr>
        <w:t>亩），其余为其他土地。三调数据显示，北京市以林、园、水、草、湿地和公园绿地为主的生态用地逐年增加，城乡建设用地明显减少，初步实现减量目标。</w:t>
      </w:r>
    </w:p>
    <w:p>
      <w:pPr>
        <w:pStyle w:val="Normal"/>
        <w:widowControl/>
        <w:spacing w:lineRule="auto" w:line="360"/>
        <w:jc w:val="both"/>
        <w:rPr>
          <w:rFonts w:ascii="Arial" w:hAnsi="Arial" w:eastAsia="仿宋_GB2312;仿宋" w:cs="Arial"/>
          <w:bCs/>
          <w:sz w:val="28"/>
          <w:szCs w:val="28"/>
        </w:rPr>
      </w:pPr>
      <w:r>
        <w:rPr>
          <w:lang w:val="zh-CN" w:eastAsia="zh-CN"/>
        </w:rPr>
        <w:drawing>
          <wp:inline distT="0" distB="0" distL="0" distR="0">
            <wp:extent cx="144739995" cy="3350895"/>
            <wp:effectExtent l="0" t="0" r="0" b="0"/>
            <wp:docPr id="12" name="图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像1" descr=""/>
                    <pic:cNvPicPr>
                      <a:picLocks noChangeAspect="1" noChangeArrowheads="1"/>
                    </pic:cNvPicPr>
                  </pic:nvPicPr>
                  <pic:blipFill>
                    <a:blip r:embed="rId23"/>
                    <a:srcRect l="-7" t="-13" r="-7" b="-13"/>
                    <a:stretch>
                      <a:fillRect/>
                    </a:stretch>
                  </pic:blipFill>
                  <pic:spPr bwMode="auto">
                    <a:xfrm>
                      <a:off x="0" y="0"/>
                      <a:ext cx="144739995" cy="3350895"/>
                    </a:xfrm>
                    <a:prstGeom prst="rect">
                      <a:avLst/>
                    </a:prstGeom>
                  </pic:spPr>
                </pic:pic>
              </a:graphicData>
            </a:graphic>
          </wp:inline>
        </w:drawing>
      </w:r>
    </w:p>
    <w:p>
      <w:pPr>
        <w:pStyle w:val="Normal"/>
        <w:spacing w:lineRule="auto" w:line="360"/>
        <w:ind w:right="205"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w:t>
      </w:r>
      <w:r>
        <w:rPr>
          <w:rFonts w:ascii="Arial" w:hAnsi="Arial" w:cs="Arial" w:eastAsia="仿宋_GB2312;仿宋"/>
          <w:bCs/>
          <w:color w:val="000000"/>
          <w:sz w:val="28"/>
          <w:szCs w:val="28"/>
        </w:rPr>
        <w:t>不动产制度与不动产市场状况</w:t>
      </w:r>
    </w:p>
    <w:p>
      <w:pPr>
        <w:pStyle w:val="Normal"/>
        <w:spacing w:lineRule="auto" w:line="360"/>
        <w:ind w:right="205" w:hanging="0"/>
        <w:jc w:val="both"/>
        <w:rPr/>
      </w:pPr>
      <w:r>
        <w:rPr>
          <w:rFonts w:ascii="MS Gothic;ＭＳ ゴシック" w:hAnsi="MS Gothic;ＭＳ ゴシック" w:cs="MS Gothic;ＭＳ ゴシック" w:eastAsia="MS Gothic;ＭＳ ゴシック"/>
          <w:b/>
          <w:bCs/>
          <w:color w:val="000000"/>
          <w:sz w:val="28"/>
          <w:szCs w:val="28"/>
        </w:rPr>
        <w:t xml:space="preserve">◆ </w:t>
      </w:r>
      <w:r>
        <w:rPr>
          <w:rFonts w:ascii="仿宋_GB2312;仿宋" w:hAnsi="仿宋_GB2312;仿宋" w:eastAsia="仿宋_GB2312;仿宋"/>
          <w:b/>
          <w:bCs/>
          <w:color w:val="000000"/>
          <w:sz w:val="28"/>
          <w:szCs w:val="28"/>
          <w:u w:val="single"/>
        </w:rPr>
        <w:t>土地使用制度及土地管理政策：</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我国当前实行土地招拍挂制度。土地招拍挂制度是国家土地资源出让、买卖的招标、拍卖、挂牌制度的简称，具体是指国家在土地出让或者买卖程序中的“招标”“拍卖”“挂牌”交易的政策或规定。</w:t>
      </w:r>
      <w:r>
        <w:rPr>
          <w:rFonts w:eastAsia="仿宋" w:cs="Arial" w:ascii="Arial" w:hAnsi="Arial"/>
          <w:color w:val="000000"/>
          <w:kern w:val="2"/>
          <w:sz w:val="28"/>
          <w:szCs w:val="28"/>
        </w:rPr>
        <w:t>2004</w:t>
      </w:r>
      <w:r>
        <w:rPr>
          <w:rFonts w:ascii="Arial" w:hAnsi="Arial" w:cs="Arial" w:eastAsia="仿宋"/>
          <w:color w:val="000000"/>
          <w:kern w:val="2"/>
          <w:sz w:val="28"/>
          <w:szCs w:val="28"/>
        </w:rPr>
        <w:t>年，国土资源部颁布第</w:t>
      </w:r>
      <w:r>
        <w:rPr>
          <w:rFonts w:eastAsia="仿宋" w:cs="Arial" w:ascii="Arial" w:hAnsi="Arial"/>
          <w:color w:val="000000"/>
          <w:kern w:val="2"/>
          <w:sz w:val="28"/>
          <w:szCs w:val="28"/>
        </w:rPr>
        <w:t>71</w:t>
      </w:r>
      <w:r>
        <w:rPr>
          <w:rFonts w:ascii="Arial" w:hAnsi="Arial" w:cs="Arial" w:eastAsia="仿宋"/>
          <w:color w:val="000000"/>
          <w:kern w:val="2"/>
          <w:sz w:val="28"/>
          <w:szCs w:val="28"/>
        </w:rPr>
        <w:t>令，《关于继续开展经营性土地使用权招标拍卖挂牌出让情况执法监察工作的通知》，规定</w:t>
      </w:r>
      <w:r>
        <w:rPr>
          <w:rFonts w:eastAsia="仿宋" w:cs="Arial" w:ascii="Arial" w:hAnsi="Arial"/>
          <w:color w:val="000000"/>
          <w:kern w:val="2"/>
          <w:sz w:val="28"/>
          <w:szCs w:val="28"/>
        </w:rPr>
        <w:t>2004</w:t>
      </w:r>
      <w:r>
        <w:rPr>
          <w:rFonts w:ascii="Arial" w:hAnsi="Arial" w:cs="Arial" w:eastAsia="仿宋"/>
          <w:color w:val="000000"/>
          <w:kern w:val="2"/>
          <w:sz w:val="28"/>
          <w:szCs w:val="28"/>
        </w:rPr>
        <w:t>年</w:t>
      </w:r>
      <w:r>
        <w:rPr>
          <w:rFonts w:eastAsia="仿宋" w:cs="Arial" w:ascii="Arial" w:hAnsi="Arial"/>
          <w:color w:val="000000"/>
          <w:kern w:val="2"/>
          <w:sz w:val="28"/>
          <w:szCs w:val="28"/>
        </w:rPr>
        <w:t>8</w:t>
      </w:r>
      <w:r>
        <w:rPr>
          <w:rFonts w:ascii="Arial" w:hAnsi="Arial" w:cs="Arial" w:eastAsia="仿宋"/>
          <w:color w:val="000000"/>
          <w:kern w:val="2"/>
          <w:sz w:val="28"/>
          <w:szCs w:val="28"/>
        </w:rPr>
        <w:t>月</w:t>
      </w:r>
      <w:r>
        <w:rPr>
          <w:rFonts w:eastAsia="仿宋" w:cs="Arial" w:ascii="Arial" w:hAnsi="Arial"/>
          <w:color w:val="000000"/>
          <w:kern w:val="2"/>
          <w:sz w:val="28"/>
          <w:szCs w:val="28"/>
        </w:rPr>
        <w:t>31</w:t>
      </w:r>
      <w:r>
        <w:rPr>
          <w:rFonts w:ascii="Arial" w:hAnsi="Arial" w:cs="Arial" w:eastAsia="仿宋"/>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w:t>
      </w:r>
      <w:r>
        <w:rPr>
          <w:rFonts w:eastAsia="仿宋" w:cs="Arial" w:ascii="Arial" w:hAnsi="Arial"/>
          <w:color w:val="000000"/>
          <w:kern w:val="2"/>
          <w:sz w:val="28"/>
          <w:szCs w:val="28"/>
        </w:rPr>
        <w:t>1</w:t>
      </w:r>
      <w:r>
        <w:rPr>
          <w:rFonts w:ascii="Arial" w:hAnsi="Arial" w:cs="Arial" w:eastAsia="仿宋"/>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Pr>
          <w:rFonts w:eastAsia="仿宋" w:cs="Arial" w:ascii="Arial" w:hAnsi="Arial"/>
          <w:color w:val="000000"/>
          <w:kern w:val="2"/>
          <w:sz w:val="28"/>
          <w:szCs w:val="28"/>
        </w:rPr>
        <w:t>11</w:t>
      </w:r>
      <w:r>
        <w:rPr>
          <w:rFonts w:ascii="Arial" w:hAnsi="Arial" w:cs="Arial" w:eastAsia="仿宋"/>
          <w:color w:val="000000"/>
          <w:kern w:val="2"/>
          <w:sz w:val="28"/>
          <w:szCs w:val="28"/>
        </w:rPr>
        <w:t>类国土空间规划分区。</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w:t>
      </w:r>
      <w:r>
        <w:rPr>
          <w:rFonts w:eastAsia="仿宋" w:cs="Arial" w:ascii="Arial" w:hAnsi="Arial"/>
          <w:color w:val="000000"/>
          <w:kern w:val="2"/>
          <w:sz w:val="28"/>
          <w:szCs w:val="28"/>
        </w:rPr>
        <w:t>2</w:t>
      </w:r>
      <w:r>
        <w:rPr>
          <w:rFonts w:ascii="Arial" w:hAnsi="Arial" w:cs="Arial" w:eastAsia="仿宋"/>
          <w:color w:val="000000"/>
          <w:kern w:val="2"/>
          <w:sz w:val="28"/>
          <w:szCs w:val="28"/>
        </w:rPr>
        <w:t>）</w:t>
      </w:r>
      <w:r>
        <w:rPr>
          <w:rFonts w:ascii="Arial" w:hAnsi="Arial" w:cs="Arial" w:eastAsia="仿宋"/>
          <w:color w:val="000000"/>
          <w:kern w:val="2"/>
          <w:sz w:val="28"/>
          <w:szCs w:val="28"/>
        </w:rPr>
        <w:t>严守耕地规模底线，划定耕地保护空间。</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强化耕地保护，深化耕地保护空间与政策保障</w:t>
      </w:r>
      <w:r>
        <w:rPr>
          <w:rFonts w:ascii="Arial" w:hAnsi="Arial" w:cs="Arial" w:eastAsia="仿宋"/>
          <w:color w:val="000000"/>
          <w:kern w:val="2"/>
          <w:sz w:val="28"/>
          <w:szCs w:val="28"/>
        </w:rPr>
        <w:t>。</w:t>
      </w:r>
      <w:r>
        <w:rPr>
          <w:rFonts w:ascii="Arial" w:hAnsi="Arial" w:cs="Arial" w:eastAsia="仿宋"/>
          <w:color w:val="000000"/>
          <w:kern w:val="2"/>
          <w:sz w:val="28"/>
          <w:szCs w:val="28"/>
        </w:rPr>
        <w:t>完善耕地主动保护机制</w:t>
      </w:r>
      <w:r>
        <w:rPr>
          <w:rFonts w:ascii="Arial" w:hAnsi="Arial" w:cs="Arial" w:eastAsia="仿宋"/>
          <w:color w:val="000000"/>
          <w:kern w:val="2"/>
          <w:sz w:val="28"/>
          <w:szCs w:val="28"/>
        </w:rPr>
        <w:t>，</w:t>
      </w:r>
      <w:r>
        <w:rPr>
          <w:rFonts w:ascii="Arial" w:hAnsi="Arial" w:cs="Arial" w:eastAsia="仿宋"/>
          <w:color w:val="000000"/>
          <w:kern w:val="2"/>
          <w:sz w:val="28"/>
          <w:szCs w:val="28"/>
        </w:rPr>
        <w:t>出台《落实城市总体规划统筹推进耕地和永久基本农田保护工作实施方案（试行）》</w:t>
      </w:r>
      <w:r>
        <w:rPr>
          <w:rFonts w:ascii="Arial" w:hAnsi="Arial" w:cs="Arial" w:eastAsia="仿宋"/>
          <w:color w:val="000000"/>
          <w:kern w:val="2"/>
          <w:sz w:val="28"/>
          <w:szCs w:val="28"/>
        </w:rPr>
        <w:t>、</w:t>
      </w:r>
      <w:r>
        <w:rPr>
          <w:rFonts w:ascii="Arial" w:hAnsi="Arial" w:cs="Arial" w:eastAsia="仿宋"/>
          <w:color w:val="000000"/>
          <w:kern w:val="2"/>
          <w:sz w:val="28"/>
          <w:szCs w:val="28"/>
        </w:rPr>
        <w:t>《北京市耕地保护责任目标考核办法》</w:t>
      </w:r>
      <w:r>
        <w:rPr>
          <w:rFonts w:ascii="Arial" w:hAnsi="Arial" w:cs="Arial" w:eastAsia="仿宋"/>
          <w:color w:val="000000"/>
          <w:kern w:val="2"/>
          <w:sz w:val="28"/>
          <w:szCs w:val="28"/>
        </w:rPr>
        <w:t>、</w:t>
      </w:r>
      <w:r>
        <w:rPr>
          <w:rFonts w:ascii="Arial" w:hAnsi="Arial" w:cs="Arial" w:eastAsia="仿宋"/>
          <w:color w:val="000000"/>
          <w:kern w:val="2"/>
          <w:sz w:val="28"/>
          <w:szCs w:val="28"/>
        </w:rPr>
        <w:t>《北京市耕地保护补偿资金管理暂行办法》，签订《耕地保护目标管理暨永久基本农田保护责任书》，全面推行四级田长制，压实耕地保护主体责任。</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w:t>
      </w:r>
      <w:r>
        <w:rPr>
          <w:rFonts w:eastAsia="仿宋" w:cs="Arial" w:ascii="Arial" w:hAnsi="Arial"/>
          <w:color w:val="000000"/>
          <w:kern w:val="2"/>
          <w:sz w:val="28"/>
          <w:szCs w:val="28"/>
        </w:rPr>
        <w:t>3</w:t>
      </w:r>
      <w:r>
        <w:rPr>
          <w:rFonts w:ascii="Arial" w:hAnsi="Arial" w:cs="Arial" w:eastAsia="仿宋"/>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Pr>
          <w:rFonts w:eastAsia="仿宋" w:cs="Arial" w:ascii="Arial" w:hAnsi="Arial"/>
          <w:color w:val="000000"/>
          <w:kern w:val="2"/>
          <w:sz w:val="28"/>
          <w:szCs w:val="28"/>
        </w:rPr>
        <w:t>51%</w:t>
      </w:r>
      <w:r>
        <w:rPr>
          <w:rFonts w:ascii="Arial" w:hAnsi="Arial" w:cs="Arial" w:eastAsia="仿宋"/>
          <w:color w:val="000000"/>
          <w:kern w:val="2"/>
          <w:sz w:val="28"/>
          <w:szCs w:val="28"/>
        </w:rPr>
        <w:t>提升至“十三五”时期的</w:t>
      </w:r>
      <w:r>
        <w:rPr>
          <w:rFonts w:eastAsia="仿宋" w:cs="Arial" w:ascii="Arial" w:hAnsi="Arial"/>
          <w:color w:val="000000"/>
          <w:kern w:val="2"/>
          <w:sz w:val="28"/>
          <w:szCs w:val="28"/>
        </w:rPr>
        <w:t>55%</w:t>
      </w:r>
      <w:r>
        <w:rPr>
          <w:rFonts w:ascii="Arial" w:hAnsi="Arial" w:cs="Arial" w:eastAsia="仿宋"/>
          <w:color w:val="000000"/>
          <w:kern w:val="2"/>
          <w:sz w:val="28"/>
          <w:szCs w:val="28"/>
        </w:rPr>
        <w:t>以上</w:t>
      </w:r>
      <w:r>
        <w:rPr>
          <w:rFonts w:eastAsia="仿宋" w:cs="Arial" w:ascii="Arial" w:hAnsi="Arial"/>
          <w:color w:val="000000"/>
          <w:kern w:val="2"/>
          <w:sz w:val="28"/>
          <w:szCs w:val="28"/>
        </w:rPr>
        <w:t>.</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w:t>
      </w:r>
      <w:r>
        <w:rPr>
          <w:rFonts w:eastAsia="仿宋" w:cs="Arial" w:ascii="Arial" w:hAnsi="Arial"/>
          <w:color w:val="000000"/>
          <w:kern w:val="2"/>
          <w:sz w:val="28"/>
          <w:szCs w:val="28"/>
        </w:rPr>
        <w:t>4</w:t>
      </w:r>
      <w:r>
        <w:rPr>
          <w:rFonts w:ascii="Arial" w:hAnsi="Arial" w:cs="Arial" w:eastAsia="仿宋"/>
          <w:color w:val="000000"/>
          <w:kern w:val="2"/>
          <w:sz w:val="28"/>
          <w:szCs w:val="28"/>
        </w:rPr>
        <w:t>）</w:t>
      </w:r>
      <w:r>
        <w:rPr>
          <w:rFonts w:ascii="Arial" w:hAnsi="Arial" w:cs="Arial" w:eastAsia="仿宋"/>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两图合一”规划编制技术指南》《北京市国土空间规划分区和用途管制规则》等一系列政策文件，初步建立首都“三级三类”国土空间规划体系，不断完善首都国土空间治理体系，着力提高国土空间治理能力现代化水平。</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一张底图”。建立北京市国有自然资源报告工作制度，自然资源统一调查、监测、确权、配置、评价、监督的管理制度逐步建立。</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加强推进农村土地管理改革。制定《关于进一步加强农村集体土地管理加快建立健全“村地区管”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pPr>
        <w:pStyle w:val="Normal"/>
        <w:numPr>
          <w:ilvl w:val="0"/>
          <w:numId w:val="0"/>
        </w:numPr>
        <w:spacing w:lineRule="auto" w:line="360"/>
        <w:ind w:firstLine="560"/>
        <w:jc w:val="both"/>
        <w:outlineLvl w:val="0"/>
        <w:rPr/>
      </w:pPr>
      <w:r>
        <w:rPr>
          <w:rFonts w:eastAsia="仿宋" w:cs="Arial" w:ascii="Arial" w:hAnsi="Arial"/>
          <w:color w:val="000000"/>
          <w:kern w:val="2"/>
          <w:sz w:val="28"/>
          <w:szCs w:val="28"/>
        </w:rPr>
        <w:t>2022</w:t>
      </w:r>
      <w:r>
        <w:rPr>
          <w:rFonts w:ascii="Arial" w:hAnsi="Arial" w:cs="Arial" w:eastAsia="仿宋"/>
          <w:color w:val="000000"/>
          <w:kern w:val="2"/>
          <w:sz w:val="28"/>
          <w:szCs w:val="28"/>
        </w:rPr>
        <w:t>年北京市人民政府关于印发《北京市“十四五”时期土地资源保护利用规划》的通知，要求全市继续</w:t>
      </w:r>
      <w:r>
        <w:rPr>
          <w:rFonts w:ascii="Arial" w:hAnsi="Arial" w:cs="Arial" w:eastAsia="仿宋"/>
          <w:color w:val="000000"/>
          <w:kern w:val="2"/>
          <w:sz w:val="28"/>
          <w:szCs w:val="28"/>
        </w:rPr>
        <w:t>统筹土地资源保护和利用工作，强化科学布局、整体保护、系统修复、高效利用、综合治理</w:t>
      </w:r>
      <w:r>
        <w:rPr>
          <w:rFonts w:ascii="Arial" w:hAnsi="Arial" w:cs="Arial" w:eastAsia="仿宋"/>
          <w:color w:val="000000"/>
          <w:kern w:val="2"/>
          <w:sz w:val="28"/>
          <w:szCs w:val="28"/>
        </w:rPr>
        <w:t>。</w:t>
      </w:r>
    </w:p>
    <w:p>
      <w:pPr>
        <w:pStyle w:val="Normal"/>
        <w:spacing w:lineRule="auto" w:line="360"/>
        <w:ind w:right="205" w:hanging="0"/>
        <w:jc w:val="both"/>
        <w:rPr/>
      </w:pPr>
      <w:r>
        <w:rPr>
          <w:rFonts w:ascii="MS Gothic;ＭＳ ゴシック" w:hAnsi="MS Gothic;ＭＳ ゴシック" w:cs="MS Gothic;ＭＳ ゴシック" w:eastAsia="MS Gothic;ＭＳ ゴシック"/>
          <w:b/>
          <w:bCs/>
          <w:color w:val="000000"/>
          <w:sz w:val="28"/>
          <w:szCs w:val="28"/>
        </w:rPr>
        <w:t xml:space="preserve">◆ </w:t>
      </w:r>
      <w:r>
        <w:rPr>
          <w:rFonts w:ascii="仿宋_GB2312;仿宋" w:hAnsi="仿宋_GB2312;仿宋" w:eastAsia="仿宋_GB2312;仿宋"/>
          <w:b/>
          <w:bCs/>
          <w:color w:val="000000"/>
          <w:sz w:val="28"/>
          <w:szCs w:val="28"/>
          <w:u w:val="single"/>
        </w:rPr>
        <w:t>住房制度与不动产管理政策：</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根据</w:t>
      </w:r>
      <w:r>
        <w:rPr>
          <w:rFonts w:eastAsia="仿宋" w:cs="Arial" w:ascii="Arial" w:hAnsi="Arial"/>
          <w:color w:val="000000"/>
          <w:kern w:val="2"/>
          <w:sz w:val="28"/>
          <w:szCs w:val="28"/>
        </w:rPr>
        <w:t>2022</w:t>
      </w:r>
      <w:r>
        <w:rPr>
          <w:rFonts w:ascii="Arial" w:hAnsi="Arial" w:cs="Arial" w:eastAsia="仿宋"/>
          <w:color w:val="000000"/>
          <w:kern w:val="2"/>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eastAsia="仿宋" w:cs="Arial" w:ascii="Arial" w:hAnsi="Arial"/>
          <w:color w:val="000000"/>
          <w:kern w:val="2"/>
          <w:sz w:val="28"/>
          <w:szCs w:val="28"/>
        </w:rPr>
        <w:t>2022</w:t>
      </w:r>
      <w:r>
        <w:rPr>
          <w:rFonts w:ascii="Arial" w:hAnsi="Arial" w:cs="Arial" w:eastAsia="仿宋"/>
          <w:color w:val="000000"/>
          <w:kern w:val="2"/>
          <w:sz w:val="28"/>
          <w:szCs w:val="28"/>
        </w:rPr>
        <w:t>年</w:t>
      </w:r>
      <w:r>
        <w:rPr>
          <w:rFonts w:eastAsia="仿宋" w:cs="Arial" w:ascii="Arial" w:hAnsi="Arial"/>
          <w:color w:val="000000"/>
          <w:kern w:val="2"/>
          <w:sz w:val="28"/>
          <w:szCs w:val="28"/>
        </w:rPr>
        <w:t>8</w:t>
      </w:r>
      <w:r>
        <w:rPr>
          <w:rFonts w:ascii="Arial" w:hAnsi="Arial" w:cs="Arial" w:eastAsia="仿宋"/>
          <w:color w:val="000000"/>
          <w:kern w:val="2"/>
          <w:sz w:val="28"/>
          <w:szCs w:val="28"/>
        </w:rPr>
        <w:t>月</w:t>
      </w:r>
      <w:r>
        <w:rPr>
          <w:rFonts w:eastAsia="仿宋" w:cs="Arial" w:ascii="Arial" w:hAnsi="Arial"/>
          <w:color w:val="000000"/>
          <w:kern w:val="2"/>
          <w:sz w:val="28"/>
          <w:szCs w:val="28"/>
        </w:rPr>
        <w:t>5</w:t>
      </w:r>
      <w:r>
        <w:rPr>
          <w:rFonts w:ascii="Arial" w:hAnsi="Arial" w:cs="Arial" w:eastAsia="仿宋"/>
          <w:color w:val="000000"/>
          <w:kern w:val="2"/>
          <w:sz w:val="28"/>
          <w:szCs w:val="28"/>
        </w:rPr>
        <w:t>日，北京市住建委正式发布《北京住房和城乡建设发展白皮书（</w:t>
      </w:r>
      <w:r>
        <w:rPr>
          <w:rFonts w:eastAsia="仿宋" w:cs="Arial" w:ascii="Arial" w:hAnsi="Arial"/>
          <w:color w:val="000000"/>
          <w:kern w:val="2"/>
          <w:sz w:val="28"/>
          <w:szCs w:val="28"/>
        </w:rPr>
        <w:t>2022</w:t>
      </w:r>
      <w:r>
        <w:rPr>
          <w:rFonts w:ascii="Arial" w:hAnsi="Arial" w:cs="Arial" w:eastAsia="仿宋"/>
          <w:color w:val="000000"/>
          <w:kern w:val="2"/>
          <w:sz w:val="28"/>
          <w:szCs w:val="28"/>
        </w:rPr>
        <w:t>）》，围绕“三稳”目标下功夫，加快构建公租房等住房保障体系。</w:t>
      </w:r>
    </w:p>
    <w:p>
      <w:pPr>
        <w:pStyle w:val="Normal"/>
        <w:numPr>
          <w:ilvl w:val="0"/>
          <w:numId w:val="0"/>
        </w:numPr>
        <w:spacing w:lineRule="auto" w:line="360"/>
        <w:ind w:firstLine="560"/>
        <w:jc w:val="both"/>
        <w:outlineLvl w:val="0"/>
        <w:rPr/>
      </w:pPr>
      <w:r>
        <w:rPr>
          <w:rFonts w:eastAsia="仿宋" w:cs="Arial" w:ascii="Arial" w:hAnsi="Arial"/>
          <w:color w:val="000000"/>
          <w:kern w:val="2"/>
          <w:sz w:val="28"/>
          <w:szCs w:val="28"/>
        </w:rPr>
        <w:t>2023</w:t>
      </w:r>
      <w:r>
        <w:rPr>
          <w:rFonts w:ascii="Arial" w:hAnsi="Arial" w:cs="Arial" w:eastAsia="仿宋"/>
          <w:color w:val="000000"/>
          <w:kern w:val="2"/>
          <w:sz w:val="28"/>
          <w:szCs w:val="28"/>
        </w:rPr>
        <w:t>年</w:t>
      </w:r>
      <w:r>
        <w:rPr>
          <w:rFonts w:eastAsia="仿宋_GB2312;仿宋" w:cs="Arial" w:ascii="Arial" w:hAnsi="Arial"/>
          <w:bCs/>
          <w:color w:val="000000"/>
          <w:sz w:val="28"/>
          <w:szCs w:val="28"/>
        </w:rPr>
        <w:t>2</w:t>
      </w:r>
      <w:r>
        <w:rPr>
          <w:rFonts w:ascii="Arial" w:hAnsi="Arial" w:cs="Arial" w:eastAsia="仿宋_GB2312;仿宋"/>
          <w:bCs/>
          <w:color w:val="000000"/>
          <w:sz w:val="28"/>
          <w:szCs w:val="28"/>
        </w:rPr>
        <w:t>月</w:t>
      </w:r>
      <w:r>
        <w:rPr>
          <w:rFonts w:eastAsia="仿宋_GB2312;仿宋" w:cs="Arial" w:ascii="Arial" w:hAnsi="Arial"/>
          <w:bCs/>
          <w:color w:val="000000"/>
          <w:sz w:val="28"/>
          <w:szCs w:val="28"/>
        </w:rPr>
        <w:t>22</w:t>
      </w:r>
      <w:r>
        <w:rPr>
          <w:rFonts w:ascii="Arial" w:hAnsi="Arial" w:cs="Arial" w:eastAsia="仿宋_GB2312;仿宋"/>
          <w:bCs/>
          <w:color w:val="000000"/>
          <w:sz w:val="28"/>
          <w:szCs w:val="28"/>
        </w:rPr>
        <w:t>日，北京规自委、北京发改委联合发布《北京市</w:t>
      </w:r>
      <w:r>
        <w:rPr>
          <w:rFonts w:eastAsia="仿宋_GB2312;仿宋" w:cs="Arial" w:ascii="Arial" w:hAnsi="Arial"/>
          <w:bCs/>
          <w:color w:val="000000"/>
          <w:sz w:val="28"/>
          <w:szCs w:val="28"/>
        </w:rPr>
        <w:t>2023</w:t>
      </w:r>
      <w:r>
        <w:rPr>
          <w:rFonts w:ascii="Arial" w:hAnsi="Arial" w:cs="Arial" w:eastAsia="仿宋_GB2312;仿宋"/>
          <w:bCs/>
          <w:color w:val="000000"/>
          <w:sz w:val="28"/>
          <w:szCs w:val="28"/>
        </w:rPr>
        <w:t>年度建设用地供应计划》。计划安排建设用地供应总量</w:t>
      </w:r>
      <w:r>
        <w:rPr>
          <w:rFonts w:eastAsia="仿宋_GB2312;仿宋" w:cs="Arial" w:ascii="Arial" w:hAnsi="Arial"/>
          <w:bCs/>
          <w:color w:val="000000"/>
          <w:sz w:val="28"/>
          <w:szCs w:val="28"/>
        </w:rPr>
        <w:t>3190-3630</w:t>
      </w:r>
      <w:r>
        <w:rPr>
          <w:rFonts w:ascii="Arial" w:hAnsi="Arial" w:cs="Arial" w:eastAsia="仿宋_GB2312;仿宋"/>
          <w:bCs/>
          <w:color w:val="000000"/>
          <w:sz w:val="28"/>
          <w:szCs w:val="28"/>
        </w:rPr>
        <w:t>公顷，与</w:t>
      </w:r>
      <w:r>
        <w:rPr>
          <w:rFonts w:eastAsia="仿宋_GB2312;仿宋" w:cs="Arial" w:ascii="Arial" w:hAnsi="Arial"/>
          <w:bCs/>
          <w:color w:val="000000"/>
          <w:sz w:val="28"/>
          <w:szCs w:val="28"/>
        </w:rPr>
        <w:t>2022</w:t>
      </w:r>
      <w:r>
        <w:rPr>
          <w:rFonts w:ascii="Arial" w:hAnsi="Arial" w:cs="Arial" w:eastAsia="仿宋_GB2312;仿宋"/>
          <w:bCs/>
          <w:color w:val="000000"/>
          <w:sz w:val="28"/>
          <w:szCs w:val="28"/>
        </w:rPr>
        <w:t>年基本持平。其中，住宅用地</w:t>
      </w:r>
      <w:r>
        <w:rPr>
          <w:rFonts w:eastAsia="仿宋_GB2312;仿宋" w:cs="Arial" w:ascii="Arial" w:hAnsi="Arial"/>
          <w:bCs/>
          <w:color w:val="000000"/>
          <w:sz w:val="28"/>
          <w:szCs w:val="28"/>
        </w:rPr>
        <w:t>1060</w:t>
      </w:r>
      <w:r>
        <w:rPr>
          <w:rFonts w:ascii="Arial" w:hAnsi="Arial" w:cs="Arial" w:eastAsia="仿宋_GB2312;仿宋"/>
          <w:bCs/>
          <w:color w:val="000000"/>
          <w:sz w:val="28"/>
          <w:szCs w:val="28"/>
        </w:rPr>
        <w:t>公顷（产权住宅用地</w:t>
      </w:r>
      <w:r>
        <w:rPr>
          <w:rFonts w:eastAsia="仿宋_GB2312;仿宋" w:cs="Arial" w:ascii="Arial" w:hAnsi="Arial"/>
          <w:bCs/>
          <w:color w:val="000000"/>
          <w:sz w:val="28"/>
          <w:szCs w:val="28"/>
        </w:rPr>
        <w:t>800</w:t>
      </w:r>
      <w:r>
        <w:rPr>
          <w:rFonts w:ascii="Arial" w:hAnsi="Arial" w:cs="Arial" w:eastAsia="仿宋_GB2312;仿宋"/>
          <w:bCs/>
          <w:color w:val="000000"/>
          <w:sz w:val="28"/>
          <w:szCs w:val="28"/>
        </w:rPr>
        <w:t>公顷，租赁住宅用地</w:t>
      </w:r>
      <w:r>
        <w:rPr>
          <w:rFonts w:eastAsia="仿宋_GB2312;仿宋" w:cs="Arial" w:ascii="Arial" w:hAnsi="Arial"/>
          <w:bCs/>
          <w:color w:val="000000"/>
          <w:sz w:val="28"/>
          <w:szCs w:val="28"/>
        </w:rPr>
        <w:t>260</w:t>
      </w:r>
      <w:r>
        <w:rPr>
          <w:rFonts w:ascii="Arial" w:hAnsi="Arial" w:cs="Arial" w:eastAsia="仿宋_GB2312;仿宋"/>
          <w:bCs/>
          <w:color w:val="000000"/>
          <w:sz w:val="28"/>
          <w:szCs w:val="28"/>
        </w:rPr>
        <w:t>公顷）。从各区供应计划来看，供地重点向城市副中心和多点地区倾斜，促进土地资源合理配置。中心城区、生态涵养区的供应比例均保持在</w:t>
      </w:r>
      <w:r>
        <w:rPr>
          <w:rFonts w:eastAsia="仿宋_GB2312;仿宋" w:cs="Arial" w:ascii="Arial" w:hAnsi="Arial"/>
          <w:bCs/>
          <w:color w:val="000000"/>
          <w:sz w:val="28"/>
          <w:szCs w:val="28"/>
        </w:rPr>
        <w:t>20%</w:t>
      </w:r>
      <w:r>
        <w:rPr>
          <w:rFonts w:ascii="Arial" w:hAnsi="Arial" w:cs="Arial" w:eastAsia="仿宋_GB2312;仿宋"/>
          <w:bCs/>
          <w:color w:val="000000"/>
          <w:sz w:val="28"/>
          <w:szCs w:val="28"/>
        </w:rPr>
        <w:t>左右，城市副中心和多点地区供应比率稳定在</w:t>
      </w:r>
      <w:r>
        <w:rPr>
          <w:rFonts w:eastAsia="仿宋_GB2312;仿宋" w:cs="Arial" w:ascii="Arial" w:hAnsi="Arial"/>
          <w:bCs/>
          <w:color w:val="000000"/>
          <w:sz w:val="28"/>
          <w:szCs w:val="28"/>
        </w:rPr>
        <w:t>60%</w:t>
      </w:r>
      <w:r>
        <w:rPr>
          <w:rFonts w:ascii="Arial" w:hAnsi="Arial" w:cs="Arial" w:eastAsia="仿宋_GB2312;仿宋"/>
          <w:bCs/>
          <w:color w:val="000000"/>
          <w:sz w:val="28"/>
          <w:szCs w:val="28"/>
        </w:rPr>
        <w:t>左右</w:t>
      </w:r>
      <w:r>
        <w:rPr>
          <w:rFonts w:ascii="Arial" w:hAnsi="Arial" w:cs="Arial" w:eastAsia="仿宋"/>
          <w:color w:val="000000"/>
          <w:kern w:val="2"/>
          <w:sz w:val="28"/>
          <w:szCs w:val="28"/>
        </w:rPr>
        <w:t>。另外，继续加大向租赁住房倾斜力度，单列租赁住房用地计划，重点通过新建、改建、人才公租房纳统、市场房源、零散房源筹集等</w:t>
      </w:r>
      <w:r>
        <w:rPr>
          <w:rFonts w:eastAsia="仿宋" w:cs="Arial" w:ascii="Arial" w:hAnsi="Arial"/>
          <w:color w:val="000000"/>
          <w:kern w:val="2"/>
          <w:sz w:val="28"/>
          <w:szCs w:val="28"/>
        </w:rPr>
        <w:t>6</w:t>
      </w:r>
      <w:r>
        <w:rPr>
          <w:rFonts w:ascii="Arial" w:hAnsi="Arial" w:cs="Arial" w:eastAsia="仿宋"/>
          <w:color w:val="000000"/>
          <w:kern w:val="2"/>
          <w:sz w:val="28"/>
          <w:szCs w:val="28"/>
        </w:rPr>
        <w:t>种方式，充分发挥市场机制作用，积极引导多主体、多渠道建设筹集保障性租赁住房，保障新市民、新青年住房需求。</w:t>
      </w:r>
    </w:p>
    <w:p>
      <w:pPr>
        <w:pStyle w:val="Normal"/>
        <w:numPr>
          <w:ilvl w:val="0"/>
          <w:numId w:val="0"/>
        </w:numPr>
        <w:spacing w:lineRule="auto" w:line="360"/>
        <w:ind w:firstLine="560"/>
        <w:jc w:val="both"/>
        <w:outlineLvl w:val="0"/>
        <w:rPr/>
      </w:pPr>
      <w:r>
        <w:rPr>
          <w:rFonts w:eastAsia="仿宋" w:cs="Arial" w:ascii="Arial" w:hAnsi="Arial"/>
          <w:color w:val="000000"/>
          <w:kern w:val="2"/>
          <w:sz w:val="28"/>
          <w:szCs w:val="28"/>
        </w:rPr>
        <w:t>2023</w:t>
      </w:r>
      <w:r>
        <w:rPr>
          <w:rFonts w:ascii="Arial" w:hAnsi="Arial" w:cs="Arial" w:eastAsia="仿宋"/>
          <w:color w:val="000000"/>
          <w:kern w:val="2"/>
          <w:sz w:val="28"/>
          <w:szCs w:val="28"/>
        </w:rPr>
        <w:t>年</w:t>
      </w:r>
      <w:r>
        <w:rPr>
          <w:rFonts w:eastAsia="仿宋" w:cs="Arial" w:ascii="Arial" w:hAnsi="Arial"/>
          <w:color w:val="000000"/>
          <w:kern w:val="2"/>
          <w:sz w:val="28"/>
          <w:szCs w:val="28"/>
        </w:rPr>
        <w:t>4</w:t>
      </w:r>
      <w:r>
        <w:rPr>
          <w:rFonts w:ascii="Arial" w:hAnsi="Arial" w:cs="Arial" w:eastAsia="仿宋"/>
          <w:color w:val="000000"/>
          <w:kern w:val="2"/>
          <w:sz w:val="28"/>
          <w:szCs w:val="28"/>
        </w:rPr>
        <w:t>月</w:t>
      </w:r>
      <w:r>
        <w:rPr>
          <w:rFonts w:eastAsia="仿宋" w:cs="Arial" w:ascii="Arial" w:hAnsi="Arial"/>
          <w:color w:val="000000"/>
          <w:kern w:val="2"/>
          <w:sz w:val="28"/>
          <w:szCs w:val="28"/>
        </w:rPr>
        <w:t>25</w:t>
      </w:r>
      <w:r>
        <w:rPr>
          <w:rFonts w:ascii="Arial" w:hAnsi="Arial" w:cs="Arial" w:eastAsia="仿宋"/>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pPr>
        <w:pStyle w:val="Normal"/>
        <w:spacing w:lineRule="auto" w:line="360"/>
        <w:ind w:right="205" w:hanging="0"/>
        <w:jc w:val="both"/>
        <w:rPr>
          <w:rFonts w:ascii="Arial" w:hAnsi="Arial" w:eastAsia="仿宋_GB2312;仿宋" w:cs="Arial"/>
          <w:b/>
          <w:b/>
          <w:bCs/>
          <w:color w:val="000000"/>
          <w:sz w:val="28"/>
          <w:szCs w:val="28"/>
        </w:rPr>
      </w:pPr>
      <w:r>
        <w:rPr>
          <w:rFonts w:ascii="MS Gothic;ＭＳ ゴシック" w:hAnsi="MS Gothic;ＭＳ ゴシック" w:cs="MS Gothic;ＭＳ ゴシック" w:eastAsia="MS Gothic;ＭＳ ゴシック"/>
          <w:b/>
          <w:bCs/>
          <w:color w:val="000000"/>
          <w:sz w:val="28"/>
          <w:szCs w:val="28"/>
        </w:rPr>
        <w:t xml:space="preserve">◆ </w:t>
      </w:r>
      <w:r>
        <w:rPr>
          <w:rFonts w:ascii="Arial" w:hAnsi="Arial" w:cs="Arial" w:eastAsia="仿宋_GB2312;仿宋"/>
          <w:b/>
          <w:bCs/>
          <w:color w:val="000000"/>
          <w:sz w:val="28"/>
          <w:szCs w:val="28"/>
        </w:rPr>
        <w:t>不动产</w:t>
      </w:r>
      <w:r>
        <w:rPr>
          <w:rFonts w:ascii="Arial" w:hAnsi="Arial" w:cs="Arial" w:eastAsia="仿宋_GB2312;仿宋"/>
          <w:b/>
          <w:bCs/>
          <w:color w:val="000000"/>
          <w:sz w:val="28"/>
          <w:szCs w:val="28"/>
        </w:rPr>
        <w:t>市场状况</w:t>
      </w:r>
    </w:p>
    <w:p>
      <w:pPr>
        <w:pStyle w:val="Normal"/>
        <w:spacing w:lineRule="auto" w:line="360"/>
        <w:ind w:firstLine="560"/>
        <w:jc w:val="both"/>
        <w:rPr>
          <w:rFonts w:ascii="Arial" w:hAnsi="Arial" w:eastAsia="仿宋_GB2312;仿宋" w:cs="Arial"/>
          <w:bCs/>
          <w:color w:val="000000"/>
          <w:sz w:val="28"/>
          <w:szCs w:val="28"/>
        </w:rPr>
      </w:pPr>
      <w:r>
        <w:rPr>
          <w:rFonts w:ascii="Arial" w:hAnsi="Arial" w:cs="Arial" w:eastAsia="仿宋_GB2312;仿宋"/>
          <w:bCs/>
          <w:color w:val="000000"/>
          <w:sz w:val="28"/>
          <w:szCs w:val="28"/>
        </w:rPr>
        <w:t>（</w:t>
      </w:r>
      <w:r>
        <w:rPr>
          <w:rFonts w:eastAsia="仿宋_GB2312;仿宋" w:cs="Arial" w:ascii="Arial" w:hAnsi="Arial"/>
          <w:bCs/>
          <w:color w:val="000000"/>
          <w:sz w:val="28"/>
          <w:szCs w:val="28"/>
        </w:rPr>
        <w:t>1</w:t>
      </w:r>
      <w:r>
        <w:rPr>
          <w:rFonts w:ascii="Arial" w:hAnsi="Arial" w:cs="Arial" w:eastAsia="仿宋_GB2312;仿宋"/>
          <w:bCs/>
          <w:color w:val="000000"/>
          <w:sz w:val="28"/>
          <w:szCs w:val="28"/>
        </w:rPr>
        <w:t>）土地供应及成交</w:t>
      </w:r>
    </w:p>
    <w:p>
      <w:pPr>
        <w:pStyle w:val="Normal"/>
        <w:spacing w:lineRule="auto" w:line="360"/>
        <w:ind w:firstLine="560"/>
        <w:jc w:val="both"/>
        <w:rPr/>
      </w:pPr>
      <w:r>
        <w:rPr>
          <w:rFonts w:eastAsia="仿宋_GB2312;仿宋" w:cs="Arial" w:ascii="Arial" w:hAnsi="Arial"/>
          <w:bCs/>
          <w:color w:val="000000"/>
          <w:sz w:val="28"/>
          <w:szCs w:val="28"/>
        </w:rPr>
        <w:t>2023</w:t>
      </w:r>
      <w:r>
        <w:rPr>
          <w:rFonts w:ascii="Arial" w:hAnsi="Arial" w:cs="Arial" w:eastAsia="仿宋_GB2312;仿宋"/>
          <w:bCs/>
          <w:color w:val="000000"/>
          <w:sz w:val="28"/>
          <w:szCs w:val="28"/>
        </w:rPr>
        <w:t>年北京计划供应产业用地</w:t>
      </w:r>
      <w:r>
        <w:rPr>
          <w:rFonts w:eastAsia="仿宋_GB2312;仿宋" w:cs="Arial" w:ascii="Arial" w:hAnsi="Arial"/>
          <w:bCs/>
          <w:color w:val="000000"/>
          <w:sz w:val="28"/>
          <w:szCs w:val="28"/>
        </w:rPr>
        <w:t>480~520</w:t>
      </w:r>
      <w:r>
        <w:rPr>
          <w:rFonts w:ascii="Arial" w:hAnsi="Arial" w:cs="Arial" w:eastAsia="仿宋_GB2312;仿宋"/>
          <w:bCs/>
          <w:color w:val="000000"/>
          <w:sz w:val="28"/>
          <w:szCs w:val="28"/>
        </w:rPr>
        <w:t>公顷，其中研发用地</w:t>
      </w:r>
      <w:r>
        <w:rPr>
          <w:rFonts w:eastAsia="仿宋_GB2312;仿宋" w:cs="Arial" w:ascii="Arial" w:hAnsi="Arial"/>
          <w:bCs/>
          <w:color w:val="000000"/>
          <w:sz w:val="28"/>
          <w:szCs w:val="28"/>
        </w:rPr>
        <w:t>90</w:t>
      </w:r>
      <w:r>
        <w:rPr>
          <w:rFonts w:ascii="Arial" w:hAnsi="Arial" w:cs="Arial" w:eastAsia="仿宋_GB2312;仿宋"/>
          <w:bCs/>
          <w:color w:val="000000"/>
          <w:sz w:val="28"/>
          <w:szCs w:val="28"/>
        </w:rPr>
        <w:t>公顷、工业用地</w:t>
      </w:r>
      <w:r>
        <w:rPr>
          <w:rFonts w:eastAsia="仿宋_GB2312;仿宋" w:cs="Arial" w:ascii="Arial" w:hAnsi="Arial"/>
          <w:bCs/>
          <w:color w:val="000000"/>
          <w:sz w:val="28"/>
          <w:szCs w:val="28"/>
        </w:rPr>
        <w:t>240</w:t>
      </w:r>
      <w:r>
        <w:rPr>
          <w:rFonts w:ascii="Arial" w:hAnsi="Arial" w:cs="Arial" w:eastAsia="仿宋_GB2312;仿宋"/>
          <w:bCs/>
          <w:color w:val="000000"/>
          <w:sz w:val="28"/>
          <w:szCs w:val="28"/>
        </w:rPr>
        <w:t>公顷、物流仓储用地</w:t>
      </w:r>
      <w:r>
        <w:rPr>
          <w:rFonts w:eastAsia="仿宋_GB2312;仿宋" w:cs="Arial" w:ascii="Arial" w:hAnsi="Arial"/>
          <w:bCs/>
          <w:color w:val="000000"/>
          <w:sz w:val="28"/>
          <w:szCs w:val="28"/>
        </w:rPr>
        <w:t>60</w:t>
      </w:r>
      <w:r>
        <w:rPr>
          <w:rFonts w:ascii="Arial" w:hAnsi="Arial" w:cs="Arial" w:eastAsia="仿宋_GB2312;仿宋"/>
          <w:bCs/>
          <w:color w:val="000000"/>
          <w:sz w:val="28"/>
          <w:szCs w:val="28"/>
        </w:rPr>
        <w:t>公顷、商服用地</w:t>
      </w:r>
      <w:r>
        <w:rPr>
          <w:rFonts w:eastAsia="仿宋_GB2312;仿宋" w:cs="Arial" w:ascii="Arial" w:hAnsi="Arial"/>
          <w:bCs/>
          <w:color w:val="000000"/>
          <w:sz w:val="28"/>
          <w:szCs w:val="28"/>
        </w:rPr>
        <w:t>90</w:t>
      </w:r>
      <w:r>
        <w:rPr>
          <w:rFonts w:ascii="Arial" w:hAnsi="Arial" w:cs="Arial" w:eastAsia="仿宋_GB2312;仿宋"/>
          <w:bCs/>
          <w:color w:val="000000"/>
          <w:sz w:val="28"/>
          <w:szCs w:val="28"/>
        </w:rPr>
        <w:t>公顷，乡村产业用地</w:t>
      </w:r>
      <w:r>
        <w:rPr>
          <w:rFonts w:eastAsia="仿宋_GB2312;仿宋" w:cs="Arial" w:ascii="Arial" w:hAnsi="Arial"/>
          <w:bCs/>
          <w:color w:val="000000"/>
          <w:sz w:val="28"/>
          <w:szCs w:val="28"/>
        </w:rPr>
        <w:t>40</w:t>
      </w:r>
      <w:r>
        <w:rPr>
          <w:rFonts w:ascii="Arial" w:hAnsi="Arial" w:cs="Arial" w:eastAsia="仿宋_GB2312;仿宋"/>
          <w:bCs/>
          <w:color w:val="000000"/>
          <w:sz w:val="28"/>
          <w:szCs w:val="28"/>
        </w:rPr>
        <w:t>公顷。为推动集体土地高效利用和产业转型，统筹国有、集体建设用地减量，支持乡村一二三产融合发展，本年度首次将乡村产业用地指标纳入计划统筹管理。同时，引导不低于</w:t>
      </w:r>
      <w:r>
        <w:rPr>
          <w:rFonts w:eastAsia="仿宋_GB2312;仿宋" w:cs="Arial" w:ascii="Arial" w:hAnsi="Arial"/>
          <w:bCs/>
          <w:color w:val="000000"/>
          <w:sz w:val="28"/>
          <w:szCs w:val="28"/>
        </w:rPr>
        <w:t>80%</w:t>
      </w:r>
      <w:r>
        <w:rPr>
          <w:rFonts w:ascii="Arial" w:hAnsi="Arial" w:cs="Arial" w:eastAsia="仿宋_GB2312;仿宋"/>
          <w:bCs/>
          <w:color w:val="000000"/>
          <w:sz w:val="28"/>
          <w:szCs w:val="28"/>
        </w:rPr>
        <w:t>的工业研发用地供应位于“两区”“三城一区”等重点功能区。重点向经开区、大兴、昌平、顺义、海淀、房山等</w:t>
      </w:r>
      <w:r>
        <w:rPr>
          <w:rFonts w:eastAsia="仿宋_GB2312;仿宋" w:cs="Arial" w:ascii="Arial" w:hAnsi="Arial"/>
          <w:bCs/>
          <w:color w:val="000000"/>
          <w:sz w:val="28"/>
          <w:szCs w:val="28"/>
        </w:rPr>
        <w:t>6</w:t>
      </w:r>
      <w:r>
        <w:rPr>
          <w:rFonts w:ascii="Arial" w:hAnsi="Arial" w:cs="Arial" w:eastAsia="仿宋_GB2312;仿宋"/>
          <w:bCs/>
          <w:color w:val="000000"/>
          <w:sz w:val="28"/>
          <w:szCs w:val="28"/>
        </w:rPr>
        <w:t>个产业投资大区倾斜。</w:t>
      </w:r>
    </w:p>
    <w:p>
      <w:pPr>
        <w:pStyle w:val="Norma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2023</w:t>
      </w:r>
      <w:r>
        <w:rPr>
          <w:rFonts w:ascii="Arial" w:hAnsi="Arial" w:cs="Arial" w:eastAsia="仿宋_GB2312;仿宋"/>
          <w:bCs/>
          <w:color w:val="000000"/>
          <w:sz w:val="28"/>
          <w:szCs w:val="28"/>
        </w:rPr>
        <w:t>年全年，北京市累计推出工业用地（按公告时间）共计</w:t>
      </w:r>
      <w:r>
        <w:rPr>
          <w:rFonts w:eastAsia="仿宋_GB2312;仿宋" w:cs="Arial" w:ascii="Arial" w:hAnsi="Arial"/>
          <w:bCs/>
          <w:color w:val="000000"/>
          <w:sz w:val="28"/>
          <w:szCs w:val="28"/>
        </w:rPr>
        <w:t>38</w:t>
      </w:r>
      <w:r>
        <w:rPr>
          <w:rFonts w:ascii="Arial" w:hAnsi="Arial" w:cs="Arial" w:eastAsia="仿宋_GB2312;仿宋"/>
          <w:bCs/>
          <w:color w:val="000000"/>
          <w:sz w:val="28"/>
          <w:szCs w:val="28"/>
        </w:rPr>
        <w:t>宗，推出建设用地面积</w:t>
      </w:r>
      <w:r>
        <w:rPr>
          <w:rFonts w:eastAsia="仿宋_GB2312;仿宋" w:cs="Arial" w:ascii="Arial" w:hAnsi="Arial"/>
          <w:bCs/>
          <w:color w:val="000000"/>
          <w:sz w:val="28"/>
          <w:szCs w:val="28"/>
        </w:rPr>
        <w:t>192.23</w:t>
      </w:r>
      <w:r>
        <w:rPr>
          <w:rFonts w:ascii="Arial" w:hAnsi="Arial" w:cs="Arial" w:eastAsia="仿宋_GB2312;仿宋"/>
          <w:bCs/>
          <w:color w:val="000000"/>
          <w:sz w:val="28"/>
          <w:szCs w:val="28"/>
        </w:rPr>
        <w:t>万平方米；实际成交</w:t>
      </w:r>
      <w:r>
        <w:rPr>
          <w:rFonts w:eastAsia="仿宋_GB2312;仿宋" w:cs="Arial" w:ascii="Arial" w:hAnsi="Arial"/>
          <w:bCs/>
          <w:color w:val="000000"/>
          <w:sz w:val="28"/>
          <w:szCs w:val="28"/>
        </w:rPr>
        <w:t>40</w:t>
      </w:r>
      <w:r>
        <w:rPr>
          <w:rFonts w:ascii="Arial" w:hAnsi="Arial" w:cs="Arial" w:eastAsia="仿宋_GB2312;仿宋"/>
          <w:bCs/>
          <w:color w:val="000000"/>
          <w:sz w:val="28"/>
          <w:szCs w:val="28"/>
        </w:rPr>
        <w:t>宗，成交建设用地面积</w:t>
      </w:r>
      <w:r>
        <w:rPr>
          <w:rFonts w:eastAsia="仿宋_GB2312;仿宋" w:cs="Arial" w:ascii="Arial" w:hAnsi="Arial"/>
          <w:bCs/>
          <w:color w:val="000000"/>
          <w:sz w:val="28"/>
          <w:szCs w:val="28"/>
        </w:rPr>
        <w:t>246.83</w:t>
      </w:r>
      <w:r>
        <w:rPr>
          <w:rFonts w:ascii="Arial" w:hAnsi="Arial" w:cs="Arial" w:eastAsia="仿宋_GB2312;仿宋"/>
          <w:bCs/>
          <w:color w:val="000000"/>
          <w:sz w:val="28"/>
          <w:szCs w:val="28"/>
        </w:rPr>
        <w:t>万平方米。成交宗地数量及用地规模较去年同期均有所增加。</w:t>
      </w:r>
    </w:p>
    <w:p>
      <w:pPr>
        <w:pStyle w:val="Normal"/>
        <w:spacing w:lineRule="auto" w:line="360"/>
        <w:jc w:val="center"/>
        <w:rPr>
          <w:rFonts w:ascii="Arial" w:hAnsi="Arial" w:eastAsia="仿宋_GB2312;仿宋" w:cs="Arial"/>
          <w:bCs/>
          <w:color w:val="000000"/>
          <w:sz w:val="28"/>
          <w:szCs w:val="28"/>
        </w:rPr>
      </w:pPr>
      <w:r>
        <w:rPr>
          <w:lang w:val="zh-CN" w:eastAsia="zh-CN"/>
        </w:rPr>
        <w:drawing>
          <wp:inline distT="0" distB="0" distL="0" distR="0">
            <wp:extent cx="5986145" cy="2987040"/>
            <wp:effectExtent l="0" t="0" r="0" b="0"/>
            <wp:docPr id="13"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
                    <pic:cNvPicPr>
                      <a:picLocks noChangeAspect="1" noChangeArrowheads="1"/>
                    </pic:cNvPicPr>
                  </pic:nvPicPr>
                  <pic:blipFill>
                    <a:blip r:embed="rId24"/>
                    <a:srcRect l="-5" t="-10" r="-5" b="-10"/>
                    <a:stretch>
                      <a:fillRect/>
                    </a:stretch>
                  </pic:blipFill>
                  <pic:spPr bwMode="auto">
                    <a:xfrm>
                      <a:off x="0" y="0"/>
                      <a:ext cx="5986145" cy="2987040"/>
                    </a:xfrm>
                    <a:prstGeom prst="rect">
                      <a:avLst/>
                    </a:prstGeom>
                  </pic:spPr>
                </pic:pic>
              </a:graphicData>
            </a:graphic>
          </wp:inline>
        </w:drawing>
      </w:r>
    </w:p>
    <w:p>
      <w:pPr>
        <w:pStyle w:val="Normal"/>
        <w:spacing w:lineRule="auto" w:line="360"/>
        <w:ind w:firstLine="560"/>
        <w:jc w:val="both"/>
        <w:rPr/>
      </w:pPr>
      <w:r>
        <w:rPr>
          <w:rFonts w:ascii="Arial" w:hAnsi="Arial" w:cs="Arial" w:eastAsia="仿宋_GB2312;仿宋"/>
          <w:bCs/>
          <w:color w:val="000000"/>
          <w:sz w:val="28"/>
          <w:szCs w:val="28"/>
        </w:rPr>
        <w:t>（</w:t>
      </w:r>
      <w:r>
        <w:rPr>
          <w:rFonts w:eastAsia="仿宋_GB2312;仿宋" w:cs="Arial" w:ascii="Arial" w:hAnsi="Arial"/>
          <w:bCs/>
          <w:color w:val="000000"/>
          <w:sz w:val="28"/>
          <w:szCs w:val="28"/>
        </w:rPr>
        <w:t>2</w:t>
      </w:r>
      <w:r>
        <w:rPr>
          <w:rFonts w:ascii="Arial" w:hAnsi="Arial" w:cs="Arial" w:eastAsia="仿宋_GB2312;仿宋"/>
          <w:bCs/>
          <w:color w:val="000000"/>
          <w:sz w:val="28"/>
          <w:szCs w:val="28"/>
        </w:rPr>
        <w:t>）成交价格</w:t>
      </w:r>
    </w:p>
    <w:p>
      <w:pPr>
        <w:pStyle w:val="Normal"/>
        <w:spacing w:lineRule="auto" w:line="360"/>
        <w:ind w:firstLine="560"/>
        <w:jc w:val="both"/>
        <w:rPr/>
      </w:pPr>
      <w:r>
        <w:rPr>
          <w:rFonts w:eastAsia="仿宋_GB2312;仿宋" w:cs="Arial" w:ascii="Arial" w:hAnsi="Arial"/>
          <w:bCs/>
          <w:color w:val="000000"/>
          <w:sz w:val="28"/>
          <w:szCs w:val="28"/>
        </w:rPr>
        <w:t>2023</w:t>
      </w:r>
      <w:r>
        <w:rPr>
          <w:rFonts w:ascii="Arial" w:hAnsi="Arial" w:cs="Arial" w:eastAsia="仿宋_GB2312;仿宋"/>
          <w:bCs/>
          <w:color w:val="000000"/>
          <w:sz w:val="28"/>
          <w:szCs w:val="28"/>
        </w:rPr>
        <w:t>年全年，北京市工业用地成交总额约</w:t>
      </w:r>
      <w:r>
        <w:rPr>
          <w:rFonts w:eastAsia="仿宋_GB2312;仿宋" w:cs="Arial" w:ascii="Arial" w:hAnsi="Arial"/>
          <w:bCs/>
          <w:color w:val="000000"/>
          <w:sz w:val="28"/>
          <w:szCs w:val="28"/>
        </w:rPr>
        <w:t>6882218</w:t>
      </w:r>
      <w:r>
        <w:rPr>
          <w:rFonts w:ascii="Arial" w:hAnsi="Arial" w:cs="Arial" w:eastAsia="仿宋_GB2312;仿宋"/>
          <w:bCs/>
          <w:color w:val="000000"/>
          <w:sz w:val="28"/>
          <w:szCs w:val="28"/>
        </w:rPr>
        <w:t>万元，成交楼面单价</w:t>
      </w:r>
      <w:r>
        <w:rPr>
          <w:rFonts w:eastAsia="仿宋_GB2312;仿宋" w:cs="Arial" w:ascii="Arial" w:hAnsi="Arial"/>
          <w:bCs/>
          <w:color w:val="000000"/>
          <w:sz w:val="28"/>
          <w:szCs w:val="28"/>
        </w:rPr>
        <w:t>1511</w:t>
      </w:r>
      <w:r>
        <w:rPr>
          <w:rFonts w:ascii="Arial" w:hAnsi="Arial" w:cs="Arial" w:eastAsia="仿宋_GB2312;仿宋"/>
          <w:bCs/>
          <w:color w:val="000000"/>
          <w:sz w:val="28"/>
          <w:szCs w:val="28"/>
        </w:rPr>
        <w:t>元</w:t>
      </w:r>
      <w:r>
        <w:rPr>
          <w:rFonts w:eastAsia="仿宋_GB2312;仿宋" w:cs="Arial" w:ascii="Arial" w:hAnsi="Arial"/>
          <w:bCs/>
          <w:color w:val="000000"/>
          <w:sz w:val="28"/>
          <w:szCs w:val="28"/>
        </w:rPr>
        <w:t>/</w:t>
      </w:r>
      <w:r>
        <w:rPr>
          <w:rFonts w:ascii="Arial" w:hAnsi="Arial" w:cs="Arial" w:eastAsia="仿宋_GB2312;仿宋"/>
          <w:bCs/>
          <w:color w:val="000000"/>
          <w:sz w:val="28"/>
          <w:szCs w:val="28"/>
        </w:rPr>
        <w:t>平方米，地面价</w:t>
      </w:r>
      <w:r>
        <w:rPr>
          <w:rFonts w:eastAsia="仿宋_GB2312;仿宋" w:cs="Arial" w:ascii="Arial" w:hAnsi="Arial"/>
          <w:bCs/>
          <w:color w:val="000000"/>
          <w:sz w:val="28"/>
          <w:szCs w:val="28"/>
        </w:rPr>
        <w:t>2788</w:t>
      </w:r>
      <w:r>
        <w:rPr>
          <w:rFonts w:ascii="Arial" w:hAnsi="Arial" w:cs="Arial" w:eastAsia="仿宋_GB2312;仿宋"/>
          <w:bCs/>
          <w:color w:val="000000"/>
          <w:sz w:val="28"/>
          <w:szCs w:val="28"/>
        </w:rPr>
        <w:t>元</w:t>
      </w:r>
      <w:r>
        <w:rPr>
          <w:rFonts w:eastAsia="仿宋_GB2312;仿宋" w:cs="Arial" w:ascii="Arial" w:hAnsi="Arial"/>
          <w:bCs/>
          <w:color w:val="000000"/>
          <w:sz w:val="28"/>
          <w:szCs w:val="28"/>
        </w:rPr>
        <w:t>/</w:t>
      </w:r>
      <w:r>
        <w:rPr>
          <w:rFonts w:ascii="Arial" w:hAnsi="Arial" w:cs="Arial" w:eastAsia="仿宋_GB2312;仿宋"/>
          <w:bCs/>
          <w:color w:val="000000"/>
          <w:sz w:val="28"/>
          <w:szCs w:val="28"/>
        </w:rPr>
        <w:t>平方米（合</w:t>
      </w:r>
      <w:r>
        <w:rPr>
          <w:rFonts w:eastAsia="仿宋_GB2312;仿宋" w:cs="Arial" w:ascii="Arial" w:hAnsi="Arial"/>
          <w:bCs/>
          <w:color w:val="000000"/>
          <w:sz w:val="28"/>
          <w:szCs w:val="28"/>
        </w:rPr>
        <w:t>186</w:t>
      </w:r>
      <w:r>
        <w:rPr>
          <w:rFonts w:ascii="Arial" w:hAnsi="Arial" w:cs="Arial" w:eastAsia="仿宋_GB2312;仿宋"/>
          <w:bCs/>
          <w:color w:val="000000"/>
          <w:sz w:val="28"/>
          <w:szCs w:val="28"/>
        </w:rPr>
        <w:t>万元</w:t>
      </w:r>
      <w:r>
        <w:rPr>
          <w:rFonts w:eastAsia="仿宋_GB2312;仿宋" w:cs="Arial" w:ascii="Arial" w:hAnsi="Arial"/>
          <w:bCs/>
          <w:color w:val="000000"/>
          <w:sz w:val="28"/>
          <w:szCs w:val="28"/>
        </w:rPr>
        <w:t>/</w:t>
      </w:r>
      <w:r>
        <w:rPr>
          <w:rFonts w:ascii="Arial" w:hAnsi="Arial" w:cs="Arial" w:eastAsia="仿宋_GB2312;仿宋"/>
          <w:bCs/>
          <w:color w:val="000000"/>
          <w:sz w:val="28"/>
          <w:szCs w:val="28"/>
        </w:rPr>
        <w:t>亩）。自</w:t>
      </w:r>
      <w:r>
        <w:rPr>
          <w:rFonts w:eastAsia="仿宋_GB2312;仿宋" w:cs="Arial" w:ascii="Arial" w:hAnsi="Arial"/>
          <w:bCs/>
          <w:color w:val="000000"/>
          <w:sz w:val="28"/>
          <w:szCs w:val="28"/>
        </w:rPr>
        <w:t>2015</w:t>
      </w:r>
      <w:r>
        <w:rPr>
          <w:rFonts w:ascii="Arial" w:hAnsi="Arial" w:cs="Arial" w:eastAsia="仿宋_GB2312;仿宋"/>
          <w:bCs/>
          <w:color w:val="000000"/>
          <w:sz w:val="28"/>
          <w:szCs w:val="28"/>
        </w:rPr>
        <w:t>年起，北京市工业用地均为零溢价成交。地价方面，</w:t>
      </w:r>
      <w:r>
        <w:rPr>
          <w:rFonts w:eastAsia="仿宋_GB2312;仿宋" w:cs="Arial" w:ascii="Arial" w:hAnsi="Arial"/>
          <w:bCs/>
          <w:color w:val="000000"/>
          <w:sz w:val="28"/>
          <w:szCs w:val="28"/>
        </w:rPr>
        <w:t>2013</w:t>
      </w:r>
      <w:r>
        <w:rPr>
          <w:rFonts w:ascii="Arial" w:hAnsi="Arial" w:cs="Arial" w:eastAsia="仿宋_GB2312;仿宋"/>
          <w:bCs/>
          <w:color w:val="000000"/>
          <w:sz w:val="28"/>
          <w:szCs w:val="28"/>
        </w:rPr>
        <w:t>年至今除受成交结构影响在</w:t>
      </w:r>
      <w:r>
        <w:rPr>
          <w:rFonts w:eastAsia="仿宋_GB2312;仿宋" w:cs="Arial" w:ascii="Arial" w:hAnsi="Arial"/>
          <w:bCs/>
          <w:color w:val="000000"/>
          <w:sz w:val="28"/>
          <w:szCs w:val="28"/>
        </w:rPr>
        <w:t>2017</w:t>
      </w:r>
      <w:r>
        <w:rPr>
          <w:rFonts w:ascii="Arial" w:hAnsi="Arial" w:cs="Arial" w:eastAsia="仿宋_GB2312;仿宋"/>
          <w:bCs/>
          <w:color w:val="000000"/>
          <w:sz w:val="28"/>
          <w:szCs w:val="28"/>
        </w:rPr>
        <w:t>年出现较大波动，工业用地市场呈平稳上涨趋势。</w:t>
      </w:r>
      <w:r>
        <w:rPr>
          <w:rFonts w:eastAsia="仿宋_GB2312;仿宋" w:cs="Arial" w:ascii="Arial" w:hAnsi="Arial"/>
          <w:bCs/>
          <w:color w:val="000000"/>
          <w:sz w:val="28"/>
          <w:szCs w:val="28"/>
        </w:rPr>
        <w:t>2023</w:t>
      </w:r>
      <w:r>
        <w:rPr>
          <w:rFonts w:ascii="Arial" w:hAnsi="Arial" w:cs="Arial" w:eastAsia="仿宋_GB2312;仿宋"/>
          <w:bCs/>
          <w:color w:val="000000"/>
          <w:sz w:val="28"/>
          <w:szCs w:val="28"/>
        </w:rPr>
        <w:t>年全年，受成交多宗物流用地影响，工业成交地价再次出现较大涨幅，若扣除物流用地成交影响，整体仍呈平稳上涨趋势。</w:t>
      </w:r>
    </w:p>
    <w:p>
      <w:pPr>
        <w:pStyle w:val="Normal"/>
        <w:spacing w:lineRule="auto" w:line="360"/>
        <w:jc w:val="center"/>
        <w:rPr/>
      </w:pPr>
      <w:r>
        <w:rPr>
          <w:rFonts w:eastAsia="仿宋_GB2312;仿宋" w:cs="Arial" w:ascii="Arial" w:hAnsi="Arial"/>
          <w:b/>
          <w:bCs/>
          <w:color w:val="000000"/>
          <w:szCs w:val="28"/>
        </w:rPr>
        <w:t>2013</w:t>
      </w:r>
      <w:r>
        <w:rPr>
          <w:rFonts w:ascii="Arial" w:hAnsi="Arial" w:cs="Arial" w:eastAsia="仿宋_GB2312;仿宋"/>
          <w:b/>
          <w:bCs/>
          <w:color w:val="000000"/>
          <w:szCs w:val="28"/>
        </w:rPr>
        <w:t>年至</w:t>
      </w:r>
      <w:r>
        <w:rPr>
          <w:rFonts w:eastAsia="仿宋_GB2312;仿宋" w:cs="Arial" w:ascii="Arial" w:hAnsi="Arial"/>
          <w:b/>
          <w:bCs/>
          <w:color w:val="000000"/>
          <w:szCs w:val="28"/>
        </w:rPr>
        <w:t>2023</w:t>
      </w:r>
      <w:r>
        <w:rPr>
          <w:rFonts w:ascii="Arial" w:hAnsi="Arial" w:cs="Arial" w:eastAsia="仿宋_GB2312;仿宋"/>
          <w:b/>
          <w:bCs/>
          <w:color w:val="000000"/>
          <w:szCs w:val="28"/>
        </w:rPr>
        <w:t>年北京市工业用地地价走势</w:t>
      </w:r>
    </w:p>
    <w:p>
      <w:pPr>
        <w:pStyle w:val="Normal"/>
        <w:spacing w:lineRule="auto" w:line="360"/>
        <w:jc w:val="center"/>
        <w:rPr>
          <w:lang w:val="zh-CN" w:eastAsia="zh-CN"/>
        </w:rPr>
      </w:pPr>
      <w:r>
        <w:rPr>
          <w:lang w:val="zh-CN" w:eastAsia="zh-CN"/>
        </w:rPr>
        <w:drawing>
          <wp:inline distT="0" distB="0" distL="0" distR="0">
            <wp:extent cx="6087745" cy="2667000"/>
            <wp:effectExtent l="0" t="0" r="0" b="0"/>
            <wp:docPr id="14" name="图像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像2" descr=""/>
                    <pic:cNvPicPr>
                      <a:picLocks noChangeAspect="1" noChangeArrowheads="1"/>
                    </pic:cNvPicPr>
                  </pic:nvPicPr>
                  <pic:blipFill>
                    <a:blip r:embed="rId25"/>
                    <a:srcRect l="-4" t="-10" r="-4" b="-10"/>
                    <a:stretch>
                      <a:fillRect/>
                    </a:stretch>
                  </pic:blipFill>
                  <pic:spPr bwMode="auto">
                    <a:xfrm>
                      <a:off x="0" y="0"/>
                      <a:ext cx="6087745" cy="2667000"/>
                    </a:xfrm>
                    <a:prstGeom prst="rect">
                      <a:avLst/>
                    </a:prstGeom>
                  </pic:spPr>
                </pic:pic>
              </a:graphicData>
            </a:graphic>
          </wp:inline>
        </w:drawing>
      </w:r>
    </w:p>
    <w:p>
      <w:pPr>
        <w:pStyle w:val="Normal"/>
        <w:widowControl/>
        <w:spacing w:lineRule="exact" w:line="220"/>
        <w:textAlignment w:val="auto"/>
        <w:rPr>
          <w:rFonts w:ascii="Arial" w:hAnsi="Arial" w:eastAsia="仿宋" w:cs="宋体;SimSun"/>
          <w:color w:val="000000"/>
          <w:sz w:val="20"/>
        </w:rPr>
      </w:pPr>
      <w:r>
        <w:rPr>
          <w:rFonts w:ascii="Arial" w:hAnsi="Arial" w:cs="宋体;SimSun" w:eastAsia="仿宋"/>
          <w:color w:val="000000"/>
          <w:sz w:val="20"/>
        </w:rPr>
        <w:t>注：图中</w:t>
      </w:r>
      <w:r>
        <w:rPr>
          <w:rFonts w:eastAsia="仿宋" w:cs="宋体;SimSun" w:ascii="Arial" w:hAnsi="Arial"/>
          <w:color w:val="000000"/>
          <w:sz w:val="20"/>
        </w:rPr>
        <w:t>2022</w:t>
      </w:r>
      <w:r>
        <w:rPr>
          <w:rFonts w:ascii="Arial" w:hAnsi="Arial" w:cs="宋体;SimSun" w:eastAsia="仿宋"/>
          <w:color w:val="000000"/>
          <w:sz w:val="20"/>
        </w:rPr>
        <w:t>年至</w:t>
      </w:r>
      <w:r>
        <w:rPr>
          <w:rFonts w:eastAsia="仿宋" w:cs="宋体;SimSun" w:ascii="Arial" w:hAnsi="Arial"/>
          <w:color w:val="000000"/>
          <w:sz w:val="20"/>
        </w:rPr>
        <w:t>2023</w:t>
      </w:r>
      <w:r>
        <w:rPr>
          <w:rFonts w:ascii="Arial" w:hAnsi="Arial" w:cs="宋体;SimSun" w:eastAsia="仿宋"/>
          <w:color w:val="000000"/>
          <w:sz w:val="20"/>
        </w:rPr>
        <w:t>虚线段为扣除物流用地影响走势</w:t>
      </w:r>
    </w:p>
    <w:p>
      <w:pPr>
        <w:pStyle w:val="Normal"/>
        <w:widowControl/>
        <w:spacing w:lineRule="exact" w:line="220"/>
        <w:textAlignment w:val="auto"/>
        <w:rPr>
          <w:rFonts w:ascii="宋体;SimSun" w:hAnsi="宋体;SimSun" w:eastAsia="仿宋" w:cs="宋体;SimSun"/>
          <w:color w:val="000000"/>
          <w:sz w:val="22"/>
          <w:szCs w:val="22"/>
        </w:rPr>
      </w:pPr>
      <w:r>
        <w:rPr>
          <w:rFonts w:eastAsia="仿宋" w:cs="宋体;SimSun" w:ascii="宋体;SimSun" w:hAnsi="宋体;SimSun"/>
          <w:color w:val="000000"/>
          <w:sz w:val="22"/>
          <w:szCs w:val="22"/>
        </w:rPr>
      </w:r>
    </w:p>
    <w:p>
      <w:pPr>
        <w:pStyle w:val="Normal"/>
        <w:spacing w:lineRule="auto" w:line="360"/>
        <w:ind w:firstLine="560"/>
        <w:jc w:val="both"/>
        <w:rPr>
          <w:rFonts w:ascii="Arial" w:hAnsi="Arial" w:eastAsia="仿宋_GB2312;仿宋" w:cs="Arial"/>
          <w:bCs/>
          <w:color w:val="000000"/>
          <w:sz w:val="28"/>
          <w:szCs w:val="28"/>
        </w:rPr>
      </w:pPr>
      <w:r>
        <w:rPr>
          <w:rFonts w:ascii="Arial" w:hAnsi="Arial" w:cs="Arial" w:eastAsia="仿宋_GB2312;仿宋"/>
          <w:bCs/>
          <w:color w:val="000000"/>
          <w:sz w:val="28"/>
          <w:szCs w:val="28"/>
        </w:rPr>
        <w:t>（</w:t>
      </w:r>
      <w:r>
        <w:rPr>
          <w:rFonts w:eastAsia="仿宋_GB2312;仿宋" w:cs="Arial" w:ascii="Arial" w:hAnsi="Arial"/>
          <w:bCs/>
          <w:color w:val="000000"/>
          <w:sz w:val="28"/>
          <w:szCs w:val="28"/>
        </w:rPr>
        <w:t>3</w:t>
      </w:r>
      <w:r>
        <w:rPr>
          <w:rFonts w:ascii="Arial" w:hAnsi="Arial" w:cs="Arial" w:eastAsia="仿宋_GB2312;仿宋"/>
          <w:bCs/>
          <w:color w:val="000000"/>
          <w:sz w:val="28"/>
          <w:szCs w:val="28"/>
        </w:rPr>
        <w:t>）区域成交情况</w:t>
      </w:r>
    </w:p>
    <w:p>
      <w:pPr>
        <w:pStyle w:val="Normal"/>
        <w:widowControl/>
        <w:spacing w:lineRule="auto" w:line="360"/>
        <w:ind w:firstLine="560"/>
        <w:jc w:val="both"/>
        <w:textAlignment w:val="auto"/>
        <w:rPr>
          <w:rFonts w:ascii="Arial" w:hAnsi="Arial" w:eastAsia="仿宋_GB2312;仿宋" w:cs="Arial"/>
          <w:bCs/>
          <w:color w:val="000000"/>
          <w:sz w:val="28"/>
          <w:szCs w:val="28"/>
        </w:rPr>
      </w:pPr>
      <w:r>
        <w:rPr>
          <w:rFonts w:eastAsia="仿宋_GB2312;仿宋" w:cs="Arial" w:ascii="Arial" w:hAnsi="Arial"/>
          <w:bCs/>
          <w:color w:val="000000"/>
          <w:sz w:val="28"/>
          <w:szCs w:val="28"/>
        </w:rPr>
        <w:t>2023</w:t>
      </w:r>
      <w:r>
        <w:rPr>
          <w:rFonts w:ascii="Arial" w:hAnsi="Arial" w:cs="Arial" w:eastAsia="仿宋_GB2312;仿宋"/>
          <w:bCs/>
          <w:color w:val="000000"/>
          <w:sz w:val="28"/>
          <w:szCs w:val="28"/>
        </w:rPr>
        <w:t>年全年北京市工业用地成交</w:t>
      </w:r>
      <w:r>
        <w:rPr>
          <w:rFonts w:eastAsia="仿宋_GB2312;仿宋" w:cs="Arial" w:ascii="Arial" w:hAnsi="Arial"/>
          <w:bCs/>
          <w:color w:val="000000"/>
          <w:sz w:val="28"/>
          <w:szCs w:val="28"/>
        </w:rPr>
        <w:t>40</w:t>
      </w:r>
      <w:r>
        <w:rPr>
          <w:rFonts w:ascii="Arial" w:hAnsi="Arial" w:cs="Arial" w:eastAsia="仿宋_GB2312;仿宋"/>
          <w:bCs/>
          <w:color w:val="000000"/>
          <w:sz w:val="28"/>
          <w:szCs w:val="28"/>
        </w:rPr>
        <w:t>宗，以大兴区为主，共成交</w:t>
      </w:r>
      <w:r>
        <w:rPr>
          <w:rFonts w:eastAsia="仿宋_GB2312;仿宋" w:cs="Arial" w:ascii="Arial" w:hAnsi="Arial"/>
          <w:bCs/>
          <w:color w:val="000000"/>
          <w:sz w:val="28"/>
          <w:szCs w:val="28"/>
        </w:rPr>
        <w:t>20</w:t>
      </w:r>
      <w:r>
        <w:rPr>
          <w:rFonts w:ascii="Arial" w:hAnsi="Arial" w:cs="Arial" w:eastAsia="仿宋_GB2312;仿宋"/>
          <w:bCs/>
          <w:color w:val="000000"/>
          <w:sz w:val="28"/>
          <w:szCs w:val="28"/>
        </w:rPr>
        <w:t>宗，其次分别为平谷区成交</w:t>
      </w:r>
      <w:r>
        <w:rPr>
          <w:rFonts w:eastAsia="仿宋_GB2312;仿宋" w:cs="Arial" w:ascii="Arial" w:hAnsi="Arial"/>
          <w:bCs/>
          <w:color w:val="000000"/>
          <w:sz w:val="28"/>
          <w:szCs w:val="28"/>
        </w:rPr>
        <w:t>8</w:t>
      </w:r>
      <w:r>
        <w:rPr>
          <w:rFonts w:ascii="Arial" w:hAnsi="Arial" w:cs="Arial" w:eastAsia="仿宋_GB2312;仿宋"/>
          <w:bCs/>
          <w:color w:val="000000"/>
          <w:sz w:val="28"/>
          <w:szCs w:val="28"/>
        </w:rPr>
        <w:t>宗、昌平区及房山区各成交</w:t>
      </w:r>
      <w:r>
        <w:rPr>
          <w:rFonts w:eastAsia="仿宋_GB2312;仿宋" w:cs="Arial" w:ascii="Arial" w:hAnsi="Arial"/>
          <w:bCs/>
          <w:color w:val="000000"/>
          <w:sz w:val="28"/>
          <w:szCs w:val="28"/>
        </w:rPr>
        <w:t>4</w:t>
      </w:r>
      <w:r>
        <w:rPr>
          <w:rFonts w:ascii="Arial" w:hAnsi="Arial" w:cs="Arial" w:eastAsia="仿宋_GB2312;仿宋"/>
          <w:bCs/>
          <w:color w:val="000000"/>
          <w:sz w:val="28"/>
          <w:szCs w:val="28"/>
        </w:rPr>
        <w:t>宗、顺义区和通州区各成交</w:t>
      </w:r>
      <w:r>
        <w:rPr>
          <w:rFonts w:eastAsia="仿宋_GB2312;仿宋" w:cs="Arial" w:ascii="Arial" w:hAnsi="Arial"/>
          <w:bCs/>
          <w:color w:val="000000"/>
          <w:sz w:val="28"/>
          <w:szCs w:val="28"/>
        </w:rPr>
        <w:t>2</w:t>
      </w:r>
      <w:r>
        <w:rPr>
          <w:rFonts w:ascii="Arial" w:hAnsi="Arial" w:cs="Arial" w:eastAsia="仿宋_GB2312;仿宋"/>
          <w:bCs/>
          <w:color w:val="000000"/>
          <w:sz w:val="28"/>
          <w:szCs w:val="28"/>
        </w:rPr>
        <w:t>宗。</w:t>
      </w:r>
    </w:p>
    <w:p>
      <w:pPr>
        <w:pStyle w:val="Normal"/>
        <w:widowControl/>
        <w:spacing w:lineRule="auto" w:line="360"/>
        <w:ind w:firstLine="560"/>
        <w:jc w:val="both"/>
        <w:textAlignment w:val="auto"/>
        <w:rPr>
          <w:lang w:val="zh-CN" w:eastAsia="zh-CN"/>
        </w:rPr>
      </w:pPr>
      <w:r>
        <w:rPr>
          <w:rFonts w:ascii="Arial" w:hAnsi="Arial" w:cs="Arial" w:eastAsia="仿宋_GB2312;仿宋"/>
          <w:bCs/>
          <w:sz w:val="28"/>
          <w:szCs w:val="28"/>
        </w:rPr>
        <w:t>大兴区成交建设用地面积共计</w:t>
      </w:r>
      <w:r>
        <w:rPr>
          <w:rFonts w:eastAsia="仿宋_GB2312;仿宋" w:cs="Arial" w:ascii="Arial" w:hAnsi="Arial"/>
          <w:bCs/>
          <w:sz w:val="28"/>
          <w:szCs w:val="28"/>
        </w:rPr>
        <w:t>93.1</w:t>
      </w:r>
      <w:r>
        <w:rPr>
          <w:rFonts w:ascii="Arial" w:hAnsi="Arial" w:cs="Arial" w:eastAsia="仿宋_GB2312;仿宋"/>
          <w:bCs/>
          <w:sz w:val="28"/>
          <w:szCs w:val="28"/>
        </w:rPr>
        <w:t>万平方米，成交地面均价为</w:t>
      </w:r>
      <w:r>
        <w:rPr>
          <w:rFonts w:eastAsia="仿宋_GB2312;仿宋" w:cs="Arial" w:ascii="Arial" w:hAnsi="Arial"/>
          <w:bCs/>
          <w:sz w:val="28"/>
          <w:szCs w:val="28"/>
        </w:rPr>
        <w:t>1556</w:t>
      </w:r>
      <w:r>
        <w:rPr>
          <w:rFonts w:ascii="Arial" w:hAnsi="Arial" w:cs="Arial" w:eastAsia="仿宋_GB2312;仿宋"/>
          <w:bCs/>
          <w:sz w:val="28"/>
          <w:szCs w:val="28"/>
        </w:rPr>
        <w:t>元</w:t>
      </w:r>
      <w:r>
        <w:rPr>
          <w:rFonts w:eastAsia="仿宋_GB2312;仿宋" w:cs="Arial" w:ascii="Arial" w:hAnsi="Arial"/>
          <w:bCs/>
          <w:sz w:val="28"/>
          <w:szCs w:val="28"/>
        </w:rPr>
        <w:t>/</w:t>
      </w:r>
      <w:r>
        <w:rPr>
          <w:rFonts w:ascii="Arial" w:hAnsi="Arial" w:cs="Arial" w:eastAsia="仿宋_GB2312;仿宋"/>
          <w:bCs/>
          <w:sz w:val="28"/>
          <w:szCs w:val="28"/>
        </w:rPr>
        <w:t>平方米（约合</w:t>
      </w:r>
      <w:r>
        <w:rPr>
          <w:rFonts w:eastAsia="仿宋_GB2312;仿宋" w:cs="Arial" w:ascii="Arial" w:hAnsi="Arial"/>
          <w:bCs/>
          <w:sz w:val="28"/>
          <w:szCs w:val="28"/>
        </w:rPr>
        <w:t>104</w:t>
      </w:r>
      <w:r>
        <w:rPr>
          <w:rFonts w:ascii="Arial" w:hAnsi="Arial" w:cs="Arial" w:eastAsia="仿宋_GB2312;仿宋"/>
          <w:bCs/>
          <w:sz w:val="28"/>
          <w:szCs w:val="28"/>
        </w:rPr>
        <w:t>万</w:t>
      </w:r>
      <w:r>
        <w:rPr>
          <w:rFonts w:eastAsia="仿宋_GB2312;仿宋" w:cs="Arial" w:ascii="Arial" w:hAnsi="Arial"/>
          <w:bCs/>
          <w:sz w:val="28"/>
          <w:szCs w:val="28"/>
        </w:rPr>
        <w:t>/</w:t>
      </w:r>
      <w:r>
        <w:rPr>
          <w:rFonts w:ascii="Arial" w:hAnsi="Arial" w:cs="Arial" w:eastAsia="仿宋_GB2312;仿宋"/>
          <w:bCs/>
          <w:sz w:val="28"/>
          <w:szCs w:val="28"/>
        </w:rPr>
        <w:t>亩），其中</w:t>
      </w:r>
      <w:r>
        <w:rPr>
          <w:rFonts w:eastAsia="仿宋_GB2312;仿宋" w:cs="Arial" w:ascii="Arial" w:hAnsi="Arial"/>
          <w:bCs/>
          <w:sz w:val="28"/>
          <w:szCs w:val="28"/>
        </w:rPr>
        <w:t>18</w:t>
      </w:r>
      <w:r>
        <w:rPr>
          <w:rFonts w:ascii="Arial" w:hAnsi="Arial" w:cs="Arial" w:eastAsia="仿宋_GB2312;仿宋"/>
          <w:bCs/>
          <w:sz w:val="28"/>
          <w:szCs w:val="28"/>
        </w:rPr>
        <w:t>宗位于亦庄地区，以</w:t>
      </w:r>
      <w:r>
        <w:rPr>
          <w:rFonts w:eastAsia="仿宋_GB2312;仿宋" w:cs="Arial" w:ascii="Arial" w:hAnsi="Arial"/>
          <w:bCs/>
          <w:sz w:val="28"/>
          <w:szCs w:val="28"/>
        </w:rPr>
        <w:t>M1</w:t>
      </w:r>
      <w:r>
        <w:rPr>
          <w:rFonts w:ascii="Arial" w:hAnsi="Arial" w:cs="Arial" w:eastAsia="仿宋_GB2312;仿宋"/>
          <w:bCs/>
          <w:sz w:val="28"/>
          <w:szCs w:val="28"/>
        </w:rPr>
        <w:t>一类工业用地为主；房山区成交建设用地面积</w:t>
      </w:r>
      <w:r>
        <w:rPr>
          <w:rFonts w:eastAsia="仿宋_GB2312;仿宋" w:cs="Arial" w:ascii="Arial" w:hAnsi="Arial"/>
          <w:bCs/>
          <w:sz w:val="28"/>
          <w:szCs w:val="28"/>
        </w:rPr>
        <w:t>27.4</w:t>
      </w:r>
      <w:r>
        <w:rPr>
          <w:rFonts w:ascii="Arial" w:hAnsi="Arial" w:cs="Arial" w:eastAsia="仿宋_GB2312;仿宋"/>
          <w:bCs/>
          <w:sz w:val="28"/>
          <w:szCs w:val="28"/>
        </w:rPr>
        <w:t>万平方米，成交地面均价为</w:t>
      </w:r>
      <w:r>
        <w:rPr>
          <w:rFonts w:eastAsia="仿宋_GB2312;仿宋" w:cs="Arial" w:ascii="Arial" w:hAnsi="Arial"/>
          <w:bCs/>
          <w:sz w:val="28"/>
          <w:szCs w:val="28"/>
        </w:rPr>
        <w:t>2095</w:t>
      </w:r>
      <w:r>
        <w:rPr>
          <w:rFonts w:ascii="Arial" w:hAnsi="Arial" w:cs="Arial" w:eastAsia="仿宋_GB2312;仿宋"/>
          <w:bCs/>
          <w:sz w:val="28"/>
          <w:szCs w:val="28"/>
        </w:rPr>
        <w:t>元</w:t>
      </w:r>
      <w:r>
        <w:rPr>
          <w:rFonts w:eastAsia="仿宋_GB2312;仿宋" w:cs="Arial" w:ascii="Arial" w:hAnsi="Arial"/>
          <w:bCs/>
          <w:sz w:val="28"/>
          <w:szCs w:val="28"/>
        </w:rPr>
        <w:t>/</w:t>
      </w:r>
      <w:r>
        <w:rPr>
          <w:rFonts w:ascii="Arial" w:hAnsi="Arial" w:cs="Arial" w:eastAsia="仿宋_GB2312;仿宋"/>
          <w:bCs/>
          <w:sz w:val="28"/>
          <w:szCs w:val="28"/>
        </w:rPr>
        <w:t>平方米（约合</w:t>
      </w:r>
      <w:r>
        <w:rPr>
          <w:rFonts w:eastAsia="仿宋_GB2312;仿宋" w:cs="Arial" w:ascii="Arial" w:hAnsi="Arial"/>
          <w:bCs/>
          <w:sz w:val="28"/>
          <w:szCs w:val="28"/>
        </w:rPr>
        <w:t>139.6</w:t>
      </w:r>
      <w:r>
        <w:rPr>
          <w:rFonts w:ascii="Arial" w:hAnsi="Arial" w:cs="Arial" w:eastAsia="仿宋_GB2312;仿宋"/>
          <w:bCs/>
          <w:sz w:val="28"/>
          <w:szCs w:val="28"/>
        </w:rPr>
        <w:t>万</w:t>
      </w:r>
      <w:r>
        <w:rPr>
          <w:rFonts w:eastAsia="仿宋_GB2312;仿宋" w:cs="Arial" w:ascii="Arial" w:hAnsi="Arial"/>
          <w:bCs/>
          <w:sz w:val="28"/>
          <w:szCs w:val="28"/>
        </w:rPr>
        <w:t>/</w:t>
      </w:r>
      <w:r>
        <w:rPr>
          <w:rFonts w:ascii="Arial" w:hAnsi="Arial" w:cs="Arial" w:eastAsia="仿宋_GB2312;仿宋"/>
          <w:bCs/>
          <w:sz w:val="28"/>
          <w:szCs w:val="28"/>
        </w:rPr>
        <w:t>亩），</w:t>
      </w:r>
      <w:r>
        <w:rPr>
          <w:rFonts w:eastAsia="仿宋_GB2312;仿宋" w:cs="Arial" w:ascii="Arial" w:hAnsi="Arial"/>
          <w:bCs/>
          <w:sz w:val="28"/>
          <w:szCs w:val="28"/>
        </w:rPr>
        <w:t>M1</w:t>
      </w:r>
      <w:r>
        <w:rPr>
          <w:rFonts w:ascii="Arial" w:hAnsi="Arial" w:cs="Arial" w:eastAsia="仿宋_GB2312;仿宋"/>
          <w:bCs/>
          <w:sz w:val="28"/>
          <w:szCs w:val="28"/>
        </w:rPr>
        <w:t>一类工业用地及物流用地各</w:t>
      </w:r>
      <w:r>
        <w:rPr>
          <w:rFonts w:eastAsia="仿宋_GB2312;仿宋" w:cs="Arial" w:ascii="Arial" w:hAnsi="Arial"/>
          <w:bCs/>
          <w:sz w:val="28"/>
          <w:szCs w:val="28"/>
        </w:rPr>
        <w:t>1</w:t>
      </w:r>
      <w:r>
        <w:rPr>
          <w:rFonts w:ascii="Arial" w:hAnsi="Arial" w:cs="Arial" w:eastAsia="仿宋_GB2312;仿宋"/>
          <w:bCs/>
          <w:sz w:val="28"/>
          <w:szCs w:val="28"/>
        </w:rPr>
        <w:t>宗，</w:t>
      </w:r>
      <w:r>
        <w:rPr>
          <w:rFonts w:eastAsia="仿宋_GB2312;仿宋" w:cs="Arial" w:ascii="Arial" w:hAnsi="Arial"/>
          <w:bCs/>
          <w:sz w:val="28"/>
          <w:szCs w:val="28"/>
        </w:rPr>
        <w:t>M4</w:t>
      </w:r>
      <w:r>
        <w:rPr>
          <w:rFonts w:ascii="Arial" w:hAnsi="Arial" w:cs="Arial" w:eastAsia="仿宋_GB2312;仿宋"/>
          <w:bCs/>
          <w:sz w:val="28"/>
          <w:szCs w:val="28"/>
        </w:rPr>
        <w:t>研发用地</w:t>
      </w:r>
      <w:r>
        <w:rPr>
          <w:rFonts w:eastAsia="仿宋_GB2312;仿宋" w:cs="Arial" w:ascii="Arial" w:hAnsi="Arial"/>
          <w:bCs/>
          <w:sz w:val="28"/>
          <w:szCs w:val="28"/>
        </w:rPr>
        <w:t>2</w:t>
      </w:r>
      <w:r>
        <w:rPr>
          <w:rFonts w:ascii="Arial" w:hAnsi="Arial" w:cs="Arial" w:eastAsia="仿宋_GB2312;仿宋"/>
          <w:bCs/>
          <w:sz w:val="28"/>
          <w:szCs w:val="28"/>
        </w:rPr>
        <w:t>宗，每亩价格在</w:t>
      </w:r>
      <w:r>
        <w:rPr>
          <w:rFonts w:eastAsia="仿宋_GB2312;仿宋" w:cs="Arial" w:ascii="Arial" w:hAnsi="Arial"/>
          <w:bCs/>
          <w:sz w:val="28"/>
          <w:szCs w:val="28"/>
        </w:rPr>
        <w:t>120-150</w:t>
      </w:r>
      <w:r>
        <w:rPr>
          <w:rFonts w:ascii="Arial" w:hAnsi="Arial" w:cs="Arial" w:eastAsia="仿宋_GB2312;仿宋"/>
          <w:bCs/>
          <w:sz w:val="28"/>
          <w:szCs w:val="28"/>
        </w:rPr>
        <w:t>万元之间，价格差异不大；平谷区成交建设用地面积</w:t>
      </w:r>
      <w:r>
        <w:rPr>
          <w:rFonts w:eastAsia="仿宋_GB2312;仿宋" w:cs="Arial" w:ascii="Arial" w:hAnsi="Arial"/>
          <w:bCs/>
          <w:sz w:val="28"/>
          <w:szCs w:val="28"/>
        </w:rPr>
        <w:t>89.7</w:t>
      </w:r>
      <w:r>
        <w:rPr>
          <w:rFonts w:ascii="Arial" w:hAnsi="Arial" w:cs="Arial" w:eastAsia="仿宋_GB2312;仿宋"/>
          <w:bCs/>
          <w:sz w:val="28"/>
          <w:szCs w:val="28"/>
        </w:rPr>
        <w:t>万平方米，成交地面均价为</w:t>
      </w:r>
      <w:r>
        <w:rPr>
          <w:rFonts w:eastAsia="仿宋_GB2312;仿宋" w:cs="Arial" w:ascii="Arial" w:hAnsi="Arial"/>
          <w:bCs/>
          <w:sz w:val="28"/>
          <w:szCs w:val="28"/>
        </w:rPr>
        <w:t>4358</w:t>
      </w:r>
      <w:r>
        <w:rPr>
          <w:rFonts w:ascii="Arial" w:hAnsi="Arial" w:cs="Arial" w:eastAsia="仿宋_GB2312;仿宋"/>
          <w:bCs/>
          <w:sz w:val="28"/>
          <w:szCs w:val="28"/>
        </w:rPr>
        <w:t>元</w:t>
      </w:r>
      <w:r>
        <w:rPr>
          <w:rFonts w:eastAsia="仿宋_GB2312;仿宋" w:cs="Arial" w:ascii="Arial" w:hAnsi="Arial"/>
          <w:bCs/>
          <w:sz w:val="28"/>
          <w:szCs w:val="28"/>
        </w:rPr>
        <w:t>/</w:t>
      </w:r>
      <w:r>
        <w:rPr>
          <w:rFonts w:ascii="Arial" w:hAnsi="Arial" w:cs="Arial" w:eastAsia="仿宋_GB2312;仿宋"/>
          <w:bCs/>
          <w:sz w:val="28"/>
          <w:szCs w:val="28"/>
        </w:rPr>
        <w:t>平方米（约合</w:t>
      </w:r>
      <w:r>
        <w:rPr>
          <w:rFonts w:eastAsia="仿宋_GB2312;仿宋" w:cs="Arial" w:ascii="Arial" w:hAnsi="Arial"/>
          <w:bCs/>
          <w:sz w:val="28"/>
          <w:szCs w:val="28"/>
        </w:rPr>
        <w:t>291</w:t>
      </w:r>
      <w:r>
        <w:rPr>
          <w:rFonts w:ascii="Arial" w:hAnsi="Arial" w:cs="Arial" w:eastAsia="仿宋_GB2312;仿宋"/>
          <w:bCs/>
          <w:sz w:val="28"/>
          <w:szCs w:val="28"/>
        </w:rPr>
        <w:t>万</w:t>
      </w:r>
      <w:r>
        <w:rPr>
          <w:rFonts w:eastAsia="仿宋_GB2312;仿宋" w:cs="Arial" w:ascii="Arial" w:hAnsi="Arial"/>
          <w:bCs/>
          <w:sz w:val="28"/>
          <w:szCs w:val="28"/>
        </w:rPr>
        <w:t>/</w:t>
      </w:r>
      <w:r>
        <w:rPr>
          <w:rFonts w:ascii="Arial" w:hAnsi="Arial" w:cs="Arial" w:eastAsia="仿宋_GB2312;仿宋"/>
          <w:bCs/>
          <w:sz w:val="28"/>
          <w:szCs w:val="28"/>
        </w:rPr>
        <w:t>亩），以</w:t>
      </w:r>
      <w:r>
        <w:rPr>
          <w:rFonts w:eastAsia="仿宋_GB2312;仿宋" w:cs="Arial" w:ascii="Arial" w:hAnsi="Arial"/>
          <w:bCs/>
          <w:sz w:val="28"/>
          <w:szCs w:val="28"/>
        </w:rPr>
        <w:t>W1</w:t>
      </w:r>
      <w:r>
        <w:rPr>
          <w:rFonts w:ascii="Arial" w:hAnsi="Arial" w:cs="Arial" w:eastAsia="仿宋_GB2312;仿宋"/>
          <w:bCs/>
          <w:sz w:val="28"/>
          <w:szCs w:val="28"/>
        </w:rPr>
        <w:t>物流用地为主；昌平区成交建设用地面积</w:t>
      </w:r>
      <w:r>
        <w:rPr>
          <w:rFonts w:eastAsia="仿宋_GB2312;仿宋" w:cs="Arial" w:ascii="Arial" w:hAnsi="Arial"/>
          <w:bCs/>
          <w:sz w:val="28"/>
          <w:szCs w:val="28"/>
        </w:rPr>
        <w:t>13.8</w:t>
      </w:r>
      <w:r>
        <w:rPr>
          <w:rFonts w:ascii="Arial" w:hAnsi="Arial" w:cs="Arial" w:eastAsia="仿宋_GB2312;仿宋"/>
          <w:bCs/>
          <w:sz w:val="28"/>
          <w:szCs w:val="28"/>
        </w:rPr>
        <w:t>万平方米，成交地面均价为</w:t>
      </w:r>
      <w:r>
        <w:rPr>
          <w:rFonts w:eastAsia="仿宋_GB2312;仿宋" w:cs="Arial" w:ascii="Arial" w:hAnsi="Arial"/>
          <w:bCs/>
          <w:sz w:val="28"/>
          <w:szCs w:val="28"/>
        </w:rPr>
        <w:t>2800</w:t>
      </w:r>
      <w:r>
        <w:rPr>
          <w:rFonts w:ascii="Arial" w:hAnsi="Arial" w:cs="Arial" w:eastAsia="仿宋_GB2312;仿宋"/>
          <w:bCs/>
          <w:sz w:val="28"/>
          <w:szCs w:val="28"/>
        </w:rPr>
        <w:t>元</w:t>
      </w:r>
      <w:r>
        <w:rPr>
          <w:rFonts w:eastAsia="仿宋_GB2312;仿宋" w:cs="Arial" w:ascii="Arial" w:hAnsi="Arial"/>
          <w:bCs/>
          <w:sz w:val="28"/>
          <w:szCs w:val="28"/>
        </w:rPr>
        <w:t>/</w:t>
      </w:r>
      <w:r>
        <w:rPr>
          <w:rFonts w:ascii="Arial" w:hAnsi="Arial" w:cs="Arial" w:eastAsia="仿宋_GB2312;仿宋"/>
          <w:bCs/>
          <w:sz w:val="28"/>
          <w:szCs w:val="28"/>
        </w:rPr>
        <w:t>平方米（约合</w:t>
      </w:r>
      <w:r>
        <w:rPr>
          <w:rFonts w:eastAsia="仿宋_GB2312;仿宋" w:cs="Arial" w:ascii="Arial" w:hAnsi="Arial"/>
          <w:bCs/>
          <w:sz w:val="28"/>
          <w:szCs w:val="28"/>
        </w:rPr>
        <w:t>187</w:t>
      </w:r>
      <w:r>
        <w:rPr>
          <w:rFonts w:ascii="Arial" w:hAnsi="Arial" w:cs="Arial" w:eastAsia="仿宋_GB2312;仿宋"/>
          <w:bCs/>
          <w:sz w:val="28"/>
          <w:szCs w:val="28"/>
        </w:rPr>
        <w:t>万</w:t>
      </w:r>
      <w:r>
        <w:rPr>
          <w:rFonts w:eastAsia="仿宋_GB2312;仿宋" w:cs="Arial" w:ascii="Arial" w:hAnsi="Arial"/>
          <w:bCs/>
          <w:sz w:val="28"/>
          <w:szCs w:val="28"/>
        </w:rPr>
        <w:t>/</w:t>
      </w:r>
      <w:r>
        <w:rPr>
          <w:rFonts w:ascii="Arial" w:hAnsi="Arial" w:cs="Arial" w:eastAsia="仿宋_GB2312;仿宋"/>
          <w:bCs/>
          <w:sz w:val="28"/>
          <w:szCs w:val="28"/>
        </w:rPr>
        <w:t>亩），均为</w:t>
      </w:r>
      <w:r>
        <w:rPr>
          <w:rFonts w:eastAsia="仿宋_GB2312;仿宋" w:cs="Arial" w:ascii="Arial" w:hAnsi="Arial"/>
          <w:bCs/>
          <w:sz w:val="28"/>
          <w:szCs w:val="28"/>
        </w:rPr>
        <w:t>M1</w:t>
      </w:r>
      <w:r>
        <w:rPr>
          <w:rFonts w:ascii="Arial" w:hAnsi="Arial" w:cs="Arial" w:eastAsia="仿宋_GB2312;仿宋"/>
          <w:bCs/>
          <w:sz w:val="28"/>
          <w:szCs w:val="28"/>
        </w:rPr>
        <w:t>一类工业用地；顺义区成交建设用地面积</w:t>
      </w:r>
      <w:r>
        <w:rPr>
          <w:rFonts w:eastAsia="仿宋_GB2312;仿宋" w:cs="Arial" w:ascii="Arial" w:hAnsi="Arial"/>
          <w:bCs/>
          <w:sz w:val="28"/>
          <w:szCs w:val="28"/>
        </w:rPr>
        <w:t>17.8</w:t>
      </w:r>
      <w:r>
        <w:rPr>
          <w:rFonts w:ascii="Arial" w:hAnsi="Arial" w:cs="Arial" w:eastAsia="仿宋_GB2312;仿宋"/>
          <w:bCs/>
          <w:sz w:val="28"/>
          <w:szCs w:val="28"/>
        </w:rPr>
        <w:t>万平方米，成交地面均价为</w:t>
      </w:r>
      <w:r>
        <w:rPr>
          <w:rFonts w:eastAsia="仿宋_GB2312;仿宋" w:cs="Arial" w:ascii="Arial" w:hAnsi="Arial"/>
          <w:bCs/>
          <w:sz w:val="28"/>
          <w:szCs w:val="28"/>
        </w:rPr>
        <w:t>2155</w:t>
      </w:r>
      <w:r>
        <w:rPr>
          <w:rFonts w:ascii="Arial" w:hAnsi="Arial" w:cs="Arial" w:eastAsia="仿宋_GB2312;仿宋"/>
          <w:bCs/>
          <w:sz w:val="28"/>
          <w:szCs w:val="28"/>
        </w:rPr>
        <w:t>元</w:t>
      </w:r>
      <w:r>
        <w:rPr>
          <w:rFonts w:eastAsia="仿宋_GB2312;仿宋" w:cs="Arial" w:ascii="Arial" w:hAnsi="Arial"/>
          <w:bCs/>
          <w:sz w:val="28"/>
          <w:szCs w:val="28"/>
        </w:rPr>
        <w:t>/</w:t>
      </w:r>
      <w:r>
        <w:rPr>
          <w:rFonts w:ascii="Arial" w:hAnsi="Arial" w:cs="Arial" w:eastAsia="仿宋_GB2312;仿宋"/>
          <w:bCs/>
          <w:sz w:val="28"/>
          <w:szCs w:val="28"/>
        </w:rPr>
        <w:t>平方米（约合</w:t>
      </w:r>
      <w:r>
        <w:rPr>
          <w:rFonts w:eastAsia="仿宋_GB2312;仿宋" w:cs="Arial" w:ascii="Arial" w:hAnsi="Arial"/>
          <w:bCs/>
          <w:sz w:val="28"/>
          <w:szCs w:val="28"/>
        </w:rPr>
        <w:t>144</w:t>
      </w:r>
      <w:r>
        <w:rPr>
          <w:rFonts w:ascii="Arial" w:hAnsi="Arial" w:cs="Arial" w:eastAsia="仿宋_GB2312;仿宋"/>
          <w:bCs/>
          <w:sz w:val="28"/>
          <w:szCs w:val="28"/>
        </w:rPr>
        <w:t>万</w:t>
      </w:r>
      <w:r>
        <w:rPr>
          <w:rFonts w:eastAsia="仿宋_GB2312;仿宋" w:cs="Arial" w:ascii="Arial" w:hAnsi="Arial"/>
          <w:bCs/>
          <w:sz w:val="28"/>
          <w:szCs w:val="28"/>
        </w:rPr>
        <w:t>/</w:t>
      </w:r>
      <w:r>
        <w:rPr>
          <w:rFonts w:ascii="Arial" w:hAnsi="Arial" w:cs="Arial" w:eastAsia="仿宋_GB2312;仿宋"/>
          <w:bCs/>
          <w:sz w:val="28"/>
          <w:szCs w:val="28"/>
        </w:rPr>
        <w:t>亩），</w:t>
      </w:r>
      <w:r>
        <w:rPr>
          <w:rFonts w:eastAsia="仿宋_GB2312;仿宋" w:cs="Arial" w:ascii="Arial" w:hAnsi="Arial"/>
          <w:bCs/>
          <w:sz w:val="28"/>
          <w:szCs w:val="28"/>
        </w:rPr>
        <w:t>M1</w:t>
      </w:r>
      <w:r>
        <w:rPr>
          <w:rFonts w:ascii="Arial" w:hAnsi="Arial" w:cs="Arial" w:eastAsia="仿宋_GB2312;仿宋"/>
          <w:bCs/>
          <w:sz w:val="28"/>
          <w:szCs w:val="28"/>
        </w:rPr>
        <w:t>一类工业用地及</w:t>
      </w:r>
      <w:r>
        <w:rPr>
          <w:rFonts w:eastAsia="仿宋_GB2312;仿宋" w:cs="Arial" w:ascii="Arial" w:hAnsi="Arial"/>
          <w:bCs/>
          <w:sz w:val="28"/>
          <w:szCs w:val="28"/>
        </w:rPr>
        <w:t>W1</w:t>
      </w:r>
      <w:r>
        <w:rPr>
          <w:rFonts w:ascii="Arial" w:hAnsi="Arial" w:cs="Arial" w:eastAsia="仿宋_GB2312;仿宋"/>
          <w:bCs/>
          <w:sz w:val="28"/>
          <w:szCs w:val="28"/>
        </w:rPr>
        <w:t>物流用地各</w:t>
      </w:r>
      <w:r>
        <w:rPr>
          <w:rFonts w:eastAsia="仿宋_GB2312;仿宋" w:cs="Arial" w:ascii="Arial" w:hAnsi="Arial"/>
          <w:bCs/>
          <w:sz w:val="28"/>
          <w:szCs w:val="28"/>
        </w:rPr>
        <w:t>1</w:t>
      </w:r>
      <w:r>
        <w:rPr>
          <w:rFonts w:ascii="Arial" w:hAnsi="Arial" w:cs="Arial" w:eastAsia="仿宋_GB2312;仿宋"/>
          <w:bCs/>
          <w:sz w:val="28"/>
          <w:szCs w:val="28"/>
        </w:rPr>
        <w:t>宗；通州区成交建设用地面积</w:t>
      </w:r>
      <w:r>
        <w:rPr>
          <w:rFonts w:eastAsia="仿宋_GB2312;仿宋" w:cs="Arial" w:ascii="Arial" w:hAnsi="Arial"/>
          <w:bCs/>
          <w:sz w:val="28"/>
          <w:szCs w:val="28"/>
        </w:rPr>
        <w:t>4.9</w:t>
      </w:r>
      <w:r>
        <w:rPr>
          <w:rFonts w:ascii="Arial" w:hAnsi="Arial" w:cs="Arial" w:eastAsia="仿宋_GB2312;仿宋"/>
          <w:bCs/>
          <w:sz w:val="28"/>
          <w:szCs w:val="28"/>
        </w:rPr>
        <w:t>万平方米，成交地面均价为</w:t>
      </w:r>
      <w:r>
        <w:rPr>
          <w:rFonts w:eastAsia="仿宋_GB2312;仿宋" w:cs="Arial" w:ascii="Arial" w:hAnsi="Arial"/>
          <w:bCs/>
          <w:sz w:val="28"/>
          <w:szCs w:val="28"/>
        </w:rPr>
        <w:t>3597</w:t>
      </w:r>
      <w:r>
        <w:rPr>
          <w:rFonts w:ascii="Arial" w:hAnsi="Arial" w:cs="Arial" w:eastAsia="仿宋_GB2312;仿宋"/>
          <w:bCs/>
          <w:sz w:val="28"/>
          <w:szCs w:val="28"/>
        </w:rPr>
        <w:t>元</w:t>
      </w:r>
      <w:r>
        <w:rPr>
          <w:rFonts w:eastAsia="仿宋_GB2312;仿宋" w:cs="Arial" w:ascii="Arial" w:hAnsi="Arial"/>
          <w:bCs/>
          <w:sz w:val="28"/>
          <w:szCs w:val="28"/>
        </w:rPr>
        <w:t>/</w:t>
      </w:r>
      <w:r>
        <w:rPr>
          <w:rFonts w:ascii="Arial" w:hAnsi="Arial" w:cs="Arial" w:eastAsia="仿宋_GB2312;仿宋"/>
          <w:bCs/>
          <w:sz w:val="28"/>
          <w:szCs w:val="28"/>
        </w:rPr>
        <w:t>平方米（约合</w:t>
      </w:r>
      <w:r>
        <w:rPr>
          <w:rFonts w:eastAsia="仿宋_GB2312;仿宋" w:cs="Arial" w:ascii="Arial" w:hAnsi="Arial"/>
          <w:bCs/>
          <w:sz w:val="28"/>
          <w:szCs w:val="28"/>
        </w:rPr>
        <w:t>240</w:t>
      </w:r>
      <w:r>
        <w:rPr>
          <w:rFonts w:ascii="Arial" w:hAnsi="Arial" w:cs="Arial" w:eastAsia="仿宋_GB2312;仿宋"/>
          <w:bCs/>
          <w:sz w:val="28"/>
          <w:szCs w:val="28"/>
        </w:rPr>
        <w:t>万</w:t>
      </w:r>
      <w:r>
        <w:rPr>
          <w:rFonts w:eastAsia="仿宋_GB2312;仿宋" w:cs="Arial" w:ascii="Arial" w:hAnsi="Arial"/>
          <w:bCs/>
          <w:sz w:val="28"/>
          <w:szCs w:val="28"/>
        </w:rPr>
        <w:t>/</w:t>
      </w:r>
      <w:r>
        <w:rPr>
          <w:rFonts w:ascii="Arial" w:hAnsi="Arial" w:cs="Arial" w:eastAsia="仿宋_GB2312;仿宋"/>
          <w:bCs/>
          <w:sz w:val="28"/>
          <w:szCs w:val="28"/>
        </w:rPr>
        <w:t>亩），均为</w:t>
      </w:r>
      <w:r>
        <w:rPr>
          <w:rFonts w:eastAsia="仿宋_GB2312;仿宋" w:cs="Arial" w:ascii="Arial" w:hAnsi="Arial"/>
          <w:bCs/>
          <w:sz w:val="28"/>
          <w:szCs w:val="28"/>
        </w:rPr>
        <w:t>M4</w:t>
      </w:r>
      <w:r>
        <w:rPr>
          <w:rFonts w:ascii="Arial" w:hAnsi="Arial" w:cs="Arial" w:eastAsia="仿宋_GB2312;仿宋"/>
          <w:bCs/>
          <w:sz w:val="28"/>
          <w:szCs w:val="28"/>
        </w:rPr>
        <w:t>工业研发用地。</w:t>
      </w:r>
      <w:r>
        <w:rPr>
          <w:rFonts w:eastAsia="Times New Roman"/>
          <w:lang w:val="zh-CN" w:eastAsia="zh-CN"/>
        </w:rPr>
        <w:t xml:space="preserve"> </w:t>
      </w:r>
    </w:p>
    <w:p>
      <w:pPr>
        <w:pStyle w:val="Normal"/>
        <w:spacing w:lineRule="auto" w:line="360"/>
        <w:rPr>
          <w:lang w:val="zh-CN" w:eastAsia="zh-CN"/>
        </w:rPr>
      </w:pPr>
      <w:r>
        <w:rPr>
          <w:lang w:val="zh-CN" w:eastAsia="zh-CN"/>
        </w:rPr>
        <w:drawing>
          <wp:inline distT="0" distB="0" distL="0" distR="0">
            <wp:extent cx="5903595" cy="5915025"/>
            <wp:effectExtent l="0" t="0" r="0" b="0"/>
            <wp:docPr id="16" name="图像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像3" descr=""/>
                    <pic:cNvPicPr>
                      <a:picLocks noChangeAspect="1" noChangeArrowheads="1"/>
                    </pic:cNvPicPr>
                  </pic:nvPicPr>
                  <pic:blipFill>
                    <a:blip r:embed="rId26"/>
                    <a:srcRect l="-5" t="-6" r="-5" b="-6"/>
                    <a:stretch>
                      <a:fillRect/>
                    </a:stretch>
                  </pic:blipFill>
                  <pic:spPr bwMode="auto">
                    <a:xfrm>
                      <a:off x="0" y="0"/>
                      <a:ext cx="5903595" cy="5915025"/>
                    </a:xfrm>
                    <a:prstGeom prst="rect">
                      <a:avLst/>
                    </a:prstGeom>
                  </pic:spPr>
                </pic:pic>
              </a:graphicData>
            </a:graphic>
          </wp:inline>
        </w:drawing>
        <mc:AlternateContent>
          <mc:Choice Requires="wpg">
            <w:drawing>
              <wp:anchor behindDoc="0" distT="0" distB="0" distL="114935" distR="114935" simplePos="0" locked="0" layoutInCell="1" allowOverlap="1" relativeHeight="84">
                <wp:simplePos x="0" y="0"/>
                <wp:positionH relativeFrom="column">
                  <wp:posOffset>31750</wp:posOffset>
                </wp:positionH>
                <wp:positionV relativeFrom="paragraph">
                  <wp:posOffset>64135</wp:posOffset>
                </wp:positionV>
                <wp:extent cx="5842635" cy="5775960"/>
                <wp:effectExtent l="0" t="0" r="0" b="0"/>
                <wp:wrapNone/>
                <wp:docPr id="15" name=""/>
                <a:graphic xmlns:a="http://schemas.openxmlformats.org/drawingml/2006/main">
                  <a:graphicData uri="http://schemas.microsoft.com/office/word/2010/wordprocessingGroup">
                    <wpg:wgp>
                      <wpg:cNvGrpSpPr/>
                      <wpg:grpSpPr>
                        <a:xfrm>
                          <a:off x="0" y="0"/>
                          <a:ext cx="5842080" cy="5775480"/>
                        </a:xfrm>
                      </wpg:grpSpPr>
                      <wps:wsp>
                        <wps:cNvSpPr txBox="1"/>
                        <wps:spPr>
                          <a:xfrm>
                            <a:off x="2104920" y="0"/>
                            <a:ext cx="1703160" cy="257040"/>
                          </a:xfrm>
                          <a:prstGeom prst="rect">
                            <a:avLst/>
                          </a:prstGeom>
                          <a:solidFill>
                            <a:srgbClr val="ffffff"/>
                          </a:solidFill>
                          <a:ln>
                            <a:noFill/>
                          </a:ln>
                        </wps:spPr>
                        <wps:txbx>
                          <w:txbxContent>
                            <w:p>
                              <w:pPr>
                                <w:overflowPunct w:val="false"/>
                                <w:bidi w:val="0"/>
                                <w:spacing w:lineRule="exact" w:line="240"/>
                                <w:jc w:val="center"/>
                                <w:rPr/>
                              </w:pPr>
                              <w:r>
                                <w:rPr>
                                  <w:kern w:val="2"/>
                                  <w:sz w:val="21"/>
                                  <w:szCs w:val="21"/>
                                  <w:b/>
                                  <w:rFonts w:ascii="Arial" w:hAnsi="Arial" w:eastAsia="宋体;SimSun" w:cs="Arial"/>
                                  <w:color w:val="auto"/>
                                  <w:lang w:val="en-US" w:eastAsia="zh-CN" w:bidi="ar-SA"/>
                                </w:rPr>
                                <w:t>工业用地成交分布图</w:t>
                              </w:r>
                            </w:p>
                          </w:txbxContent>
                        </wps:txbx>
                        <wps:bodyPr wrap="square" lIns="36360" rIns="36360" tIns="36360" bIns="36360">
                          <a:noAutofit/>
                        </wps:bodyPr>
                      </wps:wsp>
                      <wpg:grpSp>
                        <wpg:cNvGrpSpPr/>
                        <wpg:grpSpPr>
                          <a:xfrm>
                            <a:off x="0" y="1109520"/>
                            <a:ext cx="5842080" cy="4665960"/>
                          </a:xfrm>
                        </wpg:grpSpPr>
                        <wps:wsp>
                          <wps:cNvSpPr/>
                          <wps:spPr>
                            <a:xfrm>
                              <a:off x="4278600" y="4035240"/>
                              <a:ext cx="1562040" cy="510480"/>
                            </a:xfrm>
                            <a:prstGeom prst="borderCallout2">
                              <a:avLst>
                                <a:gd name="adj1" fmla="val 18750"/>
                                <a:gd name="adj2" fmla="val -8333"/>
                                <a:gd name="adj3" fmla="val 22388"/>
                                <a:gd name="adj4" fmla="val -46949"/>
                                <a:gd name="adj5" fmla="val -186319"/>
                                <a:gd name="adj6" fmla="val -89550"/>
                              </a:avLst>
                            </a:prstGeom>
                            <a:solidFill>
                              <a:srgbClr val="ffffff"/>
                            </a:solidFill>
                            <a:ln w="936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亦庄地区（18宗）</w:t>
                                </w:r>
                              </w:p>
                              <w:p>
                                <w:pPr>
                                  <w:overflowPunct w:val="false"/>
                                  <w:bidi w:val="0"/>
                                  <w:spacing w:lineRule="exact" w:line="240"/>
                                  <w:rPr/>
                                </w:pPr>
                                <w:r>
                                  <w:rPr>
                                    <w:kern w:val="2"/>
                                    <w:sz w:val="15"/>
                                    <w:szCs w:val="15"/>
                                    <w:rFonts w:ascii="Arial" w:hAnsi="Arial" w:eastAsia="宋体;SimSun" w:cs="Arial"/>
                                    <w:color w:val="auto"/>
                                    <w:lang w:val="en-US" w:eastAsia="zh-CN" w:bidi="ar-SA"/>
                                  </w:rPr>
                                  <w:t>详见下图</w:t>
                                </w:r>
                              </w:p>
                            </w:txbxContent>
                          </wps:txbx>
                          <wps:bodyPr lIns="36360" rIns="36360" tIns="36360" bIns="36360">
                            <a:noAutofit/>
                          </wps:bodyPr>
                        </wps:wsp>
                        <wps:wsp>
                          <wps:cNvSpPr/>
                          <wps:spPr>
                            <a:xfrm>
                              <a:off x="4278600" y="2446560"/>
                              <a:ext cx="1563480" cy="562680"/>
                            </a:xfrm>
                            <a:prstGeom prst="borderCallout2">
                              <a:avLst>
                                <a:gd name="adj1" fmla="val 18750"/>
                                <a:gd name="adj2" fmla="val -8333"/>
                                <a:gd name="adj3" fmla="val 20314"/>
                                <a:gd name="adj4" fmla="val -30828"/>
                                <a:gd name="adj5" fmla="val -57449"/>
                                <a:gd name="adj6" fmla="val -67263"/>
                              </a:avLst>
                            </a:prstGeom>
                            <a:solidFill>
                              <a:srgbClr val="ffffff"/>
                            </a:solidFill>
                            <a:ln w="936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顺义区（2宗）</w:t>
                                </w:r>
                              </w:p>
                              <w:p>
                                <w:pPr>
                                  <w:overflowPunct w:val="false"/>
                                  <w:bidi w:val="0"/>
                                  <w:spacing w:lineRule="exact" w:line="240"/>
                                  <w:rPr/>
                                </w:pPr>
                                <w:r>
                                  <w:rPr>
                                    <w:kern w:val="2"/>
                                    <w:sz w:val="15"/>
                                    <w:szCs w:val="15"/>
                                    <w:rFonts w:ascii="Arial" w:hAnsi="Arial" w:eastAsia="宋体;SimSun" w:cs="Arial"/>
                                    <w:color w:val="auto"/>
                                    <w:lang w:val="en-US" w:eastAsia="zh-CN" w:bidi="ar-SA"/>
                                  </w:rPr>
                                  <w:t>首都机场北部，M1：182.4万元/亩</w:t>
                                </w:r>
                              </w:p>
                              <w:p>
                                <w:pPr>
                                  <w:overflowPunct w:val="false"/>
                                  <w:bidi w:val="0"/>
                                  <w:spacing w:lineRule="exact" w:line="240"/>
                                  <w:rPr/>
                                </w:pPr>
                                <w:r>
                                  <w:rPr>
                                    <w:kern w:val="2"/>
                                    <w:sz w:val="15"/>
                                    <w:szCs w:val="15"/>
                                    <w:rFonts w:ascii="Arial" w:hAnsi="Arial" w:eastAsia="宋体;SimSun" w:cs="Arial"/>
                                    <w:color w:val="auto"/>
                                    <w:lang w:val="en-US" w:eastAsia="zh-CN" w:bidi="ar-SA"/>
                                  </w:rPr>
                                  <w:t>大孙各庄，W1：109万元/亩</w:t>
                                </w:r>
                              </w:p>
                            </w:txbxContent>
                          </wps:txbx>
                          <wps:bodyPr lIns="36360" rIns="36360" tIns="36360" bIns="36360">
                            <a:noAutofit/>
                          </wps:bodyPr>
                        </wps:wsp>
                        <wps:wsp>
                          <wps:cNvSpPr/>
                          <wps:spPr>
                            <a:xfrm>
                              <a:off x="0" y="586080"/>
                              <a:ext cx="1393200" cy="907560"/>
                            </a:xfrm>
                            <a:prstGeom prst="borderCallout2">
                              <a:avLst>
                                <a:gd name="adj1" fmla="val 18750"/>
                                <a:gd name="adj2" fmla="val -8333"/>
                                <a:gd name="adj3" fmla="val 12597"/>
                                <a:gd name="adj4" fmla="val 126935"/>
                                <a:gd name="adj5" fmla="val 142337"/>
                                <a:gd name="adj6" fmla="val 164629"/>
                              </a:avLst>
                            </a:prstGeom>
                            <a:solidFill>
                              <a:srgbClr val="ffffff"/>
                            </a:solidFill>
                            <a:ln w="936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昌平区（4宗）</w:t>
                                </w:r>
                              </w:p>
                              <w:p>
                                <w:pPr>
                                  <w:overflowPunct w:val="false"/>
                                  <w:bidi w:val="0"/>
                                  <w:spacing w:lineRule="exact" w:line="240"/>
                                  <w:rPr/>
                                </w:pPr>
                                <w:r>
                                  <w:rPr>
                                    <w:kern w:val="2"/>
                                    <w:sz w:val="15"/>
                                    <w:szCs w:val="15"/>
                                    <w:rFonts w:ascii="Arial" w:hAnsi="Arial" w:eastAsia="宋体;SimSun" w:cs="Arial"/>
                                    <w:color w:val="auto"/>
                                    <w:lang w:val="en-US" w:eastAsia="zh-CN" w:bidi="ar-SA"/>
                                  </w:rPr>
                                  <w:t>朱辛庄，M1：246.5万元/亩</w:t>
                                </w:r>
                              </w:p>
                              <w:p>
                                <w:pPr>
                                  <w:overflowPunct w:val="false"/>
                                  <w:bidi w:val="0"/>
                                  <w:spacing w:lineRule="exact" w:line="240"/>
                                  <w:rPr/>
                                </w:pPr>
                                <w:r>
                                  <w:rPr>
                                    <w:kern w:val="2"/>
                                    <w:sz w:val="15"/>
                                    <w:szCs w:val="15"/>
                                    <w:rFonts w:ascii="Arial" w:hAnsi="Arial" w:eastAsia="宋体;SimSun" w:cs="Arial"/>
                                    <w:color w:val="auto"/>
                                    <w:lang w:val="en-US" w:eastAsia="zh-CN" w:bidi="ar-SA"/>
                                  </w:rPr>
                                  <w:t>北七家，M1：147.5万元/亩</w:t>
                                </w:r>
                              </w:p>
                              <w:p>
                                <w:pPr>
                                  <w:overflowPunct w:val="false"/>
                                  <w:bidi w:val="0"/>
                                  <w:spacing w:lineRule="exact" w:line="240"/>
                                  <w:rPr/>
                                </w:pPr>
                                <w:r>
                                  <w:rPr>
                                    <w:kern w:val="2"/>
                                    <w:sz w:val="15"/>
                                    <w:szCs w:val="15"/>
                                    <w:rFonts w:ascii="Arial" w:hAnsi="Arial" w:eastAsia="宋体;SimSun" w:cs="Arial"/>
                                    <w:color w:val="auto"/>
                                    <w:lang w:val="en-US" w:eastAsia="zh-CN" w:bidi="ar-SA"/>
                                  </w:rPr>
                                  <w:t>中关村科技园区昌平园，M1:约192万元/亩</w:t>
                                </w:r>
                              </w:p>
                            </w:txbxContent>
                          </wps:txbx>
                          <wps:bodyPr lIns="36360" rIns="36360" tIns="36360" bIns="36360">
                            <a:noAutofit/>
                          </wps:bodyPr>
                        </wps:wsp>
                        <wps:wsp>
                          <wps:cNvSpPr/>
                          <wps:spPr>
                            <a:xfrm>
                              <a:off x="3240" y="3976200"/>
                              <a:ext cx="1398240" cy="689760"/>
                            </a:xfrm>
                            <a:prstGeom prst="borderCallout2">
                              <a:avLst>
                                <a:gd name="adj1" fmla="val 18750"/>
                                <a:gd name="adj2" fmla="val -8333"/>
                                <a:gd name="adj3" fmla="val 16574"/>
                                <a:gd name="adj4" fmla="val 105449"/>
                                <a:gd name="adj5" fmla="val -104972"/>
                                <a:gd name="adj6" fmla="val 180745"/>
                              </a:avLst>
                            </a:prstGeom>
                            <a:solidFill>
                              <a:srgbClr val="ffffff"/>
                            </a:solidFill>
                            <a:ln w="936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大兴区（除亦庄共2宗）</w:t>
                                </w:r>
                              </w:p>
                              <w:p>
                                <w:pPr>
                                  <w:overflowPunct w:val="false"/>
                                  <w:bidi w:val="0"/>
                                  <w:spacing w:lineRule="exact" w:line="240"/>
                                  <w:rPr/>
                                </w:pPr>
                                <w:r>
                                  <w:rPr>
                                    <w:kern w:val="2"/>
                                    <w:sz w:val="15"/>
                                    <w:szCs w:val="15"/>
                                    <w:rFonts w:ascii="Arial" w:hAnsi="Arial" w:eastAsia="宋体;SimSun" w:cs="Arial"/>
                                    <w:color w:val="auto"/>
                                    <w:lang w:val="en-US" w:eastAsia="zh-CN" w:bidi="ar-SA"/>
                                  </w:rPr>
                                  <w:t>大兴国际机场临空经济区:</w:t>
                                </w:r>
                              </w:p>
                              <w:p>
                                <w:pPr>
                                  <w:overflowPunct w:val="false"/>
                                  <w:bidi w:val="0"/>
                                  <w:spacing w:lineRule="exact" w:line="240"/>
                                  <w:rPr/>
                                </w:pPr>
                                <w:r>
                                  <w:rPr>
                                    <w:kern w:val="2"/>
                                    <w:sz w:val="15"/>
                                    <w:szCs w:val="15"/>
                                    <w:rFonts w:ascii="Arial" w:hAnsi="Arial" w:eastAsia="宋体;SimSun" w:cs="Arial"/>
                                    <w:color w:val="auto"/>
                                    <w:lang w:val="en-US" w:eastAsia="zh-CN" w:bidi="ar-SA"/>
                                  </w:rPr>
                                  <w:t>M1：121.6万元/亩</w:t>
                                </w:r>
                              </w:p>
                              <w:p>
                                <w:pPr>
                                  <w:overflowPunct w:val="false"/>
                                  <w:bidi w:val="0"/>
                                  <w:spacing w:lineRule="exact" w:line="240"/>
                                  <w:rPr/>
                                </w:pPr>
                                <w:r>
                                  <w:rPr>
                                    <w:kern w:val="2"/>
                                    <w:sz w:val="15"/>
                                    <w:szCs w:val="15"/>
                                    <w:rFonts w:ascii="Arial" w:hAnsi="Arial" w:eastAsia="宋体;SimSun" w:cs="Arial"/>
                                    <w:color w:val="auto"/>
                                    <w:lang w:val="en-US" w:eastAsia="zh-CN" w:bidi="ar-SA"/>
                                  </w:rPr>
                                  <w:t>M1、S41：151万元/亩</w:t>
                                </w:r>
                              </w:p>
                            </w:txbxContent>
                          </wps:txbx>
                          <wps:bodyPr lIns="36360" rIns="36360" tIns="36360" bIns="36360">
                            <a:noAutofit/>
                          </wps:bodyPr>
                        </wps:wsp>
                        <wps:wsp>
                          <wps:cNvSpPr/>
                          <wps:spPr>
                            <a:xfrm>
                              <a:off x="8280" y="2193120"/>
                              <a:ext cx="1393200" cy="830520"/>
                            </a:xfrm>
                            <a:prstGeom prst="borderCallout2">
                              <a:avLst>
                                <a:gd name="adj1" fmla="val 18750"/>
                                <a:gd name="adj2" fmla="val -8333"/>
                                <a:gd name="adj3" fmla="val 13759"/>
                                <a:gd name="adj4" fmla="val 127486"/>
                                <a:gd name="adj5" fmla="val 120259"/>
                                <a:gd name="adj6" fmla="val 149680"/>
                              </a:avLst>
                            </a:prstGeom>
                            <a:solidFill>
                              <a:srgbClr val="ffffff"/>
                            </a:solidFill>
                            <a:ln w="936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房山区（4宗）</w:t>
                                </w:r>
                              </w:p>
                              <w:p>
                                <w:pPr>
                                  <w:overflowPunct w:val="false"/>
                                  <w:bidi w:val="0"/>
                                  <w:spacing w:lineRule="exact" w:line="240"/>
                                  <w:rPr/>
                                </w:pPr>
                                <w:r>
                                  <w:rPr>
                                    <w:kern w:val="2"/>
                                    <w:sz w:val="15"/>
                                    <w:szCs w:val="15"/>
                                    <w:rFonts w:ascii="Arial" w:hAnsi="Arial" w:eastAsia="宋体;SimSun" w:cs="Arial"/>
                                    <w:color w:val="auto"/>
                                    <w:lang w:val="en-US" w:eastAsia="zh-CN" w:bidi="ar-SA"/>
                                  </w:rPr>
                                  <w:t>韩村河，M4：122.9万元/亩</w:t>
                                </w:r>
                              </w:p>
                              <w:p>
                                <w:pPr>
                                  <w:overflowPunct w:val="false"/>
                                  <w:bidi w:val="0"/>
                                  <w:spacing w:lineRule="exact" w:line="240"/>
                                  <w:rPr/>
                                </w:pPr>
                                <w:r>
                                  <w:rPr>
                                    <w:kern w:val="2"/>
                                    <w:sz w:val="15"/>
                                    <w:szCs w:val="15"/>
                                    <w:rFonts w:ascii="Arial" w:hAnsi="Arial" w:eastAsia="宋体;SimSun" w:cs="Arial"/>
                                    <w:color w:val="auto"/>
                                    <w:lang w:val="en-US" w:eastAsia="zh-CN" w:bidi="ar-SA"/>
                                  </w:rPr>
                                  <w:t>燕房  ，M4：132.7万元/亩</w:t>
                                </w:r>
                              </w:p>
                              <w:p>
                                <w:pPr>
                                  <w:overflowPunct w:val="false"/>
                                  <w:bidi w:val="0"/>
                                  <w:spacing w:lineRule="exact" w:line="240"/>
                                  <w:rPr/>
                                </w:pPr>
                                <w:r>
                                  <w:rPr>
                                    <w:kern w:val="2"/>
                                    <w:sz w:val="15"/>
                                    <w:szCs w:val="15"/>
                                    <w:rFonts w:ascii="Arial" w:hAnsi="Arial" w:eastAsia="宋体;SimSun" w:cs="Arial"/>
                                    <w:color w:val="auto"/>
                                    <w:lang w:val="en-US" w:eastAsia="zh-CN" w:bidi="ar-SA"/>
                                  </w:rPr>
                                  <w:t>窦店  ，M1：146.2万元/亩</w:t>
                                </w:r>
                              </w:p>
                              <w:p>
                                <w:pPr>
                                  <w:overflowPunct w:val="false"/>
                                  <w:bidi w:val="0"/>
                                  <w:spacing w:lineRule="exact" w:line="240"/>
                                  <w:rPr/>
                                </w:pPr>
                                <w:r>
                                  <w:rPr>
                                    <w:kern w:val="2"/>
                                    <w:sz w:val="15"/>
                                    <w:szCs w:val="15"/>
                                    <w:rFonts w:ascii="Arial" w:hAnsi="Arial" w:eastAsia="宋体;SimSun" w:cs="Arial"/>
                                    <w:color w:val="auto"/>
                                    <w:lang w:val="en-US" w:eastAsia="zh-CN" w:bidi="ar-SA"/>
                                  </w:rPr>
                                  <w:t>琉璃河，W1：150.0万元/亩</w:t>
                                </w:r>
                              </w:p>
                            </w:txbxContent>
                          </wps:txbx>
                          <wps:bodyPr lIns="36360" rIns="36360" tIns="36360" bIns="36360">
                            <a:noAutofit/>
                          </wps:bodyPr>
                        </wps:wsp>
                        <wps:wsp>
                          <wps:cNvSpPr txBox="1"/>
                          <wps:spPr>
                            <a:xfrm>
                              <a:off x="4255920" y="0"/>
                              <a:ext cx="1585440" cy="1012680"/>
                            </a:xfrm>
                            <a:prstGeom prst="rect">
                              <a:avLst/>
                            </a:prstGeom>
                            <a:solidFill>
                              <a:srgbClr val="ffffff"/>
                            </a:solidFill>
                            <a:ln w="9360">
                              <a:solidFill>
                                <a:srgbClr val="000000"/>
                              </a:solidFill>
                              <a:miter/>
                            </a:ln>
                          </wps:spPr>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平谷区（8宗）</w:t>
                                </w:r>
                              </w:p>
                              <w:p>
                                <w:pPr>
                                  <w:overflowPunct w:val="false"/>
                                  <w:bidi w:val="0"/>
                                  <w:spacing w:lineRule="exact" w:line="240"/>
                                  <w:rPr/>
                                </w:pPr>
                                <w:r>
                                  <w:rPr>
                                    <w:kern w:val="2"/>
                                    <w:sz w:val="15"/>
                                    <w:szCs w:val="15"/>
                                    <w:rFonts w:ascii="Arial" w:hAnsi="Arial" w:eastAsia="宋体;SimSun" w:cs="Arial"/>
                                    <w:color w:val="auto"/>
                                    <w:lang w:val="en-US" w:eastAsia="zh-CN" w:bidi="ar-SA"/>
                                  </w:rPr>
                                  <w:t>京平公转铁综合物流枢纽产业园，W1（50年）：</w:t>
                                </w:r>
                              </w:p>
                              <w:p>
                                <w:pPr>
                                  <w:overflowPunct w:val="false"/>
                                  <w:bidi w:val="0"/>
                                  <w:spacing w:lineRule="exact" w:line="240"/>
                                  <w:rPr/>
                                </w:pPr>
                                <w:r>
                                  <w:rPr>
                                    <w:kern w:val="2"/>
                                    <w:sz w:val="15"/>
                                    <w:szCs w:val="15"/>
                                    <w:rFonts w:ascii="Arial" w:hAnsi="Arial" w:eastAsia="宋体;SimSun" w:cs="Arial"/>
                                    <w:color w:val="auto"/>
                                    <w:lang w:val="en-US" w:eastAsia="zh-CN" w:bidi="ar-SA"/>
                                  </w:rPr>
                                  <w:t>容积率1.0-1.3，190- 232万元/亩</w:t>
                                </w:r>
                              </w:p>
                              <w:p>
                                <w:pPr>
                                  <w:overflowPunct w:val="false"/>
                                  <w:bidi w:val="0"/>
                                  <w:spacing w:lineRule="exact" w:line="240"/>
                                  <w:rPr/>
                                </w:pPr>
                                <w:r>
                                  <w:rPr>
                                    <w:kern w:val="2"/>
                                    <w:sz w:val="15"/>
                                    <w:szCs w:val="15"/>
                                    <w:rFonts w:ascii="Arial" w:hAnsi="Arial" w:eastAsia="宋体;SimSun" w:cs="Arial"/>
                                    <w:color w:val="auto"/>
                                    <w:lang w:val="en-US" w:eastAsia="zh-CN" w:bidi="ar-SA"/>
                                  </w:rPr>
                                  <w:t>容积率1.8-2.5，278-330万元/亩</w:t>
                                </w:r>
                              </w:p>
                              <w:p>
                                <w:pPr>
                                  <w:overflowPunct w:val="false"/>
                                  <w:bidi w:val="0"/>
                                  <w:spacing w:lineRule="exact" w:line="240"/>
                                  <w:rPr/>
                                </w:pPr>
                                <w:r>
                                  <w:rPr>
                                    <w:kern w:val="2"/>
                                    <w:sz w:val="15"/>
                                    <w:szCs w:val="15"/>
                                    <w:rFonts w:ascii="Arial" w:hAnsi="Arial" w:eastAsia="宋体;SimSun" w:cs="Arial"/>
                                    <w:color w:val="auto"/>
                                    <w:lang w:val="en-US" w:eastAsia="zh-CN" w:bidi="ar-SA"/>
                                  </w:rPr>
                                  <w:t>平谷新城，M1:91万元/亩</w:t>
                                </w:r>
                              </w:p>
                              <w:p>
                                <w:pPr>
                                  <w:overflowPunct w:val="false"/>
                                  <w:bidi w:val="0"/>
                                  <w:spacing w:lineRule="atLeast" w:line="360"/>
                                  <w:rPr/>
                                </w:pPr>
                                <w:r>
                                  <w:rPr>
                                    <w:kern w:val="2"/>
                                    <w:szCs w:val="24"/>
                                    <w:rFonts w:ascii="Liberation Serif" w:hAnsi="Liberation Serif" w:eastAsia="新宋体" w:cs="Lucida Sans"/>
                                    <w:lang w:bidi="hi-IN"/>
                                  </w:rPr>
                                </w:r>
                              </w:p>
                            </w:txbxContent>
                          </wps:txbx>
                          <wps:bodyPr wrap="square" lIns="54000" rIns="54000" tIns="17640" bIns="17640">
                            <a:noAutofit/>
                          </wps:bodyPr>
                        </wps:wsp>
                        <wps:cxnSp>
                          <wps:nvCxnSpPr>
                            <wps:cNvPr id="0" name="Line 1"/>
                            <wps:cNvCxnSpPr/>
                            <wps:nvPr/>
                          </wps:nvCxnSpPr>
                          <wps:spPr>
                            <a:xfrm>
                              <a:off x="4296240" y="3265200"/>
                              <a:ext cx="360" cy="360"/>
                            </a:xfrm>
                            <a:prstGeom prst="straightConnector1">
                              <a:avLst/>
                            </a:prstGeom>
                            <a:ln w="12600">
                              <a:solidFill>
                                <a:srgbClr val="000000"/>
                              </a:solidFill>
                              <a:miter/>
                              <a:headEnd len="med" type="oval" w="med"/>
                              <a:tailEnd len="med" type="oval" w="med"/>
                            </a:ln>
                          </wps:spPr>
                          <wps:bodyPr/>
                        </wps:cxnSp>
                        <wps:wsp>
                          <wps:cNvSpPr/>
                          <wps:spPr>
                            <a:xfrm>
                              <a:off x="4260960" y="3260520"/>
                              <a:ext cx="1563480" cy="562680"/>
                            </a:xfrm>
                            <a:prstGeom prst="borderCallout2">
                              <a:avLst>
                                <a:gd name="adj1" fmla="val 18750"/>
                                <a:gd name="adj2" fmla="val -8333"/>
                                <a:gd name="adj3" fmla="val 20314"/>
                                <a:gd name="adj4" fmla="val -30180"/>
                                <a:gd name="adj5" fmla="val -91310"/>
                                <a:gd name="adj6" fmla="val -65759"/>
                              </a:avLst>
                            </a:prstGeom>
                            <a:solidFill>
                              <a:srgbClr val="ffffff"/>
                            </a:solidFill>
                            <a:ln w="936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通州区（2宗）</w:t>
                                </w:r>
                              </w:p>
                              <w:p>
                                <w:pPr>
                                  <w:overflowPunct w:val="false"/>
                                  <w:bidi w:val="0"/>
                                  <w:spacing w:lineRule="exact" w:line="240"/>
                                  <w:rPr/>
                                </w:pPr>
                                <w:r>
                                  <w:rPr>
                                    <w:kern w:val="2"/>
                                    <w:sz w:val="15"/>
                                    <w:szCs w:val="15"/>
                                    <w:rFonts w:ascii="Arial" w:hAnsi="Arial" w:eastAsia="宋体;SimSun" w:cs="Arial"/>
                                    <w:color w:val="auto"/>
                                    <w:lang w:val="en-US" w:eastAsia="zh-CN" w:bidi="ar-SA"/>
                                  </w:rPr>
                                  <w:t>北京城市副中心:</w:t>
                                </w:r>
                              </w:p>
                              <w:p>
                                <w:pPr>
                                  <w:overflowPunct w:val="false"/>
                                  <w:bidi w:val="0"/>
                                  <w:spacing w:lineRule="exact" w:line="240"/>
                                  <w:rPr/>
                                </w:pPr>
                                <w:r>
                                  <w:rPr>
                                    <w:kern w:val="2"/>
                                    <w:sz w:val="15"/>
                                    <w:szCs w:val="15"/>
                                    <w:rFonts w:ascii="Arial" w:hAnsi="Arial" w:eastAsia="宋体;SimSun" w:cs="Arial"/>
                                    <w:color w:val="auto"/>
                                    <w:lang w:val="en-US" w:eastAsia="zh-CN" w:bidi="ar-SA"/>
                                  </w:rPr>
                                  <w:t>M4：239.8万元/亩</w:t>
                                </w:r>
                              </w:p>
                            </w:txbxContent>
                          </wps:txbx>
                          <wps:bodyPr lIns="36360" rIns="36360" tIns="36360" bIns="36360">
                            <a:noAutofit/>
                          </wps:bodyPr>
                        </wps:wsp>
                      </wpg:grpSp>
                    </wpg:wgp>
                  </a:graphicData>
                </a:graphic>
              </wp:anchor>
            </w:drawing>
          </mc:Choice>
          <mc:Fallback>
            <w:pict>
              <v:group id="shape_0" style="position:absolute;margin-left:2.5pt;margin-top:5.05pt;width:460pt;height:454.75pt" coordorigin="50,101" coordsize="9200,9095">
                <v:shapetype id="_x005F_x0000_t202" coordsize="21600,21600" o:spt="202" path="m,l,21600l21600,21600l21600,xe">
                  <v:stroke joinstyle="miter"/>
                  <v:path gradientshapeok="t" o:connecttype="rect"/>
                </v:shapetype>
                <v:shape id="shape_0" fillcolor="white" stroked="f" style="position:absolute;left:3365;top:101;width:2681;height:404" type="shapetype_202">
                  <v:textbox>
                    <w:txbxContent>
                      <w:p>
                        <w:pPr>
                          <w:overflowPunct w:val="false"/>
                          <w:bidi w:val="0"/>
                          <w:spacing w:lineRule="exact" w:line="240"/>
                          <w:jc w:val="center"/>
                          <w:rPr/>
                        </w:pPr>
                        <w:r>
                          <w:rPr>
                            <w:kern w:val="2"/>
                            <w:sz w:val="21"/>
                            <w:szCs w:val="21"/>
                            <w:b/>
                            <w:rFonts w:ascii="Arial" w:hAnsi="Arial" w:eastAsia="宋体;SimSun" w:cs="Arial"/>
                            <w:color w:val="auto"/>
                            <w:lang w:val="en-US" w:eastAsia="zh-CN" w:bidi="ar-SA"/>
                          </w:rPr>
                          <w:t>工业用地成交分布图</w:t>
                        </w:r>
                      </w:p>
                    </w:txbxContent>
                  </v:textbox>
                  <w10:wrap type="square"/>
                  <v:fill o:detectmouseclick="t" type="solid" color2="black"/>
                  <v:stroke color="#3465a4" joinstyle="round" endcap="flat"/>
                </v:shape>
                <v:group id="shape_0" style="position:absolute;left:50;top:1848;width:9200;height:7348">
                  <v:shapetype id="shapetype_48" coordsize="21600,21600" o:spt="48" adj="-10080,24300,-3600,4050,-1800,4050" path="m,l21600,l21600,21600l,21600xem@1@0l@3@2l@5@4nfe">
                    <v:stroke joinstyle="miter"/>
                    <v:formulas>
                      <v:f eqn="val #5"/>
                      <v:f eqn="val #4"/>
                      <v:f eqn="val #3"/>
                      <v:f eqn="val #2"/>
                      <v:f eqn="val #1"/>
                      <v:f eqn="val #0"/>
                    </v:formulas>
                    <v:path gradientshapeok="t" o:connecttype="rect" textboxrect="0,0,21600,21600"/>
                    <v:handles>
                      <v:h position="@1,@0"/>
                      <v:h position="@3,@2"/>
                      <v:h position="@5,@4"/>
                    </v:handles>
                  </v:shapetype>
                  <v:shape id="shape_0" fillcolor="white" stroked="t" style="position:absolute;left:6788;top:8203;width:2459;height:803"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亦庄地区（18宗）</w:t>
                          </w:r>
                        </w:p>
                        <w:p>
                          <w:pPr>
                            <w:overflowPunct w:val="false"/>
                            <w:bidi w:val="0"/>
                            <w:spacing w:lineRule="exact" w:line="240"/>
                            <w:rPr/>
                          </w:pPr>
                          <w:r>
                            <w:rPr>
                              <w:kern w:val="2"/>
                              <w:sz w:val="15"/>
                              <w:szCs w:val="15"/>
                              <w:rFonts w:ascii="Arial" w:hAnsi="Arial" w:eastAsia="宋体;SimSun" w:cs="Arial"/>
                              <w:color w:val="auto"/>
                              <w:lang w:val="en-US" w:eastAsia="zh-CN" w:bidi="ar-SA"/>
                            </w:rPr>
                            <w:t>详见下图</w:t>
                          </w:r>
                        </w:p>
                      </w:txbxContent>
                    </v:textbox>
                    <w10:wrap type="square"/>
                    <v:fill o:detectmouseclick="t" type="solid" color2="black"/>
                    <v:stroke color="black" weight="9360" startarrow="oval" endarrow="oval" startarrowwidth="medium" startarrowlength="medium" endarrowwidth="medium" endarrowlength="medium" joinstyle="miter" endcap="square"/>
                  </v:shape>
                  <v:shape id="shape_0" fillcolor="white" stroked="t" style="position:absolute;left:6788;top:5701;width:2461;height:885"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顺义区（2宗）</w:t>
                          </w:r>
                        </w:p>
                        <w:p>
                          <w:pPr>
                            <w:overflowPunct w:val="false"/>
                            <w:bidi w:val="0"/>
                            <w:spacing w:lineRule="exact" w:line="240"/>
                            <w:rPr/>
                          </w:pPr>
                          <w:r>
                            <w:rPr>
                              <w:kern w:val="2"/>
                              <w:sz w:val="15"/>
                              <w:szCs w:val="15"/>
                              <w:rFonts w:ascii="Arial" w:hAnsi="Arial" w:eastAsia="宋体;SimSun" w:cs="Arial"/>
                              <w:color w:val="auto"/>
                              <w:lang w:val="en-US" w:eastAsia="zh-CN" w:bidi="ar-SA"/>
                            </w:rPr>
                            <w:t>首都机场北部，M1：182.4万元/亩</w:t>
                          </w:r>
                        </w:p>
                        <w:p>
                          <w:pPr>
                            <w:overflowPunct w:val="false"/>
                            <w:bidi w:val="0"/>
                            <w:spacing w:lineRule="exact" w:line="240"/>
                            <w:rPr/>
                          </w:pPr>
                          <w:r>
                            <w:rPr>
                              <w:kern w:val="2"/>
                              <w:sz w:val="15"/>
                              <w:szCs w:val="15"/>
                              <w:rFonts w:ascii="Arial" w:hAnsi="Arial" w:eastAsia="宋体;SimSun" w:cs="Arial"/>
                              <w:color w:val="auto"/>
                              <w:lang w:val="en-US" w:eastAsia="zh-CN" w:bidi="ar-SA"/>
                            </w:rPr>
                            <w:t>大孙各庄，W1：109万元/亩</w:t>
                          </w:r>
                        </w:p>
                      </w:txbxContent>
                    </v:textbox>
                    <w10:wrap type="square"/>
                    <v:fill o:detectmouseclick="t" type="solid" color2="black"/>
                    <v:stroke color="black" weight="9360" startarrow="oval" endarrow="oval" startarrowwidth="medium" startarrowlength="medium" endarrowwidth="medium" endarrowlength="medium" joinstyle="miter" endcap="square"/>
                  </v:shape>
                  <v:shape id="shape_0" fillcolor="white" stroked="t" style="position:absolute;left:50;top:2771;width:2193;height:1428"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昌平区（4宗）</w:t>
                          </w:r>
                        </w:p>
                        <w:p>
                          <w:pPr>
                            <w:overflowPunct w:val="false"/>
                            <w:bidi w:val="0"/>
                            <w:spacing w:lineRule="exact" w:line="240"/>
                            <w:rPr/>
                          </w:pPr>
                          <w:r>
                            <w:rPr>
                              <w:kern w:val="2"/>
                              <w:sz w:val="15"/>
                              <w:szCs w:val="15"/>
                              <w:rFonts w:ascii="Arial" w:hAnsi="Arial" w:eastAsia="宋体;SimSun" w:cs="Arial"/>
                              <w:color w:val="auto"/>
                              <w:lang w:val="en-US" w:eastAsia="zh-CN" w:bidi="ar-SA"/>
                            </w:rPr>
                            <w:t>朱辛庄，M1：246.5万元/亩</w:t>
                          </w:r>
                        </w:p>
                        <w:p>
                          <w:pPr>
                            <w:overflowPunct w:val="false"/>
                            <w:bidi w:val="0"/>
                            <w:spacing w:lineRule="exact" w:line="240"/>
                            <w:rPr/>
                          </w:pPr>
                          <w:r>
                            <w:rPr>
                              <w:kern w:val="2"/>
                              <w:sz w:val="15"/>
                              <w:szCs w:val="15"/>
                              <w:rFonts w:ascii="Arial" w:hAnsi="Arial" w:eastAsia="宋体;SimSun" w:cs="Arial"/>
                              <w:color w:val="auto"/>
                              <w:lang w:val="en-US" w:eastAsia="zh-CN" w:bidi="ar-SA"/>
                            </w:rPr>
                            <w:t>北七家，M1：147.5万元/亩</w:t>
                          </w:r>
                        </w:p>
                        <w:p>
                          <w:pPr>
                            <w:overflowPunct w:val="false"/>
                            <w:bidi w:val="0"/>
                            <w:spacing w:lineRule="exact" w:line="240"/>
                            <w:rPr/>
                          </w:pPr>
                          <w:r>
                            <w:rPr>
                              <w:kern w:val="2"/>
                              <w:sz w:val="15"/>
                              <w:szCs w:val="15"/>
                              <w:rFonts w:ascii="Arial" w:hAnsi="Arial" w:eastAsia="宋体;SimSun" w:cs="Arial"/>
                              <w:color w:val="auto"/>
                              <w:lang w:val="en-US" w:eastAsia="zh-CN" w:bidi="ar-SA"/>
                            </w:rPr>
                            <w:t>中关村科技园区昌平园，M1:约192万元/亩</w:t>
                          </w:r>
                        </w:p>
                      </w:txbxContent>
                    </v:textbox>
                    <w10:wrap type="square"/>
                    <v:fill o:detectmouseclick="t" type="solid" color2="black"/>
                    <v:stroke color="black" weight="9360" startarrow="oval" endarrow="oval" startarrowwidth="medium" startarrowlength="medium" endarrowwidth="medium" endarrowlength="medium" joinstyle="miter" endcap="square"/>
                  </v:shape>
                  <v:shape id="shape_0" fillcolor="white" stroked="t" style="position:absolute;left:55;top:8110;width:2201;height:1085"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大兴区（除亦庄共2宗）</w:t>
                          </w:r>
                        </w:p>
                        <w:p>
                          <w:pPr>
                            <w:overflowPunct w:val="false"/>
                            <w:bidi w:val="0"/>
                            <w:spacing w:lineRule="exact" w:line="240"/>
                            <w:rPr/>
                          </w:pPr>
                          <w:r>
                            <w:rPr>
                              <w:kern w:val="2"/>
                              <w:sz w:val="15"/>
                              <w:szCs w:val="15"/>
                              <w:rFonts w:ascii="Arial" w:hAnsi="Arial" w:eastAsia="宋体;SimSun" w:cs="Arial"/>
                              <w:color w:val="auto"/>
                              <w:lang w:val="en-US" w:eastAsia="zh-CN" w:bidi="ar-SA"/>
                            </w:rPr>
                            <w:t>大兴国际机场临空经济区:</w:t>
                          </w:r>
                        </w:p>
                        <w:p>
                          <w:pPr>
                            <w:overflowPunct w:val="false"/>
                            <w:bidi w:val="0"/>
                            <w:spacing w:lineRule="exact" w:line="240"/>
                            <w:rPr/>
                          </w:pPr>
                          <w:r>
                            <w:rPr>
                              <w:kern w:val="2"/>
                              <w:sz w:val="15"/>
                              <w:szCs w:val="15"/>
                              <w:rFonts w:ascii="Arial" w:hAnsi="Arial" w:eastAsia="宋体;SimSun" w:cs="Arial"/>
                              <w:color w:val="auto"/>
                              <w:lang w:val="en-US" w:eastAsia="zh-CN" w:bidi="ar-SA"/>
                            </w:rPr>
                            <w:t>M1：121.6万元/亩</w:t>
                          </w:r>
                        </w:p>
                        <w:p>
                          <w:pPr>
                            <w:overflowPunct w:val="false"/>
                            <w:bidi w:val="0"/>
                            <w:spacing w:lineRule="exact" w:line="240"/>
                            <w:rPr/>
                          </w:pPr>
                          <w:r>
                            <w:rPr>
                              <w:kern w:val="2"/>
                              <w:sz w:val="15"/>
                              <w:szCs w:val="15"/>
                              <w:rFonts w:ascii="Arial" w:hAnsi="Arial" w:eastAsia="宋体;SimSun" w:cs="Arial"/>
                              <w:color w:val="auto"/>
                              <w:lang w:val="en-US" w:eastAsia="zh-CN" w:bidi="ar-SA"/>
                            </w:rPr>
                            <w:t>M1、S41：151万元/亩</w:t>
                          </w:r>
                        </w:p>
                      </w:txbxContent>
                    </v:textbox>
                    <w10:wrap type="square"/>
                    <v:fill o:detectmouseclick="t" type="solid" color2="black"/>
                    <v:stroke color="black" weight="9360" startarrow="oval" endarrow="oval" startarrowwidth="medium" startarrowlength="medium" endarrowwidth="medium" endarrowlength="medium" joinstyle="miter" endcap="square"/>
                  </v:shape>
                  <v:shape id="shape_0" fillcolor="white" stroked="t" style="position:absolute;left:63;top:5302;width:2193;height:1307"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房山区（4宗）</w:t>
                          </w:r>
                        </w:p>
                        <w:p>
                          <w:pPr>
                            <w:overflowPunct w:val="false"/>
                            <w:bidi w:val="0"/>
                            <w:spacing w:lineRule="exact" w:line="240"/>
                            <w:rPr/>
                          </w:pPr>
                          <w:r>
                            <w:rPr>
                              <w:kern w:val="2"/>
                              <w:sz w:val="15"/>
                              <w:szCs w:val="15"/>
                              <w:rFonts w:ascii="Arial" w:hAnsi="Arial" w:eastAsia="宋体;SimSun" w:cs="Arial"/>
                              <w:color w:val="auto"/>
                              <w:lang w:val="en-US" w:eastAsia="zh-CN" w:bidi="ar-SA"/>
                            </w:rPr>
                            <w:t>韩村河，M4：122.9万元/亩</w:t>
                          </w:r>
                        </w:p>
                        <w:p>
                          <w:pPr>
                            <w:overflowPunct w:val="false"/>
                            <w:bidi w:val="0"/>
                            <w:spacing w:lineRule="exact" w:line="240"/>
                            <w:rPr/>
                          </w:pPr>
                          <w:r>
                            <w:rPr>
                              <w:kern w:val="2"/>
                              <w:sz w:val="15"/>
                              <w:szCs w:val="15"/>
                              <w:rFonts w:ascii="Arial" w:hAnsi="Arial" w:eastAsia="宋体;SimSun" w:cs="Arial"/>
                              <w:color w:val="auto"/>
                              <w:lang w:val="en-US" w:eastAsia="zh-CN" w:bidi="ar-SA"/>
                            </w:rPr>
                            <w:t>燕房  ，M4：132.7万元/亩</w:t>
                          </w:r>
                        </w:p>
                        <w:p>
                          <w:pPr>
                            <w:overflowPunct w:val="false"/>
                            <w:bidi w:val="0"/>
                            <w:spacing w:lineRule="exact" w:line="240"/>
                            <w:rPr/>
                          </w:pPr>
                          <w:r>
                            <w:rPr>
                              <w:kern w:val="2"/>
                              <w:sz w:val="15"/>
                              <w:szCs w:val="15"/>
                              <w:rFonts w:ascii="Arial" w:hAnsi="Arial" w:eastAsia="宋体;SimSun" w:cs="Arial"/>
                              <w:color w:val="auto"/>
                              <w:lang w:val="en-US" w:eastAsia="zh-CN" w:bidi="ar-SA"/>
                            </w:rPr>
                            <w:t>窦店  ，M1：146.2万元/亩</w:t>
                          </w:r>
                        </w:p>
                        <w:p>
                          <w:pPr>
                            <w:overflowPunct w:val="false"/>
                            <w:bidi w:val="0"/>
                            <w:spacing w:lineRule="exact" w:line="240"/>
                            <w:rPr/>
                          </w:pPr>
                          <w:r>
                            <w:rPr>
                              <w:kern w:val="2"/>
                              <w:sz w:val="15"/>
                              <w:szCs w:val="15"/>
                              <w:rFonts w:ascii="Arial" w:hAnsi="Arial" w:eastAsia="宋体;SimSun" w:cs="Arial"/>
                              <w:color w:val="auto"/>
                              <w:lang w:val="en-US" w:eastAsia="zh-CN" w:bidi="ar-SA"/>
                            </w:rPr>
                            <w:t>琉璃河，W1：150.0万元/亩</w:t>
                          </w:r>
                        </w:p>
                      </w:txbxContent>
                    </v:textbox>
                    <w10:wrap type="square"/>
                    <v:fill o:detectmouseclick="t" type="solid" color2="black"/>
                    <v:stroke color="black" weight="9360" startarrow="oval" endarrow="oval" startarrowwidth="medium" startarrowlength="medium" endarrowwidth="medium" endarrowlength="medium" joinstyle="miter" endcap="square"/>
                  </v:shape>
                  <v:shape id="shape_0" fillcolor="white" stroked="t" style="position:absolute;left:6752;top:1848;width:2496;height:1594" type="shapetype_202">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平谷区（8宗）</w:t>
                          </w:r>
                        </w:p>
                        <w:p>
                          <w:pPr>
                            <w:overflowPunct w:val="false"/>
                            <w:bidi w:val="0"/>
                            <w:spacing w:lineRule="exact" w:line="240"/>
                            <w:rPr/>
                          </w:pPr>
                          <w:r>
                            <w:rPr>
                              <w:kern w:val="2"/>
                              <w:sz w:val="15"/>
                              <w:szCs w:val="15"/>
                              <w:rFonts w:ascii="Arial" w:hAnsi="Arial" w:eastAsia="宋体;SimSun" w:cs="Arial"/>
                              <w:color w:val="auto"/>
                              <w:lang w:val="en-US" w:eastAsia="zh-CN" w:bidi="ar-SA"/>
                            </w:rPr>
                            <w:t>京平公转铁综合物流枢纽产业园，W1（50年）：</w:t>
                          </w:r>
                        </w:p>
                        <w:p>
                          <w:pPr>
                            <w:overflowPunct w:val="false"/>
                            <w:bidi w:val="0"/>
                            <w:spacing w:lineRule="exact" w:line="240"/>
                            <w:rPr/>
                          </w:pPr>
                          <w:r>
                            <w:rPr>
                              <w:kern w:val="2"/>
                              <w:sz w:val="15"/>
                              <w:szCs w:val="15"/>
                              <w:rFonts w:ascii="Arial" w:hAnsi="Arial" w:eastAsia="宋体;SimSun" w:cs="Arial"/>
                              <w:color w:val="auto"/>
                              <w:lang w:val="en-US" w:eastAsia="zh-CN" w:bidi="ar-SA"/>
                            </w:rPr>
                            <w:t>容积率1.0-1.3，190- 232万元/亩</w:t>
                          </w:r>
                        </w:p>
                        <w:p>
                          <w:pPr>
                            <w:overflowPunct w:val="false"/>
                            <w:bidi w:val="0"/>
                            <w:spacing w:lineRule="exact" w:line="240"/>
                            <w:rPr/>
                          </w:pPr>
                          <w:r>
                            <w:rPr>
                              <w:kern w:val="2"/>
                              <w:sz w:val="15"/>
                              <w:szCs w:val="15"/>
                              <w:rFonts w:ascii="Arial" w:hAnsi="Arial" w:eastAsia="宋体;SimSun" w:cs="Arial"/>
                              <w:color w:val="auto"/>
                              <w:lang w:val="en-US" w:eastAsia="zh-CN" w:bidi="ar-SA"/>
                            </w:rPr>
                            <w:t>容积率1.8-2.5，278-330万元/亩</w:t>
                          </w:r>
                        </w:p>
                        <w:p>
                          <w:pPr>
                            <w:overflowPunct w:val="false"/>
                            <w:bidi w:val="0"/>
                            <w:spacing w:lineRule="exact" w:line="240"/>
                            <w:rPr/>
                          </w:pPr>
                          <w:r>
                            <w:rPr>
                              <w:kern w:val="2"/>
                              <w:sz w:val="15"/>
                              <w:szCs w:val="15"/>
                              <w:rFonts w:ascii="Arial" w:hAnsi="Arial" w:eastAsia="宋体;SimSun" w:cs="Arial"/>
                              <w:color w:val="auto"/>
                              <w:lang w:val="en-US" w:eastAsia="zh-CN" w:bidi="ar-SA"/>
                            </w:rPr>
                            <w:t>平谷新城，M1:91万元/亩</w:t>
                          </w:r>
                        </w:p>
                        <w:p>
                          <w:pPr>
                            <w:overflowPunct w:val="false"/>
                            <w:bidi w:val="0"/>
                            <w:spacing w:lineRule="atLeast" w:line="360"/>
                            <w:rPr/>
                          </w:pPr>
                          <w:r>
                            <w:rPr>
                              <w:kern w:val="2"/>
                              <w:szCs w:val="24"/>
                              <w:rFonts w:ascii="Liberation Serif" w:hAnsi="Liberation Serif" w:eastAsia="新宋体" w:cs="Lucida Sans"/>
                              <w:lang w:bidi="hi-IN"/>
                            </w:rPr>
                          </w:r>
                        </w:p>
                      </w:txbxContent>
                    </v:textbox>
                    <w10:wrap type="square"/>
                    <v:fill o:detectmouseclick="t" type="solid" color2="black"/>
                    <v:stroke color="black" weight="9360" joinstyle="miter" endcap="square"/>
                  </v:shape>
                  <v:shapetype id="shapetype_32" coordsize="21600,21600" o:spt="32" path="m,l21600,21600nfe">
                    <v:stroke joinstyle="miter"/>
                    <v:path gradientshapeok="t" o:connecttype="rect" textboxrect="0,0,21600,21600"/>
                  </v:shapetype>
                  <v:shape id="shape_0" stroked="t" style="position:absolute;left:6766;top:5142;width:0;height:0" type="shapetype_32">
                    <v:stroke color="black" weight="12600" startarrow="oval" endarrow="oval" startarrowwidth="medium" startarrowlength="medium" endarrowwidth="medium" endarrowlength="medium" joinstyle="miter" endcap="square"/>
                    <v:fill o:detectmouseclick="t" on="false"/>
                  </v:shape>
                  <v:shape id="shape_0" fillcolor="white" stroked="t" style="position:absolute;left:6760;top:6983;width:2461;height:885"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通州区（2宗）</w:t>
                          </w:r>
                        </w:p>
                        <w:p>
                          <w:pPr>
                            <w:overflowPunct w:val="false"/>
                            <w:bidi w:val="0"/>
                            <w:spacing w:lineRule="exact" w:line="240"/>
                            <w:rPr/>
                          </w:pPr>
                          <w:r>
                            <w:rPr>
                              <w:kern w:val="2"/>
                              <w:sz w:val="15"/>
                              <w:szCs w:val="15"/>
                              <w:rFonts w:ascii="Arial" w:hAnsi="Arial" w:eastAsia="宋体;SimSun" w:cs="Arial"/>
                              <w:color w:val="auto"/>
                              <w:lang w:val="en-US" w:eastAsia="zh-CN" w:bidi="ar-SA"/>
                            </w:rPr>
                            <w:t>北京城市副中心:</w:t>
                          </w:r>
                        </w:p>
                        <w:p>
                          <w:pPr>
                            <w:overflowPunct w:val="false"/>
                            <w:bidi w:val="0"/>
                            <w:spacing w:lineRule="exact" w:line="240"/>
                            <w:rPr/>
                          </w:pPr>
                          <w:r>
                            <w:rPr>
                              <w:kern w:val="2"/>
                              <w:sz w:val="15"/>
                              <w:szCs w:val="15"/>
                              <w:rFonts w:ascii="Arial" w:hAnsi="Arial" w:eastAsia="宋体;SimSun" w:cs="Arial"/>
                              <w:color w:val="auto"/>
                              <w:lang w:val="en-US" w:eastAsia="zh-CN" w:bidi="ar-SA"/>
                            </w:rPr>
                            <w:t>M4：239.8万元/亩</w:t>
                          </w:r>
                        </w:p>
                      </w:txbxContent>
                    </v:textbox>
                    <w10:wrap type="square"/>
                    <v:fill o:detectmouseclick="t" type="solid" color2="black"/>
                    <v:stroke color="black" weight="9360" startarrow="oval" endarrow="oval" startarrowwidth="medium" startarrowlength="medium" endarrowwidth="medium" endarrowlength="medium" joinstyle="miter" endcap="square"/>
                  </v:shape>
                </v:group>
              </v:group>
            </w:pict>
          </mc:Fallback>
        </mc:AlternateContent>
      </w:r>
    </w:p>
    <w:p>
      <w:pPr>
        <w:pStyle w:val="Normal"/>
        <w:widowControl/>
        <w:spacing w:lineRule="exact" w:line="240"/>
        <w:ind w:firstLine="480"/>
        <w:jc w:val="both"/>
        <w:textAlignment w:val="auto"/>
        <w:rPr>
          <w:lang w:val="zh-CN" w:eastAsia="zh-CN"/>
        </w:rPr>
      </w:pPr>
      <w:r>
        <w:rPr>
          <w:lang w:val="zh-CN" w:eastAsia="zh-CN"/>
        </w:rPr>
      </w:r>
    </w:p>
    <w:p>
      <w:pPr>
        <w:pStyle w:val="Normal"/>
        <w:widowControl/>
        <w:spacing w:lineRule="auto" w:line="360"/>
        <w:jc w:val="both"/>
        <w:rPr>
          <w:rFonts w:ascii="Arial" w:hAnsi="Arial" w:eastAsia="仿宋_GB2312;仿宋" w:cs="Arial"/>
          <w:bCs/>
          <w:color w:val="000000"/>
          <w:sz w:val="28"/>
          <w:szCs w:val="28"/>
        </w:rPr>
      </w:pPr>
      <w:r>
        <w:rPr>
          <w:lang w:val="zh-CN" w:eastAsia="zh-CN"/>
        </w:rPr>
        <w:drawing>
          <wp:inline distT="0" distB="0" distL="0" distR="0">
            <wp:extent cx="5901690" cy="5772150"/>
            <wp:effectExtent l="0" t="0" r="0" b="0"/>
            <wp:docPr id="18" name="图像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像4" descr=""/>
                    <pic:cNvPicPr>
                      <a:picLocks noChangeAspect="1" noChangeArrowheads="1"/>
                    </pic:cNvPicPr>
                  </pic:nvPicPr>
                  <pic:blipFill>
                    <a:blip r:embed="rId27"/>
                    <a:srcRect l="-7" t="-7" r="-7" b="-7"/>
                    <a:stretch>
                      <a:fillRect/>
                    </a:stretch>
                  </pic:blipFill>
                  <pic:spPr bwMode="auto">
                    <a:xfrm>
                      <a:off x="0" y="0"/>
                      <a:ext cx="5901690" cy="5772150"/>
                    </a:xfrm>
                    <a:prstGeom prst="rect">
                      <a:avLst/>
                    </a:prstGeom>
                  </pic:spPr>
                </pic:pic>
              </a:graphicData>
            </a:graphic>
          </wp:inline>
        </w:drawing>
        <mc:AlternateContent>
          <mc:Choice Requires="wpg">
            <w:drawing>
              <wp:anchor behindDoc="0" distT="0" distB="0" distL="114935" distR="114935" simplePos="0" locked="0" layoutInCell="1" allowOverlap="1" relativeHeight="85">
                <wp:simplePos x="0" y="0"/>
                <wp:positionH relativeFrom="column">
                  <wp:posOffset>23495</wp:posOffset>
                </wp:positionH>
                <wp:positionV relativeFrom="paragraph">
                  <wp:posOffset>142240</wp:posOffset>
                </wp:positionV>
                <wp:extent cx="5353050" cy="5353685"/>
                <wp:effectExtent l="0" t="0" r="0" b="0"/>
                <wp:wrapNone/>
                <wp:docPr id="17" name=""/>
                <a:graphic xmlns:a="http://schemas.openxmlformats.org/drawingml/2006/main">
                  <a:graphicData uri="http://schemas.microsoft.com/office/word/2010/wordprocessingGroup">
                    <wpg:wgp>
                      <wpg:cNvGrpSpPr/>
                      <wpg:grpSpPr>
                        <a:xfrm>
                          <a:off x="0" y="0"/>
                          <a:ext cx="5352480" cy="5353200"/>
                        </a:xfrm>
                      </wpg:grpSpPr>
                      <wps:wsp>
                        <wps:cNvSpPr txBox="1"/>
                        <wps:spPr>
                          <a:xfrm>
                            <a:off x="0" y="2192760"/>
                            <a:ext cx="1322640" cy="510480"/>
                          </a:xfrm>
                          <a:prstGeom prst="rect">
                            <a:avLst/>
                          </a:prstGeom>
                          <a:solidFill>
                            <a:srgbClr val="ffffff">
                              <a:alpha val="85000"/>
                            </a:srgbClr>
                          </a:solidFill>
                          <a:ln w="12600">
                            <a:solidFill>
                              <a:srgbClr val="000000"/>
                            </a:solidFill>
                            <a:miter/>
                          </a:ln>
                        </wps:spPr>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瀛海地区（共1宗）</w:t>
                              </w:r>
                            </w:p>
                            <w:p>
                              <w:pPr>
                                <w:overflowPunct w:val="false"/>
                                <w:bidi w:val="0"/>
                                <w:spacing w:lineRule="exact" w:line="240"/>
                                <w:rPr/>
                              </w:pPr>
                              <w:r>
                                <w:rPr>
                                  <w:kern w:val="2"/>
                                  <w:sz w:val="15"/>
                                  <w:szCs w:val="15"/>
                                  <w:rFonts w:ascii="Arial" w:hAnsi="Arial" w:eastAsia="宋体;SimSun" w:cs="Arial"/>
                                  <w:color w:val="auto"/>
                                  <w:lang w:val="en-US" w:eastAsia="zh-CN" w:bidi="ar-SA"/>
                                </w:rPr>
                                <w:t>M1：86.9万元/亩</w:t>
                              </w:r>
                            </w:p>
                          </w:txbxContent>
                        </wps:txbx>
                        <wps:bodyPr wrap="square" lIns="36360" rIns="36360" tIns="36360" bIns="36360">
                          <a:noAutofit/>
                        </wps:bodyPr>
                      </wps:wsp>
                      <wps:wsp>
                        <wps:cNvSpPr/>
                        <wps:spPr>
                          <a:xfrm>
                            <a:off x="4098240" y="2480400"/>
                            <a:ext cx="1254240" cy="510480"/>
                          </a:xfrm>
                          <a:prstGeom prst="borderCallout2">
                            <a:avLst>
                              <a:gd name="adj1" fmla="val 18750"/>
                              <a:gd name="adj2" fmla="val -8333"/>
                              <a:gd name="adj3" fmla="val 22388"/>
                              <a:gd name="adj4" fmla="val -54833"/>
                              <a:gd name="adj5" fmla="val -118157"/>
                              <a:gd name="adj6" fmla="val -104402"/>
                            </a:avLst>
                          </a:prstGeom>
                          <a:solidFill>
                            <a:srgbClr val="ffffff"/>
                          </a:solidFill>
                          <a:ln w="1260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马驹桥地区（共6宗）</w:t>
                              </w:r>
                            </w:p>
                            <w:p>
                              <w:pPr>
                                <w:overflowPunct w:val="false"/>
                                <w:bidi w:val="0"/>
                                <w:spacing w:lineRule="exact" w:line="240"/>
                                <w:rPr/>
                              </w:pPr>
                              <w:r>
                                <w:rPr>
                                  <w:kern w:val="2"/>
                                  <w:sz w:val="15"/>
                                  <w:szCs w:val="15"/>
                                  <w:rFonts w:ascii="Arial" w:hAnsi="Arial" w:eastAsia="宋体;SimSun" w:cs="Arial"/>
                                  <w:color w:val="auto"/>
                                  <w:lang w:val="en-US" w:eastAsia="zh-CN" w:bidi="ar-SA"/>
                                </w:rPr>
                                <w:t>M1：57-77万元/亩</w:t>
                              </w:r>
                            </w:p>
                          </w:txbxContent>
                        </wps:txbx>
                        <wps:bodyPr lIns="36360" rIns="36360" tIns="36360" bIns="36360">
                          <a:noAutofit/>
                        </wps:bodyPr>
                      </wps:wsp>
                      <wps:wsp>
                        <wps:cNvSpPr/>
                        <wps:spPr>
                          <a:xfrm>
                            <a:off x="5760" y="3429000"/>
                            <a:ext cx="1322640" cy="510480"/>
                          </a:xfrm>
                          <a:prstGeom prst="borderCallout2">
                            <a:avLst>
                              <a:gd name="adj1" fmla="val 18750"/>
                              <a:gd name="adj2" fmla="val -8333"/>
                              <a:gd name="adj3" fmla="val 22388"/>
                              <a:gd name="adj4" fmla="val 123425"/>
                              <a:gd name="adj5" fmla="val -179601"/>
                              <a:gd name="adj6" fmla="val 157226"/>
                            </a:avLst>
                          </a:prstGeom>
                          <a:solidFill>
                            <a:srgbClr val="ffffff"/>
                          </a:solidFill>
                          <a:ln w="1260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路南区（共3宗）</w:t>
                              </w:r>
                            </w:p>
                            <w:p>
                              <w:pPr>
                                <w:overflowPunct w:val="false"/>
                                <w:bidi w:val="0"/>
                                <w:spacing w:lineRule="exact" w:line="240"/>
                                <w:rPr/>
                              </w:pPr>
                              <w:r>
                                <w:rPr>
                                  <w:kern w:val="2"/>
                                  <w:sz w:val="15"/>
                                  <w:szCs w:val="15"/>
                                  <w:rFonts w:ascii="Arial" w:hAnsi="Arial" w:eastAsia="宋体;SimSun" w:cs="Arial"/>
                                  <w:color w:val="auto"/>
                                  <w:lang w:val="en-US" w:eastAsia="zh-CN" w:bidi="ar-SA"/>
                                </w:rPr>
                                <w:t>M1：78-98万元/亩</w:t>
                              </w:r>
                            </w:p>
                          </w:txbxContent>
                        </wps:txbx>
                        <wps:bodyPr lIns="36360" rIns="36360" tIns="36360" bIns="36360">
                          <a:noAutofit/>
                        </wps:bodyPr>
                      </wps:wsp>
                      <wps:wsp>
                        <wps:cNvSpPr/>
                        <wps:spPr>
                          <a:xfrm>
                            <a:off x="4098240" y="1327320"/>
                            <a:ext cx="1254240" cy="510480"/>
                          </a:xfrm>
                          <a:prstGeom prst="borderCallout2">
                            <a:avLst>
                              <a:gd name="adj1" fmla="val 18750"/>
                              <a:gd name="adj2" fmla="val -8333"/>
                              <a:gd name="adj3" fmla="val 22388"/>
                              <a:gd name="adj4" fmla="val -46226"/>
                              <a:gd name="adj5" fmla="val -47759"/>
                              <a:gd name="adj6" fmla="val -86986"/>
                            </a:avLst>
                          </a:prstGeom>
                          <a:solidFill>
                            <a:srgbClr val="ffffff">
                              <a:alpha val="85000"/>
                            </a:srgbClr>
                          </a:solidFill>
                          <a:ln w="1260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路东区（共2宗）</w:t>
                              </w:r>
                            </w:p>
                            <w:p>
                              <w:pPr>
                                <w:overflowPunct w:val="false"/>
                                <w:bidi w:val="0"/>
                                <w:spacing w:lineRule="exact" w:line="240"/>
                                <w:rPr/>
                              </w:pPr>
                              <w:r>
                                <w:rPr>
                                  <w:kern w:val="2"/>
                                  <w:sz w:val="15"/>
                                  <w:szCs w:val="15"/>
                                  <w:rFonts w:ascii="Arial" w:hAnsi="Arial" w:eastAsia="宋体;SimSun" w:cs="Arial"/>
                                  <w:color w:val="auto"/>
                                  <w:lang w:val="en-US" w:eastAsia="zh-CN" w:bidi="ar-SA"/>
                                </w:rPr>
                                <w:t>M1：48-93万元/亩</w:t>
                              </w:r>
                            </w:p>
                          </w:txbxContent>
                        </wps:txbx>
                        <wps:bodyPr lIns="36360" rIns="36360" tIns="36360" bIns="36360">
                          <a:noAutofit/>
                        </wps:bodyPr>
                      </wps:wsp>
                      <wps:wsp>
                        <wps:cNvSpPr/>
                        <wps:spPr>
                          <a:xfrm>
                            <a:off x="10080" y="0"/>
                            <a:ext cx="1322640" cy="605880"/>
                          </a:xfrm>
                          <a:prstGeom prst="borderCallout2">
                            <a:avLst>
                              <a:gd name="adj1" fmla="val 18750"/>
                              <a:gd name="adj2" fmla="val -8333"/>
                              <a:gd name="adj3" fmla="val 18865"/>
                              <a:gd name="adj4" fmla="val 120833"/>
                              <a:gd name="adj5" fmla="val 275578"/>
                              <a:gd name="adj6" fmla="val 142680"/>
                            </a:avLst>
                          </a:prstGeom>
                          <a:solidFill>
                            <a:srgbClr val="ffffff">
                              <a:alpha val="85000"/>
                            </a:srgbClr>
                          </a:solidFill>
                          <a:ln w="1260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河西区（共2宗）</w:t>
                              </w:r>
                            </w:p>
                            <w:p>
                              <w:pPr>
                                <w:overflowPunct w:val="false"/>
                                <w:bidi w:val="0"/>
                                <w:spacing w:lineRule="exact" w:line="240"/>
                                <w:rPr/>
                              </w:pPr>
                              <w:r>
                                <w:rPr>
                                  <w:kern w:val="2"/>
                                  <w:sz w:val="15"/>
                                  <w:szCs w:val="15"/>
                                  <w:rFonts w:ascii="Arial" w:hAnsi="Arial" w:eastAsia="宋体;SimSun" w:cs="Arial"/>
                                  <w:color w:val="auto"/>
                                  <w:lang w:val="en-US" w:eastAsia="zh-CN" w:bidi="ar-SA"/>
                                </w:rPr>
                                <w:t>M1：96.8万元/亩</w:t>
                              </w:r>
                            </w:p>
                            <w:p>
                              <w:pPr>
                                <w:overflowPunct w:val="false"/>
                                <w:bidi w:val="0"/>
                                <w:spacing w:lineRule="exact" w:line="240"/>
                                <w:rPr/>
                              </w:pPr>
                              <w:r>
                                <w:rPr>
                                  <w:kern w:val="2"/>
                                  <w:sz w:val="15"/>
                                  <w:szCs w:val="15"/>
                                  <w:rFonts w:ascii="Arial" w:hAnsi="Arial" w:eastAsia="宋体;SimSun" w:cs="Arial"/>
                                  <w:color w:val="auto"/>
                                  <w:lang w:val="en-US" w:eastAsia="zh-CN" w:bidi="ar-SA"/>
                                </w:rPr>
                                <w:t>M1/M4混合：276.7万元/亩</w:t>
                              </w:r>
                            </w:p>
                          </w:txbxContent>
                        </wps:txbx>
                        <wps:bodyPr lIns="36360" rIns="36360" tIns="36360" bIns="36360">
                          <a:noAutofit/>
                        </wps:bodyPr>
                      </wps:wsp>
                      <wps:wsp>
                        <wps:cNvSpPr/>
                        <wps:spPr>
                          <a:xfrm>
                            <a:off x="4072320" y="161280"/>
                            <a:ext cx="1254240" cy="552960"/>
                          </a:xfrm>
                          <a:prstGeom prst="borderCallout2">
                            <a:avLst>
                              <a:gd name="adj1" fmla="val 18750"/>
                              <a:gd name="adj2" fmla="val -8333"/>
                              <a:gd name="adj3" fmla="val 20666"/>
                              <a:gd name="adj4" fmla="val -90935"/>
                              <a:gd name="adj5" fmla="val 128819"/>
                              <a:gd name="adj6" fmla="val -165166"/>
                            </a:avLst>
                          </a:prstGeom>
                          <a:solidFill>
                            <a:srgbClr val="ffffff">
                              <a:alpha val="85000"/>
                            </a:srgbClr>
                          </a:solidFill>
                          <a:ln w="1260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核心区（共4宗）</w:t>
                              </w:r>
                            </w:p>
                            <w:p>
                              <w:pPr>
                                <w:overflowPunct w:val="false"/>
                                <w:bidi w:val="0"/>
                                <w:spacing w:lineRule="exact" w:line="240"/>
                                <w:rPr/>
                              </w:pPr>
                              <w:r>
                                <w:rPr>
                                  <w:kern w:val="2"/>
                                  <w:sz w:val="15"/>
                                  <w:szCs w:val="15"/>
                                  <w:rFonts w:ascii="Arial" w:hAnsi="Arial" w:eastAsia="宋体;SimSun" w:cs="Arial"/>
                                  <w:color w:val="auto"/>
                                  <w:lang w:val="en-US" w:eastAsia="zh-CN" w:bidi="ar-SA"/>
                                </w:rPr>
                                <w:t>M1：67-176万元/亩</w:t>
                              </w:r>
                            </w:p>
                            <w:p>
                              <w:pPr>
                                <w:overflowPunct w:val="false"/>
                                <w:bidi w:val="0"/>
                                <w:spacing w:lineRule="exact" w:line="240"/>
                                <w:rPr/>
                              </w:pPr>
                              <w:r>
                                <w:rPr>
                                  <w:kern w:val="2"/>
                                  <w:sz w:val="15"/>
                                  <w:szCs w:val="15"/>
                                  <w:rFonts w:ascii="Arial" w:hAnsi="Arial" w:eastAsia="宋体;SimSun" w:cs="Arial"/>
                                  <w:color w:val="auto"/>
                                  <w:lang w:val="en-US" w:eastAsia="zh-CN" w:bidi="ar-SA"/>
                                </w:rPr>
                                <w:t>M4:495.4万元/亩</w:t>
                              </w:r>
                            </w:p>
                          </w:txbxContent>
                        </wps:txbx>
                        <wps:bodyPr lIns="36360" rIns="36360" tIns="36360" bIns="36360">
                          <a:noAutofit/>
                        </wps:bodyPr>
                      </wps:wsp>
                      <wps:cxnSp>
                        <wps:nvCxnSpPr>
                          <wps:cNvPr id="1" name="Line 1"/>
                          <wps:cNvCxnSpPr/>
                          <wps:nvPr/>
                        </wps:nvCxnSpPr>
                        <wps:spPr>
                          <a:xfrm flipH="1">
                            <a:off x="934200" y="1986840"/>
                            <a:ext cx="127080" cy="297720"/>
                          </a:xfrm>
                          <a:prstGeom prst="straightConnector1">
                            <a:avLst/>
                          </a:prstGeom>
                          <a:ln w="9360">
                            <a:solidFill>
                              <a:srgbClr val="000000"/>
                            </a:solidFill>
                            <a:miter/>
                            <a:headEnd len="med" type="oval" w="med"/>
                            <a:tailEnd len="med" type="oval" w="med"/>
                          </a:ln>
                        </wps:spPr>
                        <wps:bodyPr/>
                      </wps:cxnSp>
                      <wps:wsp>
                        <wps:cNvSpPr txBox="1"/>
                        <wps:spPr>
                          <a:xfrm>
                            <a:off x="267840" y="5095800"/>
                            <a:ext cx="2014200" cy="257040"/>
                          </a:xfrm>
                          <a:prstGeom prst="rect">
                            <a:avLst/>
                          </a:prstGeom>
                          <a:solidFill>
                            <a:srgbClr val="ffffff"/>
                          </a:solidFill>
                          <a:ln>
                            <a:noFill/>
                          </a:ln>
                        </wps:spPr>
                        <wps:txbx>
                          <w:txbxContent>
                            <w:p>
                              <w:pPr>
                                <w:overflowPunct w:val="false"/>
                                <w:bidi w:val="0"/>
                                <w:spacing w:lineRule="exact" w:line="240"/>
                                <w:jc w:val="center"/>
                                <w:rPr/>
                              </w:pPr>
                              <w:r>
                                <w:rPr>
                                  <w:kern w:val="2"/>
                                  <w:sz w:val="21"/>
                                  <w:szCs w:val="21"/>
                                  <w:b/>
                                  <w:rFonts w:ascii="Arial" w:hAnsi="Arial" w:eastAsia="宋体;SimSun" w:cs="Arial"/>
                                  <w:color w:val="auto"/>
                                  <w:lang w:val="en-US" w:eastAsia="zh-CN" w:bidi="ar-SA"/>
                                </w:rPr>
                                <w:t>亦庄地区工业用地成交分布图</w:t>
                              </w:r>
                            </w:p>
                          </w:txbxContent>
                        </wps:txbx>
                        <wps:bodyPr wrap="square" lIns="36360" rIns="36360" tIns="36360" bIns="36360">
                          <a:noAutofit/>
                        </wps:bodyPr>
                      </wps:wsp>
                    </wpg:wgp>
                  </a:graphicData>
                </a:graphic>
              </wp:anchor>
            </w:drawing>
          </mc:Choice>
          <mc:Fallback>
            <w:pict>
              <v:group id="shape_0" style="position:absolute;margin-left:1.85pt;margin-top:11.2pt;width:421.45pt;height:421.5pt" coordorigin="37,224" coordsize="8429,8430">
                <v:shape id="shape_0" fillcolor="white" stroked="t" style="position:absolute;left:37;top:3677;width:2082;height:803" type="shapetype_202">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瀛海地区（共1宗）</w:t>
                        </w:r>
                      </w:p>
                      <w:p>
                        <w:pPr>
                          <w:overflowPunct w:val="false"/>
                          <w:bidi w:val="0"/>
                          <w:spacing w:lineRule="exact" w:line="240"/>
                          <w:rPr/>
                        </w:pPr>
                        <w:r>
                          <w:rPr>
                            <w:kern w:val="2"/>
                            <w:sz w:val="15"/>
                            <w:szCs w:val="15"/>
                            <w:rFonts w:ascii="Arial" w:hAnsi="Arial" w:eastAsia="宋体;SimSun" w:cs="Arial"/>
                            <w:color w:val="auto"/>
                            <w:lang w:val="en-US" w:eastAsia="zh-CN" w:bidi="ar-SA"/>
                          </w:rPr>
                          <w:t>M1：86.9万元/亩</w:t>
                        </w:r>
                      </w:p>
                    </w:txbxContent>
                  </v:textbox>
                  <w10:wrap type="square"/>
                  <v:fill o:detectmouseclick="t" type="solid" color2="black" opacity="0.84"/>
                  <v:stroke color="black" weight="12600" joinstyle="miter" endcap="square"/>
                </v:shape>
                <v:shape id="shape_0" fillcolor="white" stroked="t" style="position:absolute;left:6491;top:4130;width:1974;height:803"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马驹桥地区（共6宗）</w:t>
                        </w:r>
                      </w:p>
                      <w:p>
                        <w:pPr>
                          <w:overflowPunct w:val="false"/>
                          <w:bidi w:val="0"/>
                          <w:spacing w:lineRule="exact" w:line="240"/>
                          <w:rPr/>
                        </w:pPr>
                        <w:r>
                          <w:rPr>
                            <w:kern w:val="2"/>
                            <w:sz w:val="15"/>
                            <w:szCs w:val="15"/>
                            <w:rFonts w:ascii="Arial" w:hAnsi="Arial" w:eastAsia="宋体;SimSun" w:cs="Arial"/>
                            <w:color w:val="auto"/>
                            <w:lang w:val="en-US" w:eastAsia="zh-CN" w:bidi="ar-SA"/>
                          </w:rPr>
                          <w:t>M1：57-77万元/亩</w:t>
                        </w:r>
                      </w:p>
                    </w:txbxContent>
                  </v:textbox>
                  <w10:wrap type="square"/>
                  <v:fill o:detectmouseclick="t" type="solid" color2="black"/>
                  <v:stroke color="black" weight="12600" startarrow="oval" endarrow="oval" startarrowwidth="medium" startarrowlength="medium" endarrowwidth="medium" endarrowlength="medium" joinstyle="miter" endcap="square"/>
                </v:shape>
                <v:shape id="shape_0" fillcolor="white" stroked="t" style="position:absolute;left:46;top:5624;width:2082;height:803"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路南区（共3宗）</w:t>
                        </w:r>
                      </w:p>
                      <w:p>
                        <w:pPr>
                          <w:overflowPunct w:val="false"/>
                          <w:bidi w:val="0"/>
                          <w:spacing w:lineRule="exact" w:line="240"/>
                          <w:rPr/>
                        </w:pPr>
                        <w:r>
                          <w:rPr>
                            <w:kern w:val="2"/>
                            <w:sz w:val="15"/>
                            <w:szCs w:val="15"/>
                            <w:rFonts w:ascii="Arial" w:hAnsi="Arial" w:eastAsia="宋体;SimSun" w:cs="Arial"/>
                            <w:color w:val="auto"/>
                            <w:lang w:val="en-US" w:eastAsia="zh-CN" w:bidi="ar-SA"/>
                          </w:rPr>
                          <w:t>M1：78-98万元/亩</w:t>
                        </w:r>
                      </w:p>
                    </w:txbxContent>
                  </v:textbox>
                  <w10:wrap type="square"/>
                  <v:fill o:detectmouseclick="t" type="solid" color2="black"/>
                  <v:stroke color="black" weight="12600" startarrow="oval" endarrow="oval" startarrowwidth="medium" startarrowlength="medium" endarrowwidth="medium" endarrowlength="medium" joinstyle="miter" endcap="square"/>
                </v:shape>
                <v:shape id="shape_0" fillcolor="white" stroked="t" style="position:absolute;left:6491;top:2314;width:1974;height:803"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路东区（共2宗）</w:t>
                        </w:r>
                      </w:p>
                      <w:p>
                        <w:pPr>
                          <w:overflowPunct w:val="false"/>
                          <w:bidi w:val="0"/>
                          <w:spacing w:lineRule="exact" w:line="240"/>
                          <w:rPr/>
                        </w:pPr>
                        <w:r>
                          <w:rPr>
                            <w:kern w:val="2"/>
                            <w:sz w:val="15"/>
                            <w:szCs w:val="15"/>
                            <w:rFonts w:ascii="Arial" w:hAnsi="Arial" w:eastAsia="宋体;SimSun" w:cs="Arial"/>
                            <w:color w:val="auto"/>
                            <w:lang w:val="en-US" w:eastAsia="zh-CN" w:bidi="ar-SA"/>
                          </w:rPr>
                          <w:t>M1：48-93万元/亩</w:t>
                        </w:r>
                      </w:p>
                    </w:txbxContent>
                  </v:textbox>
                  <w10:wrap type="square"/>
                  <v:fill o:detectmouseclick="t" type="solid" color2="black" opacity="0.84"/>
                  <v:stroke color="black" weight="12600" startarrow="oval" endarrow="oval" startarrowwidth="medium" startarrowlength="medium" endarrowwidth="medium" endarrowlength="medium" joinstyle="miter" endcap="square"/>
                </v:shape>
                <v:shape id="shape_0" fillcolor="white" stroked="t" style="position:absolute;left:53;top:224;width:2082;height:953"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河西区（共2宗）</w:t>
                        </w:r>
                      </w:p>
                      <w:p>
                        <w:pPr>
                          <w:overflowPunct w:val="false"/>
                          <w:bidi w:val="0"/>
                          <w:spacing w:lineRule="exact" w:line="240"/>
                          <w:rPr/>
                        </w:pPr>
                        <w:r>
                          <w:rPr>
                            <w:kern w:val="2"/>
                            <w:sz w:val="15"/>
                            <w:szCs w:val="15"/>
                            <w:rFonts w:ascii="Arial" w:hAnsi="Arial" w:eastAsia="宋体;SimSun" w:cs="Arial"/>
                            <w:color w:val="auto"/>
                            <w:lang w:val="en-US" w:eastAsia="zh-CN" w:bidi="ar-SA"/>
                          </w:rPr>
                          <w:t>M1：96.8万元/亩</w:t>
                        </w:r>
                      </w:p>
                      <w:p>
                        <w:pPr>
                          <w:overflowPunct w:val="false"/>
                          <w:bidi w:val="0"/>
                          <w:spacing w:lineRule="exact" w:line="240"/>
                          <w:rPr/>
                        </w:pPr>
                        <w:r>
                          <w:rPr>
                            <w:kern w:val="2"/>
                            <w:sz w:val="15"/>
                            <w:szCs w:val="15"/>
                            <w:rFonts w:ascii="Arial" w:hAnsi="Arial" w:eastAsia="宋体;SimSun" w:cs="Arial"/>
                            <w:color w:val="auto"/>
                            <w:lang w:val="en-US" w:eastAsia="zh-CN" w:bidi="ar-SA"/>
                          </w:rPr>
                          <w:t>M1/M4混合：276.7万元/亩</w:t>
                        </w:r>
                      </w:p>
                    </w:txbxContent>
                  </v:textbox>
                  <w10:wrap type="square"/>
                  <v:fill o:detectmouseclick="t" type="solid" color2="black" opacity="0.84"/>
                  <v:stroke color="black" weight="12600" startarrow="oval" endarrow="oval" startarrowwidth="medium" startarrowlength="medium" endarrowwidth="medium" endarrowlength="medium" joinstyle="miter" endcap="square"/>
                </v:shape>
                <v:shape id="shape_0" fillcolor="white" stroked="t" style="position:absolute;left:6450;top:478;width:1974;height:870"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核心区（共4宗）</w:t>
                        </w:r>
                      </w:p>
                      <w:p>
                        <w:pPr>
                          <w:overflowPunct w:val="false"/>
                          <w:bidi w:val="0"/>
                          <w:spacing w:lineRule="exact" w:line="240"/>
                          <w:rPr/>
                        </w:pPr>
                        <w:r>
                          <w:rPr>
                            <w:kern w:val="2"/>
                            <w:sz w:val="15"/>
                            <w:szCs w:val="15"/>
                            <w:rFonts w:ascii="Arial" w:hAnsi="Arial" w:eastAsia="宋体;SimSun" w:cs="Arial"/>
                            <w:color w:val="auto"/>
                            <w:lang w:val="en-US" w:eastAsia="zh-CN" w:bidi="ar-SA"/>
                          </w:rPr>
                          <w:t>M1：67-176万元/亩</w:t>
                        </w:r>
                      </w:p>
                      <w:p>
                        <w:pPr>
                          <w:overflowPunct w:val="false"/>
                          <w:bidi w:val="0"/>
                          <w:spacing w:lineRule="exact" w:line="240"/>
                          <w:rPr/>
                        </w:pPr>
                        <w:r>
                          <w:rPr>
                            <w:kern w:val="2"/>
                            <w:sz w:val="15"/>
                            <w:szCs w:val="15"/>
                            <w:rFonts w:ascii="Arial" w:hAnsi="Arial" w:eastAsia="宋体;SimSun" w:cs="Arial"/>
                            <w:color w:val="auto"/>
                            <w:lang w:val="en-US" w:eastAsia="zh-CN" w:bidi="ar-SA"/>
                          </w:rPr>
                          <w:t>M4:495.4万元/亩</w:t>
                        </w:r>
                      </w:p>
                    </w:txbxContent>
                  </v:textbox>
                  <w10:wrap type="square"/>
                  <v:fill o:detectmouseclick="t" type="solid" color2="black" opacity="0.84"/>
                  <v:stroke color="black" weight="12600" startarrow="oval" endarrow="oval" startarrowwidth="medium" startarrowlength="medium" endarrowwidth="medium" endarrowlength="medium" joinstyle="miter" endcap="square"/>
                </v:shape>
                <v:shape id="shape_0" stroked="t" style="position:absolute;left:1471;top:3129;width:198;height:468;flip:x" type="shapetype_32">
                  <v:stroke color="black" weight="9360" startarrow="oval" endarrow="oval" startarrowwidth="medium" startarrowlength="medium" endarrowwidth="medium" endarrowlength="medium" joinstyle="miter" endcap="square"/>
                  <v:fill o:detectmouseclick="t" on="false"/>
                </v:shape>
                <v:shape id="shape_0" fillcolor="white" stroked="f" style="position:absolute;left:459;top:8249;width:3171;height:404" type="shapetype_202">
                  <v:textbox>
                    <w:txbxContent>
                      <w:p>
                        <w:pPr>
                          <w:overflowPunct w:val="false"/>
                          <w:bidi w:val="0"/>
                          <w:spacing w:lineRule="exact" w:line="240"/>
                          <w:jc w:val="center"/>
                          <w:rPr/>
                        </w:pPr>
                        <w:r>
                          <w:rPr>
                            <w:kern w:val="2"/>
                            <w:sz w:val="21"/>
                            <w:szCs w:val="21"/>
                            <w:b/>
                            <w:rFonts w:ascii="Arial" w:hAnsi="Arial" w:eastAsia="宋体;SimSun" w:cs="Arial"/>
                            <w:color w:val="auto"/>
                            <w:lang w:val="en-US" w:eastAsia="zh-CN" w:bidi="ar-SA"/>
                          </w:rPr>
                          <w:t>亦庄地区工业用地成交分布图</w:t>
                        </w:r>
                      </w:p>
                    </w:txbxContent>
                  </v:textbox>
                  <w10:wrap type="square"/>
                  <v:fill o:detectmouseclick="t" type="solid" color2="black"/>
                  <v:stroke color="#3465a4" joinstyle="round" endcap="flat"/>
                </v:shape>
              </v:group>
            </w:pict>
          </mc:Fallback>
        </mc:AlternateConten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r>
    </w:p>
    <w:p>
      <w:pPr>
        <w:pStyle w:val="Normal"/>
        <w:widowControl/>
        <w:spacing w:lineRule="auto" w:line="360"/>
        <w:ind w:firstLine="560"/>
        <w:jc w:val="both"/>
        <w:rPr/>
      </w:pPr>
      <w:r>
        <w:rPr>
          <w:rFonts w:ascii="Arial" w:hAnsi="Arial" w:cs="Arial" w:eastAsia="仿宋_GB2312;仿宋"/>
          <w:bCs/>
          <w:color w:val="000000"/>
          <w:sz w:val="28"/>
          <w:szCs w:val="28"/>
        </w:rPr>
        <w:t>（</w:t>
      </w:r>
      <w:r>
        <w:rPr>
          <w:rFonts w:eastAsia="仿宋_GB2312;仿宋" w:cs="Arial" w:ascii="Arial" w:hAnsi="Arial"/>
          <w:bCs/>
          <w:color w:val="000000"/>
          <w:sz w:val="28"/>
          <w:szCs w:val="28"/>
        </w:rPr>
        <w:t>4</w:t>
      </w:r>
      <w:r>
        <w:rPr>
          <w:rFonts w:ascii="Arial" w:hAnsi="Arial" w:cs="Arial" w:eastAsia="仿宋_GB2312;仿宋"/>
          <w:bCs/>
          <w:color w:val="000000"/>
          <w:sz w:val="28"/>
          <w:szCs w:val="28"/>
        </w:rPr>
        <w:t>）地价监测</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2023</w:t>
      </w:r>
      <w:r>
        <w:rPr>
          <w:rFonts w:ascii="Arial" w:hAnsi="Arial" w:cs="Arial" w:eastAsia="仿宋_GB2312;仿宋"/>
          <w:bCs/>
          <w:color w:val="000000"/>
          <w:sz w:val="28"/>
          <w:szCs w:val="28"/>
        </w:rPr>
        <w:t>年</w:t>
      </w:r>
      <w:r>
        <w:rPr>
          <w:rFonts w:eastAsia="仿宋_GB2312;仿宋" w:cs="Arial" w:ascii="Arial" w:hAnsi="Arial"/>
          <w:bCs/>
          <w:color w:val="000000"/>
          <w:sz w:val="28"/>
          <w:szCs w:val="28"/>
        </w:rPr>
        <w:t>1-4</w:t>
      </w:r>
      <w:r>
        <w:rPr>
          <w:rFonts w:ascii="Arial" w:hAnsi="Arial" w:cs="Arial" w:eastAsia="仿宋_GB2312;仿宋"/>
          <w:bCs/>
          <w:color w:val="000000"/>
          <w:sz w:val="28"/>
          <w:szCs w:val="28"/>
        </w:rPr>
        <w:t>季度城市地价监测结果显示，北京市监测地价整体保持上涨，其中工业用途地价环比增幅为</w:t>
      </w:r>
      <w:r>
        <w:rPr>
          <w:rFonts w:eastAsia="仿宋_GB2312;仿宋" w:cs="Arial" w:ascii="Arial" w:hAnsi="Arial"/>
          <w:bCs/>
          <w:color w:val="000000"/>
          <w:sz w:val="28"/>
          <w:szCs w:val="28"/>
        </w:rPr>
        <w:t>0.61%</w:t>
      </w:r>
      <w:r>
        <w:rPr>
          <w:rFonts w:ascii="Arial" w:hAnsi="Arial" w:cs="Arial" w:eastAsia="仿宋_GB2312;仿宋"/>
          <w:bCs/>
          <w:color w:val="000000"/>
          <w:sz w:val="28"/>
          <w:szCs w:val="28"/>
        </w:rPr>
        <w:t>、同比上涨</w:t>
      </w:r>
      <w:r>
        <w:rPr>
          <w:rFonts w:eastAsia="仿宋_GB2312;仿宋" w:cs="Arial" w:ascii="Arial" w:hAnsi="Arial"/>
          <w:bCs/>
          <w:color w:val="000000"/>
          <w:sz w:val="28"/>
          <w:szCs w:val="28"/>
        </w:rPr>
        <w:t>2.26%</w:t>
      </w:r>
      <w:r>
        <w:rPr>
          <w:rFonts w:ascii="Arial" w:hAnsi="Arial" w:cs="Arial" w:eastAsia="仿宋_GB2312;仿宋"/>
          <w:bCs/>
          <w:color w:val="000000"/>
          <w:sz w:val="28"/>
          <w:szCs w:val="28"/>
        </w:rPr>
        <w:t>，自</w:t>
      </w:r>
      <w:r>
        <w:rPr>
          <w:rFonts w:eastAsia="仿宋_GB2312;仿宋" w:cs="Arial" w:ascii="Arial" w:hAnsi="Arial"/>
          <w:bCs/>
          <w:color w:val="000000"/>
          <w:sz w:val="28"/>
          <w:szCs w:val="28"/>
        </w:rPr>
        <w:t>2021</w:t>
      </w:r>
      <w:r>
        <w:rPr>
          <w:rFonts w:ascii="Arial" w:hAnsi="Arial" w:cs="Arial" w:eastAsia="仿宋_GB2312;仿宋"/>
          <w:bCs/>
          <w:color w:val="000000"/>
          <w:sz w:val="28"/>
          <w:szCs w:val="28"/>
        </w:rPr>
        <w:t>年下半年开始，整体走势较为平稳，环比涨幅基本在</w:t>
      </w:r>
      <w:r>
        <w:rPr>
          <w:rFonts w:eastAsia="仿宋_GB2312;仿宋" w:cs="Arial" w:ascii="Arial" w:hAnsi="Arial"/>
          <w:bCs/>
          <w:color w:val="000000"/>
          <w:sz w:val="28"/>
          <w:szCs w:val="28"/>
        </w:rPr>
        <w:t>1%</w:t>
      </w:r>
      <w:r>
        <w:rPr>
          <w:rFonts w:ascii="Arial" w:hAnsi="Arial" w:cs="Arial" w:eastAsia="仿宋_GB2312;仿宋"/>
          <w:bCs/>
          <w:color w:val="000000"/>
          <w:sz w:val="28"/>
          <w:szCs w:val="28"/>
        </w:rPr>
        <w:t>以内，同比涨幅在</w:t>
      </w:r>
      <w:r>
        <w:rPr>
          <w:rFonts w:eastAsia="仿宋_GB2312;仿宋" w:cs="Arial" w:ascii="Arial" w:hAnsi="Arial"/>
          <w:bCs/>
          <w:color w:val="000000"/>
          <w:sz w:val="28"/>
          <w:szCs w:val="28"/>
        </w:rPr>
        <w:t>2.5%~3%</w:t>
      </w:r>
      <w:r>
        <w:rPr>
          <w:rFonts w:ascii="Arial" w:hAnsi="Arial" w:cs="Arial" w:eastAsia="仿宋_GB2312;仿宋"/>
          <w:bCs/>
          <w:color w:val="000000"/>
          <w:sz w:val="28"/>
          <w:szCs w:val="28"/>
        </w:rPr>
        <w:t>之间。</w:t>
      </w:r>
    </w:p>
    <w:p>
      <w:pPr>
        <w:pStyle w:val="Normal"/>
        <w:widowControl/>
        <w:spacing w:lineRule="auto" w:line="360"/>
        <w:jc w:val="center"/>
        <w:rPr>
          <w:rFonts w:ascii="Arial" w:hAnsi="Arial" w:eastAsia="仿宋_GB2312;仿宋" w:cs="Arial"/>
          <w:bCs/>
          <w:color w:val="000000"/>
          <w:sz w:val="28"/>
          <w:szCs w:val="28"/>
        </w:rPr>
      </w:pPr>
      <w:r>
        <w:rPr>
          <w:lang w:val="zh-CN" w:eastAsia="zh-CN"/>
        </w:rPr>
        <w:drawing>
          <wp:inline distT="0" distB="0" distL="0" distR="0">
            <wp:extent cx="5905500" cy="2291080"/>
            <wp:effectExtent l="0" t="0" r="0" b="0"/>
            <wp:docPr id="19" name="图像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像5" descr=""/>
                    <pic:cNvPicPr>
                      <a:picLocks noChangeAspect="1" noChangeArrowheads="1"/>
                    </pic:cNvPicPr>
                  </pic:nvPicPr>
                  <pic:blipFill>
                    <a:blip r:embed="rId28"/>
                    <a:srcRect l="-5" t="-13" r="-5" b="-13"/>
                    <a:stretch>
                      <a:fillRect/>
                    </a:stretch>
                  </pic:blipFill>
                  <pic:spPr bwMode="auto">
                    <a:xfrm>
                      <a:off x="0" y="0"/>
                      <a:ext cx="5905500" cy="2291080"/>
                    </a:xfrm>
                    <a:prstGeom prst="rect">
                      <a:avLst/>
                    </a:prstGeom>
                  </pic:spPr>
                </pic:pic>
              </a:graphicData>
            </a:graphic>
          </wp:inline>
        </w:drawing>
      </w:r>
    </w:p>
    <w:p>
      <w:pPr>
        <w:pStyle w:val="Normal"/>
        <w:widowControl/>
        <w:spacing w:lineRule="auto" w:line="360"/>
        <w:ind w:firstLine="560"/>
        <w:jc w:val="both"/>
        <w:rPr>
          <w:rFonts w:ascii="Arial" w:hAnsi="Arial" w:eastAsia="仿宋_GB2312;仿宋" w:cs="Arial"/>
          <w:bCs/>
          <w:color w:val="000000"/>
          <w:sz w:val="28"/>
          <w:szCs w:val="28"/>
        </w:rPr>
      </w:pPr>
      <w:r>
        <w:rPr>
          <w:rFonts w:ascii="Arial" w:hAnsi="Arial" w:cs="Arial" w:eastAsia="仿宋_GB2312;仿宋"/>
          <w:bCs/>
          <w:color w:val="000000"/>
          <w:sz w:val="28"/>
          <w:szCs w:val="28"/>
        </w:rPr>
        <w:t>（</w:t>
      </w:r>
      <w:r>
        <w:rPr>
          <w:rFonts w:eastAsia="仿宋_GB2312;仿宋" w:cs="Arial" w:ascii="Arial" w:hAnsi="Arial"/>
          <w:bCs/>
          <w:color w:val="000000"/>
          <w:sz w:val="28"/>
          <w:szCs w:val="28"/>
        </w:rPr>
        <w:t>5</w:t>
      </w:r>
      <w:r>
        <w:rPr>
          <w:rFonts w:ascii="Arial" w:hAnsi="Arial" w:cs="Arial" w:eastAsia="仿宋_GB2312;仿宋"/>
          <w:bCs/>
          <w:color w:val="000000"/>
          <w:sz w:val="28"/>
          <w:szCs w:val="28"/>
        </w:rPr>
        <w:t>）未来趋势</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2023</w:t>
      </w:r>
      <w:r>
        <w:rPr>
          <w:rFonts w:ascii="Arial" w:hAnsi="Arial" w:cs="Arial" w:eastAsia="仿宋_GB2312;仿宋"/>
          <w:bCs/>
          <w:color w:val="000000"/>
          <w:sz w:val="28"/>
          <w:szCs w:val="28"/>
        </w:rPr>
        <w:t>年，随着市场逐步恢复，政策效应逐步显现，北京市工业经济运行回升向好，企业经营状况趋于改善</w:t>
      </w:r>
      <w:r>
        <w:rPr>
          <w:rFonts w:ascii="Arial" w:hAnsi="Arial" w:cs="Arial" w:eastAsia="仿宋_GB2312;仿宋"/>
          <w:bCs/>
          <w:sz w:val="28"/>
          <w:szCs w:val="28"/>
        </w:rPr>
        <w:t>，高端产业发挥引领作用。北京“十四五”规划明确新一代信息技术、医药健康、新能源智能网联汽车、绿色智慧能源等为未来重点产业发展方向，界定多个未来重点发展新区及区域产业发展细分方向；同时，“十四五”规划还提出支持具备条件的物流园区和重点企业引入铁路专用线，支持利用工业厂房改造建设冷链物流基础设施，发展智能立体仓等</w:t>
      </w:r>
      <w:r>
        <w:rPr>
          <w:rFonts w:ascii="Arial" w:hAnsi="Arial" w:cs="Arial" w:eastAsia="仿宋_GB2312;仿宋"/>
          <w:bCs/>
          <w:color w:val="000000"/>
          <w:sz w:val="28"/>
          <w:szCs w:val="28"/>
        </w:rPr>
        <w:t>。根据相关政策，北京市将继续推进新型工业化各项重点任务落实，精准施策提振发展信心，培育新质生产力。在高技术产业快速增长的带动下，各园区稳步发展，预计工业地价继续稳中向上。</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3.</w:t>
      </w:r>
      <w:r>
        <w:rPr>
          <w:rFonts w:ascii="Arial" w:hAnsi="Arial" w:cs="Arial" w:eastAsia="仿宋_GB2312;仿宋"/>
          <w:bCs/>
          <w:color w:val="000000"/>
          <w:sz w:val="28"/>
          <w:szCs w:val="28"/>
        </w:rPr>
        <w:t>产业政策</w:t>
      </w:r>
    </w:p>
    <w:p>
      <w:pPr>
        <w:pStyle w:val="Normal"/>
        <w:overflowPunct w:val="false"/>
        <w:spacing w:lineRule="auto" w:line="360"/>
        <w:jc w:val="both"/>
        <w:textAlignment w:val="auto"/>
        <w:rPr>
          <w:rFonts w:ascii="Arial" w:hAnsi="Arial" w:eastAsia="仿宋_GB2312;仿宋" w:cs="Arial"/>
          <w:bCs/>
          <w:color w:val="000000"/>
          <w:sz w:val="28"/>
          <w:szCs w:val="28"/>
        </w:rPr>
      </w:pPr>
      <w:r>
        <w:rPr>
          <w:rFonts w:ascii="MS Gothic;ＭＳ ゴシック" w:hAnsi="MS Gothic;ＭＳ ゴシック" w:cs="MS Gothic;ＭＳ ゴシック" w:eastAsia="MS Gothic;ＭＳ ゴシック"/>
          <w:b/>
          <w:bCs/>
          <w:color w:val="000000"/>
          <w:sz w:val="28"/>
          <w:szCs w:val="28"/>
        </w:rPr>
        <w:t xml:space="preserve">◆  </w:t>
      </w:r>
      <w:r>
        <w:rPr>
          <w:rFonts w:ascii="Arial" w:hAnsi="Arial" w:cs="Arial" w:eastAsia="仿宋_GB2312;仿宋"/>
          <w:b/>
          <w:bCs/>
          <w:color w:val="000000"/>
          <w:sz w:val="28"/>
          <w:szCs w:val="28"/>
        </w:rPr>
        <w:t>产业优惠政策</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2019</w:t>
      </w:r>
      <w:r>
        <w:rPr>
          <w:rFonts w:ascii="Arial" w:hAnsi="Arial" w:cs="Arial" w:eastAsia="仿宋_GB2312;仿宋"/>
          <w:bCs/>
          <w:color w:val="000000"/>
          <w:sz w:val="28"/>
          <w:szCs w:val="28"/>
        </w:rPr>
        <w:t>年</w:t>
      </w:r>
      <w:r>
        <w:rPr>
          <w:rFonts w:eastAsia="仿宋_GB2312;仿宋" w:cs="Arial" w:ascii="Arial" w:hAnsi="Arial"/>
          <w:bCs/>
          <w:color w:val="000000"/>
          <w:sz w:val="28"/>
          <w:szCs w:val="28"/>
        </w:rPr>
        <w:t>5</w:t>
      </w:r>
      <w:r>
        <w:rPr>
          <w:rFonts w:ascii="Arial" w:hAnsi="Arial" w:cs="Arial" w:eastAsia="仿宋_GB2312;仿宋"/>
          <w:bCs/>
          <w:color w:val="000000"/>
          <w:sz w:val="28"/>
          <w:szCs w:val="28"/>
        </w:rPr>
        <w:t>月</w:t>
      </w:r>
      <w:r>
        <w:rPr>
          <w:rFonts w:eastAsia="仿宋_GB2312;仿宋" w:cs="Arial" w:ascii="Arial" w:hAnsi="Arial"/>
          <w:bCs/>
          <w:color w:val="000000"/>
          <w:sz w:val="28"/>
          <w:szCs w:val="28"/>
        </w:rPr>
        <w:t>15</w:t>
      </w:r>
      <w:r>
        <w:rPr>
          <w:rFonts w:ascii="Arial" w:hAnsi="Arial" w:cs="Arial" w:eastAsia="仿宋_GB2312;仿宋"/>
          <w:bCs/>
          <w:color w:val="000000"/>
          <w:sz w:val="28"/>
          <w:szCs w:val="28"/>
        </w:rPr>
        <w:t>日，自然资源部发布《产业用地政策实施工作指引（</w:t>
      </w:r>
      <w:r>
        <w:rPr>
          <w:rFonts w:eastAsia="仿宋_GB2312;仿宋" w:cs="Arial" w:ascii="Arial" w:hAnsi="Arial"/>
          <w:bCs/>
          <w:color w:val="000000"/>
          <w:sz w:val="28"/>
          <w:szCs w:val="28"/>
        </w:rPr>
        <w:t>2019</w:t>
      </w:r>
      <w:r>
        <w:rPr>
          <w:rFonts w:ascii="Arial" w:hAnsi="Arial" w:cs="Arial" w:eastAsia="仿宋_GB2312;仿宋"/>
          <w:bCs/>
          <w:color w:val="000000"/>
          <w:sz w:val="28"/>
          <w:szCs w:val="28"/>
        </w:rPr>
        <w:t>年版）》（简称</w:t>
      </w:r>
      <w:r>
        <w:rPr>
          <w:rFonts w:eastAsia="仿宋_GB2312;仿宋" w:cs="Arial" w:ascii="Arial" w:hAnsi="Arial"/>
          <w:bCs/>
          <w:color w:val="000000"/>
          <w:sz w:val="28"/>
          <w:szCs w:val="28"/>
        </w:rPr>
        <w:t>2019</w:t>
      </w:r>
      <w:r>
        <w:rPr>
          <w:rFonts w:ascii="Arial" w:hAnsi="Arial" w:cs="Arial" w:eastAsia="仿宋_GB2312;仿宋"/>
          <w:bCs/>
          <w:color w:val="000000"/>
          <w:sz w:val="28"/>
          <w:szCs w:val="28"/>
        </w:rPr>
        <w:t>年版《指引》），此次更新是为了更好地指导地方自然资源主管部门规范执行产业用地政策，为包括民营企业在内的各种所有制经济提供良好服务。重点体现三个方面：一、坚持营造公平竞争环境。指导地方自然资源主管部门在产业用地政策执行中做到对各种所有制经济一视同仁，保障其平等取得土地要素。二、坚持推动高质量发展。指导地方自然资源主管部门在产业用地政策执行中落实严控增量、盘活存量、优化结构、提升效率，切实提高城镇建设用地集约化程度的总体要求，积极引导推动产业发展节约集约用地。三、坚持更好服务市场主体。对政策执行作必要说明，一方面使得市场主体能够更加充分地理解，有利于营造公开公平透明的市场环境；另一方面指导地方自然资源主管部门把握政策实施要点，积极为各种所有制经济提供良好服务。</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2019</w:t>
      </w:r>
      <w:r>
        <w:rPr>
          <w:rFonts w:ascii="Arial" w:hAnsi="Arial" w:cs="Arial" w:eastAsia="仿宋_GB2312;仿宋"/>
          <w:bCs/>
          <w:color w:val="000000"/>
          <w:sz w:val="28"/>
          <w:szCs w:val="28"/>
        </w:rPr>
        <w:t>年</w:t>
      </w:r>
      <w:r>
        <w:rPr>
          <w:rFonts w:eastAsia="仿宋_GB2312;仿宋" w:cs="Arial" w:ascii="Arial" w:hAnsi="Arial"/>
          <w:bCs/>
          <w:color w:val="000000"/>
          <w:sz w:val="28"/>
          <w:szCs w:val="28"/>
        </w:rPr>
        <w:t>5</w:t>
      </w:r>
      <w:r>
        <w:rPr>
          <w:rFonts w:ascii="Arial" w:hAnsi="Arial" w:cs="Arial" w:eastAsia="仿宋_GB2312;仿宋"/>
          <w:bCs/>
          <w:color w:val="000000"/>
          <w:sz w:val="28"/>
          <w:szCs w:val="28"/>
        </w:rPr>
        <w:t>月</w:t>
      </w:r>
      <w:r>
        <w:rPr>
          <w:rFonts w:eastAsia="仿宋_GB2312;仿宋" w:cs="Arial" w:ascii="Arial" w:hAnsi="Arial"/>
          <w:bCs/>
          <w:color w:val="000000"/>
          <w:sz w:val="28"/>
          <w:szCs w:val="28"/>
        </w:rPr>
        <w:t>23</w:t>
      </w:r>
      <w:r>
        <w:rPr>
          <w:rFonts w:ascii="Arial" w:hAnsi="Arial" w:cs="Arial" w:eastAsia="仿宋_GB2312;仿宋"/>
          <w:bCs/>
          <w:color w:val="000000"/>
          <w:sz w:val="28"/>
          <w:szCs w:val="28"/>
        </w:rPr>
        <w:t>日，北京市住房和城乡建设委员会官网发布《关于进一步完善已建成研发、工业项目转让管理有关问题的通知（京建发〔</w:t>
      </w:r>
      <w:r>
        <w:rPr>
          <w:rFonts w:eastAsia="仿宋_GB2312;仿宋" w:cs="Arial" w:ascii="Arial" w:hAnsi="Arial"/>
          <w:bCs/>
          <w:color w:val="000000"/>
          <w:sz w:val="28"/>
          <w:szCs w:val="28"/>
        </w:rPr>
        <w:t>2019</w:t>
      </w:r>
      <w:r>
        <w:rPr>
          <w:rFonts w:ascii="Arial" w:hAnsi="Arial" w:cs="Arial" w:eastAsia="仿宋_GB2312;仿宋"/>
          <w:bCs/>
          <w:color w:val="000000"/>
          <w:sz w:val="28"/>
          <w:szCs w:val="28"/>
        </w:rPr>
        <w:t>〕</w:t>
      </w:r>
      <w:r>
        <w:rPr>
          <w:rFonts w:eastAsia="仿宋_GB2312;仿宋" w:cs="Arial" w:ascii="Arial" w:hAnsi="Arial"/>
          <w:bCs/>
          <w:color w:val="000000"/>
          <w:sz w:val="28"/>
          <w:szCs w:val="28"/>
        </w:rPr>
        <w:t>216</w:t>
      </w:r>
      <w:r>
        <w:rPr>
          <w:rFonts w:ascii="Arial" w:hAnsi="Arial" w:cs="Arial" w:eastAsia="仿宋_GB2312;仿宋"/>
          <w:bCs/>
          <w:color w:val="000000"/>
          <w:sz w:val="28"/>
          <w:szCs w:val="28"/>
        </w:rPr>
        <w:t>号）》和《关于进一步明确已建成产业项目买受人审核有关问题的通知（京建发〔</w:t>
      </w:r>
      <w:r>
        <w:rPr>
          <w:rFonts w:eastAsia="仿宋_GB2312;仿宋" w:cs="Arial" w:ascii="Arial" w:hAnsi="Arial"/>
          <w:bCs/>
          <w:color w:val="000000"/>
          <w:sz w:val="28"/>
          <w:szCs w:val="28"/>
        </w:rPr>
        <w:t>2019</w:t>
      </w:r>
      <w:r>
        <w:rPr>
          <w:rFonts w:ascii="Arial" w:hAnsi="Arial" w:cs="Arial" w:eastAsia="仿宋_GB2312;仿宋"/>
          <w:bCs/>
          <w:color w:val="000000"/>
          <w:sz w:val="28"/>
          <w:szCs w:val="28"/>
        </w:rPr>
        <w:t>〕</w:t>
      </w:r>
      <w:r>
        <w:rPr>
          <w:rFonts w:eastAsia="仿宋_GB2312;仿宋" w:cs="Arial" w:ascii="Arial" w:hAnsi="Arial"/>
          <w:bCs/>
          <w:color w:val="000000"/>
          <w:sz w:val="28"/>
          <w:szCs w:val="28"/>
        </w:rPr>
        <w:t>217</w:t>
      </w:r>
      <w:r>
        <w:rPr>
          <w:rFonts w:ascii="Arial" w:hAnsi="Arial" w:cs="Arial" w:eastAsia="仿宋_GB2312;仿宋"/>
          <w:bCs/>
          <w:color w:val="000000"/>
          <w:sz w:val="28"/>
          <w:szCs w:val="28"/>
        </w:rPr>
        <w:t>号）》两份文件。一方面，要求建设单位不得分割销售研发、工业项目，买受人应是区政府审定的企业或专业园、公共服务平台、孵化器运营机构。这是由于研发、工业项目分割销售政策可能会带来一定的负面影响，干扰房地产市场秩序，为了扼制违规炒房抄地行为，故禁止研发、工业项目的分割销售。另一方面，审批权下放，审批主体从市政府调整为区政府，对买受人的申请，应在</w:t>
      </w:r>
      <w:r>
        <w:rPr>
          <w:rFonts w:eastAsia="仿宋_GB2312;仿宋" w:cs="Arial" w:ascii="Arial" w:hAnsi="Arial"/>
          <w:bCs/>
          <w:color w:val="000000"/>
          <w:sz w:val="28"/>
          <w:szCs w:val="28"/>
        </w:rPr>
        <w:t>15</w:t>
      </w:r>
      <w:r>
        <w:rPr>
          <w:rFonts w:ascii="Arial" w:hAnsi="Arial" w:cs="Arial" w:eastAsia="仿宋_GB2312;仿宋"/>
          <w:bCs/>
          <w:color w:val="000000"/>
          <w:sz w:val="28"/>
          <w:szCs w:val="28"/>
        </w:rPr>
        <w:t>个工作日内出具书面意见，这大大加快了产业地产的审批效率，促进了产业地产的招商周转速度。</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2020</w:t>
      </w:r>
      <w:r>
        <w:rPr>
          <w:rFonts w:ascii="Arial" w:hAnsi="Arial" w:cs="Arial" w:eastAsia="仿宋_GB2312;仿宋"/>
          <w:bCs/>
          <w:color w:val="000000"/>
          <w:sz w:val="28"/>
          <w:szCs w:val="28"/>
        </w:rPr>
        <w:t>年</w:t>
      </w:r>
      <w:r>
        <w:rPr>
          <w:rFonts w:eastAsia="仿宋_GB2312;仿宋" w:cs="Arial" w:ascii="Arial" w:hAnsi="Arial"/>
          <w:bCs/>
          <w:color w:val="000000"/>
          <w:sz w:val="28"/>
          <w:szCs w:val="28"/>
        </w:rPr>
        <w:t>10</w:t>
      </w:r>
      <w:r>
        <w:rPr>
          <w:rFonts w:ascii="Arial" w:hAnsi="Arial" w:cs="Arial" w:eastAsia="仿宋_GB2312;仿宋"/>
          <w:bCs/>
          <w:color w:val="000000"/>
          <w:sz w:val="28"/>
          <w:szCs w:val="28"/>
        </w:rPr>
        <w:t>月</w:t>
      </w:r>
      <w:r>
        <w:rPr>
          <w:rFonts w:eastAsia="仿宋_GB2312;仿宋" w:cs="Arial" w:ascii="Arial" w:hAnsi="Arial"/>
          <w:bCs/>
          <w:color w:val="000000"/>
          <w:sz w:val="28"/>
          <w:szCs w:val="28"/>
        </w:rPr>
        <w:t>23</w:t>
      </w:r>
      <w:r>
        <w:rPr>
          <w:rFonts w:ascii="Arial" w:hAnsi="Arial" w:cs="Arial" w:eastAsia="仿宋_GB2312;仿宋"/>
          <w:bCs/>
          <w:color w:val="000000"/>
          <w:sz w:val="28"/>
          <w:szCs w:val="28"/>
        </w:rPr>
        <w:t>日，《关于支持民营企业加快改革与转型升级的实施意见》（发改体改</w:t>
      </w:r>
      <w:r>
        <w:rPr>
          <w:rFonts w:eastAsia="仿宋_GB2312;仿宋" w:cs="Arial" w:ascii="Arial" w:hAnsi="Arial"/>
          <w:bCs/>
          <w:color w:val="000000"/>
          <w:sz w:val="28"/>
          <w:szCs w:val="28"/>
        </w:rPr>
        <w:t>[2020]1566</w:t>
      </w:r>
      <w:r>
        <w:rPr>
          <w:rFonts w:ascii="Arial" w:hAnsi="Arial" w:cs="Arial" w:eastAsia="仿宋_GB2312;仿宋"/>
          <w:bCs/>
          <w:color w:val="000000"/>
          <w:sz w:val="28"/>
          <w:szCs w:val="28"/>
        </w:rPr>
        <w:t>号），允许中小民营企业联合参与工业用地招拍挂，可按规定进行宗地分割；允许增加容积率的，不增收土地价款等费用；民营企业退出原使用土地的，支持依法依约转让土地；异地发展的，可以协议出让方式重新安排工业用地。</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2020</w:t>
      </w:r>
      <w:r>
        <w:rPr>
          <w:rFonts w:ascii="Arial" w:hAnsi="Arial" w:cs="Arial" w:eastAsia="仿宋_GB2312;仿宋"/>
          <w:bCs/>
          <w:color w:val="000000"/>
          <w:sz w:val="28"/>
          <w:szCs w:val="28"/>
        </w:rPr>
        <w:t>年</w:t>
      </w:r>
      <w:r>
        <w:rPr>
          <w:rFonts w:eastAsia="仿宋_GB2312;仿宋" w:cs="Arial" w:ascii="Arial" w:hAnsi="Arial"/>
          <w:bCs/>
          <w:color w:val="000000"/>
          <w:sz w:val="28"/>
          <w:szCs w:val="28"/>
        </w:rPr>
        <w:t>11</w:t>
      </w:r>
      <w:r>
        <w:rPr>
          <w:rFonts w:ascii="Arial" w:hAnsi="Arial" w:cs="Arial" w:eastAsia="仿宋_GB2312;仿宋"/>
          <w:bCs/>
          <w:color w:val="000000"/>
          <w:sz w:val="28"/>
          <w:szCs w:val="28"/>
        </w:rPr>
        <w:t>月</w:t>
      </w:r>
      <w:r>
        <w:rPr>
          <w:rFonts w:eastAsia="仿宋_GB2312;仿宋" w:cs="Arial" w:ascii="Arial" w:hAnsi="Arial"/>
          <w:bCs/>
          <w:color w:val="000000"/>
          <w:sz w:val="28"/>
          <w:szCs w:val="28"/>
        </w:rPr>
        <w:t>6</w:t>
      </w:r>
      <w:r>
        <w:rPr>
          <w:rFonts w:ascii="Arial" w:hAnsi="Arial" w:cs="Arial" w:eastAsia="仿宋_GB2312;仿宋"/>
          <w:bCs/>
          <w:color w:val="000000"/>
          <w:sz w:val="28"/>
          <w:szCs w:val="28"/>
        </w:rPr>
        <w:t>日，中关村管委会研究制定了《中关村国家自主创新示范区关于推进特色产业园建设</w:t>
      </w:r>
      <w:r>
        <w:rPr>
          <w:rFonts w:ascii="Arial" w:hAnsi="Arial" w:cs="Arial" w:eastAsia="Arial"/>
          <w:bCs/>
          <w:color w:val="000000"/>
          <w:sz w:val="28"/>
          <w:szCs w:val="28"/>
        </w:rPr>
        <w:t xml:space="preserve"> </w:t>
      </w:r>
      <w:r>
        <w:rPr>
          <w:rFonts w:ascii="Arial" w:hAnsi="Arial" w:cs="Arial" w:eastAsia="仿宋_GB2312;仿宋"/>
          <w:bCs/>
          <w:color w:val="000000"/>
          <w:sz w:val="28"/>
          <w:szCs w:val="28"/>
        </w:rPr>
        <w:t>提升分园产业服务能力的指导意见》。提出了到</w:t>
      </w:r>
      <w:r>
        <w:rPr>
          <w:rFonts w:eastAsia="仿宋_GB2312;仿宋" w:cs="Arial" w:ascii="Arial" w:hAnsi="Arial"/>
          <w:bCs/>
          <w:color w:val="000000"/>
          <w:sz w:val="28"/>
          <w:szCs w:val="28"/>
        </w:rPr>
        <w:t>2022</w:t>
      </w:r>
      <w:r>
        <w:rPr>
          <w:rFonts w:ascii="Arial" w:hAnsi="Arial" w:cs="Arial" w:eastAsia="仿宋_GB2312;仿宋"/>
          <w:bCs/>
          <w:color w:val="000000"/>
          <w:sz w:val="28"/>
          <w:szCs w:val="28"/>
        </w:rPr>
        <w:t>年，中关村示范区产业布局更加优化，体制机制持续创新，创新创业环境进一步改善，各分园产业服务能力显著提升，主导产业地位突出，高端化、特色化、差异化发展态势基本形成。特色产业园建设实现重点细分产业领域及发展组团两个“全覆盖”，成为分园主导产业发展的重要载体，对所在区域的经济贡献明显提升。各分园围绕主导产业建成产业促进服务机构，产业促进服务机构与分园结合紧密、运营高效，对分园主导产业发展的促进作用凸显。</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2021</w:t>
      </w:r>
      <w:r>
        <w:rPr>
          <w:rFonts w:ascii="Arial" w:hAnsi="Arial" w:cs="Arial" w:eastAsia="仿宋_GB2312;仿宋"/>
          <w:bCs/>
          <w:color w:val="000000"/>
          <w:sz w:val="28"/>
          <w:szCs w:val="28"/>
        </w:rPr>
        <w:t>年</w:t>
      </w:r>
      <w:r>
        <w:rPr>
          <w:rFonts w:eastAsia="仿宋_GB2312;仿宋" w:cs="Arial" w:ascii="Arial" w:hAnsi="Arial"/>
          <w:bCs/>
          <w:color w:val="000000"/>
          <w:sz w:val="28"/>
          <w:szCs w:val="28"/>
        </w:rPr>
        <w:t>8</w:t>
      </w:r>
      <w:r>
        <w:rPr>
          <w:rFonts w:ascii="Arial" w:hAnsi="Arial" w:cs="Arial" w:eastAsia="仿宋_GB2312;仿宋"/>
          <w:bCs/>
          <w:color w:val="000000"/>
          <w:sz w:val="28"/>
          <w:szCs w:val="28"/>
        </w:rPr>
        <w:t>月</w:t>
      </w:r>
      <w:r>
        <w:rPr>
          <w:rFonts w:eastAsia="仿宋_GB2312;仿宋" w:cs="Arial" w:ascii="Arial" w:hAnsi="Arial"/>
          <w:bCs/>
          <w:color w:val="000000"/>
          <w:sz w:val="28"/>
          <w:szCs w:val="28"/>
        </w:rPr>
        <w:t>18</w:t>
      </w:r>
      <w:r>
        <w:rPr>
          <w:rFonts w:ascii="Arial" w:hAnsi="Arial" w:cs="Arial" w:eastAsia="仿宋_GB2312;仿宋"/>
          <w:bCs/>
          <w:color w:val="000000"/>
          <w:sz w:val="28"/>
          <w:szCs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动“五个突破”，推进动力转换、效率提升、结构优化“三大变革”，力争到</w:t>
      </w:r>
      <w:r>
        <w:rPr>
          <w:rFonts w:eastAsia="仿宋_GB2312;仿宋" w:cs="Arial" w:ascii="Arial" w:hAnsi="Arial"/>
          <w:bCs/>
          <w:color w:val="000000"/>
          <w:sz w:val="28"/>
          <w:szCs w:val="28"/>
        </w:rPr>
        <w:t>2025</w:t>
      </w:r>
      <w:r>
        <w:rPr>
          <w:rFonts w:ascii="Arial" w:hAnsi="Arial" w:cs="Arial" w:eastAsia="仿宋_GB2312;仿宋"/>
          <w:bCs/>
          <w:color w:val="000000"/>
          <w:sz w:val="28"/>
          <w:szCs w:val="28"/>
        </w:rPr>
        <w:t>年，高精尖产业占</w:t>
      </w:r>
      <w:r>
        <w:rPr>
          <w:rFonts w:eastAsia="仿宋_GB2312;仿宋" w:cs="Arial" w:ascii="Arial" w:hAnsi="Arial"/>
          <w:bCs/>
          <w:color w:val="000000"/>
          <w:sz w:val="28"/>
          <w:szCs w:val="28"/>
        </w:rPr>
        <w:t>GDP</w:t>
      </w:r>
      <w:r>
        <w:rPr>
          <w:rFonts w:ascii="Arial" w:hAnsi="Arial" w:cs="Arial" w:eastAsia="仿宋_GB2312;仿宋"/>
          <w:bCs/>
          <w:color w:val="000000"/>
          <w:sz w:val="28"/>
          <w:szCs w:val="28"/>
        </w:rPr>
        <w:t>比重</w:t>
      </w:r>
      <w:r>
        <w:rPr>
          <w:rFonts w:eastAsia="仿宋_GB2312;仿宋" w:cs="Arial" w:ascii="Arial" w:hAnsi="Arial"/>
          <w:bCs/>
          <w:color w:val="000000"/>
          <w:sz w:val="28"/>
          <w:szCs w:val="28"/>
        </w:rPr>
        <w:t>30%</w:t>
      </w:r>
      <w:r>
        <w:rPr>
          <w:rFonts w:ascii="Arial" w:hAnsi="Arial" w:cs="Arial" w:eastAsia="仿宋_GB2312;仿宋"/>
          <w:bCs/>
          <w:color w:val="000000"/>
          <w:sz w:val="28"/>
          <w:szCs w:val="28"/>
        </w:rPr>
        <w:t>以上，培育形成</w:t>
      </w:r>
      <w:r>
        <w:rPr>
          <w:rFonts w:eastAsia="仿宋_GB2312;仿宋" w:cs="Arial" w:ascii="Arial" w:hAnsi="Arial"/>
          <w:bCs/>
          <w:color w:val="000000"/>
          <w:sz w:val="28"/>
          <w:szCs w:val="28"/>
        </w:rPr>
        <w:t>4-5</w:t>
      </w:r>
      <w:r>
        <w:rPr>
          <w:rFonts w:ascii="Arial" w:hAnsi="Arial" w:cs="Arial" w:eastAsia="仿宋_GB2312;仿宋"/>
          <w:bCs/>
          <w:color w:val="000000"/>
          <w:sz w:val="28"/>
          <w:szCs w:val="28"/>
        </w:rPr>
        <w:t>个万亿级产业集群，基本形成以智能制造、产业互联网、医药健康等为新支柱的现代产业体系，将集成电路、智能网联汽车、区块链、创新药等打造成为“北京智造”“北京服务”的新名片，为我国提升创新链产业链供应链现代化水平，更好建设制造强国、质量强国、网络强国和数字中国做出北京贡献。</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2023</w:t>
      </w:r>
      <w:r>
        <w:rPr>
          <w:rFonts w:ascii="Arial" w:hAnsi="Arial" w:cs="Arial" w:eastAsia="仿宋_GB2312;仿宋"/>
          <w:bCs/>
          <w:color w:val="000000"/>
          <w:sz w:val="28"/>
          <w:szCs w:val="28"/>
        </w:rPr>
        <w:t>年</w:t>
      </w:r>
      <w:r>
        <w:rPr>
          <w:rFonts w:eastAsia="仿宋_GB2312;仿宋" w:cs="Arial" w:ascii="Arial" w:hAnsi="Arial"/>
          <w:bCs/>
          <w:color w:val="000000"/>
          <w:sz w:val="28"/>
          <w:szCs w:val="28"/>
        </w:rPr>
        <w:t>8</w:t>
      </w:r>
      <w:r>
        <w:rPr>
          <w:rFonts w:ascii="Arial" w:hAnsi="Arial" w:cs="Arial" w:eastAsia="仿宋_GB2312;仿宋"/>
          <w:bCs/>
          <w:color w:val="000000"/>
          <w:sz w:val="28"/>
          <w:szCs w:val="28"/>
        </w:rPr>
        <w:t>月</w:t>
      </w:r>
      <w:r>
        <w:rPr>
          <w:rFonts w:eastAsia="仿宋_GB2312;仿宋" w:cs="Arial" w:ascii="Arial" w:hAnsi="Arial"/>
          <w:bCs/>
          <w:color w:val="000000"/>
          <w:sz w:val="28"/>
          <w:szCs w:val="28"/>
        </w:rPr>
        <w:t>31</w:t>
      </w:r>
      <w:r>
        <w:rPr>
          <w:rFonts w:ascii="Arial" w:hAnsi="Arial" w:cs="Arial" w:eastAsia="仿宋_GB2312;仿宋"/>
          <w:bCs/>
          <w:color w:val="000000"/>
          <w:sz w:val="28"/>
          <w:szCs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资源台账和项目储备库并动态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域产业升级。市政府固定资产投资对于符合条件的项目给予支持，支持方式分为投资补助和贷款贴息两种，其中投资补助方式是对低效楼宇改造项目按照固定资产投资总额</w:t>
      </w:r>
      <w:r>
        <w:rPr>
          <w:rFonts w:eastAsia="仿宋_GB2312;仿宋" w:cs="Arial" w:ascii="Arial" w:hAnsi="Arial"/>
          <w:bCs/>
          <w:color w:val="000000"/>
          <w:sz w:val="28"/>
          <w:szCs w:val="28"/>
        </w:rPr>
        <w:t>10%</w:t>
      </w:r>
      <w:r>
        <w:rPr>
          <w:rFonts w:ascii="Arial" w:hAnsi="Arial" w:cs="Arial" w:eastAsia="仿宋_GB2312;仿宋"/>
          <w:bCs/>
          <w:color w:val="000000"/>
          <w:sz w:val="28"/>
          <w:szCs w:val="28"/>
        </w:rPr>
        <w:t>的比例、老旧厂房改造和配套基础设施改造项目按照固定资产投资总额</w:t>
      </w:r>
      <w:r>
        <w:rPr>
          <w:rFonts w:eastAsia="仿宋_GB2312;仿宋" w:cs="Arial" w:ascii="Arial" w:hAnsi="Arial"/>
          <w:bCs/>
          <w:color w:val="000000"/>
          <w:sz w:val="28"/>
          <w:szCs w:val="28"/>
        </w:rPr>
        <w:t>30%</w:t>
      </w:r>
      <w:r>
        <w:rPr>
          <w:rFonts w:ascii="Arial" w:hAnsi="Arial" w:cs="Arial" w:eastAsia="仿宋_GB2312;仿宋"/>
          <w:bCs/>
          <w:color w:val="000000"/>
          <w:sz w:val="28"/>
          <w:szCs w:val="28"/>
        </w:rPr>
        <w:t>的比例安排补助资金；贷款贴息方式是对改造升级项目发生的银行贷款按照</w:t>
      </w:r>
      <w:r>
        <w:rPr>
          <w:rFonts w:eastAsia="仿宋_GB2312;仿宋" w:cs="Arial" w:ascii="Arial" w:hAnsi="Arial"/>
          <w:bCs/>
          <w:color w:val="000000"/>
          <w:sz w:val="28"/>
          <w:szCs w:val="28"/>
        </w:rPr>
        <w:t>LPR</w:t>
      </w:r>
      <w:r>
        <w:rPr>
          <w:rFonts w:ascii="Arial" w:hAnsi="Arial" w:cs="Arial" w:eastAsia="仿宋_GB2312;仿宋"/>
          <w:bCs/>
          <w:color w:val="000000"/>
          <w:sz w:val="28"/>
          <w:szCs w:val="28"/>
        </w:rPr>
        <w:t>（实际利率低于</w:t>
      </w:r>
      <w:r>
        <w:rPr>
          <w:rFonts w:eastAsia="仿宋_GB2312;仿宋" w:cs="Arial" w:ascii="Arial" w:hAnsi="Arial"/>
          <w:bCs/>
          <w:color w:val="000000"/>
          <w:sz w:val="28"/>
          <w:szCs w:val="28"/>
        </w:rPr>
        <w:t>LPR</w:t>
      </w:r>
      <w:r>
        <w:rPr>
          <w:rFonts w:ascii="Arial" w:hAnsi="Arial" w:cs="Arial" w:eastAsia="仿宋_GB2312;仿宋"/>
          <w:bCs/>
          <w:color w:val="000000"/>
          <w:sz w:val="28"/>
          <w:szCs w:val="28"/>
        </w:rPr>
        <w:t>的，按照实际利率）给予不超过</w:t>
      </w:r>
      <w:r>
        <w:rPr>
          <w:rFonts w:eastAsia="仿宋_GB2312;仿宋" w:cs="Arial" w:ascii="Arial" w:hAnsi="Arial"/>
          <w:bCs/>
          <w:color w:val="000000"/>
          <w:sz w:val="28"/>
          <w:szCs w:val="28"/>
        </w:rPr>
        <w:t>2</w:t>
      </w:r>
      <w:r>
        <w:rPr>
          <w:rFonts w:ascii="Arial" w:hAnsi="Arial" w:cs="Arial" w:eastAsia="仿宋_GB2312;仿宋"/>
          <w:bCs/>
          <w:color w:val="000000"/>
          <w:sz w:val="28"/>
          <w:szCs w:val="28"/>
        </w:rPr>
        <w:t>年的贴息支持。</w:t>
      </w:r>
    </w:p>
    <w:p>
      <w:pPr>
        <w:pStyle w:val="Normal"/>
        <w:overflowPunct w:val="false"/>
        <w:spacing w:lineRule="auto" w:line="360"/>
        <w:jc w:val="both"/>
        <w:textAlignment w:val="auto"/>
        <w:rPr>
          <w:rFonts w:ascii="Arial" w:hAnsi="Arial" w:eastAsia="仿宋_GB2312;仿宋" w:cs="Arial"/>
          <w:b/>
          <w:b/>
          <w:bCs/>
          <w:color w:val="000000"/>
          <w:sz w:val="28"/>
          <w:szCs w:val="28"/>
        </w:rPr>
      </w:pPr>
      <w:r>
        <w:rPr>
          <w:rFonts w:ascii="MS Gothic;ＭＳ ゴシック" w:hAnsi="MS Gothic;ＭＳ ゴシック" w:cs="MS Gothic;ＭＳ ゴシック" w:eastAsia="MS Gothic;ＭＳ ゴシック"/>
          <w:b/>
          <w:bCs/>
          <w:color w:val="000000"/>
          <w:sz w:val="28"/>
          <w:szCs w:val="28"/>
        </w:rPr>
        <w:t xml:space="preserve">◆  </w:t>
      </w:r>
      <w:r>
        <w:rPr>
          <w:rFonts w:ascii="Arial" w:hAnsi="Arial" w:cs="Arial" w:eastAsia="仿宋_GB2312;仿宋"/>
          <w:b/>
          <w:bCs/>
          <w:color w:val="000000"/>
          <w:sz w:val="28"/>
          <w:szCs w:val="28"/>
        </w:rPr>
        <w:t>税收政策：</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2023</w:t>
      </w:r>
      <w:r>
        <w:rPr>
          <w:rFonts w:ascii="Arial" w:hAnsi="Arial" w:cs="Arial" w:eastAsia="仿宋_GB2312;仿宋"/>
          <w:bCs/>
          <w:color w:val="000000"/>
          <w:sz w:val="28"/>
          <w:szCs w:val="28"/>
        </w:rPr>
        <w:t>年，按照党中央、国务院决策部署，税务总局会同财政部等部门先后发布了一系列延续优化创新实施的税费优惠政策，根据《财政部</w:t>
      </w:r>
      <w:r>
        <w:rPr>
          <w:rFonts w:ascii="Arial" w:hAnsi="Arial" w:cs="Arial" w:eastAsia="Arial"/>
          <w:bCs/>
          <w:color w:val="000000"/>
          <w:sz w:val="28"/>
          <w:szCs w:val="28"/>
        </w:rPr>
        <w:t xml:space="preserve"> </w:t>
      </w:r>
      <w:r>
        <w:rPr>
          <w:rFonts w:ascii="Arial" w:hAnsi="Arial" w:cs="Arial" w:eastAsia="仿宋_GB2312;仿宋"/>
          <w:bCs/>
          <w:color w:val="000000"/>
          <w:sz w:val="28"/>
          <w:szCs w:val="28"/>
        </w:rPr>
        <w:t>税务总局关于明确增值税小规模纳税人减免增值税等政策的公告》（</w:t>
      </w:r>
      <w:r>
        <w:rPr>
          <w:rFonts w:eastAsia="仿宋_GB2312;仿宋" w:cs="Arial" w:ascii="Arial" w:hAnsi="Arial"/>
          <w:bCs/>
          <w:color w:val="000000"/>
          <w:sz w:val="28"/>
          <w:szCs w:val="28"/>
        </w:rPr>
        <w:t>2023</w:t>
      </w:r>
      <w:r>
        <w:rPr>
          <w:rFonts w:ascii="Arial" w:hAnsi="Arial" w:cs="Arial" w:eastAsia="仿宋_GB2312;仿宋"/>
          <w:bCs/>
          <w:color w:val="000000"/>
          <w:sz w:val="28"/>
          <w:szCs w:val="28"/>
        </w:rPr>
        <w:t>年第</w:t>
      </w:r>
      <w:r>
        <w:rPr>
          <w:rFonts w:eastAsia="仿宋_GB2312;仿宋" w:cs="Arial" w:ascii="Arial" w:hAnsi="Arial"/>
          <w:bCs/>
          <w:color w:val="000000"/>
          <w:sz w:val="28"/>
          <w:szCs w:val="28"/>
        </w:rPr>
        <w:t>1</w:t>
      </w:r>
      <w:r>
        <w:rPr>
          <w:rFonts w:ascii="Arial" w:hAnsi="Arial" w:cs="Arial" w:eastAsia="仿宋_GB2312;仿宋"/>
          <w:bCs/>
          <w:color w:val="000000"/>
          <w:sz w:val="28"/>
          <w:szCs w:val="28"/>
        </w:rPr>
        <w:t>号）、《国家税务总局关于增值税小规模纳税人减免增值税等政策有关征管事项的公告》（</w:t>
      </w:r>
      <w:r>
        <w:rPr>
          <w:rFonts w:eastAsia="仿宋_GB2312;仿宋" w:cs="Arial" w:ascii="Arial" w:hAnsi="Arial"/>
          <w:bCs/>
          <w:color w:val="000000"/>
          <w:sz w:val="28"/>
          <w:szCs w:val="28"/>
        </w:rPr>
        <w:t>2023</w:t>
      </w:r>
      <w:r>
        <w:rPr>
          <w:rFonts w:ascii="Arial" w:hAnsi="Arial" w:cs="Arial" w:eastAsia="仿宋_GB2312;仿宋"/>
          <w:bCs/>
          <w:color w:val="000000"/>
          <w:sz w:val="28"/>
          <w:szCs w:val="28"/>
        </w:rPr>
        <w:t>年第</w:t>
      </w:r>
      <w:r>
        <w:rPr>
          <w:rFonts w:eastAsia="仿宋_GB2312;仿宋" w:cs="Arial" w:ascii="Arial" w:hAnsi="Arial"/>
          <w:bCs/>
          <w:color w:val="000000"/>
          <w:sz w:val="28"/>
          <w:szCs w:val="28"/>
        </w:rPr>
        <w:t>1</w:t>
      </w:r>
      <w:r>
        <w:rPr>
          <w:rFonts w:ascii="Arial" w:hAnsi="Arial" w:cs="Arial" w:eastAsia="仿宋_GB2312;仿宋"/>
          <w:bCs/>
          <w:color w:val="000000"/>
          <w:sz w:val="28"/>
          <w:szCs w:val="28"/>
        </w:rPr>
        <w:t>号），针对增值税小规模纳税人的优惠政策有：①增值税政策增值税小规模纳税人发生增值税应税销售行为，合计月销售额未超过</w:t>
      </w:r>
      <w:r>
        <w:rPr>
          <w:rFonts w:eastAsia="仿宋_GB2312;仿宋" w:cs="Arial" w:ascii="Arial" w:hAnsi="Arial"/>
          <w:bCs/>
          <w:color w:val="000000"/>
          <w:sz w:val="28"/>
          <w:szCs w:val="28"/>
        </w:rPr>
        <w:t>10</w:t>
      </w:r>
      <w:r>
        <w:rPr>
          <w:rFonts w:ascii="Arial" w:hAnsi="Arial" w:cs="Arial" w:eastAsia="仿宋_GB2312;仿宋"/>
          <w:bCs/>
          <w:color w:val="000000"/>
          <w:sz w:val="28"/>
          <w:szCs w:val="28"/>
        </w:rPr>
        <w:t>万元（以</w:t>
      </w:r>
      <w:r>
        <w:rPr>
          <w:rFonts w:eastAsia="仿宋_GB2312;仿宋" w:cs="Arial" w:ascii="Arial" w:hAnsi="Arial"/>
          <w:bCs/>
          <w:color w:val="000000"/>
          <w:sz w:val="28"/>
          <w:szCs w:val="28"/>
        </w:rPr>
        <w:t>1</w:t>
      </w:r>
      <w:r>
        <w:rPr>
          <w:rFonts w:ascii="Arial" w:hAnsi="Arial" w:cs="Arial" w:eastAsia="仿宋_GB2312;仿宋"/>
          <w:bCs/>
          <w:color w:val="000000"/>
          <w:sz w:val="28"/>
          <w:szCs w:val="28"/>
        </w:rPr>
        <w:t>个季度为</w:t>
      </w:r>
      <w:r>
        <w:rPr>
          <w:rFonts w:eastAsia="仿宋_GB2312;仿宋" w:cs="Arial" w:ascii="Arial" w:hAnsi="Arial"/>
          <w:bCs/>
          <w:color w:val="000000"/>
          <w:sz w:val="28"/>
          <w:szCs w:val="28"/>
        </w:rPr>
        <w:t>1</w:t>
      </w:r>
      <w:r>
        <w:rPr>
          <w:rFonts w:ascii="Arial" w:hAnsi="Arial" w:cs="Arial" w:eastAsia="仿宋_GB2312;仿宋"/>
          <w:bCs/>
          <w:color w:val="000000"/>
          <w:sz w:val="28"/>
          <w:szCs w:val="28"/>
        </w:rPr>
        <w:t>个纳税期的，季度销售额未超过</w:t>
      </w:r>
      <w:r>
        <w:rPr>
          <w:rFonts w:eastAsia="仿宋_GB2312;仿宋" w:cs="Arial" w:ascii="Arial" w:hAnsi="Arial"/>
          <w:bCs/>
          <w:color w:val="000000"/>
          <w:sz w:val="28"/>
          <w:szCs w:val="28"/>
        </w:rPr>
        <w:t>30</w:t>
      </w:r>
      <w:r>
        <w:rPr>
          <w:rFonts w:ascii="Arial" w:hAnsi="Arial" w:cs="Arial" w:eastAsia="仿宋_GB2312;仿宋"/>
          <w:bCs/>
          <w:color w:val="000000"/>
          <w:sz w:val="28"/>
          <w:szCs w:val="28"/>
        </w:rPr>
        <w:t>万元，下同）的，免征增值税。②自</w:t>
      </w:r>
      <w:r>
        <w:rPr>
          <w:rFonts w:eastAsia="仿宋_GB2312;仿宋" w:cs="Arial" w:ascii="Arial" w:hAnsi="Arial"/>
          <w:bCs/>
          <w:color w:val="000000"/>
          <w:sz w:val="28"/>
          <w:szCs w:val="28"/>
        </w:rPr>
        <w:t>2023</w:t>
      </w:r>
      <w:r>
        <w:rPr>
          <w:rFonts w:ascii="Arial" w:hAnsi="Arial" w:cs="Arial" w:eastAsia="仿宋_GB2312;仿宋"/>
          <w:bCs/>
          <w:color w:val="000000"/>
          <w:sz w:val="28"/>
          <w:szCs w:val="28"/>
        </w:rPr>
        <w:t>年</w:t>
      </w:r>
      <w:r>
        <w:rPr>
          <w:rFonts w:eastAsia="仿宋_GB2312;仿宋" w:cs="Arial" w:ascii="Arial" w:hAnsi="Arial"/>
          <w:bCs/>
          <w:color w:val="000000"/>
          <w:sz w:val="28"/>
          <w:szCs w:val="28"/>
        </w:rPr>
        <w:t>1</w:t>
      </w:r>
      <w:r>
        <w:rPr>
          <w:rFonts w:ascii="Arial" w:hAnsi="Arial" w:cs="Arial" w:eastAsia="仿宋_GB2312;仿宋"/>
          <w:bCs/>
          <w:color w:val="000000"/>
          <w:sz w:val="28"/>
          <w:szCs w:val="28"/>
        </w:rPr>
        <w:t>月</w:t>
      </w:r>
      <w:r>
        <w:rPr>
          <w:rFonts w:eastAsia="仿宋_GB2312;仿宋" w:cs="Arial" w:ascii="Arial" w:hAnsi="Arial"/>
          <w:bCs/>
          <w:color w:val="000000"/>
          <w:sz w:val="28"/>
          <w:szCs w:val="28"/>
        </w:rPr>
        <w:t>1</w:t>
      </w:r>
      <w:r>
        <w:rPr>
          <w:rFonts w:ascii="Arial" w:hAnsi="Arial" w:cs="Arial" w:eastAsia="仿宋_GB2312;仿宋"/>
          <w:bCs/>
          <w:color w:val="000000"/>
          <w:sz w:val="28"/>
          <w:szCs w:val="28"/>
        </w:rPr>
        <w:t>日至</w:t>
      </w:r>
      <w:r>
        <w:rPr>
          <w:rFonts w:eastAsia="仿宋_GB2312;仿宋" w:cs="Arial" w:ascii="Arial" w:hAnsi="Arial"/>
          <w:bCs/>
          <w:color w:val="000000"/>
          <w:sz w:val="28"/>
          <w:szCs w:val="28"/>
        </w:rPr>
        <w:t>2023</w:t>
      </w:r>
      <w:r>
        <w:rPr>
          <w:rFonts w:ascii="Arial" w:hAnsi="Arial" w:cs="Arial" w:eastAsia="仿宋_GB2312;仿宋"/>
          <w:bCs/>
          <w:color w:val="000000"/>
          <w:sz w:val="28"/>
          <w:szCs w:val="28"/>
        </w:rPr>
        <w:t>年</w:t>
      </w:r>
      <w:r>
        <w:rPr>
          <w:rFonts w:eastAsia="仿宋_GB2312;仿宋" w:cs="Arial" w:ascii="Arial" w:hAnsi="Arial"/>
          <w:bCs/>
          <w:color w:val="000000"/>
          <w:sz w:val="28"/>
          <w:szCs w:val="28"/>
        </w:rPr>
        <w:t>12</w:t>
      </w:r>
      <w:r>
        <w:rPr>
          <w:rFonts w:ascii="Arial" w:hAnsi="Arial" w:cs="Arial" w:eastAsia="仿宋_GB2312;仿宋"/>
          <w:bCs/>
          <w:color w:val="000000"/>
          <w:sz w:val="28"/>
          <w:szCs w:val="28"/>
        </w:rPr>
        <w:t>月</w:t>
      </w:r>
      <w:r>
        <w:rPr>
          <w:rFonts w:eastAsia="仿宋_GB2312;仿宋" w:cs="Arial" w:ascii="Arial" w:hAnsi="Arial"/>
          <w:bCs/>
          <w:color w:val="000000"/>
          <w:sz w:val="28"/>
          <w:szCs w:val="28"/>
        </w:rPr>
        <w:t>31</w:t>
      </w:r>
      <w:r>
        <w:rPr>
          <w:rFonts w:ascii="Arial" w:hAnsi="Arial" w:cs="Arial" w:eastAsia="仿宋_GB2312;仿宋"/>
          <w:bCs/>
          <w:color w:val="000000"/>
          <w:sz w:val="28"/>
          <w:szCs w:val="28"/>
        </w:rPr>
        <w:t>日，增值税小规模纳税人适用</w:t>
      </w:r>
      <w:r>
        <w:rPr>
          <w:rFonts w:eastAsia="仿宋_GB2312;仿宋" w:cs="Arial" w:ascii="Arial" w:hAnsi="Arial"/>
          <w:bCs/>
          <w:color w:val="000000"/>
          <w:sz w:val="28"/>
          <w:szCs w:val="28"/>
        </w:rPr>
        <w:t>3%</w:t>
      </w:r>
      <w:r>
        <w:rPr>
          <w:rFonts w:ascii="Arial" w:hAnsi="Arial" w:cs="Arial" w:eastAsia="仿宋_GB2312;仿宋"/>
          <w:bCs/>
          <w:color w:val="000000"/>
          <w:sz w:val="28"/>
          <w:szCs w:val="28"/>
        </w:rPr>
        <w:t>征收率的应税销售收入，减按</w:t>
      </w:r>
      <w:r>
        <w:rPr>
          <w:rFonts w:eastAsia="仿宋_GB2312;仿宋" w:cs="Arial" w:ascii="Arial" w:hAnsi="Arial"/>
          <w:bCs/>
          <w:color w:val="000000"/>
          <w:sz w:val="28"/>
          <w:szCs w:val="28"/>
        </w:rPr>
        <w:t>1%</w:t>
      </w:r>
      <w:r>
        <w:rPr>
          <w:rFonts w:ascii="Arial" w:hAnsi="Arial" w:cs="Arial" w:eastAsia="仿宋_GB2312;仿宋"/>
          <w:bCs/>
          <w:color w:val="000000"/>
          <w:sz w:val="28"/>
          <w:szCs w:val="28"/>
        </w:rPr>
        <w:t>征收率征收增值税；适用</w:t>
      </w:r>
      <w:r>
        <w:rPr>
          <w:rFonts w:eastAsia="仿宋_GB2312;仿宋" w:cs="Arial" w:ascii="Arial" w:hAnsi="Arial"/>
          <w:bCs/>
          <w:color w:val="000000"/>
          <w:sz w:val="28"/>
          <w:szCs w:val="28"/>
        </w:rPr>
        <w:t>3%</w:t>
      </w:r>
      <w:r>
        <w:rPr>
          <w:rFonts w:ascii="Arial" w:hAnsi="Arial" w:cs="Arial" w:eastAsia="仿宋_GB2312;仿宋"/>
          <w:bCs/>
          <w:color w:val="000000"/>
          <w:sz w:val="28"/>
          <w:szCs w:val="28"/>
        </w:rPr>
        <w:t>预征率的预缴增值税项目，减按</w:t>
      </w:r>
      <w:r>
        <w:rPr>
          <w:rFonts w:eastAsia="仿宋_GB2312;仿宋" w:cs="Arial" w:ascii="Arial" w:hAnsi="Arial"/>
          <w:bCs/>
          <w:color w:val="000000"/>
          <w:sz w:val="28"/>
          <w:szCs w:val="28"/>
        </w:rPr>
        <w:t>1%</w:t>
      </w:r>
      <w:r>
        <w:rPr>
          <w:rFonts w:ascii="Arial" w:hAnsi="Arial" w:cs="Arial" w:eastAsia="仿宋_GB2312;仿宋"/>
          <w:bCs/>
          <w:color w:val="000000"/>
          <w:sz w:val="28"/>
          <w:szCs w:val="28"/>
        </w:rPr>
        <w:t>预征率预缴增值税。</w:t>
      </w:r>
    </w:p>
    <w:p>
      <w:pPr>
        <w:pStyle w:val="Normal"/>
        <w:overflowPunct w:val="false"/>
        <w:spacing w:lineRule="auto" w:line="360"/>
        <w:jc w:val="both"/>
        <w:textAlignment w:val="auto"/>
        <w:rPr>
          <w:rFonts w:ascii="Arial" w:hAnsi="Arial" w:eastAsia="仿宋_GB2312;仿宋" w:cs="Arial"/>
          <w:b/>
          <w:b/>
          <w:bCs/>
          <w:color w:val="000000"/>
          <w:sz w:val="28"/>
          <w:szCs w:val="28"/>
        </w:rPr>
      </w:pPr>
      <w:r>
        <w:rPr>
          <w:rFonts w:ascii="MS Gothic;ＭＳ ゴシック" w:hAnsi="MS Gothic;ＭＳ ゴシック" w:cs="MS Gothic;ＭＳ ゴシック" w:eastAsia="MS Gothic;ＭＳ ゴシック"/>
          <w:b/>
          <w:bCs/>
          <w:color w:val="000000"/>
          <w:sz w:val="28"/>
          <w:szCs w:val="28"/>
        </w:rPr>
        <w:t xml:space="preserve">◆  </w:t>
      </w:r>
      <w:r>
        <w:rPr>
          <w:rFonts w:ascii="Arial" w:hAnsi="Arial" w:cs="Arial" w:eastAsia="仿宋_GB2312;仿宋"/>
          <w:b/>
          <w:bCs/>
          <w:color w:val="000000"/>
          <w:sz w:val="28"/>
          <w:szCs w:val="28"/>
        </w:rPr>
        <w:t>金融政策：</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2022</w:t>
      </w:r>
      <w:r>
        <w:rPr>
          <w:rFonts w:ascii="Arial" w:hAnsi="Arial" w:cs="Arial" w:eastAsia="仿宋_GB2312;仿宋"/>
          <w:bCs/>
          <w:color w:val="000000"/>
          <w:sz w:val="28"/>
          <w:szCs w:val="28"/>
        </w:rPr>
        <w:t>年</w:t>
      </w:r>
      <w:r>
        <w:rPr>
          <w:rFonts w:eastAsia="仿宋_GB2312;仿宋" w:cs="Arial" w:ascii="Arial" w:hAnsi="Arial"/>
          <w:bCs/>
          <w:color w:val="000000"/>
          <w:sz w:val="28"/>
          <w:szCs w:val="28"/>
        </w:rPr>
        <w:t>5</w:t>
      </w:r>
      <w:r>
        <w:rPr>
          <w:rFonts w:ascii="Arial" w:hAnsi="Arial" w:cs="Arial" w:eastAsia="仿宋_GB2312;仿宋"/>
          <w:bCs/>
          <w:color w:val="000000"/>
          <w:sz w:val="28"/>
          <w:szCs w:val="28"/>
        </w:rPr>
        <w:t>月，北京市发布《</w:t>
      </w:r>
      <w:r>
        <w:rPr>
          <w:rFonts w:eastAsia="仿宋_GB2312;仿宋" w:cs="Arial" w:ascii="Arial" w:hAnsi="Arial"/>
          <w:bCs/>
          <w:color w:val="000000"/>
          <w:sz w:val="28"/>
          <w:szCs w:val="28"/>
        </w:rPr>
        <w:t>2022</w:t>
      </w:r>
      <w:r>
        <w:rPr>
          <w:rFonts w:ascii="Arial" w:hAnsi="Arial" w:cs="Arial" w:eastAsia="仿宋_GB2312;仿宋"/>
          <w:bCs/>
          <w:color w:val="000000"/>
          <w:sz w:val="28"/>
          <w:szCs w:val="28"/>
        </w:rPr>
        <w:t>年度高精尖产业发展资金实施指南》（以下简称‘实施指南’），进一步加大普惠性产业资金支持力度。《实施指南》明确，</w:t>
      </w:r>
      <w:r>
        <w:rPr>
          <w:rFonts w:eastAsia="仿宋_GB2312;仿宋" w:cs="Arial" w:ascii="Arial" w:hAnsi="Arial"/>
          <w:bCs/>
          <w:color w:val="000000"/>
          <w:sz w:val="28"/>
          <w:szCs w:val="28"/>
        </w:rPr>
        <w:t>2022</w:t>
      </w:r>
      <w:r>
        <w:rPr>
          <w:rFonts w:ascii="Arial" w:hAnsi="Arial" w:cs="Arial" w:eastAsia="仿宋_GB2312;仿宋"/>
          <w:bCs/>
          <w:color w:val="000000"/>
          <w:sz w:val="28"/>
          <w:szCs w:val="28"/>
        </w:rPr>
        <w:t>年支持方向主要是高端智能绿色发展和高精尖产业平稳发展两方面，具体分为重点新材料首批次应用奖励、医药创新品种首试产奖励等</w:t>
      </w:r>
      <w:r>
        <w:rPr>
          <w:rFonts w:eastAsia="仿宋_GB2312;仿宋" w:cs="Arial" w:ascii="Arial" w:hAnsi="Arial"/>
          <w:bCs/>
          <w:color w:val="000000"/>
          <w:sz w:val="28"/>
          <w:szCs w:val="28"/>
        </w:rPr>
        <w:t>12</w:t>
      </w:r>
      <w:r>
        <w:rPr>
          <w:rFonts w:ascii="Arial" w:hAnsi="Arial" w:cs="Arial" w:eastAsia="仿宋_GB2312;仿宋"/>
          <w:bCs/>
          <w:color w:val="000000"/>
          <w:sz w:val="28"/>
          <w:szCs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pPr>
        <w:pStyle w:val="Normal"/>
        <w:widowControl/>
        <w:spacing w:lineRule="auto" w:line="360"/>
        <w:ind w:firstLine="560"/>
        <w:jc w:val="both"/>
        <w:rPr>
          <w:rFonts w:ascii="Arial" w:hAnsi="Arial" w:eastAsia="仿宋_GB2312;仿宋" w:cs="Arial"/>
          <w:bCs/>
          <w:sz w:val="28"/>
          <w:szCs w:val="28"/>
        </w:rPr>
      </w:pPr>
      <w:r>
        <w:rPr>
          <w:rFonts w:eastAsia="仿宋_GB2312;仿宋" w:cs="Arial" w:ascii="Arial" w:hAnsi="Arial"/>
          <w:bCs/>
          <w:sz w:val="28"/>
          <w:szCs w:val="28"/>
        </w:rPr>
        <w:t>4.</w:t>
      </w:r>
      <w:r>
        <w:rPr>
          <w:rFonts w:ascii="Arial" w:hAnsi="Arial" w:cs="Arial" w:eastAsia="仿宋_GB2312;仿宋"/>
          <w:bCs/>
          <w:sz w:val="28"/>
          <w:szCs w:val="28"/>
        </w:rPr>
        <w:t>城市规划与发展目标</w:t>
      </w:r>
    </w:p>
    <w:p>
      <w:pPr>
        <w:pStyle w:val="Normal"/>
        <w:spacing w:lineRule="auto" w:line="360"/>
        <w:ind w:firstLine="560"/>
        <w:jc w:val="both"/>
        <w:rPr>
          <w:rFonts w:ascii="Arial" w:hAnsi="Arial" w:eastAsia="仿宋_GB2312;仿宋" w:cs="Arial"/>
          <w:bCs/>
          <w:sz w:val="28"/>
          <w:szCs w:val="28"/>
        </w:rPr>
      </w:pPr>
      <w:r>
        <w:rPr>
          <w:rFonts w:ascii="Arial" w:hAnsi="Arial" w:cs="Arial" w:eastAsia="仿宋_GB2312;仿宋"/>
          <w:bCs/>
          <w:sz w:val="28"/>
          <w:szCs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pStyle w:val="Normal"/>
        <w:spacing w:lineRule="auto" w:line="360"/>
        <w:ind w:firstLine="560"/>
        <w:jc w:val="both"/>
        <w:rPr>
          <w:rFonts w:ascii="Arial" w:hAnsi="Arial" w:eastAsia="仿宋_GB2312;仿宋" w:cs="Arial"/>
          <w:bCs/>
          <w:sz w:val="28"/>
          <w:szCs w:val="28"/>
        </w:rPr>
      </w:pPr>
      <w:r>
        <w:rPr>
          <w:rFonts w:ascii="Arial" w:hAnsi="Arial" w:cs="Arial" w:eastAsia="仿宋_GB2312;仿宋"/>
          <w:bCs/>
          <w:sz w:val="28"/>
          <w:szCs w:val="28"/>
        </w:rPr>
        <w:t>《纲要》提出，“十四五”时期要坚决落实创新在现代化建设全局中的核心地位。加快建设“三城一区”主平台和中关村示范区主阵地：</w:t>
      </w:r>
      <w:r>
        <w:rPr>
          <w:rFonts w:eastAsia="仿宋_GB2312;仿宋" w:cs="Arial" w:ascii="Arial" w:hAnsi="Arial"/>
          <w:bCs/>
          <w:sz w:val="28"/>
          <w:szCs w:val="28"/>
        </w:rPr>
        <w:t>1.</w:t>
      </w:r>
      <w:r>
        <w:rPr>
          <w:rFonts w:ascii="Arial" w:hAnsi="Arial" w:cs="Arial" w:eastAsia="仿宋_GB2312;仿宋"/>
          <w:bCs/>
          <w:sz w:val="28"/>
          <w:szCs w:val="28"/>
        </w:rPr>
        <w:t>聚焦中关村科学城，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eastAsia="仿宋_GB2312;仿宋" w:cs="Arial" w:ascii="Arial" w:hAnsi="Arial"/>
          <w:bCs/>
          <w:sz w:val="28"/>
          <w:szCs w:val="28"/>
        </w:rPr>
        <w:t>2.</w:t>
      </w:r>
      <w:r>
        <w:rPr>
          <w:rFonts w:ascii="Arial" w:hAnsi="Arial" w:cs="Arial" w:eastAsia="仿宋_GB2312;仿宋"/>
          <w:bCs/>
          <w:sz w:val="28"/>
          <w:szCs w:val="28"/>
        </w:rPr>
        <w:t>突破怀柔科学城</w:t>
      </w:r>
      <w:r>
        <w:rPr>
          <w:rFonts w:ascii="Arial" w:hAnsi="Arial" w:cs="Arial" w:eastAsia="仿宋_GB2312;仿宋"/>
          <w:bCs/>
          <w:sz w:val="28"/>
          <w:szCs w:val="28"/>
        </w:rPr>
        <w:t>，</w:t>
      </w:r>
      <w:r>
        <w:rPr>
          <w:rFonts w:ascii="Arial" w:hAnsi="Arial" w:cs="Arial" w:eastAsia="仿宋_GB2312;仿宋"/>
          <w:bCs/>
          <w:sz w:val="28"/>
          <w:szCs w:val="28"/>
        </w:rPr>
        <w:t>以支撑北京怀柔综合性国家科学中心建设为核心，体系化布局一批设施平台、创新主体。突出科学功能适度集聚与城市发展集约高效的有机融合。聚焦“一心一核”，实施城市客厅等一批城市框架起步区品质提升工程。完善“三片”功能布局。推进怀柔南站交通接驳工程</w:t>
      </w:r>
      <w:r>
        <w:rPr>
          <w:rFonts w:ascii="Arial" w:hAnsi="Arial" w:cs="Arial" w:eastAsia="仿宋_GB2312;仿宋"/>
          <w:bCs/>
          <w:sz w:val="28"/>
          <w:szCs w:val="28"/>
        </w:rPr>
        <w:t>，</w:t>
      </w:r>
      <w:r>
        <w:rPr>
          <w:rFonts w:ascii="Arial" w:hAnsi="Arial" w:cs="Arial" w:eastAsia="仿宋_GB2312;仿宋"/>
          <w:bCs/>
          <w:sz w:val="28"/>
          <w:szCs w:val="28"/>
        </w:rPr>
        <w:t>布局雁栖小镇等重大项目，推进雁栖国际人才社区建设，完善多类型分层次住房保障体系。</w:t>
      </w:r>
      <w:r>
        <w:rPr>
          <w:rFonts w:eastAsia="仿宋_GB2312;仿宋" w:cs="Arial" w:ascii="Arial" w:hAnsi="Arial"/>
          <w:bCs/>
          <w:sz w:val="28"/>
          <w:szCs w:val="28"/>
        </w:rPr>
        <w:t>3.</w:t>
      </w:r>
      <w:r>
        <w:rPr>
          <w:rFonts w:eastAsia="仿宋_GB2312;仿宋" w:cs="Arial" w:ascii="Arial" w:hAnsi="Arial"/>
          <w:bCs/>
          <w:sz w:val="28"/>
          <w:szCs w:val="28"/>
        </w:rPr>
        <w:t xml:space="preserve"> </w:t>
      </w:r>
      <w:r>
        <w:rPr>
          <w:rFonts w:ascii="Arial" w:hAnsi="Arial" w:cs="Arial" w:eastAsia="仿宋_GB2312;仿宋"/>
          <w:bCs/>
          <w:sz w:val="28"/>
          <w:szCs w:val="28"/>
        </w:rPr>
        <w:t>搞活未来科学城</w:t>
      </w:r>
      <w:r>
        <w:rPr>
          <w:rFonts w:ascii="Arial" w:hAnsi="Arial" w:cs="Arial" w:eastAsia="仿宋_GB2312;仿宋"/>
          <w:bCs/>
          <w:sz w:val="28"/>
          <w:szCs w:val="28"/>
        </w:rPr>
        <w:t>，</w:t>
      </w:r>
      <w:r>
        <w:rPr>
          <w:rFonts w:ascii="Arial" w:hAnsi="Arial" w:cs="Arial" w:eastAsia="仿宋_GB2312;仿宋"/>
          <w:bCs/>
          <w:sz w:val="28"/>
          <w:szCs w:val="28"/>
        </w:rPr>
        <w:t>依托“两谷一园”，积极营造“龙头企业</w:t>
      </w:r>
      <w:r>
        <w:rPr>
          <w:rFonts w:eastAsia="仿宋_GB2312;仿宋" w:cs="Arial" w:ascii="Arial" w:hAnsi="Arial"/>
          <w:bCs/>
          <w:sz w:val="28"/>
          <w:szCs w:val="28"/>
        </w:rPr>
        <w:t>+</w:t>
      </w:r>
      <w:r>
        <w:rPr>
          <w:rFonts w:ascii="Arial" w:hAnsi="Arial" w:cs="Arial" w:eastAsia="仿宋_GB2312;仿宋"/>
          <w:bCs/>
          <w:sz w:val="28"/>
          <w:szCs w:val="28"/>
        </w:rPr>
        <w:t>中小创新企业</w:t>
      </w:r>
      <w:r>
        <w:rPr>
          <w:rFonts w:ascii="Arial" w:hAnsi="Arial" w:cs="Arial" w:eastAsia="Arial"/>
          <w:bCs/>
          <w:sz w:val="28"/>
          <w:szCs w:val="28"/>
        </w:rPr>
        <w:t xml:space="preserve"> </w:t>
      </w:r>
      <w:r>
        <w:rPr>
          <w:rFonts w:eastAsia="仿宋_GB2312;仿宋" w:cs="Arial" w:ascii="Arial" w:hAnsi="Arial"/>
          <w:bCs/>
          <w:sz w:val="28"/>
          <w:szCs w:val="28"/>
        </w:rPr>
        <w:t>+</w:t>
      </w:r>
      <w:r>
        <w:rPr>
          <w:rFonts w:ascii="Arial" w:hAnsi="Arial" w:cs="Arial" w:eastAsia="仿宋_GB2312;仿宋"/>
          <w:bCs/>
          <w:sz w:val="28"/>
          <w:szCs w:val="28"/>
        </w:rPr>
        <w:t>公共服务平台</w:t>
      </w:r>
      <w:r>
        <w:rPr>
          <w:rFonts w:eastAsia="仿宋_GB2312;仿宋" w:cs="Arial" w:ascii="Arial" w:hAnsi="Arial"/>
          <w:bCs/>
          <w:sz w:val="28"/>
          <w:szCs w:val="28"/>
        </w:rPr>
        <w:t>+</w:t>
      </w:r>
      <w:r>
        <w:rPr>
          <w:rFonts w:ascii="Arial" w:hAnsi="Arial" w:cs="Arial" w:eastAsia="仿宋_GB2312;仿宋"/>
          <w:bCs/>
          <w:sz w:val="28"/>
          <w:szCs w:val="28"/>
        </w:rPr>
        <w:t>高校”的创新生态。加快“能源谷”建设，“一企一策”盘活央企存量资源，加速形成更具活力的创新空间。提</w:t>
      </w:r>
      <w:r>
        <w:rPr>
          <w:rFonts w:ascii="Arial" w:hAnsi="Arial" w:cs="Arial" w:eastAsia="Arial"/>
          <w:bCs/>
          <w:sz w:val="28"/>
          <w:szCs w:val="28"/>
        </w:rPr>
        <w:t xml:space="preserve"> </w:t>
      </w:r>
      <w:r>
        <w:rPr>
          <w:rFonts w:ascii="Arial" w:hAnsi="Arial" w:cs="Arial" w:eastAsia="仿宋_GB2312;仿宋"/>
          <w:bCs/>
          <w:sz w:val="28"/>
          <w:szCs w:val="28"/>
        </w:rPr>
        <w:t>升“生命谷”创新能级，推进生命园三期建设，进一步拓展居住、产业和商业配套空间。</w:t>
      </w:r>
    </w:p>
    <w:p>
      <w:pPr>
        <w:pStyle w:val="Normal"/>
        <w:spacing w:lineRule="auto" w:line="360"/>
        <w:ind w:firstLine="560"/>
        <w:jc w:val="both"/>
        <w:rPr>
          <w:rFonts w:ascii="Arial" w:hAnsi="Arial" w:eastAsia="仿宋_GB2312;仿宋" w:cs="Arial"/>
          <w:bCs/>
          <w:sz w:val="28"/>
          <w:szCs w:val="28"/>
        </w:rPr>
      </w:pPr>
      <w:r>
        <w:rPr>
          <w:rFonts w:ascii="Arial" w:hAnsi="Arial" w:cs="Arial" w:eastAsia="仿宋_GB2312;仿宋"/>
          <w:bCs/>
          <w:sz w:val="28"/>
          <w:szCs w:val="28"/>
        </w:rPr>
        <w:t>纵深推动京津冀协同发展，推动形成更加紧密协同发展格局，</w:t>
      </w:r>
      <w:r>
        <w:rPr>
          <w:rFonts w:ascii="Arial" w:hAnsi="Arial" w:cs="Arial" w:eastAsia="仿宋_GB2312;仿宋"/>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pPr>
        <w:pStyle w:val="Normal"/>
        <w:spacing w:lineRule="auto" w:line="360"/>
        <w:ind w:firstLine="560"/>
        <w:jc w:val="both"/>
        <w:rPr>
          <w:rFonts w:ascii="Arial" w:hAnsi="Arial" w:eastAsia="仿宋_GB2312;仿宋" w:cs="Arial"/>
          <w:bCs/>
          <w:sz w:val="28"/>
          <w:szCs w:val="28"/>
        </w:rPr>
      </w:pPr>
      <w:r>
        <w:rPr>
          <w:rFonts w:ascii="Arial" w:hAnsi="Arial" w:cs="Arial" w:eastAsia="仿宋_GB2312;仿宋"/>
          <w:bCs/>
          <w:sz w:val="28"/>
          <w:szCs w:val="28"/>
        </w:rPr>
        <w:t>构建特色与活力兼备的现代化经济体系，探索构建新发展格局的有效路径，激发“两区”新活力，全方位打造“产业</w:t>
      </w:r>
      <w:r>
        <w:rPr>
          <w:rFonts w:eastAsia="仿宋_GB2312;仿宋" w:cs="Arial" w:ascii="Arial" w:hAnsi="Arial"/>
          <w:bCs/>
          <w:sz w:val="28"/>
          <w:szCs w:val="28"/>
        </w:rPr>
        <w:t>+</w:t>
      </w:r>
      <w:r>
        <w:rPr>
          <w:rFonts w:ascii="Arial" w:hAnsi="Arial" w:cs="Arial" w:eastAsia="仿宋_GB2312;仿宋"/>
          <w:bCs/>
          <w:sz w:val="28"/>
          <w:szCs w:val="28"/>
        </w:rPr>
        <w:t>园区”协同开放，优化产业空间布局；</w:t>
      </w:r>
      <w:r>
        <w:rPr>
          <w:rFonts w:ascii="Arial" w:hAnsi="Arial" w:cs="Arial" w:eastAsia="仿宋_GB2312;仿宋"/>
          <w:bCs/>
          <w:sz w:val="28"/>
          <w:szCs w:val="28"/>
        </w:rPr>
        <w:t>全力建设好国家服务业扩大开放综合示范区和中国</w:t>
      </w:r>
      <w:r>
        <w:rPr>
          <w:rFonts w:eastAsia="仿宋_GB2312;仿宋" w:cs="Arial" w:ascii="Arial" w:hAnsi="Arial"/>
          <w:bCs/>
          <w:sz w:val="28"/>
          <w:szCs w:val="28"/>
        </w:rPr>
        <w:t>(</w:t>
      </w:r>
      <w:r>
        <w:rPr>
          <w:rFonts w:ascii="Arial" w:hAnsi="Arial" w:cs="Arial" w:eastAsia="仿宋_GB2312;仿宋"/>
          <w:bCs/>
          <w:sz w:val="28"/>
          <w:szCs w:val="28"/>
        </w:rPr>
        <w:t>北京</w:t>
      </w:r>
      <w:r>
        <w:rPr>
          <w:rFonts w:eastAsia="仿宋_GB2312;仿宋" w:cs="Arial" w:ascii="Arial" w:hAnsi="Arial"/>
          <w:bCs/>
          <w:sz w:val="28"/>
          <w:szCs w:val="28"/>
        </w:rPr>
        <w:t>)</w:t>
      </w:r>
      <w:r>
        <w:rPr>
          <w:rFonts w:ascii="Arial" w:hAnsi="Arial" w:cs="Arial" w:eastAsia="仿宋_GB2312;仿宋"/>
          <w:bCs/>
          <w:sz w:val="28"/>
          <w:szCs w:val="28"/>
        </w:rPr>
        <w:t>自由贸易试验区</w:t>
      </w:r>
      <w:r>
        <w:rPr>
          <w:rFonts w:ascii="Arial" w:hAnsi="Arial" w:cs="Arial" w:eastAsia="仿宋_GB2312;仿宋"/>
          <w:bCs/>
          <w:sz w:val="28"/>
          <w:szCs w:val="28"/>
        </w:rPr>
        <w:t>。</w:t>
      </w:r>
      <w:r>
        <w:rPr>
          <w:rFonts w:ascii="Arial" w:hAnsi="Arial" w:cs="Arial" w:eastAsia="仿宋_GB2312;仿宋"/>
          <w:bCs/>
          <w:sz w:val="28"/>
          <w:szCs w:val="28"/>
        </w:rPr>
        <w:t>国家服务业扩大开放综合示范区</w:t>
      </w:r>
      <w:r>
        <w:rPr>
          <w:rFonts w:ascii="Arial" w:hAnsi="Arial" w:cs="Arial" w:eastAsia="Arial"/>
          <w:bCs/>
          <w:sz w:val="28"/>
          <w:szCs w:val="28"/>
        </w:rPr>
        <w:t xml:space="preserve"> </w:t>
      </w:r>
      <w:r>
        <w:rPr>
          <w:rFonts w:ascii="Arial" w:hAnsi="Arial" w:cs="Arial" w:eastAsia="仿宋_GB2312;仿宋"/>
          <w:bCs/>
          <w:sz w:val="28"/>
          <w:szCs w:val="28"/>
        </w:rPr>
        <w:t>突出金融街、丽泽金融商务区、通州文旅区、</w:t>
      </w:r>
      <w:r>
        <w:rPr>
          <w:rFonts w:eastAsia="仿宋_GB2312;仿宋" w:cs="Arial" w:ascii="Arial" w:hAnsi="Arial"/>
          <w:bCs/>
          <w:sz w:val="28"/>
          <w:szCs w:val="28"/>
        </w:rPr>
        <w:t xml:space="preserve">CBD </w:t>
      </w:r>
      <w:r>
        <w:rPr>
          <w:rFonts w:ascii="Arial" w:hAnsi="Arial" w:cs="Arial" w:eastAsia="仿宋_GB2312;仿宋"/>
          <w:bCs/>
          <w:sz w:val="28"/>
          <w:szCs w:val="28"/>
        </w:rPr>
        <w:t>等重点园</w:t>
      </w:r>
      <w:r>
        <w:rPr>
          <w:rFonts w:ascii="Arial" w:hAnsi="Arial" w:cs="Arial" w:eastAsia="Arial"/>
          <w:bCs/>
          <w:sz w:val="28"/>
          <w:szCs w:val="28"/>
        </w:rPr>
        <w:t xml:space="preserve"> </w:t>
      </w:r>
      <w:r>
        <w:rPr>
          <w:rFonts w:ascii="Arial" w:hAnsi="Arial" w:cs="Arial" w:eastAsia="仿宋_GB2312;仿宋"/>
          <w:bCs/>
          <w:sz w:val="28"/>
          <w:szCs w:val="28"/>
        </w:rPr>
        <w:t>区建设，与自贸区三个片区衔接联动。</w:t>
      </w:r>
    </w:p>
    <w:p>
      <w:pPr>
        <w:pStyle w:val="Normal"/>
        <w:widowControl/>
        <w:spacing w:lineRule="auto" w:line="360"/>
        <w:ind w:firstLine="560"/>
        <w:jc w:val="both"/>
        <w:rPr>
          <w:rFonts w:ascii="Arial" w:hAnsi="Arial" w:eastAsia="仿宋_GB2312;仿宋" w:cs="Arial"/>
          <w:bCs/>
          <w:sz w:val="28"/>
          <w:szCs w:val="28"/>
        </w:rPr>
      </w:pPr>
      <w:r>
        <w:rPr>
          <w:rFonts w:eastAsia="仿宋_GB2312;仿宋" w:cs="Arial" w:ascii="Arial" w:hAnsi="Arial"/>
          <w:bCs/>
          <w:sz w:val="28"/>
          <w:szCs w:val="28"/>
        </w:rPr>
        <w:t>5.</w:t>
      </w:r>
      <w:r>
        <w:rPr>
          <w:rFonts w:ascii="Arial" w:hAnsi="Arial" w:cs="Arial" w:eastAsia="仿宋_GB2312;仿宋"/>
          <w:bCs/>
          <w:sz w:val="28"/>
          <w:szCs w:val="28"/>
        </w:rPr>
        <w:t>城市经济发展运行状况</w:t>
      </w:r>
    </w:p>
    <w:p>
      <w:pPr>
        <w:pStyle w:val="Normal"/>
        <w:spacing w:lineRule="auto" w:line="360"/>
        <w:ind w:right="205" w:firstLine="560"/>
        <w:jc w:val="both"/>
        <w:rPr>
          <w:rFonts w:ascii="Arial" w:hAnsi="Arial" w:eastAsia="仿宋_GB2312;仿宋" w:cs="Arial"/>
          <w:bCs/>
          <w:sz w:val="28"/>
          <w:szCs w:val="28"/>
        </w:rPr>
      </w:pPr>
      <w:r>
        <w:rPr>
          <w:rFonts w:ascii="Arial" w:hAnsi="Arial" w:cs="Arial" w:eastAsia="仿宋_GB2312;仿宋"/>
          <w:bCs/>
          <w:sz w:val="28"/>
          <w:szCs w:val="28"/>
        </w:rPr>
        <w:t>根据北京市统计局地区生产总值统一核算结果，</w:t>
      </w:r>
      <w:r>
        <w:rPr>
          <w:rFonts w:eastAsia="仿宋_GB2312;仿宋" w:cs="Arial" w:ascii="Arial" w:hAnsi="Arial"/>
          <w:bCs/>
          <w:sz w:val="28"/>
          <w:szCs w:val="28"/>
        </w:rPr>
        <w:t>2023</w:t>
      </w:r>
      <w:r>
        <w:rPr>
          <w:rFonts w:ascii="Arial" w:hAnsi="Arial" w:cs="Arial" w:eastAsia="仿宋_GB2312;仿宋"/>
          <w:bCs/>
          <w:sz w:val="28"/>
          <w:szCs w:val="28"/>
        </w:rPr>
        <w:t>年全年，北京市实现地区生产总值</w:t>
      </w:r>
      <w:r>
        <w:rPr>
          <w:rFonts w:eastAsia="仿宋_GB2312;仿宋" w:cs="Arial" w:ascii="Arial" w:hAnsi="Arial"/>
          <w:bCs/>
          <w:sz w:val="28"/>
          <w:szCs w:val="28"/>
        </w:rPr>
        <w:t>43760.7</w:t>
      </w:r>
      <w:r>
        <w:rPr>
          <w:rFonts w:ascii="Arial" w:hAnsi="Arial" w:cs="Arial" w:eastAsia="仿宋_GB2312;仿宋"/>
          <w:bCs/>
          <w:sz w:val="28"/>
          <w:szCs w:val="28"/>
        </w:rPr>
        <w:t>亿元，按不变价格计算，比上年增长</w:t>
      </w:r>
      <w:r>
        <w:rPr>
          <w:rFonts w:eastAsia="仿宋_GB2312;仿宋" w:cs="Arial" w:ascii="Arial" w:hAnsi="Arial"/>
          <w:bCs/>
          <w:sz w:val="28"/>
          <w:szCs w:val="28"/>
        </w:rPr>
        <w:t>5.2%</w:t>
      </w:r>
      <w:r>
        <w:rPr>
          <w:rFonts w:ascii="Arial" w:hAnsi="Arial" w:cs="Arial" w:eastAsia="仿宋_GB2312;仿宋"/>
          <w:bCs/>
          <w:sz w:val="28"/>
          <w:szCs w:val="28"/>
        </w:rPr>
        <w:t>。分产业看，第一产业实现增加值</w:t>
      </w:r>
      <w:r>
        <w:rPr>
          <w:rFonts w:eastAsia="仿宋_GB2312;仿宋" w:cs="Arial" w:ascii="Arial" w:hAnsi="Arial"/>
          <w:bCs/>
          <w:sz w:val="28"/>
          <w:szCs w:val="28"/>
        </w:rPr>
        <w:t>105.5</w:t>
      </w:r>
      <w:r>
        <w:rPr>
          <w:rFonts w:ascii="Arial" w:hAnsi="Arial" w:cs="Arial" w:eastAsia="仿宋_GB2312;仿宋"/>
          <w:bCs/>
          <w:sz w:val="28"/>
          <w:szCs w:val="28"/>
        </w:rPr>
        <w:t>亿元，下降</w:t>
      </w:r>
      <w:r>
        <w:rPr>
          <w:rFonts w:eastAsia="仿宋_GB2312;仿宋" w:cs="Arial" w:ascii="Arial" w:hAnsi="Arial"/>
          <w:bCs/>
          <w:sz w:val="28"/>
          <w:szCs w:val="28"/>
        </w:rPr>
        <w:t>4.6%</w:t>
      </w:r>
      <w:r>
        <w:rPr>
          <w:rFonts w:ascii="Arial" w:hAnsi="Arial" w:cs="Arial" w:eastAsia="仿宋_GB2312;仿宋"/>
          <w:bCs/>
          <w:sz w:val="28"/>
          <w:szCs w:val="28"/>
        </w:rPr>
        <w:t>；第二产业实现增加值</w:t>
      </w:r>
      <w:r>
        <w:rPr>
          <w:rFonts w:eastAsia="仿宋_GB2312;仿宋" w:cs="Arial" w:ascii="Arial" w:hAnsi="Arial"/>
          <w:bCs/>
          <w:sz w:val="28"/>
          <w:szCs w:val="28"/>
        </w:rPr>
        <w:t>6525.6</w:t>
      </w:r>
      <w:r>
        <w:rPr>
          <w:rFonts w:ascii="Arial" w:hAnsi="Arial" w:cs="Arial" w:eastAsia="仿宋_GB2312;仿宋"/>
          <w:bCs/>
          <w:sz w:val="28"/>
          <w:szCs w:val="28"/>
        </w:rPr>
        <w:t>亿元，增长</w:t>
      </w:r>
      <w:r>
        <w:rPr>
          <w:rFonts w:eastAsia="仿宋_GB2312;仿宋" w:cs="Arial" w:ascii="Arial" w:hAnsi="Arial"/>
          <w:bCs/>
          <w:sz w:val="28"/>
          <w:szCs w:val="28"/>
        </w:rPr>
        <w:t>0.4%</w:t>
      </w:r>
      <w:r>
        <w:rPr>
          <w:rFonts w:ascii="Arial" w:hAnsi="Arial" w:cs="Arial" w:eastAsia="仿宋_GB2312;仿宋"/>
          <w:bCs/>
          <w:sz w:val="28"/>
          <w:szCs w:val="28"/>
        </w:rPr>
        <w:t>；第三产业实现增加值</w:t>
      </w:r>
      <w:r>
        <w:rPr>
          <w:rFonts w:eastAsia="仿宋_GB2312;仿宋" w:cs="Arial" w:ascii="Arial" w:hAnsi="Arial"/>
          <w:bCs/>
          <w:sz w:val="28"/>
          <w:szCs w:val="28"/>
        </w:rPr>
        <w:t>37129.6</w:t>
      </w:r>
      <w:r>
        <w:rPr>
          <w:rFonts w:ascii="Arial" w:hAnsi="Arial" w:cs="Arial" w:eastAsia="仿宋_GB2312;仿宋"/>
          <w:bCs/>
          <w:sz w:val="28"/>
          <w:szCs w:val="28"/>
        </w:rPr>
        <w:t>亿元，增长</w:t>
      </w:r>
      <w:r>
        <w:rPr>
          <w:rFonts w:eastAsia="仿宋_GB2312;仿宋" w:cs="Arial" w:ascii="Arial" w:hAnsi="Arial"/>
          <w:bCs/>
          <w:sz w:val="28"/>
          <w:szCs w:val="28"/>
        </w:rPr>
        <w:t>6.1%</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ascii="Arial" w:hAnsi="Arial" w:cs="Arial" w:eastAsia="仿宋_GB2312;仿宋"/>
          <w:bCs/>
          <w:sz w:val="28"/>
          <w:szCs w:val="28"/>
        </w:rPr>
        <w:t>（</w:t>
      </w:r>
      <w:r>
        <w:rPr>
          <w:rFonts w:eastAsia="仿宋_GB2312;仿宋" w:cs="Arial" w:ascii="Arial" w:hAnsi="Arial"/>
          <w:bCs/>
          <w:sz w:val="28"/>
          <w:szCs w:val="28"/>
        </w:rPr>
        <w:t>1</w:t>
      </w:r>
      <w:r>
        <w:rPr>
          <w:rFonts w:ascii="Arial" w:hAnsi="Arial" w:cs="Arial" w:eastAsia="仿宋_GB2312;仿宋"/>
          <w:bCs/>
          <w:sz w:val="28"/>
          <w:szCs w:val="28"/>
        </w:rPr>
        <w:t>）粮食、蔬菜生产保持稳定，休闲农业和乡村旅游持续复苏</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年，全市实现农林牧渔业总产值</w:t>
      </w:r>
      <w:r>
        <w:rPr>
          <w:rFonts w:eastAsia="仿宋_GB2312;仿宋" w:cs="Arial" w:ascii="Arial" w:hAnsi="Arial"/>
          <w:bCs/>
          <w:sz w:val="28"/>
          <w:szCs w:val="28"/>
        </w:rPr>
        <w:t>252.5</w:t>
      </w:r>
      <w:r>
        <w:rPr>
          <w:rFonts w:ascii="Arial" w:hAnsi="Arial" w:cs="Arial" w:eastAsia="仿宋_GB2312;仿宋"/>
          <w:bCs/>
          <w:sz w:val="28"/>
          <w:szCs w:val="28"/>
        </w:rPr>
        <w:t>亿元，按可比价格计算，比上年下降</w:t>
      </w:r>
      <w:r>
        <w:rPr>
          <w:rFonts w:eastAsia="仿宋_GB2312;仿宋" w:cs="Arial" w:ascii="Arial" w:hAnsi="Arial"/>
          <w:bCs/>
          <w:sz w:val="28"/>
          <w:szCs w:val="28"/>
        </w:rPr>
        <w:t>4.6%</w:t>
      </w:r>
      <w:r>
        <w:rPr>
          <w:rFonts w:ascii="Arial" w:hAnsi="Arial" w:cs="Arial" w:eastAsia="仿宋_GB2312;仿宋"/>
          <w:bCs/>
          <w:sz w:val="28"/>
          <w:szCs w:val="28"/>
        </w:rPr>
        <w:t>。其中，实现农业（种植业）产值</w:t>
      </w:r>
      <w:r>
        <w:rPr>
          <w:rFonts w:eastAsia="仿宋_GB2312;仿宋" w:cs="Arial" w:ascii="Arial" w:hAnsi="Arial"/>
          <w:bCs/>
          <w:sz w:val="28"/>
          <w:szCs w:val="28"/>
        </w:rPr>
        <w:t>135.6</w:t>
      </w:r>
      <w:r>
        <w:rPr>
          <w:rFonts w:ascii="Arial" w:hAnsi="Arial" w:cs="Arial" w:eastAsia="仿宋_GB2312;仿宋"/>
          <w:bCs/>
          <w:sz w:val="28"/>
          <w:szCs w:val="28"/>
        </w:rPr>
        <w:t>亿元，增长</w:t>
      </w:r>
      <w:r>
        <w:rPr>
          <w:rFonts w:eastAsia="仿宋_GB2312;仿宋" w:cs="Arial" w:ascii="Arial" w:hAnsi="Arial"/>
          <w:bCs/>
          <w:sz w:val="28"/>
          <w:szCs w:val="28"/>
        </w:rPr>
        <w:t>5.1%</w:t>
      </w:r>
      <w:r>
        <w:rPr>
          <w:rFonts w:ascii="Arial" w:hAnsi="Arial" w:cs="Arial" w:eastAsia="仿宋_GB2312;仿宋"/>
          <w:bCs/>
          <w:sz w:val="28"/>
          <w:szCs w:val="28"/>
        </w:rPr>
        <w:t>，粮食播种面积</w:t>
      </w:r>
      <w:r>
        <w:rPr>
          <w:rFonts w:eastAsia="仿宋_GB2312;仿宋" w:cs="Arial" w:ascii="Arial" w:hAnsi="Arial"/>
          <w:bCs/>
          <w:sz w:val="28"/>
          <w:szCs w:val="28"/>
        </w:rPr>
        <w:t>134.2</w:t>
      </w:r>
      <w:r>
        <w:rPr>
          <w:rFonts w:ascii="Arial" w:hAnsi="Arial" w:cs="Arial" w:eastAsia="仿宋_GB2312;仿宋"/>
          <w:bCs/>
          <w:sz w:val="28"/>
          <w:szCs w:val="28"/>
        </w:rPr>
        <w:t>万亩、产量</w:t>
      </w:r>
      <w:r>
        <w:rPr>
          <w:rFonts w:eastAsia="仿宋_GB2312;仿宋" w:cs="Arial" w:ascii="Arial" w:hAnsi="Arial"/>
          <w:bCs/>
          <w:sz w:val="28"/>
          <w:szCs w:val="28"/>
        </w:rPr>
        <w:t>47.8</w:t>
      </w:r>
      <w:r>
        <w:rPr>
          <w:rFonts w:ascii="Arial" w:hAnsi="Arial" w:cs="Arial" w:eastAsia="仿宋_GB2312;仿宋"/>
          <w:bCs/>
          <w:sz w:val="28"/>
          <w:szCs w:val="28"/>
        </w:rPr>
        <w:t>万吨，分别增长</w:t>
      </w:r>
      <w:r>
        <w:rPr>
          <w:rFonts w:eastAsia="仿宋_GB2312;仿宋" w:cs="Arial" w:ascii="Arial" w:hAnsi="Arial"/>
          <w:bCs/>
          <w:sz w:val="28"/>
          <w:szCs w:val="28"/>
        </w:rPr>
        <w:t>16.6%</w:t>
      </w:r>
      <w:r>
        <w:rPr>
          <w:rFonts w:ascii="Arial" w:hAnsi="Arial" w:cs="Arial" w:eastAsia="仿宋_GB2312;仿宋"/>
          <w:bCs/>
          <w:sz w:val="28"/>
          <w:szCs w:val="28"/>
        </w:rPr>
        <w:t>和</w:t>
      </w:r>
      <w:r>
        <w:rPr>
          <w:rFonts w:eastAsia="仿宋_GB2312;仿宋" w:cs="Arial" w:ascii="Arial" w:hAnsi="Arial"/>
          <w:bCs/>
          <w:sz w:val="28"/>
          <w:szCs w:val="28"/>
        </w:rPr>
        <w:t>5.3%</w:t>
      </w:r>
      <w:r>
        <w:rPr>
          <w:rFonts w:ascii="Arial" w:hAnsi="Arial" w:cs="Arial" w:eastAsia="仿宋_GB2312;仿宋"/>
          <w:bCs/>
          <w:sz w:val="28"/>
          <w:szCs w:val="28"/>
        </w:rPr>
        <w:t>；蔬菜及食用菌播种面积</w:t>
      </w:r>
      <w:r>
        <w:rPr>
          <w:rFonts w:eastAsia="仿宋_GB2312;仿宋" w:cs="Arial" w:ascii="Arial" w:hAnsi="Arial"/>
          <w:bCs/>
          <w:sz w:val="28"/>
          <w:szCs w:val="28"/>
        </w:rPr>
        <w:t>79.5</w:t>
      </w:r>
      <w:r>
        <w:rPr>
          <w:rFonts w:ascii="Arial" w:hAnsi="Arial" w:cs="Arial" w:eastAsia="仿宋_GB2312;仿宋"/>
          <w:bCs/>
          <w:sz w:val="28"/>
          <w:szCs w:val="28"/>
        </w:rPr>
        <w:t>万亩，与上年基本持平，产量</w:t>
      </w:r>
      <w:r>
        <w:rPr>
          <w:rFonts w:eastAsia="仿宋_GB2312;仿宋" w:cs="Arial" w:ascii="Arial" w:hAnsi="Arial"/>
          <w:bCs/>
          <w:sz w:val="28"/>
          <w:szCs w:val="28"/>
        </w:rPr>
        <w:t>207.5</w:t>
      </w:r>
      <w:r>
        <w:rPr>
          <w:rFonts w:ascii="Arial" w:hAnsi="Arial" w:cs="Arial" w:eastAsia="仿宋_GB2312;仿宋"/>
          <w:bCs/>
          <w:sz w:val="28"/>
          <w:szCs w:val="28"/>
        </w:rPr>
        <w:t>万吨，增长</w:t>
      </w:r>
      <w:r>
        <w:rPr>
          <w:rFonts w:eastAsia="仿宋_GB2312;仿宋" w:cs="Arial" w:ascii="Arial" w:hAnsi="Arial"/>
          <w:bCs/>
          <w:sz w:val="28"/>
          <w:szCs w:val="28"/>
        </w:rPr>
        <w:t>4.3%</w:t>
      </w:r>
      <w:r>
        <w:rPr>
          <w:rFonts w:ascii="Arial" w:hAnsi="Arial" w:cs="Arial" w:eastAsia="仿宋_GB2312;仿宋"/>
          <w:bCs/>
          <w:sz w:val="28"/>
          <w:szCs w:val="28"/>
        </w:rPr>
        <w:t>；受</w:t>
      </w:r>
      <w:r>
        <w:rPr>
          <w:rFonts w:eastAsia="仿宋_GB2312;仿宋" w:cs="Arial" w:ascii="Arial" w:hAnsi="Arial"/>
          <w:bCs/>
          <w:sz w:val="28"/>
          <w:szCs w:val="28"/>
        </w:rPr>
        <w:t>2022</w:t>
      </w:r>
      <w:r>
        <w:rPr>
          <w:rFonts w:ascii="Arial" w:hAnsi="Arial" w:cs="Arial" w:eastAsia="仿宋_GB2312;仿宋"/>
          <w:bCs/>
          <w:sz w:val="28"/>
          <w:szCs w:val="28"/>
        </w:rPr>
        <w:t>年新一轮百万亩造林绿化工程收官、基数较高影响，林业实现产值</w:t>
      </w:r>
      <w:r>
        <w:rPr>
          <w:rFonts w:eastAsia="仿宋_GB2312;仿宋" w:cs="Arial" w:ascii="Arial" w:hAnsi="Arial"/>
          <w:bCs/>
          <w:sz w:val="28"/>
          <w:szCs w:val="28"/>
        </w:rPr>
        <w:t>65.9</w:t>
      </w:r>
      <w:r>
        <w:rPr>
          <w:rFonts w:ascii="Arial" w:hAnsi="Arial" w:cs="Arial" w:eastAsia="仿宋_GB2312;仿宋"/>
          <w:bCs/>
          <w:sz w:val="28"/>
          <w:szCs w:val="28"/>
        </w:rPr>
        <w:t>亿元，下降</w:t>
      </w:r>
      <w:r>
        <w:rPr>
          <w:rFonts w:eastAsia="仿宋_GB2312;仿宋" w:cs="Arial" w:ascii="Arial" w:hAnsi="Arial"/>
          <w:bCs/>
          <w:sz w:val="28"/>
          <w:szCs w:val="28"/>
        </w:rPr>
        <w:t>20.6%</w:t>
      </w:r>
      <w:r>
        <w:rPr>
          <w:rFonts w:ascii="Arial" w:hAnsi="Arial" w:cs="Arial" w:eastAsia="仿宋_GB2312;仿宋"/>
          <w:bCs/>
          <w:sz w:val="28"/>
          <w:szCs w:val="28"/>
        </w:rPr>
        <w:t>。全市休闲农业和乡村旅游接待游客</w:t>
      </w:r>
      <w:r>
        <w:rPr>
          <w:rFonts w:eastAsia="仿宋_GB2312;仿宋" w:cs="Arial" w:ascii="Arial" w:hAnsi="Arial"/>
          <w:bCs/>
          <w:sz w:val="28"/>
          <w:szCs w:val="28"/>
        </w:rPr>
        <w:t>2210.1</w:t>
      </w:r>
      <w:r>
        <w:rPr>
          <w:rFonts w:ascii="Arial" w:hAnsi="Arial" w:cs="Arial" w:eastAsia="仿宋_GB2312;仿宋"/>
          <w:bCs/>
          <w:sz w:val="28"/>
          <w:szCs w:val="28"/>
        </w:rPr>
        <w:t>万人次，比上年增长</w:t>
      </w:r>
      <w:r>
        <w:rPr>
          <w:rFonts w:eastAsia="仿宋_GB2312;仿宋" w:cs="Arial" w:ascii="Arial" w:hAnsi="Arial"/>
          <w:bCs/>
          <w:sz w:val="28"/>
          <w:szCs w:val="28"/>
        </w:rPr>
        <w:t>23.6%</w:t>
      </w:r>
      <w:r>
        <w:rPr>
          <w:rFonts w:ascii="Arial" w:hAnsi="Arial" w:cs="Arial" w:eastAsia="仿宋_GB2312;仿宋"/>
          <w:bCs/>
          <w:sz w:val="28"/>
          <w:szCs w:val="28"/>
        </w:rPr>
        <w:t>，实现收入</w:t>
      </w:r>
      <w:r>
        <w:rPr>
          <w:rFonts w:eastAsia="仿宋_GB2312;仿宋" w:cs="Arial" w:ascii="Arial" w:hAnsi="Arial"/>
          <w:bCs/>
          <w:sz w:val="28"/>
          <w:szCs w:val="28"/>
        </w:rPr>
        <w:t>36.2</w:t>
      </w:r>
      <w:r>
        <w:rPr>
          <w:rFonts w:ascii="Arial" w:hAnsi="Arial" w:cs="Arial" w:eastAsia="仿宋_GB2312;仿宋"/>
          <w:bCs/>
          <w:sz w:val="28"/>
          <w:szCs w:val="28"/>
        </w:rPr>
        <w:t>亿元，增长</w:t>
      </w:r>
      <w:r>
        <w:rPr>
          <w:rFonts w:eastAsia="仿宋_GB2312;仿宋" w:cs="Arial" w:ascii="Arial" w:hAnsi="Arial"/>
          <w:bCs/>
          <w:sz w:val="28"/>
          <w:szCs w:val="28"/>
        </w:rPr>
        <w:t>12.7%</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ascii="Arial" w:hAnsi="Arial" w:cs="Arial" w:eastAsia="仿宋_GB2312;仿宋"/>
          <w:bCs/>
          <w:sz w:val="28"/>
          <w:szCs w:val="28"/>
        </w:rPr>
        <w:t>（</w:t>
      </w:r>
      <w:r>
        <w:rPr>
          <w:rFonts w:eastAsia="仿宋_GB2312;仿宋" w:cs="Arial" w:ascii="Arial" w:hAnsi="Arial"/>
          <w:bCs/>
          <w:sz w:val="28"/>
          <w:szCs w:val="28"/>
        </w:rPr>
        <w:t>2</w:t>
      </w:r>
      <w:r>
        <w:rPr>
          <w:rFonts w:ascii="Arial" w:hAnsi="Arial" w:cs="Arial" w:eastAsia="仿宋_GB2312;仿宋"/>
          <w:bCs/>
          <w:sz w:val="28"/>
          <w:szCs w:val="28"/>
        </w:rPr>
        <w:t>）工业生产稳步回升，电力、装备、汽车行业增势较好</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年，全市规模以上工业增加值按可比价格计算，比上年增长</w:t>
      </w:r>
      <w:r>
        <w:rPr>
          <w:rFonts w:eastAsia="仿宋_GB2312;仿宋" w:cs="Arial" w:ascii="Arial" w:hAnsi="Arial"/>
          <w:bCs/>
          <w:sz w:val="28"/>
          <w:szCs w:val="28"/>
        </w:rPr>
        <w:t>0.4%</w:t>
      </w:r>
      <w:r>
        <w:rPr>
          <w:rFonts w:ascii="Arial" w:hAnsi="Arial" w:cs="Arial" w:eastAsia="仿宋_GB2312;仿宋"/>
          <w:bCs/>
          <w:sz w:val="28"/>
          <w:szCs w:val="28"/>
        </w:rPr>
        <w:t>，扭转年内下降态势；剔除新冠疫苗生产因素，增长</w:t>
      </w:r>
      <w:r>
        <w:rPr>
          <w:rFonts w:eastAsia="仿宋_GB2312;仿宋" w:cs="Arial" w:ascii="Arial" w:hAnsi="Arial"/>
          <w:bCs/>
          <w:sz w:val="28"/>
          <w:szCs w:val="28"/>
        </w:rPr>
        <w:t>3.1%</w:t>
      </w:r>
      <w:r>
        <w:rPr>
          <w:rFonts w:ascii="Arial" w:hAnsi="Arial" w:cs="Arial" w:eastAsia="仿宋_GB2312;仿宋"/>
          <w:bCs/>
          <w:sz w:val="28"/>
          <w:szCs w:val="28"/>
        </w:rPr>
        <w:t>。重点行业中，电力、热力生产和供应业增长</w:t>
      </w:r>
      <w:r>
        <w:rPr>
          <w:rFonts w:eastAsia="仿宋_GB2312;仿宋" w:cs="Arial" w:ascii="Arial" w:hAnsi="Arial"/>
          <w:bCs/>
          <w:sz w:val="28"/>
          <w:szCs w:val="28"/>
        </w:rPr>
        <w:t>7.9%</w:t>
      </w:r>
      <w:r>
        <w:rPr>
          <w:rFonts w:ascii="Arial" w:hAnsi="Arial" w:cs="Arial" w:eastAsia="仿宋_GB2312;仿宋"/>
          <w:bCs/>
          <w:sz w:val="28"/>
          <w:szCs w:val="28"/>
        </w:rPr>
        <w:t>，五大装备制造业</w:t>
      </w:r>
      <w:r>
        <w:rPr>
          <w:rFonts w:eastAsia="仿宋_GB2312;仿宋" w:cs="Arial" w:ascii="Arial" w:hAnsi="Arial"/>
          <w:bCs/>
          <w:sz w:val="28"/>
          <w:szCs w:val="28"/>
        </w:rPr>
        <w:t>[1]</w:t>
      </w:r>
      <w:r>
        <w:rPr>
          <w:rFonts w:ascii="Arial" w:hAnsi="Arial" w:cs="Arial" w:eastAsia="仿宋_GB2312;仿宋"/>
          <w:bCs/>
          <w:sz w:val="28"/>
          <w:szCs w:val="28"/>
        </w:rPr>
        <w:t>增长</w:t>
      </w:r>
      <w:r>
        <w:rPr>
          <w:rFonts w:eastAsia="仿宋_GB2312;仿宋" w:cs="Arial" w:ascii="Arial" w:hAnsi="Arial"/>
          <w:bCs/>
          <w:sz w:val="28"/>
          <w:szCs w:val="28"/>
        </w:rPr>
        <w:t>10.6%</w:t>
      </w:r>
      <w:r>
        <w:rPr>
          <w:rFonts w:ascii="Arial" w:hAnsi="Arial" w:cs="Arial" w:eastAsia="仿宋_GB2312;仿宋"/>
          <w:bCs/>
          <w:sz w:val="28"/>
          <w:szCs w:val="28"/>
        </w:rPr>
        <w:t>，汽车制造业增长</w:t>
      </w:r>
      <w:r>
        <w:rPr>
          <w:rFonts w:eastAsia="仿宋_GB2312;仿宋" w:cs="Arial" w:ascii="Arial" w:hAnsi="Arial"/>
          <w:bCs/>
          <w:sz w:val="28"/>
          <w:szCs w:val="28"/>
        </w:rPr>
        <w:t>5.2%</w:t>
      </w:r>
      <w:r>
        <w:rPr>
          <w:rFonts w:ascii="Arial" w:hAnsi="Arial" w:cs="Arial" w:eastAsia="仿宋_GB2312;仿宋"/>
          <w:bCs/>
          <w:sz w:val="28"/>
          <w:szCs w:val="28"/>
        </w:rPr>
        <w:t>，计算机、通信和其他电子设备制造业下降</w:t>
      </w:r>
      <w:r>
        <w:rPr>
          <w:rFonts w:eastAsia="仿宋_GB2312;仿宋" w:cs="Arial" w:ascii="Arial" w:hAnsi="Arial"/>
          <w:bCs/>
          <w:sz w:val="28"/>
          <w:szCs w:val="28"/>
        </w:rPr>
        <w:t>0.9%</w:t>
      </w:r>
      <w:r>
        <w:rPr>
          <w:rFonts w:ascii="Arial" w:hAnsi="Arial" w:cs="Arial" w:eastAsia="仿宋_GB2312;仿宋"/>
          <w:bCs/>
          <w:sz w:val="28"/>
          <w:szCs w:val="28"/>
        </w:rPr>
        <w:t>，医药制造业下降</w:t>
      </w:r>
      <w:r>
        <w:rPr>
          <w:rFonts w:eastAsia="仿宋_GB2312;仿宋" w:cs="Arial" w:ascii="Arial" w:hAnsi="Arial"/>
          <w:bCs/>
          <w:sz w:val="28"/>
          <w:szCs w:val="28"/>
        </w:rPr>
        <w:t>21.7%</w:t>
      </w:r>
      <w:r>
        <w:rPr>
          <w:rFonts w:ascii="Arial" w:hAnsi="Arial" w:cs="Arial" w:eastAsia="仿宋_GB2312;仿宋"/>
          <w:bCs/>
          <w:sz w:val="28"/>
          <w:szCs w:val="28"/>
        </w:rPr>
        <w:t>（剔除新冠疫苗生产因素，下降</w:t>
      </w:r>
      <w:r>
        <w:rPr>
          <w:rFonts w:eastAsia="仿宋_GB2312;仿宋" w:cs="Arial" w:ascii="Arial" w:hAnsi="Arial"/>
          <w:bCs/>
          <w:sz w:val="28"/>
          <w:szCs w:val="28"/>
        </w:rPr>
        <w:t>4.3%</w:t>
      </w:r>
      <w:r>
        <w:rPr>
          <w:rFonts w:ascii="Arial" w:hAnsi="Arial" w:cs="Arial" w:eastAsia="仿宋_GB2312;仿宋"/>
          <w:bCs/>
          <w:sz w:val="28"/>
          <w:szCs w:val="28"/>
        </w:rPr>
        <w:t>），电子和医药行业降幅均逐步收窄。高端或新兴领域产品生产快速增长，风力发电机组、液晶显示模组、新能源汽车、医疗仪器设备及器械产量分别增长</w:t>
      </w:r>
      <w:r>
        <w:rPr>
          <w:rFonts w:eastAsia="仿宋_GB2312;仿宋" w:cs="Arial" w:ascii="Arial" w:hAnsi="Arial"/>
          <w:bCs/>
          <w:sz w:val="28"/>
          <w:szCs w:val="28"/>
        </w:rPr>
        <w:t>68.8%</w:t>
      </w:r>
      <w:r>
        <w:rPr>
          <w:rFonts w:ascii="Arial" w:hAnsi="Arial" w:cs="Arial" w:eastAsia="仿宋_GB2312;仿宋"/>
          <w:bCs/>
          <w:sz w:val="28"/>
          <w:szCs w:val="28"/>
        </w:rPr>
        <w:t>、</w:t>
      </w:r>
      <w:r>
        <w:rPr>
          <w:rFonts w:eastAsia="仿宋_GB2312;仿宋" w:cs="Arial" w:ascii="Arial" w:hAnsi="Arial"/>
          <w:bCs/>
          <w:sz w:val="28"/>
          <w:szCs w:val="28"/>
        </w:rPr>
        <w:t>39.2%</w:t>
      </w:r>
      <w:r>
        <w:rPr>
          <w:rFonts w:ascii="Arial" w:hAnsi="Arial" w:cs="Arial" w:eastAsia="仿宋_GB2312;仿宋"/>
          <w:bCs/>
          <w:sz w:val="28"/>
          <w:szCs w:val="28"/>
        </w:rPr>
        <w:t>、</w:t>
      </w:r>
      <w:r>
        <w:rPr>
          <w:rFonts w:eastAsia="仿宋_GB2312;仿宋" w:cs="Arial" w:ascii="Arial" w:hAnsi="Arial"/>
          <w:bCs/>
          <w:sz w:val="28"/>
          <w:szCs w:val="28"/>
        </w:rPr>
        <w:t>35.6%</w:t>
      </w:r>
      <w:r>
        <w:rPr>
          <w:rFonts w:ascii="Arial" w:hAnsi="Arial" w:cs="Arial" w:eastAsia="仿宋_GB2312;仿宋"/>
          <w:bCs/>
          <w:sz w:val="28"/>
          <w:szCs w:val="28"/>
        </w:rPr>
        <w:t>和</w:t>
      </w:r>
      <w:r>
        <w:rPr>
          <w:rFonts w:eastAsia="仿宋_GB2312;仿宋" w:cs="Arial" w:ascii="Arial" w:hAnsi="Arial"/>
          <w:bCs/>
          <w:sz w:val="28"/>
          <w:szCs w:val="28"/>
        </w:rPr>
        <w:t>26.7%</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ascii="Arial" w:hAnsi="Arial" w:cs="Arial" w:eastAsia="仿宋_GB2312;仿宋"/>
          <w:bCs/>
          <w:sz w:val="28"/>
          <w:szCs w:val="28"/>
        </w:rPr>
        <w:t>（</w:t>
      </w:r>
      <w:r>
        <w:rPr>
          <w:rFonts w:eastAsia="仿宋_GB2312;仿宋" w:cs="Arial" w:ascii="Arial" w:hAnsi="Arial"/>
          <w:bCs/>
          <w:sz w:val="28"/>
          <w:szCs w:val="28"/>
        </w:rPr>
        <w:t>3</w:t>
      </w:r>
      <w:r>
        <w:rPr>
          <w:rFonts w:ascii="Arial" w:hAnsi="Arial" w:cs="Arial" w:eastAsia="仿宋_GB2312;仿宋"/>
          <w:bCs/>
          <w:sz w:val="28"/>
          <w:szCs w:val="28"/>
        </w:rPr>
        <w:t>）服务业运行向好，重点行业、接触性服务业共同带动</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年，全市第三产业增加值按不变价格计算，比上年增长</w:t>
      </w:r>
      <w:r>
        <w:rPr>
          <w:rFonts w:eastAsia="仿宋_GB2312;仿宋" w:cs="Arial" w:ascii="Arial" w:hAnsi="Arial"/>
          <w:bCs/>
          <w:sz w:val="28"/>
          <w:szCs w:val="28"/>
        </w:rPr>
        <w:t>6.1%</w:t>
      </w:r>
      <w:r>
        <w:rPr>
          <w:rFonts w:ascii="Arial" w:hAnsi="Arial" w:cs="Arial" w:eastAsia="仿宋_GB2312;仿宋"/>
          <w:bCs/>
          <w:sz w:val="28"/>
          <w:szCs w:val="28"/>
        </w:rPr>
        <w:t>。其中，金融业实现增加值</w:t>
      </w:r>
      <w:r>
        <w:rPr>
          <w:rFonts w:eastAsia="仿宋_GB2312;仿宋" w:cs="Arial" w:ascii="Arial" w:hAnsi="Arial"/>
          <w:bCs/>
          <w:sz w:val="28"/>
          <w:szCs w:val="28"/>
        </w:rPr>
        <w:t>8663.1</w:t>
      </w:r>
      <w:r>
        <w:rPr>
          <w:rFonts w:ascii="Arial" w:hAnsi="Arial" w:cs="Arial" w:eastAsia="仿宋_GB2312;仿宋"/>
          <w:bCs/>
          <w:sz w:val="28"/>
          <w:szCs w:val="28"/>
        </w:rPr>
        <w:t>亿元，增长</w:t>
      </w:r>
      <w:r>
        <w:rPr>
          <w:rFonts w:eastAsia="仿宋_GB2312;仿宋" w:cs="Arial" w:ascii="Arial" w:hAnsi="Arial"/>
          <w:bCs/>
          <w:sz w:val="28"/>
          <w:szCs w:val="28"/>
        </w:rPr>
        <w:t>6.7%</w:t>
      </w:r>
      <w:r>
        <w:rPr>
          <w:rFonts w:ascii="Arial" w:hAnsi="Arial" w:cs="Arial" w:eastAsia="仿宋_GB2312;仿宋"/>
          <w:bCs/>
          <w:sz w:val="28"/>
          <w:szCs w:val="28"/>
        </w:rPr>
        <w:t>；信息传输、软件和信息技术服务业实现增加值</w:t>
      </w:r>
      <w:r>
        <w:rPr>
          <w:rFonts w:eastAsia="仿宋_GB2312;仿宋" w:cs="Arial" w:ascii="Arial" w:hAnsi="Arial"/>
          <w:bCs/>
          <w:sz w:val="28"/>
          <w:szCs w:val="28"/>
        </w:rPr>
        <w:t>8514.4</w:t>
      </w:r>
      <w:r>
        <w:rPr>
          <w:rFonts w:ascii="Arial" w:hAnsi="Arial" w:cs="Arial" w:eastAsia="仿宋_GB2312;仿宋"/>
          <w:bCs/>
          <w:sz w:val="28"/>
          <w:szCs w:val="28"/>
        </w:rPr>
        <w:t>亿元，增长</w:t>
      </w:r>
      <w:r>
        <w:rPr>
          <w:rFonts w:eastAsia="仿宋_GB2312;仿宋" w:cs="Arial" w:ascii="Arial" w:hAnsi="Arial"/>
          <w:bCs/>
          <w:sz w:val="28"/>
          <w:szCs w:val="28"/>
        </w:rPr>
        <w:t>13.5%</w:t>
      </w:r>
      <w:r>
        <w:rPr>
          <w:rFonts w:ascii="Arial" w:hAnsi="Arial" w:cs="Arial" w:eastAsia="仿宋_GB2312;仿宋"/>
          <w:bCs/>
          <w:sz w:val="28"/>
          <w:szCs w:val="28"/>
        </w:rPr>
        <w:t>；接触性行业明显恢复，交通运输、仓储和邮政业实现增加值</w:t>
      </w:r>
      <w:r>
        <w:rPr>
          <w:rFonts w:eastAsia="仿宋_GB2312;仿宋" w:cs="Arial" w:ascii="Arial" w:hAnsi="Arial"/>
          <w:bCs/>
          <w:sz w:val="28"/>
          <w:szCs w:val="28"/>
        </w:rPr>
        <w:t>1065.3</w:t>
      </w:r>
      <w:r>
        <w:rPr>
          <w:rFonts w:ascii="Arial" w:hAnsi="Arial" w:cs="Arial" w:eastAsia="仿宋_GB2312;仿宋"/>
          <w:bCs/>
          <w:sz w:val="28"/>
          <w:szCs w:val="28"/>
        </w:rPr>
        <w:t>亿元，增长</w:t>
      </w:r>
      <w:r>
        <w:rPr>
          <w:rFonts w:eastAsia="仿宋_GB2312;仿宋" w:cs="Arial" w:ascii="Arial" w:hAnsi="Arial"/>
          <w:bCs/>
          <w:sz w:val="28"/>
          <w:szCs w:val="28"/>
        </w:rPr>
        <w:t>20.3%</w:t>
      </w:r>
      <w:r>
        <w:rPr>
          <w:rFonts w:ascii="Arial" w:hAnsi="Arial" w:cs="Arial" w:eastAsia="仿宋_GB2312;仿宋"/>
          <w:bCs/>
          <w:sz w:val="28"/>
          <w:szCs w:val="28"/>
        </w:rPr>
        <w:t>；住宿和餐饮业实现增加值</w:t>
      </w:r>
      <w:r>
        <w:rPr>
          <w:rFonts w:eastAsia="仿宋_GB2312;仿宋" w:cs="Arial" w:ascii="Arial" w:hAnsi="Arial"/>
          <w:bCs/>
          <w:sz w:val="28"/>
          <w:szCs w:val="28"/>
        </w:rPr>
        <w:t>453.1</w:t>
      </w:r>
      <w:r>
        <w:rPr>
          <w:rFonts w:ascii="Arial" w:hAnsi="Arial" w:cs="Arial" w:eastAsia="仿宋_GB2312;仿宋"/>
          <w:bCs/>
          <w:sz w:val="28"/>
          <w:szCs w:val="28"/>
        </w:rPr>
        <w:t>亿元，增长</w:t>
      </w:r>
      <w:r>
        <w:rPr>
          <w:rFonts w:eastAsia="仿宋_GB2312;仿宋" w:cs="Arial" w:ascii="Arial" w:hAnsi="Arial"/>
          <w:bCs/>
          <w:sz w:val="28"/>
          <w:szCs w:val="28"/>
        </w:rPr>
        <w:t>21.1%</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ascii="Arial" w:hAnsi="Arial" w:cs="Arial" w:eastAsia="仿宋_GB2312;仿宋"/>
          <w:bCs/>
          <w:sz w:val="28"/>
          <w:szCs w:val="28"/>
        </w:rPr>
        <w:t>（</w:t>
      </w:r>
      <w:r>
        <w:rPr>
          <w:rFonts w:eastAsia="仿宋_GB2312;仿宋" w:cs="Arial" w:ascii="Arial" w:hAnsi="Arial"/>
          <w:bCs/>
          <w:sz w:val="28"/>
          <w:szCs w:val="28"/>
        </w:rPr>
        <w:t>4</w:t>
      </w:r>
      <w:r>
        <w:rPr>
          <w:rFonts w:ascii="Arial" w:hAnsi="Arial" w:cs="Arial" w:eastAsia="仿宋_GB2312;仿宋"/>
          <w:bCs/>
          <w:sz w:val="28"/>
          <w:szCs w:val="28"/>
        </w:rPr>
        <w:t>）固定资产投资稳定增长，创新投资保持活跃</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年，全市固定资产投资（不含农户）比上年增长</w:t>
      </w:r>
      <w:r>
        <w:rPr>
          <w:rFonts w:eastAsia="仿宋_GB2312;仿宋" w:cs="Arial" w:ascii="Arial" w:hAnsi="Arial"/>
          <w:bCs/>
          <w:sz w:val="28"/>
          <w:szCs w:val="28"/>
        </w:rPr>
        <w:t>4.9%</w:t>
      </w:r>
      <w:r>
        <w:rPr>
          <w:rFonts w:ascii="Arial" w:hAnsi="Arial" w:cs="Arial" w:eastAsia="仿宋_GB2312;仿宋"/>
          <w:bCs/>
          <w:sz w:val="28"/>
          <w:szCs w:val="28"/>
        </w:rPr>
        <w:t>。其中，基础设施投资增长</w:t>
      </w:r>
      <w:r>
        <w:rPr>
          <w:rFonts w:eastAsia="仿宋_GB2312;仿宋" w:cs="Arial" w:ascii="Arial" w:hAnsi="Arial"/>
          <w:bCs/>
          <w:sz w:val="28"/>
          <w:szCs w:val="28"/>
        </w:rPr>
        <w:t>0.9%</w:t>
      </w:r>
      <w:r>
        <w:rPr>
          <w:rFonts w:ascii="Arial" w:hAnsi="Arial" w:cs="Arial" w:eastAsia="仿宋_GB2312;仿宋"/>
          <w:bCs/>
          <w:sz w:val="28"/>
          <w:szCs w:val="28"/>
        </w:rPr>
        <w:t>，房地产开发投资增长</w:t>
      </w:r>
      <w:r>
        <w:rPr>
          <w:rFonts w:eastAsia="仿宋_GB2312;仿宋" w:cs="Arial" w:ascii="Arial" w:hAnsi="Arial"/>
          <w:bCs/>
          <w:sz w:val="28"/>
          <w:szCs w:val="28"/>
        </w:rPr>
        <w:t>0.4%</w:t>
      </w:r>
      <w:r>
        <w:rPr>
          <w:rFonts w:ascii="Arial" w:hAnsi="Arial" w:cs="Arial" w:eastAsia="仿宋_GB2312;仿宋"/>
          <w:bCs/>
          <w:sz w:val="28"/>
          <w:szCs w:val="28"/>
        </w:rPr>
        <w:t>，反映企业扩大生产能力的设备购置投资增长</w:t>
      </w:r>
      <w:r>
        <w:rPr>
          <w:rFonts w:eastAsia="仿宋_GB2312;仿宋" w:cs="Arial" w:ascii="Arial" w:hAnsi="Arial"/>
          <w:bCs/>
          <w:sz w:val="28"/>
          <w:szCs w:val="28"/>
        </w:rPr>
        <w:t>24.4%</w:t>
      </w:r>
      <w:r>
        <w:rPr>
          <w:rFonts w:ascii="Arial" w:hAnsi="Arial" w:cs="Arial" w:eastAsia="仿宋_GB2312;仿宋"/>
          <w:bCs/>
          <w:sz w:val="28"/>
          <w:szCs w:val="28"/>
        </w:rPr>
        <w:t>。分产业看，第一产业投资下降</w:t>
      </w:r>
      <w:r>
        <w:rPr>
          <w:rFonts w:eastAsia="仿宋_GB2312;仿宋" w:cs="Arial" w:ascii="Arial" w:hAnsi="Arial"/>
          <w:bCs/>
          <w:sz w:val="28"/>
          <w:szCs w:val="28"/>
        </w:rPr>
        <w:t>45.7%</w:t>
      </w:r>
      <w:r>
        <w:rPr>
          <w:rFonts w:ascii="Arial" w:hAnsi="Arial" w:cs="Arial" w:eastAsia="仿宋_GB2312;仿宋"/>
          <w:bCs/>
          <w:sz w:val="28"/>
          <w:szCs w:val="28"/>
        </w:rPr>
        <w:t>；第二产业投资下降</w:t>
      </w:r>
      <w:r>
        <w:rPr>
          <w:rFonts w:eastAsia="仿宋_GB2312;仿宋" w:cs="Arial" w:ascii="Arial" w:hAnsi="Arial"/>
          <w:bCs/>
          <w:sz w:val="28"/>
          <w:szCs w:val="28"/>
        </w:rPr>
        <w:t>1.1%</w:t>
      </w:r>
      <w:r>
        <w:rPr>
          <w:rFonts w:ascii="Arial" w:hAnsi="Arial" w:cs="Arial" w:eastAsia="仿宋_GB2312;仿宋"/>
          <w:bCs/>
          <w:sz w:val="28"/>
          <w:szCs w:val="28"/>
        </w:rPr>
        <w:t>；第三产业投资增长</w:t>
      </w:r>
      <w:r>
        <w:rPr>
          <w:rFonts w:eastAsia="仿宋_GB2312;仿宋" w:cs="Arial" w:ascii="Arial" w:hAnsi="Arial"/>
          <w:bCs/>
          <w:sz w:val="28"/>
          <w:szCs w:val="28"/>
        </w:rPr>
        <w:t>6.0%</w:t>
      </w:r>
      <w:r>
        <w:rPr>
          <w:rFonts w:ascii="Arial" w:hAnsi="Arial" w:cs="Arial" w:eastAsia="仿宋_GB2312;仿宋"/>
          <w:bCs/>
          <w:sz w:val="28"/>
          <w:szCs w:val="28"/>
        </w:rPr>
        <w:t>，其中，信息传输、软件和信息技术服务业，文化、体育和娱乐业，交通运输、仓储和邮政业投资分别增长</w:t>
      </w:r>
      <w:r>
        <w:rPr>
          <w:rFonts w:eastAsia="仿宋_GB2312;仿宋" w:cs="Arial" w:ascii="Arial" w:hAnsi="Arial"/>
          <w:bCs/>
          <w:sz w:val="28"/>
          <w:szCs w:val="28"/>
        </w:rPr>
        <w:t>47.1%</w:t>
      </w:r>
      <w:r>
        <w:rPr>
          <w:rFonts w:ascii="Arial" w:hAnsi="Arial" w:cs="Arial" w:eastAsia="仿宋_GB2312;仿宋"/>
          <w:bCs/>
          <w:sz w:val="28"/>
          <w:szCs w:val="28"/>
        </w:rPr>
        <w:t>、</w:t>
      </w:r>
      <w:r>
        <w:rPr>
          <w:rFonts w:eastAsia="仿宋_GB2312;仿宋" w:cs="Arial" w:ascii="Arial" w:hAnsi="Arial"/>
          <w:bCs/>
          <w:sz w:val="28"/>
          <w:szCs w:val="28"/>
        </w:rPr>
        <w:t>11.4%</w:t>
      </w:r>
      <w:r>
        <w:rPr>
          <w:rFonts w:ascii="Arial" w:hAnsi="Arial" w:cs="Arial" w:eastAsia="仿宋_GB2312;仿宋"/>
          <w:bCs/>
          <w:sz w:val="28"/>
          <w:szCs w:val="28"/>
        </w:rPr>
        <w:t>和</w:t>
      </w:r>
      <w:r>
        <w:rPr>
          <w:rFonts w:eastAsia="仿宋_GB2312;仿宋" w:cs="Arial" w:ascii="Arial" w:hAnsi="Arial"/>
          <w:bCs/>
          <w:sz w:val="28"/>
          <w:szCs w:val="28"/>
        </w:rPr>
        <w:t>10.1%</w:t>
      </w:r>
      <w:r>
        <w:rPr>
          <w:rFonts w:ascii="Arial" w:hAnsi="Arial" w:cs="Arial" w:eastAsia="仿宋_GB2312;仿宋"/>
          <w:bCs/>
          <w:sz w:val="28"/>
          <w:szCs w:val="28"/>
        </w:rPr>
        <w:t>。高技术产业投资增长</w:t>
      </w:r>
      <w:r>
        <w:rPr>
          <w:rFonts w:eastAsia="仿宋_GB2312;仿宋" w:cs="Arial" w:ascii="Arial" w:hAnsi="Arial"/>
          <w:bCs/>
          <w:sz w:val="28"/>
          <w:szCs w:val="28"/>
        </w:rPr>
        <w:t>16.2%</w:t>
      </w:r>
      <w:r>
        <w:rPr>
          <w:rFonts w:ascii="Arial" w:hAnsi="Arial" w:cs="Arial" w:eastAsia="仿宋_GB2312;仿宋"/>
          <w:bCs/>
          <w:sz w:val="28"/>
          <w:szCs w:val="28"/>
        </w:rPr>
        <w:t>，其中，高技术服务业投资增长</w:t>
      </w:r>
      <w:r>
        <w:rPr>
          <w:rFonts w:eastAsia="仿宋_GB2312;仿宋" w:cs="Arial" w:ascii="Arial" w:hAnsi="Arial"/>
          <w:bCs/>
          <w:sz w:val="28"/>
          <w:szCs w:val="28"/>
        </w:rPr>
        <w:t>36.1%</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年末，全市房屋施工面积</w:t>
      </w:r>
      <w:r>
        <w:rPr>
          <w:rFonts w:eastAsia="仿宋_GB2312;仿宋" w:cs="Arial" w:ascii="Arial" w:hAnsi="Arial"/>
          <w:bCs/>
          <w:sz w:val="28"/>
          <w:szCs w:val="28"/>
        </w:rPr>
        <w:t>12531.3</w:t>
      </w:r>
      <w:r>
        <w:rPr>
          <w:rFonts w:ascii="Arial" w:hAnsi="Arial" w:cs="Arial" w:eastAsia="仿宋_GB2312;仿宋"/>
          <w:bCs/>
          <w:sz w:val="28"/>
          <w:szCs w:val="28"/>
        </w:rPr>
        <w:t>万</w:t>
      </w:r>
      <w:r>
        <w:rPr>
          <w:rFonts w:ascii="Arial" w:hAnsi="Arial" w:cs="Arial" w:eastAsia="仿宋_GB2312;仿宋"/>
          <w:bCs/>
          <w:color w:val="000000"/>
          <w:sz w:val="28"/>
          <w:szCs w:val="28"/>
        </w:rPr>
        <w:t>㎡</w:t>
      </w:r>
      <w:r>
        <w:rPr>
          <w:rFonts w:ascii="Arial" w:hAnsi="Arial" w:cs="Arial" w:eastAsia="仿宋_GB2312;仿宋"/>
          <w:bCs/>
          <w:sz w:val="28"/>
          <w:szCs w:val="28"/>
        </w:rPr>
        <w:t>，比上年末下降</w:t>
      </w:r>
      <w:r>
        <w:rPr>
          <w:rFonts w:eastAsia="仿宋_GB2312;仿宋" w:cs="Arial" w:ascii="Arial" w:hAnsi="Arial"/>
          <w:bCs/>
          <w:sz w:val="28"/>
          <w:szCs w:val="28"/>
        </w:rPr>
        <w:t>6.0%</w:t>
      </w:r>
      <w:r>
        <w:rPr>
          <w:rFonts w:ascii="Arial" w:hAnsi="Arial" w:cs="Arial" w:eastAsia="仿宋_GB2312;仿宋"/>
          <w:bCs/>
          <w:sz w:val="28"/>
          <w:szCs w:val="28"/>
        </w:rPr>
        <w:t>，其中，住宅施工面积</w:t>
      </w:r>
      <w:r>
        <w:rPr>
          <w:rFonts w:eastAsia="仿宋_GB2312;仿宋" w:cs="Arial" w:ascii="Arial" w:hAnsi="Arial"/>
          <w:bCs/>
          <w:sz w:val="28"/>
          <w:szCs w:val="28"/>
        </w:rPr>
        <w:t>6255.5</w:t>
      </w:r>
      <w:r>
        <w:rPr>
          <w:rFonts w:ascii="Arial" w:hAnsi="Arial" w:cs="Arial" w:eastAsia="仿宋_GB2312;仿宋"/>
          <w:bCs/>
          <w:sz w:val="28"/>
          <w:szCs w:val="28"/>
        </w:rPr>
        <w:t>万</w:t>
      </w:r>
      <w:r>
        <w:rPr>
          <w:rFonts w:ascii="Arial" w:hAnsi="Arial" w:cs="Arial" w:eastAsia="仿宋_GB2312;仿宋"/>
          <w:bCs/>
          <w:color w:val="000000"/>
          <w:sz w:val="28"/>
          <w:szCs w:val="28"/>
        </w:rPr>
        <w:t>㎡</w:t>
      </w:r>
      <w:r>
        <w:rPr>
          <w:rFonts w:ascii="Arial" w:hAnsi="Arial" w:cs="Arial" w:eastAsia="仿宋_GB2312;仿宋"/>
          <w:bCs/>
          <w:sz w:val="28"/>
          <w:szCs w:val="28"/>
        </w:rPr>
        <w:t>，下降</w:t>
      </w:r>
      <w:r>
        <w:rPr>
          <w:rFonts w:eastAsia="仿宋_GB2312;仿宋" w:cs="Arial" w:ascii="Arial" w:hAnsi="Arial"/>
          <w:bCs/>
          <w:sz w:val="28"/>
          <w:szCs w:val="28"/>
        </w:rPr>
        <w:t>6.8%</w:t>
      </w:r>
      <w:r>
        <w:rPr>
          <w:rFonts w:ascii="Arial" w:hAnsi="Arial" w:cs="Arial" w:eastAsia="仿宋_GB2312;仿宋"/>
          <w:bCs/>
          <w:sz w:val="28"/>
          <w:szCs w:val="28"/>
        </w:rPr>
        <w:t>。全年商品房销售面积</w:t>
      </w:r>
      <w:r>
        <w:rPr>
          <w:rFonts w:eastAsia="仿宋_GB2312;仿宋" w:cs="Arial" w:ascii="Arial" w:hAnsi="Arial"/>
          <w:bCs/>
          <w:sz w:val="28"/>
          <w:szCs w:val="28"/>
        </w:rPr>
        <w:t>1122.6</w:t>
      </w:r>
      <w:r>
        <w:rPr>
          <w:rFonts w:ascii="Arial" w:hAnsi="Arial" w:cs="Arial" w:eastAsia="仿宋_GB2312;仿宋"/>
          <w:bCs/>
          <w:sz w:val="28"/>
          <w:szCs w:val="28"/>
        </w:rPr>
        <w:t>万</w:t>
      </w:r>
      <w:r>
        <w:rPr>
          <w:rFonts w:ascii="Arial" w:hAnsi="Arial" w:cs="Arial" w:eastAsia="仿宋_GB2312;仿宋"/>
          <w:bCs/>
          <w:color w:val="000000"/>
          <w:sz w:val="28"/>
          <w:szCs w:val="28"/>
        </w:rPr>
        <w:t>㎡</w:t>
      </w:r>
      <w:r>
        <w:rPr>
          <w:rFonts w:ascii="Arial" w:hAnsi="Arial" w:cs="Arial" w:eastAsia="仿宋_GB2312;仿宋"/>
          <w:bCs/>
          <w:sz w:val="28"/>
          <w:szCs w:val="28"/>
        </w:rPr>
        <w:t>，增长</w:t>
      </w:r>
      <w:r>
        <w:rPr>
          <w:rFonts w:eastAsia="仿宋_GB2312;仿宋" w:cs="Arial" w:ascii="Arial" w:hAnsi="Arial"/>
          <w:bCs/>
          <w:sz w:val="28"/>
          <w:szCs w:val="28"/>
        </w:rPr>
        <w:t>7.9%</w:t>
      </w:r>
      <w:r>
        <w:rPr>
          <w:rFonts w:ascii="Arial" w:hAnsi="Arial" w:cs="Arial" w:eastAsia="仿宋_GB2312;仿宋"/>
          <w:bCs/>
          <w:sz w:val="28"/>
          <w:szCs w:val="28"/>
        </w:rPr>
        <w:t>，其中，住宅销售面积</w:t>
      </w:r>
      <w:r>
        <w:rPr>
          <w:rFonts w:eastAsia="仿宋_GB2312;仿宋" w:cs="Arial" w:ascii="Arial" w:hAnsi="Arial"/>
          <w:bCs/>
          <w:sz w:val="28"/>
          <w:szCs w:val="28"/>
        </w:rPr>
        <w:t>811.1</w:t>
      </w:r>
      <w:r>
        <w:rPr>
          <w:rFonts w:ascii="Arial" w:hAnsi="Arial" w:cs="Arial" w:eastAsia="仿宋_GB2312;仿宋"/>
          <w:bCs/>
          <w:sz w:val="28"/>
          <w:szCs w:val="28"/>
        </w:rPr>
        <w:t>万</w:t>
      </w:r>
      <w:r>
        <w:rPr>
          <w:rFonts w:ascii="Arial" w:hAnsi="Arial" w:cs="Arial" w:eastAsia="仿宋_GB2312;仿宋"/>
          <w:bCs/>
          <w:color w:val="000000"/>
          <w:sz w:val="28"/>
          <w:szCs w:val="28"/>
        </w:rPr>
        <w:t>㎡</w:t>
      </w:r>
      <w:r>
        <w:rPr>
          <w:rFonts w:ascii="Arial" w:hAnsi="Arial" w:cs="Arial" w:eastAsia="仿宋_GB2312;仿宋"/>
          <w:bCs/>
          <w:sz w:val="28"/>
          <w:szCs w:val="28"/>
        </w:rPr>
        <w:t>，增长</w:t>
      </w:r>
      <w:r>
        <w:rPr>
          <w:rFonts w:eastAsia="仿宋_GB2312;仿宋" w:cs="Arial" w:ascii="Arial" w:hAnsi="Arial"/>
          <w:bCs/>
          <w:sz w:val="28"/>
          <w:szCs w:val="28"/>
        </w:rPr>
        <w:t>9.3%</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ascii="Arial" w:hAnsi="Arial" w:cs="Arial" w:eastAsia="仿宋_GB2312;仿宋"/>
          <w:bCs/>
          <w:sz w:val="28"/>
          <w:szCs w:val="28"/>
        </w:rPr>
        <w:t>（</w:t>
      </w:r>
      <w:r>
        <w:rPr>
          <w:rFonts w:eastAsia="仿宋_GB2312;仿宋" w:cs="Arial" w:ascii="Arial" w:hAnsi="Arial"/>
          <w:bCs/>
          <w:sz w:val="28"/>
          <w:szCs w:val="28"/>
        </w:rPr>
        <w:t>5</w:t>
      </w:r>
      <w:r>
        <w:rPr>
          <w:rFonts w:ascii="Arial" w:hAnsi="Arial" w:cs="Arial" w:eastAsia="仿宋_GB2312;仿宋"/>
          <w:bCs/>
          <w:sz w:val="28"/>
          <w:szCs w:val="28"/>
        </w:rPr>
        <w:t>）市场消费持续回暖，服务性消费、升级类商品消费快速增长</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年，全市市场总消费额比上年增长</w:t>
      </w:r>
      <w:r>
        <w:rPr>
          <w:rFonts w:eastAsia="仿宋_GB2312;仿宋" w:cs="Arial" w:ascii="Arial" w:hAnsi="Arial"/>
          <w:bCs/>
          <w:sz w:val="28"/>
          <w:szCs w:val="28"/>
        </w:rPr>
        <w:t>10.2%</w:t>
      </w:r>
      <w:r>
        <w:rPr>
          <w:rFonts w:ascii="Arial" w:hAnsi="Arial" w:cs="Arial" w:eastAsia="仿宋_GB2312;仿宋"/>
          <w:bCs/>
          <w:sz w:val="28"/>
          <w:szCs w:val="28"/>
        </w:rPr>
        <w:t>。其中，服务性消费额在交通、文体娱乐等领域带动下增长</w:t>
      </w:r>
      <w:r>
        <w:rPr>
          <w:rFonts w:eastAsia="仿宋_GB2312;仿宋" w:cs="Arial" w:ascii="Arial" w:hAnsi="Arial"/>
          <w:bCs/>
          <w:sz w:val="28"/>
          <w:szCs w:val="28"/>
        </w:rPr>
        <w:t>14.6%</w:t>
      </w:r>
      <w:r>
        <w:rPr>
          <w:rFonts w:ascii="Arial" w:hAnsi="Arial" w:cs="Arial" w:eastAsia="仿宋_GB2312;仿宋"/>
          <w:bCs/>
          <w:sz w:val="28"/>
          <w:szCs w:val="28"/>
        </w:rPr>
        <w:t>；实现社会消费品零售总额</w:t>
      </w:r>
      <w:r>
        <w:rPr>
          <w:rFonts w:eastAsia="仿宋_GB2312;仿宋" w:cs="Arial" w:ascii="Arial" w:hAnsi="Arial"/>
          <w:bCs/>
          <w:sz w:val="28"/>
          <w:szCs w:val="28"/>
        </w:rPr>
        <w:t>14462.7</w:t>
      </w:r>
      <w:r>
        <w:rPr>
          <w:rFonts w:ascii="Arial" w:hAnsi="Arial" w:cs="Arial" w:eastAsia="仿宋_GB2312;仿宋"/>
          <w:bCs/>
          <w:sz w:val="28"/>
          <w:szCs w:val="28"/>
        </w:rPr>
        <w:t>亿元，增长</w:t>
      </w:r>
      <w:r>
        <w:rPr>
          <w:rFonts w:eastAsia="仿宋_GB2312;仿宋" w:cs="Arial" w:ascii="Arial" w:hAnsi="Arial"/>
          <w:bCs/>
          <w:sz w:val="28"/>
          <w:szCs w:val="28"/>
        </w:rPr>
        <w:t>4.8%</w:t>
      </w:r>
      <w:r>
        <w:rPr>
          <w:rFonts w:ascii="Arial" w:hAnsi="Arial" w:cs="Arial" w:eastAsia="仿宋_GB2312;仿宋"/>
          <w:bCs/>
          <w:sz w:val="28"/>
          <w:szCs w:val="28"/>
        </w:rPr>
        <w:t>。社会消费品零售总额中，按消费形态分，商品零售</w:t>
      </w:r>
      <w:r>
        <w:rPr>
          <w:rFonts w:eastAsia="仿宋_GB2312;仿宋" w:cs="Arial" w:ascii="Arial" w:hAnsi="Arial"/>
          <w:bCs/>
          <w:sz w:val="28"/>
          <w:szCs w:val="28"/>
        </w:rPr>
        <w:t>13148.1</w:t>
      </w:r>
      <w:r>
        <w:rPr>
          <w:rFonts w:ascii="Arial" w:hAnsi="Arial" w:cs="Arial" w:eastAsia="仿宋_GB2312;仿宋"/>
          <w:bCs/>
          <w:sz w:val="28"/>
          <w:szCs w:val="28"/>
        </w:rPr>
        <w:t>亿元，增长</w:t>
      </w:r>
      <w:r>
        <w:rPr>
          <w:rFonts w:eastAsia="仿宋_GB2312;仿宋" w:cs="Arial" w:ascii="Arial" w:hAnsi="Arial"/>
          <w:bCs/>
          <w:sz w:val="28"/>
          <w:szCs w:val="28"/>
        </w:rPr>
        <w:t>2.7%</w:t>
      </w:r>
      <w:r>
        <w:rPr>
          <w:rFonts w:ascii="Arial" w:hAnsi="Arial" w:cs="Arial" w:eastAsia="仿宋_GB2312;仿宋"/>
          <w:bCs/>
          <w:sz w:val="28"/>
          <w:szCs w:val="28"/>
        </w:rPr>
        <w:t>，餐饮收入</w:t>
      </w:r>
      <w:r>
        <w:rPr>
          <w:rFonts w:eastAsia="仿宋_GB2312;仿宋" w:cs="Arial" w:ascii="Arial" w:hAnsi="Arial"/>
          <w:bCs/>
          <w:sz w:val="28"/>
          <w:szCs w:val="28"/>
        </w:rPr>
        <w:t>1314.6</w:t>
      </w:r>
      <w:r>
        <w:rPr>
          <w:rFonts w:ascii="Arial" w:hAnsi="Arial" w:cs="Arial" w:eastAsia="仿宋_GB2312;仿宋"/>
          <w:bCs/>
          <w:sz w:val="28"/>
          <w:szCs w:val="28"/>
        </w:rPr>
        <w:t>亿元，增长</w:t>
      </w:r>
      <w:r>
        <w:rPr>
          <w:rFonts w:eastAsia="仿宋_GB2312;仿宋" w:cs="Arial" w:ascii="Arial" w:hAnsi="Arial"/>
          <w:bCs/>
          <w:sz w:val="28"/>
          <w:szCs w:val="28"/>
        </w:rPr>
        <w:t>32.5%</w:t>
      </w:r>
      <w:r>
        <w:rPr>
          <w:rFonts w:ascii="Arial" w:hAnsi="Arial" w:cs="Arial" w:eastAsia="仿宋_GB2312;仿宋"/>
          <w:bCs/>
          <w:sz w:val="28"/>
          <w:szCs w:val="28"/>
        </w:rPr>
        <w:t>。按商品类别分，限额以上批发和零售业中，金银珠宝类、体育娱乐用品类、服装鞋帽针纺织类商品零售额分别增长</w:t>
      </w:r>
      <w:r>
        <w:rPr>
          <w:rFonts w:eastAsia="仿宋_GB2312;仿宋" w:cs="Arial" w:ascii="Arial" w:hAnsi="Arial"/>
          <w:bCs/>
          <w:sz w:val="28"/>
          <w:szCs w:val="28"/>
        </w:rPr>
        <w:t>35.0%</w:t>
      </w:r>
      <w:r>
        <w:rPr>
          <w:rFonts w:ascii="Arial" w:hAnsi="Arial" w:cs="Arial" w:eastAsia="仿宋_GB2312;仿宋"/>
          <w:bCs/>
          <w:sz w:val="28"/>
          <w:szCs w:val="28"/>
        </w:rPr>
        <w:t>、</w:t>
      </w:r>
      <w:r>
        <w:rPr>
          <w:rFonts w:eastAsia="仿宋_GB2312;仿宋" w:cs="Arial" w:ascii="Arial" w:hAnsi="Arial"/>
          <w:bCs/>
          <w:sz w:val="28"/>
          <w:szCs w:val="28"/>
        </w:rPr>
        <w:t>29.8%</w:t>
      </w:r>
      <w:r>
        <w:rPr>
          <w:rFonts w:ascii="Arial" w:hAnsi="Arial" w:cs="Arial" w:eastAsia="仿宋_GB2312;仿宋"/>
          <w:bCs/>
          <w:sz w:val="28"/>
          <w:szCs w:val="28"/>
        </w:rPr>
        <w:t>和</w:t>
      </w:r>
      <w:r>
        <w:rPr>
          <w:rFonts w:eastAsia="仿宋_GB2312;仿宋" w:cs="Arial" w:ascii="Arial" w:hAnsi="Arial"/>
          <w:bCs/>
          <w:sz w:val="28"/>
          <w:szCs w:val="28"/>
        </w:rPr>
        <w:t>23.4%</w:t>
      </w:r>
      <w:r>
        <w:rPr>
          <w:rFonts w:ascii="Arial" w:hAnsi="Arial" w:cs="Arial" w:eastAsia="仿宋_GB2312;仿宋"/>
          <w:bCs/>
          <w:sz w:val="28"/>
          <w:szCs w:val="28"/>
        </w:rPr>
        <w:t>，汽车类商品零售额增长</w:t>
      </w:r>
      <w:r>
        <w:rPr>
          <w:rFonts w:eastAsia="仿宋_GB2312;仿宋" w:cs="Arial" w:ascii="Arial" w:hAnsi="Arial"/>
          <w:bCs/>
          <w:sz w:val="28"/>
          <w:szCs w:val="28"/>
        </w:rPr>
        <w:t>13.5%</w:t>
      </w:r>
      <w:r>
        <w:rPr>
          <w:rFonts w:ascii="Arial" w:hAnsi="Arial" w:cs="Arial" w:eastAsia="仿宋_GB2312;仿宋"/>
          <w:bCs/>
          <w:sz w:val="28"/>
          <w:szCs w:val="28"/>
        </w:rPr>
        <w:t>，其中，新能源汽车增长</w:t>
      </w:r>
      <w:r>
        <w:rPr>
          <w:rFonts w:eastAsia="仿宋_GB2312;仿宋" w:cs="Arial" w:ascii="Arial" w:hAnsi="Arial"/>
          <w:bCs/>
          <w:sz w:val="28"/>
          <w:szCs w:val="28"/>
        </w:rPr>
        <w:t>38.0%</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ascii="Arial" w:hAnsi="Arial" w:cs="Arial" w:eastAsia="仿宋_GB2312;仿宋"/>
          <w:bCs/>
          <w:sz w:val="28"/>
          <w:szCs w:val="28"/>
        </w:rPr>
        <w:t>（</w:t>
      </w:r>
      <w:r>
        <w:rPr>
          <w:rFonts w:eastAsia="仿宋_GB2312;仿宋" w:cs="Arial" w:ascii="Arial" w:hAnsi="Arial"/>
          <w:bCs/>
          <w:sz w:val="28"/>
          <w:szCs w:val="28"/>
        </w:rPr>
        <w:t>6</w:t>
      </w:r>
      <w:r>
        <w:rPr>
          <w:rFonts w:ascii="Arial" w:hAnsi="Arial" w:cs="Arial" w:eastAsia="仿宋_GB2312;仿宋"/>
          <w:bCs/>
          <w:sz w:val="28"/>
          <w:szCs w:val="28"/>
        </w:rPr>
        <w:t>）居民消费价格平稳运行，工业生产者出厂价格同比下降</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年，全市居民消费价格比上年上涨</w:t>
      </w:r>
      <w:r>
        <w:rPr>
          <w:rFonts w:eastAsia="仿宋_GB2312;仿宋" w:cs="Arial" w:ascii="Arial" w:hAnsi="Arial"/>
          <w:bCs/>
          <w:sz w:val="28"/>
          <w:szCs w:val="28"/>
        </w:rPr>
        <w:t>0.4%</w:t>
      </w:r>
      <w:r>
        <w:rPr>
          <w:rFonts w:ascii="Arial" w:hAnsi="Arial" w:cs="Arial" w:eastAsia="仿宋_GB2312;仿宋"/>
          <w:bCs/>
          <w:sz w:val="28"/>
          <w:szCs w:val="28"/>
        </w:rPr>
        <w:t>。其中，消费品价格下降</w:t>
      </w:r>
      <w:r>
        <w:rPr>
          <w:rFonts w:eastAsia="仿宋_GB2312;仿宋" w:cs="Arial" w:ascii="Arial" w:hAnsi="Arial"/>
          <w:bCs/>
          <w:sz w:val="28"/>
          <w:szCs w:val="28"/>
        </w:rPr>
        <w:t>0.3%</w:t>
      </w:r>
      <w:r>
        <w:rPr>
          <w:rFonts w:ascii="Arial" w:hAnsi="Arial" w:cs="Arial" w:eastAsia="仿宋_GB2312;仿宋"/>
          <w:bCs/>
          <w:sz w:val="28"/>
          <w:szCs w:val="28"/>
        </w:rPr>
        <w:t>，服务价格上涨</w:t>
      </w:r>
      <w:r>
        <w:rPr>
          <w:rFonts w:eastAsia="仿宋_GB2312;仿宋" w:cs="Arial" w:ascii="Arial" w:hAnsi="Arial"/>
          <w:bCs/>
          <w:sz w:val="28"/>
          <w:szCs w:val="28"/>
        </w:rPr>
        <w:t>1.2%</w:t>
      </w:r>
      <w:r>
        <w:rPr>
          <w:rFonts w:ascii="Arial" w:hAnsi="Arial" w:cs="Arial" w:eastAsia="仿宋_GB2312;仿宋"/>
          <w:bCs/>
          <w:sz w:val="28"/>
          <w:szCs w:val="28"/>
        </w:rPr>
        <w:t>。八大类商品和服务项目中，其他用品及服务类价格上涨</w:t>
      </w:r>
      <w:r>
        <w:rPr>
          <w:rFonts w:eastAsia="仿宋_GB2312;仿宋" w:cs="Arial" w:ascii="Arial" w:hAnsi="Arial"/>
          <w:bCs/>
          <w:sz w:val="28"/>
          <w:szCs w:val="28"/>
        </w:rPr>
        <w:t>4.2%</w:t>
      </w:r>
      <w:r>
        <w:rPr>
          <w:rFonts w:ascii="Arial" w:hAnsi="Arial" w:cs="Arial" w:eastAsia="仿宋_GB2312;仿宋"/>
          <w:bCs/>
          <w:sz w:val="28"/>
          <w:szCs w:val="28"/>
        </w:rPr>
        <w:t>，教育文化娱乐类价格上涨</w:t>
      </w:r>
      <w:r>
        <w:rPr>
          <w:rFonts w:eastAsia="仿宋_GB2312;仿宋" w:cs="Arial" w:ascii="Arial" w:hAnsi="Arial"/>
          <w:bCs/>
          <w:sz w:val="28"/>
          <w:szCs w:val="28"/>
        </w:rPr>
        <w:t>2.8%</w:t>
      </w:r>
      <w:r>
        <w:rPr>
          <w:rFonts w:ascii="Arial" w:hAnsi="Arial" w:cs="Arial" w:eastAsia="仿宋_GB2312;仿宋"/>
          <w:bCs/>
          <w:sz w:val="28"/>
          <w:szCs w:val="28"/>
        </w:rPr>
        <w:t>，衣着类价格上涨</w:t>
      </w:r>
      <w:r>
        <w:rPr>
          <w:rFonts w:eastAsia="仿宋_GB2312;仿宋" w:cs="Arial" w:ascii="Arial" w:hAnsi="Arial"/>
          <w:bCs/>
          <w:sz w:val="28"/>
          <w:szCs w:val="28"/>
        </w:rPr>
        <w:t>0.6%</w:t>
      </w:r>
      <w:r>
        <w:rPr>
          <w:rFonts w:ascii="Arial" w:hAnsi="Arial" w:cs="Arial" w:eastAsia="仿宋_GB2312;仿宋"/>
          <w:bCs/>
          <w:sz w:val="28"/>
          <w:szCs w:val="28"/>
        </w:rPr>
        <w:t>，居住类价格上涨</w:t>
      </w:r>
      <w:r>
        <w:rPr>
          <w:rFonts w:eastAsia="仿宋_GB2312;仿宋" w:cs="Arial" w:ascii="Arial" w:hAnsi="Arial"/>
          <w:bCs/>
          <w:sz w:val="28"/>
          <w:szCs w:val="28"/>
        </w:rPr>
        <w:t>0.3%</w:t>
      </w:r>
      <w:r>
        <w:rPr>
          <w:rFonts w:ascii="Arial" w:hAnsi="Arial" w:cs="Arial" w:eastAsia="仿宋_GB2312;仿宋"/>
          <w:bCs/>
          <w:sz w:val="28"/>
          <w:szCs w:val="28"/>
        </w:rPr>
        <w:t>，生活用品及服务类价格上涨</w:t>
      </w:r>
      <w:r>
        <w:rPr>
          <w:rFonts w:eastAsia="仿宋_GB2312;仿宋" w:cs="Arial" w:ascii="Arial" w:hAnsi="Arial"/>
          <w:bCs/>
          <w:sz w:val="28"/>
          <w:szCs w:val="28"/>
        </w:rPr>
        <w:t>0.3%</w:t>
      </w:r>
      <w:r>
        <w:rPr>
          <w:rFonts w:ascii="Arial" w:hAnsi="Arial" w:cs="Arial" w:eastAsia="仿宋_GB2312;仿宋"/>
          <w:bCs/>
          <w:sz w:val="28"/>
          <w:szCs w:val="28"/>
        </w:rPr>
        <w:t>，医疗保健类价格上涨</w:t>
      </w:r>
      <w:r>
        <w:rPr>
          <w:rFonts w:eastAsia="仿宋_GB2312;仿宋" w:cs="Arial" w:ascii="Arial" w:hAnsi="Arial"/>
          <w:bCs/>
          <w:sz w:val="28"/>
          <w:szCs w:val="28"/>
        </w:rPr>
        <w:t>0.2%</w:t>
      </w:r>
      <w:r>
        <w:rPr>
          <w:rFonts w:ascii="Arial" w:hAnsi="Arial" w:cs="Arial" w:eastAsia="仿宋_GB2312;仿宋"/>
          <w:bCs/>
          <w:sz w:val="28"/>
          <w:szCs w:val="28"/>
        </w:rPr>
        <w:t>，食品烟酒类价格上涨</w:t>
      </w:r>
      <w:r>
        <w:rPr>
          <w:rFonts w:eastAsia="仿宋_GB2312;仿宋" w:cs="Arial" w:ascii="Arial" w:hAnsi="Arial"/>
          <w:bCs/>
          <w:sz w:val="28"/>
          <w:szCs w:val="28"/>
        </w:rPr>
        <w:t>0.1%</w:t>
      </w:r>
      <w:r>
        <w:rPr>
          <w:rFonts w:ascii="Arial" w:hAnsi="Arial" w:cs="Arial" w:eastAsia="仿宋_GB2312;仿宋"/>
          <w:bCs/>
          <w:sz w:val="28"/>
          <w:szCs w:val="28"/>
        </w:rPr>
        <w:t>，交通通信类价格下降</w:t>
      </w:r>
      <w:r>
        <w:rPr>
          <w:rFonts w:eastAsia="仿宋_GB2312;仿宋" w:cs="Arial" w:ascii="Arial" w:hAnsi="Arial"/>
          <w:bCs/>
          <w:sz w:val="28"/>
          <w:szCs w:val="28"/>
        </w:rPr>
        <w:t>1.7%</w:t>
      </w:r>
      <w:r>
        <w:rPr>
          <w:rFonts w:ascii="Arial" w:hAnsi="Arial" w:cs="Arial" w:eastAsia="仿宋_GB2312;仿宋"/>
          <w:bCs/>
          <w:sz w:val="28"/>
          <w:szCs w:val="28"/>
        </w:rPr>
        <w:t>。</w:t>
      </w:r>
      <w:r>
        <w:rPr>
          <w:rFonts w:eastAsia="仿宋_GB2312;仿宋" w:cs="Arial" w:ascii="Arial" w:hAnsi="Arial"/>
          <w:bCs/>
          <w:sz w:val="28"/>
          <w:szCs w:val="28"/>
        </w:rPr>
        <w:t>12</w:t>
      </w:r>
      <w:r>
        <w:rPr>
          <w:rFonts w:ascii="Arial" w:hAnsi="Arial" w:cs="Arial" w:eastAsia="仿宋_GB2312;仿宋"/>
          <w:bCs/>
          <w:sz w:val="28"/>
          <w:szCs w:val="28"/>
        </w:rPr>
        <w:t>月份，居民消费价格同比下降</w:t>
      </w:r>
      <w:r>
        <w:rPr>
          <w:rFonts w:eastAsia="仿宋_GB2312;仿宋" w:cs="Arial" w:ascii="Arial" w:hAnsi="Arial"/>
          <w:bCs/>
          <w:sz w:val="28"/>
          <w:szCs w:val="28"/>
        </w:rPr>
        <w:t>0.5%</w:t>
      </w:r>
      <w:r>
        <w:rPr>
          <w:rFonts w:ascii="Arial" w:hAnsi="Arial" w:cs="Arial" w:eastAsia="仿宋_GB2312;仿宋"/>
          <w:bCs/>
          <w:sz w:val="28"/>
          <w:szCs w:val="28"/>
        </w:rPr>
        <w:t>，环比上涨</w:t>
      </w:r>
      <w:r>
        <w:rPr>
          <w:rFonts w:eastAsia="仿宋_GB2312;仿宋" w:cs="Arial" w:ascii="Arial" w:hAnsi="Arial"/>
          <w:bCs/>
          <w:sz w:val="28"/>
          <w:szCs w:val="28"/>
        </w:rPr>
        <w:t>0.1%</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年，全市工业生产者出厂价格比上年下降</w:t>
      </w:r>
      <w:r>
        <w:rPr>
          <w:rFonts w:eastAsia="仿宋_GB2312;仿宋" w:cs="Arial" w:ascii="Arial" w:hAnsi="Arial"/>
          <w:bCs/>
          <w:sz w:val="28"/>
          <w:szCs w:val="28"/>
        </w:rPr>
        <w:t>0.8%</w:t>
      </w:r>
      <w:r>
        <w:rPr>
          <w:rFonts w:ascii="Arial" w:hAnsi="Arial" w:cs="Arial" w:eastAsia="仿宋_GB2312;仿宋"/>
          <w:bCs/>
          <w:sz w:val="28"/>
          <w:szCs w:val="28"/>
        </w:rPr>
        <w:t>，购进价格比上年下降</w:t>
      </w:r>
      <w:r>
        <w:rPr>
          <w:rFonts w:eastAsia="仿宋_GB2312;仿宋" w:cs="Arial" w:ascii="Arial" w:hAnsi="Arial"/>
          <w:bCs/>
          <w:sz w:val="28"/>
          <w:szCs w:val="28"/>
        </w:rPr>
        <w:t>1.3%</w:t>
      </w:r>
      <w:r>
        <w:rPr>
          <w:rFonts w:ascii="Arial" w:hAnsi="Arial" w:cs="Arial" w:eastAsia="仿宋_GB2312;仿宋"/>
          <w:bCs/>
          <w:sz w:val="28"/>
          <w:szCs w:val="28"/>
        </w:rPr>
        <w:t>。</w:t>
      </w:r>
      <w:r>
        <w:rPr>
          <w:rFonts w:eastAsia="仿宋_GB2312;仿宋" w:cs="Arial" w:ascii="Arial" w:hAnsi="Arial"/>
          <w:bCs/>
          <w:sz w:val="28"/>
          <w:szCs w:val="28"/>
        </w:rPr>
        <w:t>12</w:t>
      </w:r>
      <w:r>
        <w:rPr>
          <w:rFonts w:ascii="Arial" w:hAnsi="Arial" w:cs="Arial" w:eastAsia="仿宋_GB2312;仿宋"/>
          <w:bCs/>
          <w:sz w:val="28"/>
          <w:szCs w:val="28"/>
        </w:rPr>
        <w:t>月份，工业生产者出厂价格同比下降</w:t>
      </w:r>
      <w:r>
        <w:rPr>
          <w:rFonts w:eastAsia="仿宋_GB2312;仿宋" w:cs="Arial" w:ascii="Arial" w:hAnsi="Arial"/>
          <w:bCs/>
          <w:sz w:val="28"/>
          <w:szCs w:val="28"/>
        </w:rPr>
        <w:t>0.6%</w:t>
      </w:r>
      <w:r>
        <w:rPr>
          <w:rFonts w:ascii="Arial" w:hAnsi="Arial" w:cs="Arial" w:eastAsia="仿宋_GB2312;仿宋"/>
          <w:bCs/>
          <w:sz w:val="28"/>
          <w:szCs w:val="28"/>
        </w:rPr>
        <w:t>，环比下降</w:t>
      </w:r>
      <w:r>
        <w:rPr>
          <w:rFonts w:eastAsia="仿宋_GB2312;仿宋" w:cs="Arial" w:ascii="Arial" w:hAnsi="Arial"/>
          <w:bCs/>
          <w:sz w:val="28"/>
          <w:szCs w:val="28"/>
        </w:rPr>
        <w:t>0.4%</w:t>
      </w:r>
      <w:r>
        <w:rPr>
          <w:rFonts w:ascii="Arial" w:hAnsi="Arial" w:cs="Arial" w:eastAsia="仿宋_GB2312;仿宋"/>
          <w:bCs/>
          <w:sz w:val="28"/>
          <w:szCs w:val="28"/>
        </w:rPr>
        <w:t>；购进价格同比下降</w:t>
      </w:r>
      <w:r>
        <w:rPr>
          <w:rFonts w:eastAsia="仿宋_GB2312;仿宋" w:cs="Arial" w:ascii="Arial" w:hAnsi="Arial"/>
          <w:bCs/>
          <w:sz w:val="28"/>
          <w:szCs w:val="28"/>
        </w:rPr>
        <w:t>1.1%</w:t>
      </w:r>
      <w:r>
        <w:rPr>
          <w:rFonts w:ascii="Arial" w:hAnsi="Arial" w:cs="Arial" w:eastAsia="仿宋_GB2312;仿宋"/>
          <w:bCs/>
          <w:sz w:val="28"/>
          <w:szCs w:val="28"/>
        </w:rPr>
        <w:t>，环比上涨</w:t>
      </w:r>
      <w:r>
        <w:rPr>
          <w:rFonts w:eastAsia="仿宋_GB2312;仿宋" w:cs="Arial" w:ascii="Arial" w:hAnsi="Arial"/>
          <w:bCs/>
          <w:sz w:val="28"/>
          <w:szCs w:val="28"/>
        </w:rPr>
        <w:t>0.2%</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ascii="Arial" w:hAnsi="Arial" w:cs="Arial" w:eastAsia="仿宋_GB2312;仿宋"/>
          <w:bCs/>
          <w:sz w:val="28"/>
          <w:szCs w:val="28"/>
        </w:rPr>
        <w:t>（</w:t>
      </w:r>
      <w:r>
        <w:rPr>
          <w:rFonts w:eastAsia="仿宋_GB2312;仿宋" w:cs="Arial" w:ascii="Arial" w:hAnsi="Arial"/>
          <w:bCs/>
          <w:sz w:val="28"/>
          <w:szCs w:val="28"/>
        </w:rPr>
        <w:t>7</w:t>
      </w:r>
      <w:r>
        <w:rPr>
          <w:rFonts w:ascii="Arial" w:hAnsi="Arial" w:cs="Arial" w:eastAsia="仿宋_GB2312;仿宋"/>
          <w:bCs/>
          <w:sz w:val="28"/>
          <w:szCs w:val="28"/>
        </w:rPr>
        <w:t>）就业形势总体稳定，居民收入稳步增加</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年，全市城镇调查失业率均值为</w:t>
      </w:r>
      <w:r>
        <w:rPr>
          <w:rFonts w:eastAsia="仿宋_GB2312;仿宋" w:cs="Arial" w:ascii="Arial" w:hAnsi="Arial"/>
          <w:bCs/>
          <w:sz w:val="28"/>
          <w:szCs w:val="28"/>
        </w:rPr>
        <w:t>4.4%</w:t>
      </w:r>
      <w:r>
        <w:rPr>
          <w:rFonts w:ascii="Arial" w:hAnsi="Arial" w:cs="Arial" w:eastAsia="仿宋_GB2312;仿宋"/>
          <w:bCs/>
          <w:sz w:val="28"/>
          <w:szCs w:val="28"/>
        </w:rPr>
        <w:t>，比上年下降</w:t>
      </w:r>
      <w:r>
        <w:rPr>
          <w:rFonts w:eastAsia="仿宋_GB2312;仿宋" w:cs="Arial" w:ascii="Arial" w:hAnsi="Arial"/>
          <w:bCs/>
          <w:sz w:val="28"/>
          <w:szCs w:val="28"/>
        </w:rPr>
        <w:t>0.3</w:t>
      </w:r>
      <w:r>
        <w:rPr>
          <w:rFonts w:ascii="Arial" w:hAnsi="Arial" w:cs="Arial" w:eastAsia="仿宋_GB2312;仿宋"/>
          <w:bCs/>
          <w:sz w:val="28"/>
          <w:szCs w:val="28"/>
        </w:rPr>
        <w:t>个百分点；</w:t>
      </w:r>
      <w:r>
        <w:rPr>
          <w:rFonts w:eastAsia="仿宋_GB2312;仿宋" w:cs="Arial" w:ascii="Arial" w:hAnsi="Arial"/>
          <w:bCs/>
          <w:sz w:val="28"/>
          <w:szCs w:val="28"/>
        </w:rPr>
        <w:t>12</w:t>
      </w:r>
      <w:r>
        <w:rPr>
          <w:rFonts w:ascii="Arial" w:hAnsi="Arial" w:cs="Arial" w:eastAsia="仿宋_GB2312;仿宋"/>
          <w:bCs/>
          <w:sz w:val="28"/>
          <w:szCs w:val="28"/>
        </w:rPr>
        <w:t>月份，全市城镇调查失业率为</w:t>
      </w:r>
      <w:r>
        <w:rPr>
          <w:rFonts w:eastAsia="仿宋_GB2312;仿宋" w:cs="Arial" w:ascii="Arial" w:hAnsi="Arial"/>
          <w:bCs/>
          <w:sz w:val="28"/>
          <w:szCs w:val="28"/>
        </w:rPr>
        <w:t>4.2%</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年，全市居民人均可支配收入</w:t>
      </w:r>
      <w:r>
        <w:rPr>
          <w:rFonts w:eastAsia="仿宋_GB2312;仿宋" w:cs="Arial" w:ascii="Arial" w:hAnsi="Arial"/>
          <w:bCs/>
          <w:sz w:val="28"/>
          <w:szCs w:val="28"/>
        </w:rPr>
        <w:t>81752</w:t>
      </w:r>
      <w:r>
        <w:rPr>
          <w:rFonts w:ascii="Arial" w:hAnsi="Arial" w:cs="Arial" w:eastAsia="仿宋_GB2312;仿宋"/>
          <w:bCs/>
          <w:sz w:val="28"/>
          <w:szCs w:val="28"/>
        </w:rPr>
        <w:t>元，比上年名义增长</w:t>
      </w:r>
      <w:r>
        <w:rPr>
          <w:rFonts w:eastAsia="仿宋_GB2312;仿宋" w:cs="Arial" w:ascii="Arial" w:hAnsi="Arial"/>
          <w:bCs/>
          <w:sz w:val="28"/>
          <w:szCs w:val="28"/>
        </w:rPr>
        <w:t>5.6%</w:t>
      </w:r>
      <w:r>
        <w:rPr>
          <w:rFonts w:ascii="Arial" w:hAnsi="Arial" w:cs="Arial" w:eastAsia="仿宋_GB2312;仿宋"/>
          <w:bCs/>
          <w:sz w:val="28"/>
          <w:szCs w:val="28"/>
        </w:rPr>
        <w:t>，扣除价格因素实际增长</w:t>
      </w:r>
      <w:r>
        <w:rPr>
          <w:rFonts w:eastAsia="仿宋_GB2312;仿宋" w:cs="Arial" w:ascii="Arial" w:hAnsi="Arial"/>
          <w:bCs/>
          <w:sz w:val="28"/>
          <w:szCs w:val="28"/>
        </w:rPr>
        <w:t>5.2%</w:t>
      </w:r>
      <w:r>
        <w:rPr>
          <w:rFonts w:ascii="Arial" w:hAnsi="Arial" w:cs="Arial" w:eastAsia="仿宋_GB2312;仿宋"/>
          <w:bCs/>
          <w:sz w:val="28"/>
          <w:szCs w:val="28"/>
        </w:rPr>
        <w:t>。其中，工资性收入增长</w:t>
      </w:r>
      <w:r>
        <w:rPr>
          <w:rFonts w:eastAsia="仿宋_GB2312;仿宋" w:cs="Arial" w:ascii="Arial" w:hAnsi="Arial"/>
          <w:bCs/>
          <w:sz w:val="28"/>
          <w:szCs w:val="28"/>
        </w:rPr>
        <w:t>8.1%</w:t>
      </w:r>
      <w:r>
        <w:rPr>
          <w:rFonts w:ascii="Arial" w:hAnsi="Arial" w:cs="Arial" w:eastAsia="仿宋_GB2312;仿宋"/>
          <w:bCs/>
          <w:sz w:val="28"/>
          <w:szCs w:val="28"/>
        </w:rPr>
        <w:t>，经营净收入增长</w:t>
      </w:r>
      <w:r>
        <w:rPr>
          <w:rFonts w:eastAsia="仿宋_GB2312;仿宋" w:cs="Arial" w:ascii="Arial" w:hAnsi="Arial"/>
          <w:bCs/>
          <w:sz w:val="28"/>
          <w:szCs w:val="28"/>
        </w:rPr>
        <w:t>13.6%</w:t>
      </w:r>
      <w:r>
        <w:rPr>
          <w:rFonts w:ascii="Arial" w:hAnsi="Arial" w:cs="Arial" w:eastAsia="仿宋_GB2312;仿宋"/>
          <w:bCs/>
          <w:sz w:val="28"/>
          <w:szCs w:val="28"/>
        </w:rPr>
        <w:t>，转移净收入增长</w:t>
      </w:r>
      <w:r>
        <w:rPr>
          <w:rFonts w:eastAsia="仿宋_GB2312;仿宋" w:cs="Arial" w:ascii="Arial" w:hAnsi="Arial"/>
          <w:bCs/>
          <w:sz w:val="28"/>
          <w:szCs w:val="28"/>
        </w:rPr>
        <w:t>2.9%</w:t>
      </w:r>
      <w:r>
        <w:rPr>
          <w:rFonts w:ascii="Arial" w:hAnsi="Arial" w:cs="Arial" w:eastAsia="仿宋_GB2312;仿宋"/>
          <w:bCs/>
          <w:sz w:val="28"/>
          <w:szCs w:val="28"/>
        </w:rPr>
        <w:t>，财产净收入下降</w:t>
      </w:r>
      <w:r>
        <w:rPr>
          <w:rFonts w:eastAsia="仿宋_GB2312;仿宋" w:cs="Arial" w:ascii="Arial" w:hAnsi="Arial"/>
          <w:bCs/>
          <w:sz w:val="28"/>
          <w:szCs w:val="28"/>
        </w:rPr>
        <w:t>1.1%</w:t>
      </w:r>
      <w:r>
        <w:rPr>
          <w:rFonts w:ascii="Arial" w:hAnsi="Arial" w:cs="Arial" w:eastAsia="仿宋_GB2312;仿宋"/>
          <w:bCs/>
          <w:sz w:val="28"/>
          <w:szCs w:val="28"/>
        </w:rPr>
        <w:t>。城镇居民人均可支配收入</w:t>
      </w:r>
      <w:r>
        <w:rPr>
          <w:rFonts w:eastAsia="仿宋_GB2312;仿宋" w:cs="Arial" w:ascii="Arial" w:hAnsi="Arial"/>
          <w:bCs/>
          <w:sz w:val="28"/>
          <w:szCs w:val="28"/>
        </w:rPr>
        <w:t>88650</w:t>
      </w:r>
      <w:r>
        <w:rPr>
          <w:rFonts w:ascii="Arial" w:hAnsi="Arial" w:cs="Arial" w:eastAsia="仿宋_GB2312;仿宋"/>
          <w:bCs/>
          <w:sz w:val="28"/>
          <w:szCs w:val="28"/>
        </w:rPr>
        <w:t>元，比上年增长</w:t>
      </w:r>
      <w:r>
        <w:rPr>
          <w:rFonts w:eastAsia="仿宋_GB2312;仿宋" w:cs="Arial" w:ascii="Arial" w:hAnsi="Arial"/>
          <w:bCs/>
          <w:sz w:val="28"/>
          <w:szCs w:val="28"/>
        </w:rPr>
        <w:t>5.5%</w:t>
      </w:r>
      <w:r>
        <w:rPr>
          <w:rFonts w:ascii="Arial" w:hAnsi="Arial" w:cs="Arial" w:eastAsia="仿宋_GB2312;仿宋"/>
          <w:bCs/>
          <w:sz w:val="28"/>
          <w:szCs w:val="28"/>
        </w:rPr>
        <w:t>，农村居民人均可支配收入</w:t>
      </w:r>
      <w:r>
        <w:rPr>
          <w:rFonts w:eastAsia="仿宋_GB2312;仿宋" w:cs="Arial" w:ascii="Arial" w:hAnsi="Arial"/>
          <w:bCs/>
          <w:sz w:val="28"/>
          <w:szCs w:val="28"/>
        </w:rPr>
        <w:t>37358</w:t>
      </w:r>
      <w:r>
        <w:rPr>
          <w:rFonts w:ascii="Arial" w:hAnsi="Arial" w:cs="Arial" w:eastAsia="仿宋_GB2312;仿宋"/>
          <w:bCs/>
          <w:sz w:val="28"/>
          <w:szCs w:val="28"/>
        </w:rPr>
        <w:t>元，比上年增长</w:t>
      </w:r>
      <w:r>
        <w:rPr>
          <w:rFonts w:eastAsia="仿宋_GB2312;仿宋" w:cs="Arial" w:ascii="Arial" w:hAnsi="Arial"/>
          <w:bCs/>
          <w:sz w:val="28"/>
          <w:szCs w:val="28"/>
        </w:rPr>
        <w:t>7.5%</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年，全市居民人均消费支出</w:t>
      </w:r>
      <w:r>
        <w:rPr>
          <w:rFonts w:eastAsia="仿宋_GB2312;仿宋" w:cs="Arial" w:ascii="Arial" w:hAnsi="Arial"/>
          <w:bCs/>
          <w:sz w:val="28"/>
          <w:szCs w:val="28"/>
        </w:rPr>
        <w:t>47586</w:t>
      </w:r>
      <w:r>
        <w:rPr>
          <w:rFonts w:ascii="Arial" w:hAnsi="Arial" w:cs="Arial" w:eastAsia="仿宋_GB2312;仿宋"/>
          <w:bCs/>
          <w:sz w:val="28"/>
          <w:szCs w:val="28"/>
        </w:rPr>
        <w:t>元，比上年增长</w:t>
      </w:r>
      <w:r>
        <w:rPr>
          <w:rFonts w:eastAsia="仿宋_GB2312;仿宋" w:cs="Arial" w:ascii="Arial" w:hAnsi="Arial"/>
          <w:bCs/>
          <w:sz w:val="28"/>
          <w:szCs w:val="28"/>
        </w:rPr>
        <w:t>11.5%,</w:t>
      </w:r>
      <w:r>
        <w:rPr>
          <w:rFonts w:ascii="Arial" w:hAnsi="Arial" w:cs="Arial" w:eastAsia="仿宋_GB2312;仿宋"/>
          <w:bCs/>
          <w:sz w:val="28"/>
          <w:szCs w:val="28"/>
        </w:rPr>
        <w:t>其中，城镇居民人均消费支出</w:t>
      </w:r>
      <w:r>
        <w:rPr>
          <w:rFonts w:eastAsia="仿宋_GB2312;仿宋" w:cs="Arial" w:ascii="Arial" w:hAnsi="Arial"/>
          <w:bCs/>
          <w:sz w:val="28"/>
          <w:szCs w:val="28"/>
        </w:rPr>
        <w:t>50897</w:t>
      </w:r>
      <w:r>
        <w:rPr>
          <w:rFonts w:ascii="Arial" w:hAnsi="Arial" w:cs="Arial" w:eastAsia="仿宋_GB2312;仿宋"/>
          <w:bCs/>
          <w:sz w:val="28"/>
          <w:szCs w:val="28"/>
        </w:rPr>
        <w:t>元，增长</w:t>
      </w:r>
      <w:r>
        <w:rPr>
          <w:rFonts w:eastAsia="仿宋_GB2312;仿宋" w:cs="Arial" w:ascii="Arial" w:hAnsi="Arial"/>
          <w:bCs/>
          <w:sz w:val="28"/>
          <w:szCs w:val="28"/>
        </w:rPr>
        <w:t>11.6%</w:t>
      </w:r>
      <w:r>
        <w:rPr>
          <w:rFonts w:ascii="Arial" w:hAnsi="Arial" w:cs="Arial" w:eastAsia="仿宋_GB2312;仿宋"/>
          <w:bCs/>
          <w:sz w:val="28"/>
          <w:szCs w:val="28"/>
        </w:rPr>
        <w:t>，农村居民人均消费支出</w:t>
      </w:r>
      <w:r>
        <w:rPr>
          <w:rFonts w:eastAsia="仿宋_GB2312;仿宋" w:cs="Arial" w:ascii="Arial" w:hAnsi="Arial"/>
          <w:bCs/>
          <w:sz w:val="28"/>
          <w:szCs w:val="28"/>
        </w:rPr>
        <w:t>26277</w:t>
      </w:r>
      <w:r>
        <w:rPr>
          <w:rFonts w:ascii="Arial" w:hAnsi="Arial" w:cs="Arial" w:eastAsia="仿宋_GB2312;仿宋"/>
          <w:bCs/>
          <w:sz w:val="28"/>
          <w:szCs w:val="28"/>
        </w:rPr>
        <w:t>元，增长</w:t>
      </w:r>
      <w:r>
        <w:rPr>
          <w:rFonts w:eastAsia="仿宋_GB2312;仿宋" w:cs="Arial" w:ascii="Arial" w:hAnsi="Arial"/>
          <w:bCs/>
          <w:sz w:val="28"/>
          <w:szCs w:val="28"/>
        </w:rPr>
        <w:t>10.7%</w:t>
      </w:r>
      <w:r>
        <w:rPr>
          <w:rFonts w:ascii="Arial" w:hAnsi="Arial" w:cs="Arial" w:eastAsia="仿宋_GB2312;仿宋"/>
          <w:bCs/>
          <w:sz w:val="28"/>
          <w:szCs w:val="28"/>
        </w:rPr>
        <w:t>。</w:t>
      </w:r>
    </w:p>
    <w:p>
      <w:pPr>
        <w:pStyle w:val="Normal"/>
        <w:overflowPunct w:val="false"/>
        <w:spacing w:lineRule="auto" w:line="360"/>
        <w:ind w:firstLine="560"/>
        <w:jc w:val="both"/>
        <w:rPr>
          <w:rFonts w:ascii="Arial" w:hAnsi="Arial" w:eastAsia="仿宋_GB2312;仿宋" w:cs="Arial"/>
          <w:bCs/>
          <w:color w:val="000000"/>
          <w:sz w:val="28"/>
          <w:szCs w:val="28"/>
        </w:rPr>
      </w:pPr>
      <w:r>
        <w:rPr>
          <w:rFonts w:ascii="Arial" w:hAnsi="Arial" w:cs="Arial" w:eastAsia="仿宋_GB2312;仿宋"/>
          <w:bCs/>
          <w:sz w:val="28"/>
          <w:szCs w:val="28"/>
        </w:rPr>
        <w:t>总的来看，</w:t>
      </w:r>
      <w:r>
        <w:rPr>
          <w:rFonts w:eastAsia="仿宋_GB2312;仿宋" w:cs="Arial" w:ascii="Arial" w:hAnsi="Arial"/>
          <w:bCs/>
          <w:sz w:val="28"/>
          <w:szCs w:val="28"/>
        </w:rPr>
        <w:t>2023</w:t>
      </w:r>
      <w:r>
        <w:rPr>
          <w:rFonts w:ascii="Arial" w:hAnsi="Arial" w:cs="Arial" w:eastAsia="仿宋_GB2312;仿宋"/>
          <w:bCs/>
          <w:sz w:val="28"/>
          <w:szCs w:val="28"/>
        </w:rPr>
        <w:t>年北京市生产需求逐步改善，民生保障坚实有力，发展质量不断提升，经济保持回升向好态势</w:t>
      </w:r>
      <w:r>
        <w:rPr>
          <w:rFonts w:ascii="Arial" w:hAnsi="Arial" w:cs="Arial" w:eastAsia="仿宋_GB2312;仿宋"/>
          <w:bCs/>
          <w:color w:val="000000"/>
          <w:sz w:val="28"/>
          <w:szCs w:val="28"/>
        </w:rPr>
        <w:t>。</w:t>
      </w:r>
    </w:p>
    <w:p>
      <w:pPr>
        <w:pStyle w:val="Normal"/>
        <w:spacing w:lineRule="auto" w:line="360"/>
        <w:jc w:val="both"/>
        <w:rPr>
          <w:rFonts w:ascii="Arial" w:hAnsi="Arial" w:eastAsia="仿宋_GB2312;仿宋" w:cs="Arial"/>
          <w:sz w:val="28"/>
        </w:rPr>
      </w:pPr>
      <w:r>
        <w:rPr>
          <w:rFonts w:ascii="Arial" w:hAnsi="Arial" w:cs="Arial" w:eastAsia="仿宋_GB2312;仿宋"/>
          <w:sz w:val="28"/>
        </w:rPr>
        <w:t>（二）区域因素</w:t>
      </w:r>
    </w:p>
    <w:p>
      <w:pPr>
        <w:pStyle w:val="Normal"/>
        <w:spacing w:lineRule="auto" w:line="360"/>
        <w:ind w:firstLine="560"/>
        <w:rPr>
          <w:rFonts w:ascii="Arial" w:hAnsi="Arial" w:eastAsia="仿宋_GB2312;仿宋" w:cs="Arial"/>
          <w:sz w:val="28"/>
        </w:rPr>
      </w:pPr>
      <w:r>
        <w:rPr>
          <w:rFonts w:eastAsia="仿宋_GB2312;仿宋" w:cs="Arial" w:ascii="Arial" w:hAnsi="Arial"/>
          <w:sz w:val="28"/>
        </w:rPr>
        <w:t xml:space="preserve">1. </w:t>
      </w:r>
      <w:r>
        <w:rPr>
          <w:rFonts w:ascii="Arial" w:hAnsi="Arial" w:cs="Arial" w:eastAsia="仿宋_GB2312;仿宋"/>
          <w:sz w:val="28"/>
        </w:rPr>
        <w:t>位置状况</w:t>
      </w:r>
    </w:p>
    <w:p>
      <w:pPr>
        <w:pStyle w:val="Normal"/>
        <w:spacing w:lineRule="auto" w:line="360"/>
        <w:ind w:firstLine="560"/>
        <w:jc w:val="both"/>
        <w:rPr/>
      </w:pPr>
      <w:r>
        <w:rPr>
          <w:rFonts w:eastAsia="仿宋_GB2312;仿宋" w:cs="楷体_GB2312;楷体" w:ascii="Arial" w:hAnsi="Arial"/>
          <w:sz w:val="28"/>
        </w:rPr>
        <w:t>1</w:t>
      </w:r>
      <w:r>
        <w:rPr>
          <w:rFonts w:eastAsia="仿宋_GB2312;仿宋" w:cs="楷体_GB2312;楷体" w:ascii="仿宋_GB2312;仿宋" w:hAnsi="仿宋_GB2312;仿宋"/>
          <w:sz w:val="28"/>
        </w:rPr>
        <w:t>.</w:t>
      </w:r>
      <w:r>
        <w:rPr>
          <w:rFonts w:ascii="仿宋_GB2312;仿宋" w:hAnsi="仿宋_GB2312;仿宋" w:cs="楷体_GB2312;楷体" w:eastAsia="仿宋_GB2312;仿宋"/>
          <w:sz w:val="28"/>
        </w:rPr>
        <w:t>区域概况</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估价对象所属西三旗地区，区域内交通畅达，地铁</w:t>
      </w:r>
      <w:r>
        <w:rPr>
          <w:rFonts w:eastAsia="仿宋_GB2312;仿宋" w:cs="Arial" w:ascii="Arial" w:hAnsi="Arial"/>
          <w:sz w:val="28"/>
        </w:rPr>
        <w:t>5</w:t>
      </w:r>
      <w:r>
        <w:rPr>
          <w:rFonts w:ascii="Arial" w:hAnsi="Arial" w:cs="Arial" w:eastAsia="仿宋_GB2312;仿宋"/>
          <w:sz w:val="28"/>
        </w:rPr>
        <w:t>号线、</w:t>
      </w:r>
      <w:r>
        <w:rPr>
          <w:rFonts w:eastAsia="仿宋_GB2312;仿宋" w:cs="Arial" w:ascii="Arial" w:hAnsi="Arial"/>
          <w:sz w:val="28"/>
        </w:rPr>
        <w:t>8</w:t>
      </w:r>
      <w:r>
        <w:rPr>
          <w:rFonts w:ascii="Arial" w:hAnsi="Arial" w:cs="Arial" w:eastAsia="仿宋_GB2312;仿宋"/>
          <w:sz w:val="28"/>
        </w:rPr>
        <w:t>号线、</w:t>
      </w:r>
      <w:r>
        <w:rPr>
          <w:rFonts w:eastAsia="仿宋_GB2312;仿宋" w:cs="Arial" w:ascii="Arial" w:hAnsi="Arial"/>
          <w:sz w:val="28"/>
        </w:rPr>
        <w:t>13</w:t>
      </w:r>
      <w:r>
        <w:rPr>
          <w:rFonts w:ascii="Arial" w:hAnsi="Arial" w:cs="Arial" w:eastAsia="仿宋_GB2312;仿宋"/>
          <w:sz w:val="28"/>
        </w:rPr>
        <w:t>号线以及</w:t>
      </w:r>
      <w:r>
        <w:rPr>
          <w:rFonts w:eastAsia="仿宋_GB2312;仿宋" w:cs="Arial" w:ascii="Arial" w:hAnsi="Arial"/>
          <w:sz w:val="28"/>
        </w:rPr>
        <w:t>10</w:t>
      </w:r>
      <w:r>
        <w:rPr>
          <w:rFonts w:ascii="Arial" w:hAnsi="Arial" w:cs="Arial" w:eastAsia="仿宋_GB2312;仿宋"/>
          <w:sz w:val="28"/>
        </w:rPr>
        <w:t>余条公交线交汇而行。林萃路、</w:t>
      </w:r>
      <w:commentRangeStart w:id="4"/>
      <w:r>
        <w:rPr>
          <w:rFonts w:ascii="Arial" w:hAnsi="Arial" w:cs="Arial" w:eastAsia="仿宋_GB2312;仿宋"/>
          <w:sz w:val="28"/>
        </w:rPr>
        <w:t>安立路</w:t>
      </w:r>
      <w:r>
        <w:rPr>
          <w:rFonts w:ascii="Arial" w:hAnsi="Arial" w:cs="Arial" w:eastAsia="仿宋_GB2312;仿宋"/>
          <w:sz w:val="28"/>
        </w:rPr>
      </w:r>
      <w:commentRangeEnd w:id="4"/>
      <w:r>
        <w:commentReference w:id="4"/>
      </w:r>
      <w:r>
        <w:rPr>
          <w:rFonts w:ascii="Arial" w:hAnsi="Arial" w:cs="Arial" w:eastAsia="仿宋_GB2312;仿宋"/>
          <w:sz w:val="28"/>
        </w:rPr>
        <w:t>、京藏高速直达北京中心城区。配套较齐全，回龙观、清河、奥运村三大商圈环绕，随着北京大学人民医院（海淀分院）入驻该地区，使得该地区配套设施更加完备。海淀教育资源丰富，清华大学、北京大学、北京航空航天大学、北京科技大学等八大学府环伺；北京师大二附中国际部、北京石油学院附属实验小学、龙岗路幼儿园周边林立，优质教育资源自成一脉。</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估价对象位于北京市海淀区西三旗建材城中路</w:t>
      </w:r>
      <w:r>
        <w:rPr>
          <w:rFonts w:eastAsia="仿宋_GB2312;仿宋" w:cs="Arial" w:ascii="Arial" w:hAnsi="Arial"/>
          <w:sz w:val="28"/>
        </w:rPr>
        <w:t>2</w:t>
      </w:r>
      <w:r>
        <w:rPr>
          <w:rFonts w:ascii="Arial" w:hAnsi="Arial" w:cs="Arial" w:eastAsia="仿宋_GB2312;仿宋"/>
          <w:sz w:val="28"/>
        </w:rPr>
        <w:t>号，地铁</w:t>
      </w:r>
      <w:r>
        <w:rPr>
          <w:rFonts w:eastAsia="仿宋_GB2312;仿宋" w:cs="Arial" w:ascii="Arial" w:hAnsi="Arial"/>
          <w:sz w:val="28"/>
        </w:rPr>
        <w:t>13</w:t>
      </w:r>
      <w:r>
        <w:rPr>
          <w:rFonts w:ascii="Arial" w:hAnsi="Arial" w:cs="Arial" w:eastAsia="仿宋_GB2312;仿宋"/>
          <w:sz w:val="28"/>
        </w:rPr>
        <w:t>号线霍营站东南侧。属于海淀区西三旗街道，靠近昌平区与朝阳区边界。</w:t>
      </w:r>
    </w:p>
    <w:p>
      <w:pPr>
        <w:pStyle w:val="Normal"/>
        <w:spacing w:lineRule="auto" w:line="360"/>
        <w:ind w:firstLine="560"/>
        <w:rPr>
          <w:rFonts w:ascii="Arial" w:hAnsi="Arial" w:eastAsia="仿宋_GB2312;仿宋" w:cs="Arial"/>
          <w:sz w:val="28"/>
        </w:rPr>
      </w:pPr>
      <w:r>
        <w:rPr>
          <w:rFonts w:eastAsia="仿宋_GB2312;仿宋" w:cs="Arial" w:ascii="Arial" w:hAnsi="Arial"/>
          <w:sz w:val="28"/>
        </w:rPr>
        <w:t>2.</w:t>
      </w:r>
      <w:r>
        <w:rPr>
          <w:rFonts w:ascii="Arial" w:hAnsi="Arial" w:cs="Arial" w:eastAsia="仿宋_GB2312;仿宋"/>
          <w:sz w:val="28"/>
        </w:rPr>
        <w:t>产业聚集度</w:t>
      </w:r>
    </w:p>
    <w:p>
      <w:pPr>
        <w:pStyle w:val="Normal"/>
        <w:spacing w:lineRule="auto" w:line="360"/>
        <w:ind w:firstLine="560"/>
        <w:rPr>
          <w:rFonts w:ascii="Arial" w:hAnsi="Arial" w:eastAsia="仿宋_GB2312;仿宋" w:cs="Arial"/>
          <w:sz w:val="28"/>
        </w:rPr>
      </w:pPr>
      <w:r>
        <w:rPr>
          <w:rFonts w:ascii="Arial" w:hAnsi="Arial" w:cs="Arial" w:eastAsia="仿宋_GB2312;仿宋"/>
          <w:sz w:val="28"/>
        </w:rPr>
        <w:t>估价对象位于北五环外，工业六级</w:t>
      </w:r>
      <w:r>
        <w:rPr>
          <w:rFonts w:eastAsia="仿宋_GB2312;仿宋" w:cs="Arial" w:ascii="Arial" w:hAnsi="Arial"/>
          <w:sz w:val="28"/>
        </w:rPr>
        <w:t>VI-01</w:t>
      </w:r>
      <w:r>
        <w:rPr>
          <w:rFonts w:ascii="Arial" w:hAnsi="Arial" w:cs="Arial" w:eastAsia="仿宋_GB2312;仿宋"/>
          <w:sz w:val="28"/>
        </w:rPr>
        <w:t>地价片区</w:t>
      </w:r>
      <w:r>
        <w:rPr>
          <w:rFonts w:ascii="Arial" w:hAnsi="Arial" w:cs="Arial" w:eastAsia="仿宋_GB2312;仿宋"/>
          <w:sz w:val="28"/>
        </w:rPr>
        <w:t>，受城市经济发展扩大的影响，该区域有少量工业用地，如永丰高新技术产业园、东升科技园等产业园区，规模一般，</w:t>
      </w:r>
      <w:r>
        <w:rPr>
          <w:rFonts w:ascii="Arial" w:hAnsi="Arial" w:cs="Arial" w:eastAsia="仿宋_GB2312;仿宋"/>
          <w:sz w:val="28"/>
        </w:rPr>
        <w:t>产业集聚程度</w:t>
      </w:r>
      <w:r>
        <w:rPr>
          <w:rFonts w:ascii="Arial" w:hAnsi="Arial" w:cs="Arial" w:eastAsia="仿宋_GB2312;仿宋"/>
          <w:sz w:val="28"/>
        </w:rPr>
        <w:t>一般</w:t>
      </w:r>
      <w:r>
        <w:rPr>
          <w:rFonts w:ascii="Arial" w:hAnsi="Arial" w:cs="Arial" w:eastAsia="仿宋_GB2312;仿宋"/>
          <w:sz w:val="28"/>
        </w:rPr>
        <w:t>。</w:t>
      </w:r>
    </w:p>
    <w:p>
      <w:pPr>
        <w:pStyle w:val="Normal"/>
        <w:spacing w:lineRule="auto" w:line="360"/>
        <w:ind w:firstLine="560"/>
        <w:rPr>
          <w:rFonts w:ascii="Arial" w:hAnsi="Arial" w:eastAsia="仿宋_GB2312;仿宋" w:cs="Arial"/>
          <w:sz w:val="28"/>
        </w:rPr>
      </w:pPr>
      <w:r>
        <w:rPr>
          <w:rFonts w:eastAsia="仿宋_GB2312;仿宋" w:cs="Arial" w:ascii="Arial" w:hAnsi="Arial"/>
          <w:sz w:val="28"/>
        </w:rPr>
        <w:t>3.</w:t>
      </w:r>
      <w:r>
        <w:rPr>
          <w:rFonts w:ascii="Arial" w:hAnsi="Arial" w:cs="Arial" w:eastAsia="仿宋_GB2312;仿宋"/>
          <w:sz w:val="28"/>
        </w:rPr>
        <w:t>交通便捷度</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估价对象所在区域交通道路有</w:t>
      </w:r>
      <w:r>
        <w:rPr>
          <w:rFonts w:eastAsia="仿宋_GB2312;仿宋" w:cs="Arial" w:ascii="Arial" w:hAnsi="Arial"/>
          <w:sz w:val="28"/>
        </w:rPr>
        <w:t>G6</w:t>
      </w:r>
      <w:r>
        <w:rPr>
          <w:rFonts w:ascii="Arial" w:hAnsi="Arial" w:cs="Arial" w:eastAsia="仿宋_GB2312;仿宋"/>
          <w:sz w:val="28"/>
        </w:rPr>
        <w:t>高速公路、建材城西路、后屯路、黄平路等，</w:t>
      </w:r>
      <w:commentRangeStart w:id="5"/>
      <w:r>
        <w:rPr>
          <w:rFonts w:ascii="Arial" w:hAnsi="Arial" w:cs="Arial" w:eastAsia="仿宋_GB2312;仿宋"/>
          <w:sz w:val="28"/>
        </w:rPr>
        <w:t>区域路网</w:t>
      </w:r>
      <w:r>
        <w:rPr>
          <w:rFonts w:ascii="Arial" w:hAnsi="Arial" w:cs="Arial" w:eastAsia="仿宋_GB2312;仿宋"/>
          <w:sz w:val="28"/>
        </w:rPr>
      </w:r>
      <w:commentRangeEnd w:id="5"/>
      <w:r>
        <w:commentReference w:id="5"/>
      </w:r>
      <w:r>
        <w:rPr>
          <w:rFonts w:ascii="Arial" w:hAnsi="Arial" w:cs="Arial" w:eastAsia="仿宋_GB2312;仿宋"/>
          <w:sz w:val="28"/>
        </w:rPr>
        <w:t>密集程度好，对外交通状况较好。</w:t>
      </w:r>
    </w:p>
    <w:p>
      <w:pPr>
        <w:pStyle w:val="Normal"/>
        <w:spacing w:lineRule="auto" w:line="360"/>
        <w:ind w:firstLine="560"/>
        <w:rPr>
          <w:rFonts w:ascii="Arial" w:hAnsi="Arial" w:eastAsia="仿宋_GB2312;仿宋" w:cs="Arial"/>
          <w:sz w:val="28"/>
        </w:rPr>
      </w:pPr>
      <w:r>
        <w:rPr>
          <w:rFonts w:ascii="Arial" w:hAnsi="Arial" w:cs="Arial" w:eastAsia="仿宋_GB2312;仿宋"/>
          <w:sz w:val="28"/>
        </w:rPr>
        <w:t>估价对象的周边有</w:t>
      </w:r>
      <w:r>
        <w:rPr>
          <w:rFonts w:eastAsia="仿宋_GB2312;仿宋" w:cs="Arial" w:ascii="Arial" w:hAnsi="Arial"/>
          <w:sz w:val="28"/>
        </w:rPr>
        <w:t>315</w:t>
      </w:r>
      <w:r>
        <w:rPr>
          <w:rFonts w:ascii="Arial" w:hAnsi="Arial" w:cs="Arial" w:eastAsia="仿宋_GB2312;仿宋"/>
          <w:sz w:val="28"/>
        </w:rPr>
        <w:t>路、</w:t>
      </w:r>
      <w:r>
        <w:rPr>
          <w:rFonts w:eastAsia="仿宋_GB2312;仿宋" w:cs="Arial" w:ascii="Arial" w:hAnsi="Arial"/>
          <w:sz w:val="28"/>
        </w:rPr>
        <w:t>462</w:t>
      </w:r>
      <w:r>
        <w:rPr>
          <w:rFonts w:ascii="Arial" w:hAnsi="Arial" w:cs="Arial" w:eastAsia="仿宋_GB2312;仿宋"/>
          <w:sz w:val="28"/>
        </w:rPr>
        <w:t>路、</w:t>
      </w:r>
      <w:r>
        <w:rPr>
          <w:rFonts w:eastAsia="仿宋_GB2312;仿宋" w:cs="Arial" w:ascii="Arial" w:hAnsi="Arial"/>
          <w:sz w:val="28"/>
        </w:rPr>
        <w:t>520</w:t>
      </w:r>
      <w:r>
        <w:rPr>
          <w:rFonts w:ascii="Arial" w:hAnsi="Arial" w:cs="Arial" w:eastAsia="仿宋_GB2312;仿宋"/>
          <w:sz w:val="28"/>
        </w:rPr>
        <w:t>路、运通</w:t>
      </w:r>
      <w:r>
        <w:rPr>
          <w:rFonts w:eastAsia="仿宋_GB2312;仿宋" w:cs="Arial" w:ascii="Arial" w:hAnsi="Arial"/>
          <w:sz w:val="28"/>
        </w:rPr>
        <w:t>119</w:t>
      </w:r>
      <w:r>
        <w:rPr>
          <w:rFonts w:ascii="Arial" w:hAnsi="Arial" w:cs="Arial" w:eastAsia="仿宋_GB2312;仿宋"/>
          <w:sz w:val="28"/>
        </w:rPr>
        <w:t>路</w:t>
      </w:r>
      <w:r>
        <w:rPr>
          <w:rFonts w:ascii="Arial" w:hAnsi="Arial" w:cs="Arial" w:eastAsia="仿宋_GB2312;仿宋"/>
          <w:sz w:val="28"/>
        </w:rPr>
        <w:t>等多</w:t>
      </w:r>
      <w:r>
        <w:rPr>
          <w:rFonts w:ascii="Arial" w:hAnsi="Arial" w:cs="Arial" w:eastAsia="仿宋_GB2312;仿宋"/>
          <w:sz w:val="28"/>
        </w:rPr>
        <w:t>条公交线路经过，</w:t>
      </w:r>
      <w:r>
        <w:rPr>
          <w:rFonts w:ascii="Arial" w:hAnsi="Arial" w:cs="Arial" w:eastAsia="仿宋_GB2312;仿宋"/>
          <w:sz w:val="28"/>
        </w:rPr>
        <w:t>距地铁</w:t>
      </w:r>
      <w:r>
        <w:rPr>
          <w:rFonts w:eastAsia="仿宋_GB2312;仿宋" w:cs="Arial" w:ascii="Arial" w:hAnsi="Arial"/>
          <w:sz w:val="28"/>
        </w:rPr>
        <w:t>13</w:t>
      </w:r>
      <w:r>
        <w:rPr>
          <w:rFonts w:ascii="Arial" w:hAnsi="Arial" w:cs="Arial" w:eastAsia="仿宋_GB2312;仿宋"/>
          <w:sz w:val="28"/>
        </w:rPr>
        <w:t>号线霍营站约</w:t>
      </w:r>
      <w:r>
        <w:rPr>
          <w:rFonts w:eastAsia="仿宋_GB2312;仿宋" w:cs="Arial" w:ascii="Arial" w:hAnsi="Arial"/>
          <w:sz w:val="28"/>
        </w:rPr>
        <w:t>0.8</w:t>
      </w:r>
      <w:r>
        <w:rPr>
          <w:rFonts w:ascii="Arial" w:hAnsi="Arial" w:cs="Arial" w:eastAsia="仿宋_GB2312;仿宋"/>
          <w:sz w:val="28"/>
        </w:rPr>
        <w:t>公里，</w:t>
      </w:r>
      <w:r>
        <w:rPr>
          <w:rFonts w:ascii="Arial" w:hAnsi="Arial" w:cs="Arial" w:eastAsia="仿宋_GB2312;仿宋"/>
          <w:sz w:val="28"/>
        </w:rPr>
        <w:t>综合评价交通便捷度较好。</w:t>
      </w:r>
    </w:p>
    <w:p>
      <w:pPr>
        <w:pStyle w:val="Normal"/>
        <w:spacing w:lineRule="auto" w:line="360"/>
        <w:ind w:firstLine="560"/>
        <w:rPr>
          <w:rFonts w:ascii="Arial" w:hAnsi="Arial" w:eastAsia="仿宋_GB2312;仿宋" w:cs="Arial"/>
          <w:sz w:val="28"/>
        </w:rPr>
      </w:pPr>
      <w:r>
        <w:rPr>
          <w:rFonts w:eastAsia="仿宋_GB2312;仿宋" w:cs="Arial" w:ascii="Arial" w:hAnsi="Arial"/>
          <w:sz w:val="28"/>
        </w:rPr>
        <w:t>4.</w:t>
      </w:r>
      <w:r>
        <w:rPr>
          <w:rFonts w:ascii="Arial" w:hAnsi="Arial" w:cs="Arial" w:eastAsia="仿宋_GB2312;仿宋"/>
          <w:sz w:val="28"/>
        </w:rPr>
        <w:t>环境状况</w:t>
      </w:r>
    </w:p>
    <w:p>
      <w:pPr>
        <w:pStyle w:val="Normal"/>
        <w:spacing w:lineRule="auto" w:line="360"/>
        <w:ind w:firstLine="560"/>
        <w:rPr>
          <w:rFonts w:ascii="Arial" w:hAnsi="Arial" w:eastAsia="仿宋_GB2312;仿宋" w:cs="Arial"/>
          <w:sz w:val="28"/>
        </w:rPr>
      </w:pPr>
      <w:r>
        <w:rPr>
          <w:rFonts w:ascii="Arial" w:hAnsi="Arial" w:cs="Arial" w:eastAsia="仿宋_GB2312;仿宋"/>
          <w:sz w:val="28"/>
        </w:rPr>
        <w:t>估价对象所在区域内有东小口森林公园等绿地，该区域内无重污染型企业，绿化条件较好，卫生条件良好，整体环境状况良好。</w:t>
      </w:r>
    </w:p>
    <w:p>
      <w:pPr>
        <w:pStyle w:val="Normal"/>
        <w:spacing w:lineRule="auto" w:line="360"/>
        <w:ind w:firstLine="560"/>
        <w:rPr>
          <w:rFonts w:ascii="Arial" w:hAnsi="Arial" w:eastAsia="仿宋_GB2312;仿宋" w:cs="Arial"/>
          <w:sz w:val="28"/>
        </w:rPr>
      </w:pPr>
      <w:r>
        <w:rPr>
          <w:rFonts w:eastAsia="仿宋_GB2312;仿宋" w:cs="Arial" w:ascii="Arial" w:hAnsi="Arial"/>
          <w:sz w:val="28"/>
        </w:rPr>
        <w:t>5.</w:t>
      </w:r>
      <w:r>
        <w:rPr>
          <w:rFonts w:ascii="Arial" w:hAnsi="Arial" w:cs="Arial" w:eastAsia="仿宋_GB2312;仿宋"/>
          <w:sz w:val="28"/>
        </w:rPr>
        <w:t>公共配套设施状况</w:t>
      </w:r>
    </w:p>
    <w:p>
      <w:pPr>
        <w:pStyle w:val="Normal"/>
        <w:spacing w:lineRule="auto" w:line="360"/>
        <w:ind w:firstLine="560"/>
        <w:rPr>
          <w:rFonts w:ascii="Arial" w:hAnsi="Arial" w:eastAsia="仿宋_GB2312;仿宋" w:cs="Arial"/>
          <w:sz w:val="28"/>
        </w:rPr>
      </w:pPr>
      <w:r>
        <w:rPr>
          <w:rFonts w:ascii="Arial" w:hAnsi="Arial" w:cs="Arial" w:eastAsia="仿宋_GB2312;仿宋"/>
          <w:sz w:val="28"/>
        </w:rPr>
        <w:t>估价对象所处区域目前已拥有</w:t>
      </w:r>
      <w:r>
        <w:rPr>
          <w:rFonts w:ascii="Arial" w:hAnsi="Arial" w:cs="Arial" w:eastAsia="仿宋_GB2312;仿宋"/>
          <w:sz w:val="28"/>
        </w:rPr>
        <w:t>较</w:t>
      </w:r>
      <w:r>
        <w:rPr>
          <w:rFonts w:ascii="Arial" w:hAnsi="Arial" w:cs="Arial" w:eastAsia="仿宋_GB2312;仿宋"/>
          <w:sz w:val="28"/>
        </w:rPr>
        <w:t>完善的基础设施配套保障，区内大部分区域基础设施配套目前可达到</w:t>
      </w:r>
      <w:r>
        <w:rPr>
          <w:rFonts w:ascii="Arial" w:hAnsi="Arial" w:cs="Arial" w:eastAsia="仿宋_GB2312;仿宋"/>
          <w:sz w:val="28"/>
        </w:rPr>
        <w:t>”七通”（即通路、通上水、通下水、通燃气、通电、通讯、通热）</w:t>
      </w:r>
      <w:r>
        <w:rPr>
          <w:rFonts w:ascii="Arial" w:hAnsi="Arial" w:cs="Arial" w:eastAsia="仿宋_GB2312;仿宋"/>
          <w:sz w:val="28"/>
        </w:rPr>
        <w:t>条件，保证程度</w:t>
      </w:r>
      <w:r>
        <w:rPr>
          <w:rFonts w:ascii="Arial" w:hAnsi="Arial" w:cs="Arial" w:eastAsia="仿宋_GB2312;仿宋"/>
          <w:sz w:val="28"/>
        </w:rPr>
        <w:t>好</w:t>
      </w:r>
      <w:r>
        <w:rPr>
          <w:rFonts w:ascii="Arial" w:hAnsi="Arial" w:cs="Arial" w:eastAsia="仿宋_GB2312;仿宋"/>
          <w:sz w:val="28"/>
        </w:rPr>
        <w:t>。</w:t>
      </w:r>
    </w:p>
    <w:p>
      <w:pPr>
        <w:pStyle w:val="Normal"/>
        <w:spacing w:lineRule="auto" w:line="360"/>
        <w:ind w:firstLine="560"/>
        <w:jc w:val="both"/>
        <w:rPr>
          <w:rFonts w:ascii="Arial" w:hAnsi="Arial" w:eastAsia="仿宋_GB2312;仿宋" w:cs="Arial"/>
          <w:sz w:val="28"/>
        </w:rPr>
      </w:pPr>
      <w:r>
        <w:rPr>
          <w:rFonts w:ascii="仿宋_GB2312;仿宋" w:hAnsi="仿宋_GB2312;仿宋" w:cs="楷体_GB2312;楷体" w:eastAsia="仿宋_GB2312;仿宋"/>
          <w:sz w:val="28"/>
        </w:rPr>
        <w:t>综上</w:t>
      </w:r>
      <w:r>
        <w:rPr>
          <w:rFonts w:ascii="仿宋_GB2312;仿宋" w:hAnsi="仿宋_GB2312;仿宋" w:cs="楷体_GB2312;楷体" w:eastAsia="仿宋_GB2312;仿宋"/>
          <w:sz w:val="28"/>
        </w:rPr>
        <w:t>所述</w:t>
      </w:r>
      <w:r>
        <w:rPr>
          <w:rFonts w:ascii="仿宋_GB2312;仿宋" w:hAnsi="仿宋_GB2312;仿宋" w:cs="楷体_GB2312;楷体" w:eastAsia="仿宋_GB2312;仿宋"/>
          <w:sz w:val="28"/>
        </w:rPr>
        <w:t>，估价对象所处区域区位条件</w:t>
      </w:r>
      <w:r>
        <w:rPr>
          <w:rFonts w:ascii="仿宋_GB2312;仿宋" w:hAnsi="仿宋_GB2312;仿宋" w:cs="楷体_GB2312;楷体" w:eastAsia="仿宋_GB2312;仿宋"/>
          <w:sz w:val="28"/>
        </w:rPr>
        <w:t>状况好，</w:t>
      </w:r>
      <w:r>
        <w:rPr>
          <w:rFonts w:ascii="Arial" w:hAnsi="Arial" w:cs="Arial" w:eastAsia="仿宋_GB2312;仿宋"/>
          <w:sz w:val="28"/>
        </w:rPr>
        <w:t>交通便捷度</w:t>
      </w:r>
      <w:r>
        <w:rPr>
          <w:rFonts w:ascii="Arial" w:hAnsi="Arial" w:cs="Arial" w:eastAsia="仿宋_GB2312;仿宋"/>
          <w:sz w:val="28"/>
        </w:rPr>
        <w:t>较好</w:t>
      </w:r>
      <w:r>
        <w:rPr>
          <w:rFonts w:ascii="仿宋_GB2312;仿宋" w:hAnsi="仿宋_GB2312;仿宋" w:cs="楷体_GB2312;楷体" w:eastAsia="仿宋_GB2312;仿宋"/>
          <w:sz w:val="28"/>
        </w:rPr>
        <w:t>，环境状况较好，</w:t>
      </w:r>
      <w:r>
        <w:rPr>
          <w:rFonts w:ascii="Arial" w:hAnsi="Arial" w:cs="Arial" w:eastAsia="仿宋_GB2312;仿宋"/>
          <w:sz w:val="28"/>
        </w:rPr>
        <w:t>基础设施配套完善度好，</w:t>
      </w:r>
      <w:r>
        <w:rPr>
          <w:rFonts w:ascii="Arial" w:hAnsi="Arial" w:cs="Arial" w:eastAsia="仿宋_GB2312;仿宋"/>
          <w:sz w:val="28"/>
        </w:rPr>
        <w:t>产业集聚程度</w:t>
      </w:r>
      <w:r>
        <w:rPr>
          <w:rFonts w:ascii="Arial" w:hAnsi="Arial" w:cs="Arial" w:eastAsia="仿宋_GB2312;仿宋"/>
          <w:sz w:val="28"/>
        </w:rPr>
        <w:t>一般</w:t>
      </w:r>
      <w:r>
        <w:rPr>
          <w:rFonts w:ascii="仿宋_GB2312;仿宋" w:hAnsi="仿宋_GB2312;仿宋" w:cs="楷体_GB2312;楷体" w:eastAsia="仿宋_GB2312;仿宋"/>
          <w:sz w:val="28"/>
        </w:rPr>
        <w:t>，</w:t>
      </w:r>
      <w:r>
        <w:rPr>
          <w:rFonts w:ascii="Arial" w:hAnsi="Arial" w:cs="Arial" w:eastAsia="仿宋_GB2312;仿宋"/>
          <w:sz w:val="28"/>
        </w:rPr>
        <w:t>区域土地利用方向</w:t>
      </w:r>
      <w:r>
        <w:rPr>
          <w:rFonts w:ascii="Arial" w:hAnsi="Arial" w:cs="Arial" w:eastAsia="仿宋_GB2312;仿宋"/>
          <w:sz w:val="28"/>
        </w:rPr>
        <w:t>一般，</w:t>
      </w:r>
      <w:r>
        <w:rPr>
          <w:rFonts w:ascii="仿宋_GB2312;仿宋" w:hAnsi="仿宋_GB2312;仿宋" w:cs="楷体_GB2312;楷体" w:eastAsia="仿宋_GB2312;仿宋"/>
          <w:sz w:val="28"/>
        </w:rPr>
        <w:t>总体评价影响估价对象的区域因素</w:t>
      </w:r>
      <w:r>
        <w:rPr>
          <w:rFonts w:ascii="仿宋_GB2312;仿宋" w:hAnsi="仿宋_GB2312;仿宋" w:cs="楷体_GB2312;楷体" w:eastAsia="仿宋_GB2312;仿宋"/>
          <w:sz w:val="28"/>
        </w:rPr>
        <w:t>较</w:t>
      </w:r>
      <w:r>
        <w:rPr>
          <w:rFonts w:ascii="仿宋_GB2312;仿宋" w:hAnsi="仿宋_GB2312;仿宋" w:cs="楷体_GB2312;楷体" w:eastAsia="仿宋_GB2312;仿宋"/>
          <w:sz w:val="28"/>
        </w:rPr>
        <w:t>优。</w:t>
      </w:r>
    </w:p>
    <w:p>
      <w:pPr>
        <w:pStyle w:val="Normal"/>
        <w:spacing w:lineRule="auto" w:line="360"/>
        <w:jc w:val="both"/>
        <w:rPr>
          <w:rFonts w:ascii="Arial" w:hAnsi="Arial" w:eastAsia="仿宋_GB2312;仿宋" w:cs="Arial"/>
          <w:sz w:val="28"/>
        </w:rPr>
      </w:pPr>
      <w:r>
        <w:rPr>
          <w:rFonts w:ascii="Arial" w:hAnsi="Arial" w:cs="Arial" w:eastAsia="仿宋_GB2312;仿宋"/>
          <w:sz w:val="28"/>
        </w:rPr>
        <w:t>（三）个别因素</w:t>
      </w:r>
    </w:p>
    <w:p>
      <w:pPr>
        <w:pStyle w:val="Normal"/>
        <w:spacing w:lineRule="auto" w:line="360"/>
        <w:ind w:firstLine="560"/>
        <w:jc w:val="both"/>
        <w:rPr/>
      </w:pPr>
      <w:r>
        <w:rPr>
          <w:rFonts w:eastAsia="仿宋_GB2312;仿宋" w:cs="Arial" w:ascii="Arial" w:hAnsi="Arial"/>
          <w:sz w:val="28"/>
        </w:rPr>
        <w:t>1.</w:t>
      </w:r>
      <w:r>
        <w:rPr>
          <w:rFonts w:ascii="Arial" w:hAnsi="Arial" w:cs="Arial" w:eastAsia="仿宋_GB2312;仿宋"/>
          <w:sz w:val="28"/>
        </w:rPr>
        <w:t>估价对象位置：估价对象位于海淀区建材城中路</w:t>
      </w:r>
      <w:r>
        <w:rPr>
          <w:rFonts w:eastAsia="仿宋_GB2312;仿宋" w:cs="Arial" w:ascii="Arial" w:hAnsi="Arial"/>
          <w:sz w:val="28"/>
        </w:rPr>
        <w:t>2</w:t>
      </w:r>
      <w:r>
        <w:rPr>
          <w:rFonts w:ascii="Arial" w:hAnsi="Arial" w:cs="Arial" w:eastAsia="仿宋_GB2312;仿宋"/>
          <w:sz w:val="28"/>
        </w:rPr>
        <w:t>号。根据《北京市人民政府关于更新出让国有建设用地使用权基准地价的通知》</w:t>
      </w:r>
      <w:r>
        <w:rPr>
          <w:rFonts w:eastAsia="仿宋_GB2312;仿宋" w:cs="Arial" w:ascii="Arial" w:hAnsi="Arial"/>
          <w:sz w:val="28"/>
        </w:rPr>
        <w:t>[</w:t>
      </w:r>
      <w:r>
        <w:rPr>
          <w:rFonts w:ascii="Arial" w:hAnsi="Arial" w:cs="Arial" w:eastAsia="仿宋_GB2312;仿宋"/>
          <w:sz w:val="28"/>
        </w:rPr>
        <w:t>京政发（</w:t>
      </w:r>
      <w:r>
        <w:rPr>
          <w:rFonts w:eastAsia="仿宋_GB2312;仿宋" w:cs="Arial" w:ascii="Arial" w:hAnsi="Arial"/>
          <w:sz w:val="28"/>
        </w:rPr>
        <w:t>2022</w:t>
      </w:r>
      <w:r>
        <w:rPr>
          <w:rFonts w:ascii="Arial" w:hAnsi="Arial" w:cs="Arial" w:eastAsia="仿宋_GB2312;仿宋"/>
          <w:sz w:val="28"/>
        </w:rPr>
        <w:t>）</w:t>
      </w:r>
      <w:r>
        <w:rPr>
          <w:rFonts w:eastAsia="仿宋_GB2312;仿宋" w:cs="Arial" w:ascii="Arial" w:hAnsi="Arial"/>
          <w:sz w:val="28"/>
        </w:rPr>
        <w:t>12</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的规定，估价对象属于工业类六级地价区</w:t>
      </w:r>
      <w:r>
        <w:rPr>
          <w:rFonts w:eastAsia="仿宋_GB2312;仿宋" w:cs="Arial" w:ascii="Arial" w:hAnsi="Arial"/>
          <w:sz w:val="28"/>
        </w:rPr>
        <w:t>VI-01</w:t>
      </w:r>
      <w:r>
        <w:rPr>
          <w:rFonts w:ascii="Arial" w:hAnsi="Arial" w:cs="Arial" w:eastAsia="仿宋_GB2312;仿宋"/>
          <w:sz w:val="28"/>
        </w:rPr>
        <w:t>区片。</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2.</w:t>
      </w:r>
      <w:r>
        <w:rPr>
          <w:rFonts w:ascii="Arial" w:hAnsi="Arial" w:cs="Arial" w:eastAsia="仿宋_GB2312;仿宋"/>
          <w:sz w:val="28"/>
        </w:rPr>
        <w:t>宗地规划用途、面积</w:t>
      </w:r>
    </w:p>
    <w:p>
      <w:pPr>
        <w:pStyle w:val="Normal"/>
        <w:spacing w:lineRule="auto" w:line="360"/>
        <w:ind w:firstLine="560"/>
        <w:jc w:val="both"/>
        <w:rPr/>
      </w:pPr>
      <w:r>
        <w:rPr>
          <w:rFonts w:ascii="Arial" w:hAnsi="Arial" w:cs="Arial" w:eastAsia="仿宋_GB2312;仿宋"/>
          <w:sz w:val="28"/>
        </w:rPr>
        <w:t>估价对象登记土地用途为工业，为最佳最有效用途。</w:t>
      </w:r>
    </w:p>
    <w:p>
      <w:pPr>
        <w:pStyle w:val="Normal"/>
        <w:spacing w:lineRule="auto" w:line="360"/>
        <w:ind w:firstLine="512"/>
        <w:jc w:val="both"/>
        <w:rPr>
          <w:rFonts w:ascii="Arial" w:hAnsi="Arial" w:eastAsia="仿宋_GB2312;仿宋" w:cs="Arial"/>
          <w:bCs/>
          <w:kern w:val="2"/>
          <w:sz w:val="28"/>
        </w:rPr>
      </w:pPr>
      <w:r>
        <w:rPr>
          <w:rFonts w:ascii="Arial" w:hAnsi="Arial" w:cs="Arial" w:eastAsia="仿宋_GB2312;仿宋"/>
          <w:spacing w:val="-12"/>
          <w:sz w:val="28"/>
        </w:rPr>
        <w:t>根据委托估价方提供的《国有土地使用证》</w:t>
      </w:r>
      <w:r>
        <w:rPr>
          <w:rFonts w:eastAsia="仿宋_GB2312;仿宋" w:cs="Arial" w:ascii="Arial" w:hAnsi="Arial"/>
          <w:spacing w:val="-12"/>
          <w:sz w:val="28"/>
        </w:rPr>
        <w:t>[</w:t>
      </w:r>
      <w:r>
        <w:rPr>
          <w:rFonts w:ascii="Arial" w:hAnsi="Arial" w:cs="Arial" w:eastAsia="仿宋_GB2312;仿宋"/>
          <w:spacing w:val="-12"/>
          <w:sz w:val="28"/>
        </w:rPr>
        <w:t>京海国用（</w:t>
      </w:r>
      <w:r>
        <w:rPr>
          <w:rFonts w:eastAsia="仿宋_GB2312;仿宋" w:cs="Arial" w:ascii="Arial" w:hAnsi="Arial"/>
          <w:spacing w:val="-12"/>
          <w:sz w:val="28"/>
        </w:rPr>
        <w:t>2004</w:t>
      </w:r>
      <w:r>
        <w:rPr>
          <w:rFonts w:ascii="Arial" w:hAnsi="Arial" w:cs="Arial" w:eastAsia="仿宋_GB2312;仿宋"/>
          <w:spacing w:val="-12"/>
          <w:sz w:val="28"/>
        </w:rPr>
        <w:t>划）字第</w:t>
      </w:r>
      <w:r>
        <w:rPr>
          <w:rFonts w:eastAsia="仿宋_GB2312;仿宋" w:cs="Arial" w:ascii="Arial" w:hAnsi="Arial"/>
          <w:spacing w:val="-12"/>
          <w:sz w:val="28"/>
        </w:rPr>
        <w:t>2880</w:t>
      </w:r>
      <w:r>
        <w:rPr>
          <w:rFonts w:ascii="Arial" w:hAnsi="Arial" w:cs="Arial" w:eastAsia="仿宋_GB2312;仿宋"/>
          <w:spacing w:val="-12"/>
          <w:sz w:val="28"/>
        </w:rPr>
        <w:t>号</w:t>
      </w:r>
      <w:r>
        <w:rPr>
          <w:rFonts w:eastAsia="仿宋_GB2312;仿宋" w:cs="Arial" w:ascii="Arial" w:hAnsi="Arial"/>
          <w:spacing w:val="-12"/>
          <w:sz w:val="28"/>
        </w:rPr>
        <w:t>]</w:t>
      </w:r>
      <w:r>
        <w:rPr>
          <w:rFonts w:ascii="Arial" w:hAnsi="Arial" w:cs="Arial" w:eastAsia="仿宋_GB2312;仿宋"/>
          <w:spacing w:val="-12"/>
          <w:sz w:val="28"/>
        </w:rPr>
        <w:t>、</w:t>
      </w:r>
      <w:r>
        <w:rPr>
          <w:rFonts w:ascii="Arial" w:hAnsi="Arial" w:cs="Arial" w:eastAsia="仿宋_GB2312;仿宋"/>
          <w:spacing w:val="-12"/>
          <w:sz w:val="28"/>
        </w:rPr>
        <w:t>《土地权属审查告知书》</w:t>
      </w:r>
      <w:r>
        <w:rPr>
          <w:rFonts w:eastAsia="仿宋_GB2312;仿宋" w:cs="Arial" w:ascii="Arial" w:hAnsi="Arial"/>
          <w:spacing w:val="-12"/>
          <w:sz w:val="28"/>
        </w:rPr>
        <w:t>[</w:t>
      </w:r>
      <w:r>
        <w:rPr>
          <w:rFonts w:ascii="Arial" w:hAnsi="Arial" w:cs="Arial" w:eastAsia="仿宋_GB2312;仿宋"/>
          <w:spacing w:val="-12"/>
          <w:sz w:val="28"/>
        </w:rPr>
        <w:t>编号：海权属审（</w:t>
      </w:r>
      <w:r>
        <w:rPr>
          <w:rFonts w:eastAsia="仿宋_GB2312;仿宋" w:cs="Arial" w:ascii="Arial" w:hAnsi="Arial"/>
          <w:spacing w:val="-12"/>
          <w:sz w:val="28"/>
        </w:rPr>
        <w:t>2020</w:t>
      </w:r>
      <w:r>
        <w:rPr>
          <w:rFonts w:ascii="Arial" w:hAnsi="Arial" w:cs="Arial" w:eastAsia="仿宋_GB2312;仿宋"/>
          <w:spacing w:val="-12"/>
          <w:sz w:val="28"/>
        </w:rPr>
        <w:t>）字第</w:t>
      </w:r>
      <w:r>
        <w:rPr>
          <w:rFonts w:eastAsia="仿宋_GB2312;仿宋" w:cs="Arial" w:ascii="Arial" w:hAnsi="Arial"/>
          <w:spacing w:val="-12"/>
          <w:sz w:val="28"/>
        </w:rPr>
        <w:t>1172</w:t>
      </w:r>
      <w:r>
        <w:rPr>
          <w:rFonts w:ascii="Arial" w:hAnsi="Arial" w:cs="Arial" w:eastAsia="仿宋_GB2312;仿宋"/>
          <w:spacing w:val="-12"/>
          <w:sz w:val="28"/>
        </w:rPr>
        <w:t>号</w:t>
      </w:r>
      <w:r>
        <w:rPr>
          <w:rFonts w:eastAsia="仿宋_GB2312;仿宋" w:cs="Arial" w:ascii="Arial" w:hAnsi="Arial"/>
          <w:spacing w:val="-12"/>
          <w:sz w:val="28"/>
        </w:rPr>
        <w:t>]</w:t>
      </w:r>
      <w:r>
        <w:rPr>
          <w:rFonts w:ascii="Arial" w:hAnsi="Arial" w:cs="Arial" w:eastAsia="仿宋_GB2312;仿宋"/>
          <w:spacing w:val="-12"/>
          <w:sz w:val="28"/>
        </w:rPr>
        <w:t>，估价对象土地面积为</w:t>
      </w:r>
      <w:r>
        <w:rPr>
          <w:rFonts w:eastAsia="仿宋_GB2312;仿宋" w:cs="Arial" w:ascii="Arial" w:hAnsi="Arial"/>
          <w:bCs/>
          <w:kern w:val="2"/>
          <w:sz w:val="28"/>
        </w:rPr>
        <w:t>10738.85</w:t>
      </w:r>
      <w:r>
        <w:rPr>
          <w:rFonts w:ascii="Arial" w:hAnsi="Arial" w:cs="Arial" w:eastAsia="仿宋_GB2312;仿宋"/>
          <w:bCs/>
          <w:kern w:val="2"/>
          <w:sz w:val="28"/>
        </w:rPr>
        <w:t>平方</w:t>
      </w:r>
      <w:r>
        <w:rPr>
          <w:rFonts w:ascii="Arial" w:hAnsi="Arial" w:cs="Arial" w:eastAsia="仿宋_GB2312;仿宋"/>
          <w:sz w:val="28"/>
        </w:rPr>
        <w:t>米。</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3.</w:t>
      </w:r>
      <w:r>
        <w:rPr>
          <w:rFonts w:ascii="Arial" w:hAnsi="Arial" w:cs="Arial" w:eastAsia="仿宋_GB2312;仿宋"/>
          <w:sz w:val="28"/>
        </w:rPr>
        <w:t>宗地容积率及可利用情况</w:t>
      </w:r>
    </w:p>
    <w:p>
      <w:pPr>
        <w:pStyle w:val="Normal"/>
        <w:spacing w:lineRule="auto" w:line="360"/>
        <w:ind w:firstLine="560"/>
        <w:jc w:val="both"/>
        <w:rPr/>
      </w:pPr>
      <w:r>
        <w:rPr>
          <w:rFonts w:ascii="Arial" w:hAnsi="Arial" w:cs="Arial" w:eastAsia="仿宋_GB2312;仿宋"/>
          <w:sz w:val="28"/>
        </w:rPr>
        <w:t>估价对象土地面积</w:t>
      </w:r>
      <w:r>
        <w:rPr>
          <w:rFonts w:eastAsia="仿宋_GB2312;仿宋" w:cs="Arial" w:ascii="Arial" w:hAnsi="Arial"/>
          <w:sz w:val="28"/>
        </w:rPr>
        <w:t>10738.85</w:t>
      </w:r>
      <w:r>
        <w:rPr>
          <w:rFonts w:ascii="Arial" w:hAnsi="Arial" w:cs="Arial" w:eastAsia="仿宋_GB2312;仿宋"/>
          <w:sz w:val="28"/>
        </w:rPr>
        <w:t>平方米，宗地内房屋建筑面积为</w:t>
      </w:r>
      <w:r>
        <w:rPr>
          <w:rFonts w:eastAsia="仿宋_GB2312;仿宋" w:cs="Arial" w:ascii="Arial" w:hAnsi="Arial"/>
          <w:sz w:val="28"/>
        </w:rPr>
        <w:t>677.9</w:t>
      </w:r>
      <w:r>
        <w:rPr>
          <w:rFonts w:ascii="Arial" w:hAnsi="Arial" w:cs="Arial" w:eastAsia="仿宋_GB2312;仿宋"/>
          <w:sz w:val="28"/>
        </w:rPr>
        <w:t>平方米，实际容积率为</w:t>
      </w:r>
      <w:r>
        <w:rPr>
          <w:rFonts w:eastAsia="仿宋_GB2312;仿宋" w:cs="Arial" w:ascii="Arial" w:hAnsi="Arial"/>
          <w:sz w:val="28"/>
        </w:rPr>
        <w:t>0.06</w:t>
      </w:r>
      <w:r>
        <w:rPr>
          <w:rFonts w:ascii="Arial" w:hAnsi="Arial" w:cs="Arial" w:eastAsia="仿宋_GB2312;仿宋"/>
          <w:sz w:val="28"/>
        </w:rPr>
        <w:t>。国有建设用地使用权的收购补偿价格评估中，参照《北京市企业国有建设用地使用权收购补偿价格评估技术指引》</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2018</w:t>
      </w:r>
      <w:r>
        <w:rPr>
          <w:rFonts w:ascii="Arial" w:hAnsi="Arial" w:cs="Arial" w:eastAsia="仿宋_GB2312;仿宋"/>
          <w:sz w:val="28"/>
        </w:rPr>
        <w:t>）</w:t>
      </w:r>
      <w:r>
        <w:rPr>
          <w:rFonts w:eastAsia="仿宋_GB2312;仿宋" w:cs="Arial" w:ascii="Arial" w:hAnsi="Arial"/>
          <w:sz w:val="28"/>
        </w:rPr>
        <w:t>004</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w:t>
      </w:r>
      <w:r>
        <w:rPr>
          <w:rFonts w:ascii="Arial" w:hAnsi="Arial" w:cs="Arial" w:eastAsia="仿宋_GB2312;仿宋"/>
          <w:sz w:val="28"/>
        </w:rPr>
        <w:t>《关于发布</w:t>
      </w:r>
      <w:r>
        <w:rPr>
          <w:rFonts w:eastAsia="仿宋_GB2312;仿宋" w:cs="Arial" w:ascii="Arial" w:hAnsi="Arial"/>
          <w:sz w:val="28"/>
        </w:rPr>
        <w:t>&lt;</w:t>
      </w:r>
      <w:r>
        <w:rPr>
          <w:rFonts w:ascii="Arial" w:hAnsi="Arial" w:cs="Arial" w:eastAsia="仿宋_GB2312;仿宋"/>
          <w:sz w:val="28"/>
        </w:rPr>
        <w:t>北京市企业国有建设用地使用权收购补偿价格评估技术指引</w:t>
      </w:r>
      <w:r>
        <w:rPr>
          <w:rFonts w:eastAsia="仿宋_GB2312;仿宋" w:cs="Arial" w:ascii="Arial" w:hAnsi="Arial"/>
          <w:sz w:val="28"/>
        </w:rPr>
        <w:t>&gt;</w:t>
      </w:r>
      <w:r>
        <w:rPr>
          <w:rFonts w:ascii="Arial" w:hAnsi="Arial" w:cs="Arial" w:eastAsia="仿宋_GB2312;仿宋"/>
          <w:sz w:val="28"/>
        </w:rPr>
        <w:t>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2021</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（以下简称《指引》），当采用房地分开评估时，实际容积率小于</w:t>
      </w:r>
      <w:r>
        <w:rPr>
          <w:rFonts w:eastAsia="仿宋_GB2312;仿宋" w:cs="Arial" w:ascii="Arial" w:hAnsi="Arial"/>
          <w:sz w:val="28"/>
        </w:rPr>
        <w:t>1.0</w:t>
      </w:r>
      <w:r>
        <w:rPr>
          <w:rFonts w:ascii="Arial" w:hAnsi="Arial" w:cs="Arial" w:eastAsia="仿宋_GB2312;仿宋"/>
          <w:sz w:val="28"/>
        </w:rPr>
        <w:t>的，设定容积率为</w:t>
      </w:r>
      <w:r>
        <w:rPr>
          <w:rFonts w:eastAsia="仿宋_GB2312;仿宋" w:cs="Arial" w:ascii="Arial" w:hAnsi="Arial"/>
          <w:sz w:val="28"/>
        </w:rPr>
        <w:t>1.0</w:t>
      </w:r>
      <w:r>
        <w:rPr>
          <w:rFonts w:ascii="Arial" w:hAnsi="Arial" w:cs="Arial" w:eastAsia="仿宋_GB2312;仿宋"/>
          <w:sz w:val="28"/>
        </w:rPr>
        <w:t>进行土地使用权价格评估。本次评估设定容积率为</w:t>
      </w:r>
      <w:r>
        <w:rPr>
          <w:rFonts w:eastAsia="仿宋_GB2312;仿宋" w:cs="Arial" w:ascii="Arial" w:hAnsi="Arial"/>
          <w:sz w:val="28"/>
        </w:rPr>
        <w:t>1.0</w:t>
      </w:r>
      <w:r>
        <w:rPr>
          <w:rFonts w:ascii="Arial" w:hAnsi="Arial" w:cs="Arial" w:eastAsia="仿宋_GB2312;仿宋"/>
          <w:sz w:val="28"/>
        </w:rPr>
        <w:t>。</w:t>
      </w:r>
    </w:p>
    <w:p>
      <w:pPr>
        <w:pStyle w:val="Normal"/>
        <w:spacing w:lineRule="auto" w:line="360"/>
        <w:ind w:firstLine="560"/>
        <w:jc w:val="both"/>
        <w:rPr>
          <w:rFonts w:eastAsia="仿宋_GB2312;仿宋"/>
        </w:rPr>
      </w:pPr>
      <w:r>
        <w:rPr>
          <w:rFonts w:eastAsia="仿宋_GB2312;仿宋" w:cs="Arial" w:ascii="Arial" w:hAnsi="Arial"/>
          <w:sz w:val="28"/>
        </w:rPr>
        <w:t>4.</w:t>
      </w:r>
      <w:r>
        <w:rPr>
          <w:rFonts w:ascii="Arial" w:hAnsi="Arial" w:cs="Arial" w:eastAsia="仿宋_GB2312;仿宋"/>
          <w:sz w:val="28"/>
        </w:rPr>
        <w:t>宗地基础设施</w:t>
      </w:r>
      <w:r>
        <w:rPr>
          <w:rFonts w:ascii="Arial" w:hAnsi="Arial" w:cs="Arial" w:eastAsia="Arial"/>
          <w:sz w:val="28"/>
        </w:rPr>
        <w:t xml:space="preserve"> </w:t>
      </w:r>
    </w:p>
    <w:p>
      <w:pPr>
        <w:pStyle w:val="Normal"/>
        <w:spacing w:lineRule="auto" w:line="360"/>
        <w:ind w:firstLine="512"/>
        <w:jc w:val="both"/>
        <w:rPr>
          <w:rFonts w:eastAsia="仿宋_GB2312;仿宋"/>
        </w:rPr>
      </w:pPr>
      <w:r>
        <w:rPr>
          <w:rFonts w:ascii="Arial" w:hAnsi="Arial" w:cs="Arial" w:eastAsia="仿宋_GB2312;仿宋"/>
          <w:spacing w:val="-12"/>
          <w:sz w:val="28"/>
        </w:rPr>
        <w:t>宗地红线外基础设施已达到”七通”（</w:t>
      </w:r>
      <w:r>
        <w:rPr>
          <w:rFonts w:ascii="仿宋_GB2312;仿宋" w:hAnsi="仿宋_GB2312;仿宋" w:cs="仿宋" w:eastAsia="仿宋_GB2312;仿宋"/>
          <w:sz w:val="28"/>
        </w:rPr>
        <w:t>即通路、通上水、通下水、通燃气、通电、通讯、通热</w:t>
      </w:r>
      <w:r>
        <w:rPr>
          <w:rFonts w:ascii="Arial" w:hAnsi="Arial" w:cs="Arial" w:eastAsia="仿宋_GB2312;仿宋"/>
          <w:spacing w:val="-12"/>
          <w:sz w:val="28"/>
        </w:rPr>
        <w:t>），具体状况如下：</w:t>
      </w:r>
      <w:r>
        <w:rPr>
          <w:rFonts w:ascii="Arial" w:hAnsi="Arial" w:cs="Arial" w:eastAsia="Arial"/>
          <w:spacing w:val="-12"/>
          <w:sz w:val="28"/>
        </w:rPr>
        <w:t xml:space="preserve"> </w:t>
      </w:r>
    </w:p>
    <w:p>
      <w:pPr>
        <w:pStyle w:val="Normal"/>
        <w:spacing w:lineRule="auto" w:line="360"/>
        <w:ind w:firstLine="512"/>
        <w:jc w:val="both"/>
        <w:rPr>
          <w:rFonts w:eastAsia="仿宋_GB2312;仿宋"/>
        </w:rPr>
      </w:pPr>
      <w:r>
        <w:rPr>
          <w:rFonts w:ascii="Arial" w:hAnsi="Arial" w:cs="Arial" w:eastAsia="仿宋_GB2312;仿宋"/>
          <w:spacing w:val="-12"/>
          <w:sz w:val="28"/>
        </w:rPr>
        <w:t>通路：</w:t>
      </w:r>
      <w:r>
        <w:rPr>
          <w:rFonts w:ascii="Arial" w:hAnsi="Arial" w:cs="Arial" w:eastAsia="仿宋_GB2312;仿宋"/>
          <w:spacing w:val="-12"/>
          <w:sz w:val="28"/>
        </w:rPr>
        <w:t>无名市政道路，为城市支路</w:t>
      </w:r>
      <w:r>
        <w:rPr>
          <w:rFonts w:ascii="Arial" w:hAnsi="Arial" w:cs="Arial" w:eastAsia="仿宋_GB2312;仿宋"/>
          <w:spacing w:val="-12"/>
          <w:sz w:val="28"/>
        </w:rPr>
        <w:t>；</w:t>
      </w:r>
      <w:r>
        <w:rPr>
          <w:rFonts w:ascii="Arial" w:hAnsi="Arial" w:cs="Arial" w:eastAsia="Arial"/>
          <w:spacing w:val="-12"/>
          <w:sz w:val="28"/>
        </w:rPr>
        <w:t xml:space="preserve"> </w:t>
      </w:r>
    </w:p>
    <w:p>
      <w:pPr>
        <w:pStyle w:val="Normal"/>
        <w:spacing w:lineRule="auto" w:line="360"/>
        <w:ind w:firstLine="512"/>
        <w:jc w:val="both"/>
        <w:rPr/>
      </w:pPr>
      <w:r>
        <w:rPr>
          <w:rFonts w:ascii="Arial" w:hAnsi="Arial" w:cs="Arial" w:eastAsia="仿宋_GB2312;仿宋"/>
          <w:spacing w:val="-12"/>
          <w:sz w:val="28"/>
        </w:rPr>
        <w:t>通电：市政供电网络</w:t>
      </w:r>
      <w:r>
        <w:rPr>
          <w:rFonts w:ascii="Arial" w:hAnsi="Arial" w:cs="Arial" w:eastAsia="仿宋_GB2312;仿宋"/>
          <w:spacing w:val="-12"/>
          <w:sz w:val="28"/>
        </w:rPr>
        <w:t>；</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通上水：</w:t>
      </w:r>
      <w:r>
        <w:rPr>
          <w:rFonts w:ascii="Arial" w:hAnsi="Arial" w:cs="Arial" w:eastAsia="仿宋_GB2312;仿宋"/>
          <w:spacing w:val="-12"/>
          <w:sz w:val="28"/>
        </w:rPr>
        <w:t>市政管网供水</w:t>
      </w:r>
      <w:r>
        <w:rPr>
          <w:rFonts w:ascii="Arial" w:hAnsi="Arial" w:cs="Arial" w:eastAsia="仿宋_GB2312;仿宋"/>
          <w:spacing w:val="-12"/>
          <w:sz w:val="28"/>
        </w:rPr>
        <w:t>，设施完备，水源稳定；</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通下水：市政管网排水；</w:t>
      </w:r>
    </w:p>
    <w:p>
      <w:pPr>
        <w:pStyle w:val="Normal"/>
        <w:spacing w:lineRule="auto" w:line="360"/>
        <w:ind w:firstLine="512"/>
        <w:jc w:val="both"/>
        <w:rPr/>
      </w:pPr>
      <w:r>
        <w:rPr>
          <w:rFonts w:ascii="Arial" w:hAnsi="Arial" w:cs="Arial" w:eastAsia="仿宋_GB2312;仿宋"/>
          <w:spacing w:val="-12"/>
          <w:sz w:val="28"/>
        </w:rPr>
        <w:t>通热力：</w:t>
      </w:r>
      <w:r>
        <w:rPr>
          <w:rFonts w:ascii="Arial" w:hAnsi="Arial" w:cs="Arial" w:eastAsia="仿宋_GB2312;仿宋"/>
          <w:spacing w:val="-12"/>
          <w:sz w:val="28"/>
        </w:rPr>
        <w:t>集中</w:t>
      </w:r>
      <w:r>
        <w:rPr>
          <w:rFonts w:ascii="Arial" w:hAnsi="Arial" w:cs="Arial" w:eastAsia="仿宋_GB2312;仿宋"/>
          <w:spacing w:val="-12"/>
          <w:sz w:val="28"/>
        </w:rPr>
        <w:t>供暖；</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通燃气：</w:t>
      </w:r>
      <w:r>
        <w:rPr>
          <w:rFonts w:ascii="Arial" w:hAnsi="Arial" w:cs="Arial" w:eastAsia="仿宋_GB2312;仿宋"/>
          <w:spacing w:val="-12"/>
          <w:sz w:val="28"/>
        </w:rPr>
        <w:t>项目用地有天然气管道</w:t>
      </w:r>
      <w:r>
        <w:rPr>
          <w:rFonts w:ascii="Arial" w:hAnsi="Arial" w:cs="Arial" w:eastAsia="仿宋_GB2312;仿宋"/>
          <w:spacing w:val="-12"/>
          <w:sz w:val="28"/>
        </w:rPr>
        <w:t>；</w:t>
      </w:r>
    </w:p>
    <w:p>
      <w:pPr>
        <w:sectPr>
          <w:headerReference w:type="default" r:id="rId29"/>
          <w:footerReference w:type="default" r:id="rId30"/>
          <w:type w:val="nextPage"/>
          <w:pgSz w:w="11906" w:h="16838"/>
          <w:pgMar w:left="1474" w:right="1134" w:header="1134" w:top="1843" w:footer="907" w:bottom="1134" w:gutter="0"/>
          <w:pgNumType w:fmt="decimal"/>
          <w:formProt w:val="false"/>
          <w:textDirection w:val="lrTb"/>
          <w:docGrid w:type="default" w:linePitch="326" w:charSpace="0"/>
        </w:sectPr>
        <w:pStyle w:val="Normal"/>
        <w:spacing w:lineRule="auto" w:line="360"/>
        <w:ind w:firstLine="512"/>
        <w:rPr>
          <w:rFonts w:ascii="Arial" w:hAnsi="Arial" w:eastAsia="仿宋_GB2312;仿宋" w:cs="Arial"/>
          <w:sz w:val="28"/>
        </w:rPr>
      </w:pPr>
      <w:r>
        <w:rPr>
          <w:rFonts w:ascii="Arial" w:hAnsi="Arial" w:cs="Arial" w:eastAsia="仿宋_GB2312;仿宋"/>
          <w:spacing w:val="-12"/>
          <w:sz w:val="28"/>
        </w:rPr>
        <w:t>通讯：项目用地有电信管道。</w:t>
      </w:r>
    </w:p>
    <w:p>
      <w:pPr>
        <w:pStyle w:val="Normal"/>
        <w:numPr>
          <w:ilvl w:val="0"/>
          <w:numId w:val="0"/>
        </w:numPr>
        <w:spacing w:lineRule="auto" w:line="360"/>
        <w:jc w:val="center"/>
        <w:outlineLvl w:val="0"/>
        <w:rPr/>
      </w:pPr>
      <w:bookmarkStart w:id="23" w:name="__RefHeading___Toc469066144"/>
      <w:bookmarkEnd w:id="23"/>
      <w:r>
        <w:rPr>
          <w:rFonts w:ascii="Arial" w:hAnsi="Arial" w:cs="Arial"/>
          <w:b/>
          <w:sz w:val="32"/>
        </w:rPr>
        <w:t>第三部分</w:t>
      </w:r>
      <w:r>
        <w:rPr>
          <w:rFonts w:ascii="Arial" w:hAnsi="Arial" w:cs="Arial" w:eastAsia="Arial"/>
          <w:b/>
          <w:sz w:val="32"/>
        </w:rPr>
        <w:t xml:space="preserve">  </w:t>
      </w:r>
      <w:r>
        <w:rPr>
          <w:rFonts w:ascii="Arial" w:hAnsi="Arial" w:cs="Arial"/>
          <w:b/>
          <w:sz w:val="32"/>
        </w:rPr>
        <w:t>土地估价结果及其使用</w:t>
      </w:r>
    </w:p>
    <w:p>
      <w:pPr>
        <w:pStyle w:val="Normal"/>
        <w:spacing w:lineRule="auto" w:line="360"/>
        <w:jc w:val="both"/>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bookmarkStart w:id="24" w:name="__RefHeading___Toc469066145"/>
      <w:bookmarkEnd w:id="24"/>
      <w:r>
        <w:rPr>
          <w:rFonts w:ascii="Arial" w:hAnsi="Arial" w:cs="Arial" w:eastAsia="仿宋_GB2312;仿宋"/>
          <w:b/>
          <w:sz w:val="28"/>
        </w:rPr>
        <w:t>一、估价依据</w:t>
      </w:r>
    </w:p>
    <w:p>
      <w:pPr>
        <w:pStyle w:val="Normal"/>
        <w:spacing w:lineRule="auto" w:line="360"/>
        <w:jc w:val="both"/>
        <w:rPr/>
      </w:pPr>
      <w:r>
        <w:rPr>
          <w:rFonts w:ascii="Arial" w:hAnsi="Arial" w:cs="Arial" w:eastAsia="仿宋_GB2312;仿宋"/>
          <w:sz w:val="28"/>
        </w:rPr>
        <w:t>（一）有关的法律、法规、行政规章及估价对象所在省市的有关法律法规和政策</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w:t>
      </w:r>
      <w:r>
        <w:rPr>
          <w:rFonts w:ascii="Arial" w:hAnsi="Arial" w:cs="Arial" w:eastAsia="仿宋_GB2312;仿宋"/>
          <w:sz w:val="28"/>
        </w:rPr>
        <w:t>《中华人民共和国土地管理法》（</w:t>
      </w:r>
      <w:r>
        <w:rPr>
          <w:rFonts w:eastAsia="仿宋_GB2312;仿宋" w:cs="Arial" w:ascii="Arial" w:hAnsi="Arial"/>
          <w:sz w:val="28"/>
        </w:rPr>
        <w:t>1986</w:t>
      </w:r>
      <w:r>
        <w:rPr>
          <w:rFonts w:ascii="Arial" w:hAnsi="Arial" w:cs="Arial" w:eastAsia="仿宋_GB2312;仿宋"/>
          <w:sz w:val="28"/>
        </w:rPr>
        <w:t>年</w:t>
      </w:r>
      <w:r>
        <w:rPr>
          <w:rFonts w:eastAsia="仿宋_GB2312;仿宋" w:cs="Arial" w:ascii="Arial" w:hAnsi="Arial"/>
          <w:sz w:val="28"/>
        </w:rPr>
        <w:t>6</w:t>
      </w:r>
      <w:r>
        <w:rPr>
          <w:rFonts w:ascii="Arial" w:hAnsi="Arial" w:cs="Arial" w:eastAsia="仿宋_GB2312;仿宋"/>
          <w:sz w:val="28"/>
        </w:rPr>
        <w:t>月</w:t>
      </w:r>
      <w:r>
        <w:rPr>
          <w:rFonts w:eastAsia="仿宋_GB2312;仿宋" w:cs="Arial" w:ascii="Arial" w:hAnsi="Arial"/>
          <w:sz w:val="28"/>
        </w:rPr>
        <w:t>25</w:t>
      </w:r>
      <w:r>
        <w:rPr>
          <w:rFonts w:ascii="Arial" w:hAnsi="Arial" w:cs="Arial" w:eastAsia="仿宋_GB2312;仿宋"/>
          <w:sz w:val="28"/>
        </w:rPr>
        <w:t>日第六届全国人民代表大会常务委员会第十六次会议通过，中华人民共和国主席令第</w:t>
      </w:r>
      <w:r>
        <w:rPr>
          <w:rFonts w:eastAsia="仿宋_GB2312;仿宋" w:cs="Arial" w:ascii="Arial" w:hAnsi="Arial"/>
          <w:sz w:val="28"/>
        </w:rPr>
        <w:t>41</w:t>
      </w:r>
      <w:r>
        <w:rPr>
          <w:rFonts w:ascii="Arial" w:hAnsi="Arial" w:cs="Arial" w:eastAsia="仿宋_GB2312;仿宋"/>
          <w:sz w:val="28"/>
        </w:rPr>
        <w:t>号公布，</w:t>
      </w:r>
      <w:r>
        <w:rPr>
          <w:rFonts w:eastAsia="仿宋_GB2312;仿宋" w:cs="Arial" w:ascii="Arial" w:hAnsi="Arial"/>
          <w:sz w:val="28"/>
        </w:rPr>
        <w:t>1987</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r>
        <w:rPr>
          <w:rFonts w:eastAsia="仿宋_GB2312;仿宋" w:cs="Arial" w:ascii="Arial" w:hAnsi="Arial"/>
          <w:sz w:val="28"/>
        </w:rPr>
        <w:t>1988</w:t>
      </w:r>
      <w:r>
        <w:rPr>
          <w:rFonts w:ascii="Arial" w:hAnsi="Arial" w:cs="Arial" w:eastAsia="仿宋_GB2312;仿宋"/>
          <w:sz w:val="28"/>
        </w:rPr>
        <w:t>年</w:t>
      </w:r>
      <w:r>
        <w:rPr>
          <w:rFonts w:eastAsia="仿宋_GB2312;仿宋" w:cs="Arial" w:ascii="Arial" w:hAnsi="Arial"/>
          <w:sz w:val="28"/>
        </w:rPr>
        <w:t>12</w:t>
      </w:r>
      <w:r>
        <w:rPr>
          <w:rFonts w:ascii="Arial" w:hAnsi="Arial" w:cs="Arial" w:eastAsia="仿宋_GB2312;仿宋"/>
          <w:sz w:val="28"/>
        </w:rPr>
        <w:t>月</w:t>
      </w:r>
      <w:r>
        <w:rPr>
          <w:rFonts w:eastAsia="仿宋_GB2312;仿宋" w:cs="Arial" w:ascii="Arial" w:hAnsi="Arial"/>
          <w:sz w:val="28"/>
        </w:rPr>
        <w:t>29</w:t>
      </w:r>
      <w:r>
        <w:rPr>
          <w:rFonts w:ascii="Arial" w:hAnsi="Arial" w:cs="Arial" w:eastAsia="仿宋_GB2312;仿宋"/>
          <w:sz w:val="28"/>
        </w:rPr>
        <w:t>日第七届全国人民代表大会常务委员会第五次会议第一次修正通过，自</w:t>
      </w:r>
      <w:r>
        <w:rPr>
          <w:rFonts w:eastAsia="仿宋_GB2312;仿宋" w:cs="Arial" w:ascii="Arial" w:hAnsi="Arial"/>
          <w:sz w:val="28"/>
        </w:rPr>
        <w:t>1988</w:t>
      </w:r>
      <w:r>
        <w:rPr>
          <w:rFonts w:ascii="Arial" w:hAnsi="Arial" w:cs="Arial" w:eastAsia="仿宋_GB2312;仿宋"/>
          <w:sz w:val="28"/>
        </w:rPr>
        <w:t>年</w:t>
      </w:r>
      <w:r>
        <w:rPr>
          <w:rFonts w:eastAsia="仿宋_GB2312;仿宋" w:cs="Arial" w:ascii="Arial" w:hAnsi="Arial"/>
          <w:sz w:val="28"/>
        </w:rPr>
        <w:t>12</w:t>
      </w:r>
      <w:r>
        <w:rPr>
          <w:rFonts w:ascii="Arial" w:hAnsi="Arial" w:cs="Arial" w:eastAsia="仿宋_GB2312;仿宋"/>
          <w:sz w:val="28"/>
        </w:rPr>
        <w:t>月</w:t>
      </w:r>
      <w:r>
        <w:rPr>
          <w:rFonts w:eastAsia="仿宋_GB2312;仿宋" w:cs="Arial" w:ascii="Arial" w:hAnsi="Arial"/>
          <w:sz w:val="28"/>
        </w:rPr>
        <w:t>29</w:t>
      </w:r>
      <w:r>
        <w:rPr>
          <w:rFonts w:ascii="Arial" w:hAnsi="Arial" w:cs="Arial" w:eastAsia="仿宋_GB2312;仿宋"/>
          <w:sz w:val="28"/>
        </w:rPr>
        <w:t>日起施行；</w:t>
      </w:r>
      <w:r>
        <w:rPr>
          <w:rFonts w:eastAsia="仿宋_GB2312;仿宋" w:cs="Arial" w:ascii="Arial" w:hAnsi="Arial"/>
          <w:sz w:val="28"/>
        </w:rPr>
        <w:t>1998</w:t>
      </w:r>
      <w:r>
        <w:rPr>
          <w:rFonts w:ascii="Arial" w:hAnsi="Arial" w:cs="Arial" w:eastAsia="仿宋_GB2312;仿宋"/>
          <w:sz w:val="28"/>
        </w:rPr>
        <w:t>年</w:t>
      </w:r>
      <w:r>
        <w:rPr>
          <w:rFonts w:eastAsia="仿宋_GB2312;仿宋" w:cs="Arial" w:ascii="Arial" w:hAnsi="Arial"/>
          <w:sz w:val="28"/>
        </w:rPr>
        <w:t>8</w:t>
      </w:r>
      <w:r>
        <w:rPr>
          <w:rFonts w:ascii="Arial" w:hAnsi="Arial" w:cs="Arial" w:eastAsia="仿宋_GB2312;仿宋"/>
          <w:sz w:val="28"/>
        </w:rPr>
        <w:t>月</w:t>
      </w:r>
      <w:r>
        <w:rPr>
          <w:rFonts w:eastAsia="仿宋_GB2312;仿宋" w:cs="Arial" w:ascii="Arial" w:hAnsi="Arial"/>
          <w:sz w:val="28"/>
        </w:rPr>
        <w:t>29</w:t>
      </w:r>
      <w:r>
        <w:rPr>
          <w:rFonts w:ascii="Arial" w:hAnsi="Arial" w:cs="Arial" w:eastAsia="仿宋_GB2312;仿宋"/>
          <w:sz w:val="28"/>
        </w:rPr>
        <w:t>日第九届全国人民代表大会常务委员会第四次会议修订通过，中华人民共和国主席令第</w:t>
      </w:r>
      <w:r>
        <w:rPr>
          <w:rFonts w:eastAsia="仿宋_GB2312;仿宋" w:cs="Arial" w:ascii="Arial" w:hAnsi="Arial"/>
          <w:sz w:val="28"/>
        </w:rPr>
        <w:t>8</w:t>
      </w:r>
      <w:r>
        <w:rPr>
          <w:rFonts w:ascii="Arial" w:hAnsi="Arial" w:cs="Arial" w:eastAsia="仿宋_GB2312;仿宋"/>
          <w:sz w:val="28"/>
        </w:rPr>
        <w:t>号公布，自</w:t>
      </w:r>
      <w:r>
        <w:rPr>
          <w:rFonts w:eastAsia="仿宋_GB2312;仿宋" w:cs="Arial" w:ascii="Arial" w:hAnsi="Arial"/>
          <w:sz w:val="28"/>
        </w:rPr>
        <w:t>1999</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r>
        <w:rPr>
          <w:rFonts w:eastAsia="仿宋_GB2312;仿宋" w:cs="Arial" w:ascii="Arial" w:hAnsi="Arial"/>
          <w:sz w:val="28"/>
        </w:rPr>
        <w:t>2004</w:t>
      </w:r>
      <w:r>
        <w:rPr>
          <w:rFonts w:ascii="Arial" w:hAnsi="Arial" w:cs="Arial" w:eastAsia="仿宋_GB2312;仿宋"/>
          <w:sz w:val="28"/>
        </w:rPr>
        <w:t>年</w:t>
      </w:r>
      <w:r>
        <w:rPr>
          <w:rFonts w:eastAsia="仿宋_GB2312;仿宋" w:cs="Arial" w:ascii="Arial" w:hAnsi="Arial"/>
          <w:sz w:val="28"/>
        </w:rPr>
        <w:t>8</w:t>
      </w:r>
      <w:r>
        <w:rPr>
          <w:rFonts w:ascii="Arial" w:hAnsi="Arial" w:cs="Arial" w:eastAsia="仿宋_GB2312;仿宋"/>
          <w:sz w:val="28"/>
        </w:rPr>
        <w:t>月</w:t>
      </w:r>
      <w:r>
        <w:rPr>
          <w:rFonts w:eastAsia="仿宋_GB2312;仿宋" w:cs="Arial" w:ascii="Arial" w:hAnsi="Arial"/>
          <w:sz w:val="28"/>
        </w:rPr>
        <w:t>28</w:t>
      </w:r>
      <w:r>
        <w:rPr>
          <w:rFonts w:ascii="Arial" w:hAnsi="Arial" w:cs="Arial" w:eastAsia="仿宋_GB2312;仿宋"/>
          <w:sz w:val="28"/>
        </w:rPr>
        <w:t>日第十届全国人民代表大会常务委员会第十一次会议第二次修正通过，中华人民共和国主席令第</w:t>
      </w:r>
      <w:r>
        <w:rPr>
          <w:rFonts w:eastAsia="仿宋_GB2312;仿宋" w:cs="Arial" w:ascii="Arial" w:hAnsi="Arial"/>
          <w:sz w:val="28"/>
        </w:rPr>
        <w:t>28</w:t>
      </w:r>
      <w:r>
        <w:rPr>
          <w:rFonts w:ascii="Arial" w:hAnsi="Arial" w:cs="Arial" w:eastAsia="仿宋_GB2312;仿宋"/>
          <w:sz w:val="28"/>
        </w:rPr>
        <w:t>号公布，自公布起日起施行；</w:t>
      </w:r>
      <w:r>
        <w:rPr>
          <w:rFonts w:eastAsia="仿宋_GB2312;仿宋" w:cs="Arial" w:ascii="Arial" w:hAnsi="Arial"/>
          <w:sz w:val="28"/>
        </w:rPr>
        <w:t>2019</w:t>
      </w:r>
      <w:r>
        <w:rPr>
          <w:rFonts w:ascii="Arial" w:hAnsi="Arial" w:cs="Arial" w:eastAsia="仿宋_GB2312;仿宋"/>
          <w:sz w:val="28"/>
        </w:rPr>
        <w:t>年</w:t>
      </w:r>
      <w:r>
        <w:rPr>
          <w:rFonts w:eastAsia="仿宋_GB2312;仿宋" w:cs="Arial" w:ascii="Arial" w:hAnsi="Arial"/>
          <w:sz w:val="28"/>
        </w:rPr>
        <w:t>8</w:t>
      </w:r>
      <w:r>
        <w:rPr>
          <w:rFonts w:ascii="Arial" w:hAnsi="Arial" w:cs="Arial" w:eastAsia="仿宋_GB2312;仿宋"/>
          <w:sz w:val="28"/>
        </w:rPr>
        <w:t>月</w:t>
      </w:r>
      <w:r>
        <w:rPr>
          <w:rFonts w:eastAsia="仿宋_GB2312;仿宋" w:cs="Arial" w:ascii="Arial" w:hAnsi="Arial"/>
          <w:sz w:val="28"/>
        </w:rPr>
        <w:t>26</w:t>
      </w:r>
      <w:r>
        <w:rPr>
          <w:rFonts w:ascii="Arial" w:hAnsi="Arial" w:cs="Arial" w:eastAsia="仿宋_GB2312;仿宋"/>
          <w:sz w:val="28"/>
        </w:rPr>
        <w:t>日第十三届全国人民代表大会常务委员会第十二次会议第三次修正通过，自</w:t>
      </w:r>
      <w:r>
        <w:rPr>
          <w:rFonts w:eastAsia="仿宋_GB2312;仿宋" w:cs="Arial" w:ascii="Arial" w:hAnsi="Arial"/>
          <w:sz w:val="28"/>
        </w:rPr>
        <w:t>2020</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2.</w:t>
      </w:r>
      <w:r>
        <w:rPr>
          <w:rFonts w:ascii="Arial" w:hAnsi="Arial" w:cs="Arial" w:eastAsia="仿宋_GB2312;仿宋"/>
          <w:sz w:val="28"/>
        </w:rPr>
        <w:t>《中华人民共和国城市房地产管理法》（</w:t>
      </w:r>
      <w:r>
        <w:rPr>
          <w:rFonts w:eastAsia="仿宋_GB2312;仿宋" w:cs="Arial" w:ascii="Arial" w:hAnsi="Arial"/>
          <w:sz w:val="28"/>
        </w:rPr>
        <w:t>1994</w:t>
      </w:r>
      <w:r>
        <w:rPr>
          <w:rFonts w:ascii="Arial" w:hAnsi="Arial" w:cs="Arial" w:eastAsia="仿宋_GB2312;仿宋"/>
          <w:sz w:val="28"/>
        </w:rPr>
        <w:t>年</w:t>
      </w:r>
      <w:r>
        <w:rPr>
          <w:rFonts w:eastAsia="仿宋_GB2312;仿宋" w:cs="Arial" w:ascii="Arial" w:hAnsi="Arial"/>
          <w:sz w:val="28"/>
        </w:rPr>
        <w:t>7</w:t>
      </w:r>
      <w:r>
        <w:rPr>
          <w:rFonts w:ascii="Arial" w:hAnsi="Arial" w:cs="Arial" w:eastAsia="仿宋_GB2312;仿宋"/>
          <w:sz w:val="28"/>
        </w:rPr>
        <w:t>月</w:t>
      </w:r>
      <w:r>
        <w:rPr>
          <w:rFonts w:eastAsia="仿宋_GB2312;仿宋" w:cs="Arial" w:ascii="Arial" w:hAnsi="Arial"/>
          <w:sz w:val="28"/>
        </w:rPr>
        <w:t>5</w:t>
      </w:r>
      <w:r>
        <w:rPr>
          <w:rFonts w:ascii="Arial" w:hAnsi="Arial" w:cs="Arial" w:eastAsia="仿宋_GB2312;仿宋"/>
          <w:sz w:val="28"/>
        </w:rPr>
        <w:t>日第八届全国人民代表大会常务委员会第八次会议通过，中华人民共和国主席令第</w:t>
      </w:r>
      <w:r>
        <w:rPr>
          <w:rFonts w:eastAsia="仿宋_GB2312;仿宋" w:cs="Arial" w:ascii="Arial" w:hAnsi="Arial"/>
          <w:sz w:val="28"/>
        </w:rPr>
        <w:t>29</w:t>
      </w:r>
      <w:r>
        <w:rPr>
          <w:rFonts w:ascii="Arial" w:hAnsi="Arial" w:cs="Arial" w:eastAsia="仿宋_GB2312;仿宋"/>
          <w:sz w:val="28"/>
        </w:rPr>
        <w:t>号公布，自</w:t>
      </w:r>
      <w:r>
        <w:rPr>
          <w:rFonts w:eastAsia="仿宋_GB2312;仿宋" w:cs="Arial" w:ascii="Arial" w:hAnsi="Arial"/>
          <w:sz w:val="28"/>
        </w:rPr>
        <w:t>1995</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r>
        <w:rPr>
          <w:rFonts w:eastAsia="仿宋_GB2312;仿宋" w:cs="Arial" w:ascii="Arial" w:hAnsi="Arial"/>
          <w:sz w:val="28"/>
        </w:rPr>
        <w:t>2007</w:t>
      </w:r>
      <w:r>
        <w:rPr>
          <w:rFonts w:ascii="Arial" w:hAnsi="Arial" w:cs="Arial" w:eastAsia="仿宋_GB2312;仿宋"/>
          <w:sz w:val="28"/>
        </w:rPr>
        <w:t>年</w:t>
      </w:r>
      <w:r>
        <w:rPr>
          <w:rFonts w:eastAsia="仿宋_GB2312;仿宋" w:cs="Arial" w:ascii="Arial" w:hAnsi="Arial"/>
          <w:sz w:val="28"/>
        </w:rPr>
        <w:t>8</w:t>
      </w:r>
      <w:r>
        <w:rPr>
          <w:rFonts w:ascii="Arial" w:hAnsi="Arial" w:cs="Arial" w:eastAsia="仿宋_GB2312;仿宋"/>
          <w:sz w:val="28"/>
        </w:rPr>
        <w:t>月</w:t>
      </w:r>
      <w:r>
        <w:rPr>
          <w:rFonts w:eastAsia="仿宋_GB2312;仿宋" w:cs="Arial" w:ascii="Arial" w:hAnsi="Arial"/>
          <w:sz w:val="28"/>
        </w:rPr>
        <w:t>30</w:t>
      </w:r>
      <w:r>
        <w:rPr>
          <w:rFonts w:ascii="Arial" w:hAnsi="Arial" w:cs="Arial" w:eastAsia="仿宋_GB2312;仿宋"/>
          <w:sz w:val="28"/>
        </w:rPr>
        <w:t>日第十届全国人民代表大会常务委员会第二十九次会议通过第一次修正通过，中华人民共和国主席令第</w:t>
      </w:r>
      <w:r>
        <w:rPr>
          <w:rFonts w:eastAsia="仿宋_GB2312;仿宋" w:cs="Arial" w:ascii="Arial" w:hAnsi="Arial"/>
          <w:sz w:val="28"/>
        </w:rPr>
        <w:t>72</w:t>
      </w:r>
      <w:r>
        <w:rPr>
          <w:rFonts w:ascii="Arial" w:hAnsi="Arial" w:cs="Arial" w:eastAsia="仿宋_GB2312;仿宋"/>
          <w:sz w:val="28"/>
        </w:rPr>
        <w:t>号公布，自公布之日起施行；</w:t>
      </w:r>
      <w:r>
        <w:rPr>
          <w:rFonts w:eastAsia="仿宋_GB2312;仿宋" w:cs="Arial" w:ascii="Arial" w:hAnsi="Arial"/>
          <w:sz w:val="28"/>
        </w:rPr>
        <w:t>2009</w:t>
      </w:r>
      <w:r>
        <w:rPr>
          <w:rFonts w:ascii="Arial" w:hAnsi="Arial" w:cs="Arial" w:eastAsia="仿宋_GB2312;仿宋"/>
          <w:sz w:val="28"/>
        </w:rPr>
        <w:t>年</w:t>
      </w:r>
      <w:r>
        <w:rPr>
          <w:rFonts w:eastAsia="仿宋_GB2312;仿宋" w:cs="Arial" w:ascii="Arial" w:hAnsi="Arial"/>
          <w:sz w:val="28"/>
        </w:rPr>
        <w:t>8</w:t>
      </w:r>
      <w:r>
        <w:rPr>
          <w:rFonts w:ascii="Arial" w:hAnsi="Arial" w:cs="Arial" w:eastAsia="仿宋_GB2312;仿宋"/>
          <w:sz w:val="28"/>
        </w:rPr>
        <w:t>月</w:t>
      </w:r>
      <w:r>
        <w:rPr>
          <w:rFonts w:eastAsia="仿宋_GB2312;仿宋" w:cs="Arial" w:ascii="Arial" w:hAnsi="Arial"/>
          <w:sz w:val="28"/>
        </w:rPr>
        <w:t>27</w:t>
      </w:r>
      <w:r>
        <w:rPr>
          <w:rFonts w:ascii="Arial" w:hAnsi="Arial" w:cs="Arial" w:eastAsia="仿宋_GB2312;仿宋"/>
          <w:sz w:val="28"/>
        </w:rPr>
        <w:t>日第十一届全国人民代表大会常务委员会第十次会议第二次修正通过，中华人民共和国主席令第</w:t>
      </w:r>
      <w:r>
        <w:rPr>
          <w:rFonts w:eastAsia="仿宋_GB2312;仿宋" w:cs="Arial" w:ascii="Arial" w:hAnsi="Arial"/>
          <w:sz w:val="28"/>
        </w:rPr>
        <w:t>18</w:t>
      </w:r>
      <w:r>
        <w:rPr>
          <w:rFonts w:ascii="Arial" w:hAnsi="Arial" w:cs="Arial" w:eastAsia="仿宋_GB2312;仿宋"/>
          <w:sz w:val="28"/>
        </w:rPr>
        <w:t>号公布，自公布之日起施行；</w:t>
      </w:r>
      <w:r>
        <w:rPr>
          <w:rFonts w:eastAsia="仿宋_GB2312;仿宋" w:cs="Arial" w:ascii="Arial" w:hAnsi="Arial"/>
          <w:sz w:val="28"/>
        </w:rPr>
        <w:t>2019</w:t>
      </w:r>
      <w:r>
        <w:rPr>
          <w:rFonts w:ascii="Arial" w:hAnsi="Arial" w:cs="Arial" w:eastAsia="仿宋_GB2312;仿宋"/>
          <w:sz w:val="28"/>
        </w:rPr>
        <w:t>年</w:t>
      </w:r>
      <w:r>
        <w:rPr>
          <w:rFonts w:eastAsia="仿宋_GB2312;仿宋" w:cs="Arial" w:ascii="Arial" w:hAnsi="Arial"/>
          <w:sz w:val="28"/>
        </w:rPr>
        <w:t>8</w:t>
      </w:r>
      <w:r>
        <w:rPr>
          <w:rFonts w:ascii="Arial" w:hAnsi="Arial" w:cs="Arial" w:eastAsia="仿宋_GB2312;仿宋"/>
          <w:sz w:val="28"/>
        </w:rPr>
        <w:t>月</w:t>
      </w:r>
      <w:r>
        <w:rPr>
          <w:rFonts w:eastAsia="仿宋_GB2312;仿宋" w:cs="Arial" w:ascii="Arial" w:hAnsi="Arial"/>
          <w:sz w:val="28"/>
        </w:rPr>
        <w:t>26</w:t>
      </w:r>
      <w:r>
        <w:rPr>
          <w:rFonts w:ascii="Arial" w:hAnsi="Arial" w:cs="Arial" w:eastAsia="仿宋_GB2312;仿宋"/>
          <w:sz w:val="28"/>
        </w:rPr>
        <w:t>日第十三届全国人大常委会第十二次会议通过第三次修正，自</w:t>
      </w:r>
      <w:r>
        <w:rPr>
          <w:rFonts w:eastAsia="仿宋_GB2312;仿宋" w:cs="Arial" w:ascii="Arial" w:hAnsi="Arial"/>
          <w:sz w:val="28"/>
        </w:rPr>
        <w:t>2020</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p>
    <w:p>
      <w:pPr>
        <w:pStyle w:val="Normal"/>
        <w:spacing w:lineRule="auto" w:line="360"/>
        <w:ind w:firstLine="560"/>
        <w:jc w:val="both"/>
        <w:rPr/>
      </w:pPr>
      <w:r>
        <w:rPr>
          <w:rFonts w:eastAsia="仿宋_GB2312;仿宋" w:cs="Arial" w:ascii="Arial" w:hAnsi="Arial"/>
          <w:sz w:val="28"/>
        </w:rPr>
        <w:t>3</w:t>
      </w:r>
      <w:r>
        <w:rPr>
          <w:rFonts w:eastAsia="仿宋_GB2312;仿宋" w:cs="Arial" w:ascii="Arial" w:hAnsi="Arial"/>
          <w:sz w:val="28"/>
        </w:rPr>
        <w:t>.</w:t>
      </w:r>
      <w:r>
        <w:rPr>
          <w:rFonts w:ascii="Arial" w:hAnsi="Arial" w:cs="Arial" w:eastAsia="仿宋_GB2312;仿宋"/>
          <w:sz w:val="28"/>
        </w:rPr>
        <w:t>《中华人民共和国城乡规划法》（</w:t>
      </w:r>
      <w:r>
        <w:rPr>
          <w:rFonts w:eastAsia="仿宋_GB2312;仿宋" w:cs="Arial" w:ascii="Arial" w:hAnsi="Arial"/>
          <w:sz w:val="28"/>
        </w:rPr>
        <w:t xml:space="preserve">2007 </w:t>
      </w:r>
      <w:r>
        <w:rPr>
          <w:rFonts w:ascii="Arial" w:hAnsi="Arial" w:cs="Arial" w:eastAsia="仿宋_GB2312;仿宋"/>
          <w:sz w:val="28"/>
        </w:rPr>
        <w:t>年</w:t>
      </w:r>
      <w:r>
        <w:rPr>
          <w:rFonts w:ascii="Arial" w:hAnsi="Arial" w:cs="Arial" w:eastAsia="Arial"/>
          <w:sz w:val="28"/>
        </w:rPr>
        <w:t xml:space="preserve"> </w:t>
      </w:r>
      <w:r>
        <w:rPr>
          <w:rFonts w:eastAsia="仿宋_GB2312;仿宋" w:cs="Arial" w:ascii="Arial" w:hAnsi="Arial"/>
          <w:sz w:val="28"/>
        </w:rPr>
        <w:t xml:space="preserve">10 </w:t>
      </w:r>
      <w:r>
        <w:rPr>
          <w:rFonts w:ascii="Arial" w:hAnsi="Arial" w:cs="Arial" w:eastAsia="仿宋_GB2312;仿宋"/>
          <w:sz w:val="28"/>
        </w:rPr>
        <w:t>月</w:t>
      </w:r>
      <w:r>
        <w:rPr>
          <w:rFonts w:ascii="Arial" w:hAnsi="Arial" w:cs="Arial" w:eastAsia="Arial"/>
          <w:sz w:val="28"/>
        </w:rPr>
        <w:t xml:space="preserve"> </w:t>
      </w:r>
      <w:r>
        <w:rPr>
          <w:rFonts w:eastAsia="仿宋_GB2312;仿宋" w:cs="Arial" w:ascii="Arial" w:hAnsi="Arial"/>
          <w:sz w:val="28"/>
        </w:rPr>
        <w:t xml:space="preserve">28 </w:t>
      </w:r>
      <w:r>
        <w:rPr>
          <w:rFonts w:ascii="Arial" w:hAnsi="Arial" w:cs="Arial" w:eastAsia="仿宋_GB2312;仿宋"/>
          <w:sz w:val="28"/>
        </w:rPr>
        <w:t>日第十届全国人民代表大会常务委员会第三十次会议通过，中华人民共和国主席令第</w:t>
      </w:r>
      <w:r>
        <w:rPr>
          <w:rFonts w:eastAsia="仿宋_GB2312;仿宋" w:cs="Arial" w:ascii="Arial" w:hAnsi="Arial"/>
          <w:sz w:val="28"/>
        </w:rPr>
        <w:t>74</w:t>
      </w:r>
      <w:r>
        <w:rPr>
          <w:rFonts w:ascii="Arial" w:hAnsi="Arial" w:cs="Arial" w:eastAsia="仿宋_GB2312;仿宋"/>
          <w:sz w:val="28"/>
        </w:rPr>
        <w:t>号，自公布之日起施行；根据</w:t>
      </w:r>
      <w:r>
        <w:rPr>
          <w:rFonts w:ascii="Arial" w:hAnsi="Arial" w:cs="Arial" w:eastAsia="Arial"/>
          <w:sz w:val="28"/>
        </w:rPr>
        <w:t xml:space="preserve"> </w:t>
      </w:r>
      <w:r>
        <w:rPr>
          <w:rFonts w:eastAsia="仿宋_GB2312;仿宋" w:cs="Arial" w:ascii="Arial" w:hAnsi="Arial"/>
          <w:sz w:val="28"/>
        </w:rPr>
        <w:t xml:space="preserve">2015 </w:t>
      </w:r>
      <w:r>
        <w:rPr>
          <w:rFonts w:ascii="Arial" w:hAnsi="Arial" w:cs="Arial" w:eastAsia="仿宋_GB2312;仿宋"/>
          <w:sz w:val="28"/>
        </w:rPr>
        <w:t>年</w:t>
      </w:r>
      <w:r>
        <w:rPr>
          <w:rFonts w:ascii="Arial" w:hAnsi="Arial" w:cs="Arial" w:eastAsia="Arial"/>
          <w:sz w:val="28"/>
        </w:rPr>
        <w:t xml:space="preserve"> </w:t>
      </w:r>
      <w:r>
        <w:rPr>
          <w:rFonts w:eastAsia="仿宋_GB2312;仿宋" w:cs="Arial" w:ascii="Arial" w:hAnsi="Arial"/>
          <w:sz w:val="28"/>
        </w:rPr>
        <w:t xml:space="preserve">4 </w:t>
      </w:r>
      <w:r>
        <w:rPr>
          <w:rFonts w:ascii="Arial" w:hAnsi="Arial" w:cs="Arial" w:eastAsia="仿宋_GB2312;仿宋"/>
          <w:sz w:val="28"/>
        </w:rPr>
        <w:t>月</w:t>
      </w:r>
      <w:r>
        <w:rPr>
          <w:rFonts w:ascii="Arial" w:hAnsi="Arial" w:cs="Arial" w:eastAsia="Arial"/>
          <w:sz w:val="28"/>
        </w:rPr>
        <w:t xml:space="preserve"> </w:t>
      </w:r>
      <w:r>
        <w:rPr>
          <w:rFonts w:eastAsia="仿宋_GB2312;仿宋" w:cs="Arial" w:ascii="Arial" w:hAnsi="Arial"/>
          <w:sz w:val="28"/>
        </w:rPr>
        <w:t xml:space="preserve">24 </w:t>
      </w:r>
      <w:r>
        <w:rPr>
          <w:rFonts w:ascii="Arial" w:hAnsi="Arial" w:cs="Arial" w:eastAsia="仿宋_GB2312;仿宋"/>
          <w:sz w:val="28"/>
        </w:rPr>
        <w:t>日第十二届全国人民代表大会常务委员会第十四次会议通过第一次修正，中华人民共和国主席令第</w:t>
      </w:r>
      <w:r>
        <w:rPr>
          <w:rFonts w:eastAsia="仿宋_GB2312;仿宋" w:cs="Arial" w:ascii="Arial" w:hAnsi="Arial"/>
          <w:sz w:val="28"/>
        </w:rPr>
        <w:t>23</w:t>
      </w:r>
      <w:r>
        <w:rPr>
          <w:rFonts w:ascii="Arial" w:hAnsi="Arial" w:cs="Arial" w:eastAsia="仿宋_GB2312;仿宋"/>
          <w:sz w:val="28"/>
        </w:rPr>
        <w:t>号公布，自公布之日起施行；根据</w:t>
      </w:r>
      <w:r>
        <w:rPr>
          <w:rFonts w:eastAsia="仿宋_GB2312;仿宋" w:cs="Arial" w:ascii="Arial" w:hAnsi="Arial"/>
          <w:sz w:val="28"/>
        </w:rPr>
        <w:t>2019</w:t>
      </w:r>
      <w:r>
        <w:rPr>
          <w:rFonts w:ascii="Arial" w:hAnsi="Arial" w:cs="Arial" w:eastAsia="仿宋_GB2312;仿宋"/>
          <w:sz w:val="28"/>
        </w:rPr>
        <w:t>年</w:t>
      </w:r>
      <w:r>
        <w:rPr>
          <w:rFonts w:eastAsia="仿宋_GB2312;仿宋" w:cs="Arial" w:ascii="Arial" w:hAnsi="Arial"/>
          <w:sz w:val="28"/>
        </w:rPr>
        <w:t>4</w:t>
      </w:r>
      <w:r>
        <w:rPr>
          <w:rFonts w:ascii="Arial" w:hAnsi="Arial" w:cs="Arial" w:eastAsia="仿宋_GB2312;仿宋"/>
          <w:sz w:val="28"/>
        </w:rPr>
        <w:t>月</w:t>
      </w:r>
      <w:r>
        <w:rPr>
          <w:rFonts w:eastAsia="仿宋_GB2312;仿宋" w:cs="Arial" w:ascii="Arial" w:hAnsi="Arial"/>
          <w:sz w:val="28"/>
        </w:rPr>
        <w:t>23</w:t>
      </w:r>
      <w:r>
        <w:rPr>
          <w:rFonts w:ascii="Arial" w:hAnsi="Arial" w:cs="Arial" w:eastAsia="仿宋_GB2312;仿宋"/>
          <w:sz w:val="28"/>
        </w:rPr>
        <w:t>日第十三届全国人民代表大会常务委员会第十次会议通过第二次修正，自公布之日起施行）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4.</w:t>
      </w:r>
      <w:r>
        <w:rPr>
          <w:rFonts w:ascii="Arial" w:hAnsi="Arial" w:cs="Arial" w:eastAsia="仿宋_GB2312;仿宋"/>
          <w:sz w:val="28"/>
        </w:rPr>
        <w:t>《不动产登记暂行条例》（</w:t>
      </w:r>
      <w:r>
        <w:rPr>
          <w:rFonts w:eastAsia="仿宋_GB2312;仿宋" w:cs="Arial" w:ascii="Arial" w:hAnsi="Arial"/>
          <w:sz w:val="28"/>
        </w:rPr>
        <w:t>2014</w:t>
      </w:r>
      <w:r>
        <w:rPr>
          <w:rFonts w:ascii="Arial" w:hAnsi="Arial" w:cs="Arial" w:eastAsia="仿宋_GB2312;仿宋"/>
          <w:sz w:val="28"/>
        </w:rPr>
        <w:t>年</w:t>
      </w:r>
      <w:r>
        <w:rPr>
          <w:rFonts w:eastAsia="仿宋_GB2312;仿宋" w:cs="Arial" w:ascii="Arial" w:hAnsi="Arial"/>
          <w:sz w:val="28"/>
        </w:rPr>
        <w:t>11</w:t>
      </w:r>
      <w:r>
        <w:rPr>
          <w:rFonts w:ascii="Arial" w:hAnsi="Arial" w:cs="Arial" w:eastAsia="仿宋_GB2312;仿宋"/>
          <w:sz w:val="28"/>
        </w:rPr>
        <w:t>月</w:t>
      </w:r>
      <w:r>
        <w:rPr>
          <w:rFonts w:eastAsia="仿宋_GB2312;仿宋" w:cs="Arial" w:ascii="Arial" w:hAnsi="Arial"/>
          <w:sz w:val="28"/>
        </w:rPr>
        <w:t>24</w:t>
      </w:r>
      <w:r>
        <w:rPr>
          <w:rFonts w:ascii="Arial" w:hAnsi="Arial" w:cs="Arial" w:eastAsia="仿宋_GB2312;仿宋"/>
          <w:sz w:val="28"/>
        </w:rPr>
        <w:t>日中华人民共和国国务院令第</w:t>
      </w:r>
      <w:r>
        <w:rPr>
          <w:rFonts w:eastAsia="仿宋_GB2312;仿宋" w:cs="Arial" w:ascii="Arial" w:hAnsi="Arial"/>
          <w:sz w:val="28"/>
        </w:rPr>
        <w:t>656</w:t>
      </w:r>
      <w:r>
        <w:rPr>
          <w:rFonts w:ascii="Arial" w:hAnsi="Arial" w:cs="Arial" w:eastAsia="仿宋_GB2312;仿宋"/>
          <w:sz w:val="28"/>
        </w:rPr>
        <w:t>号公布，自</w:t>
      </w:r>
      <w:r>
        <w:rPr>
          <w:rFonts w:eastAsia="仿宋_GB2312;仿宋" w:cs="Arial" w:ascii="Arial" w:hAnsi="Arial"/>
          <w:sz w:val="28"/>
        </w:rPr>
        <w:t>2015</w:t>
      </w:r>
      <w:r>
        <w:rPr>
          <w:rFonts w:ascii="Arial" w:hAnsi="Arial" w:cs="Arial" w:eastAsia="仿宋_GB2312;仿宋"/>
          <w:sz w:val="28"/>
        </w:rPr>
        <w:t>年</w:t>
      </w:r>
      <w:r>
        <w:rPr>
          <w:rFonts w:eastAsia="仿宋_GB2312;仿宋" w:cs="Arial" w:ascii="Arial" w:hAnsi="Arial"/>
          <w:sz w:val="28"/>
        </w:rPr>
        <w:t>3</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日起施行；根据</w:t>
      </w:r>
      <w:r>
        <w:rPr>
          <w:rFonts w:eastAsia="仿宋_GB2312;仿宋" w:cs="Arial" w:ascii="Arial" w:hAnsi="Arial"/>
          <w:sz w:val="28"/>
        </w:rPr>
        <w:t>2019</w:t>
      </w:r>
      <w:r>
        <w:rPr>
          <w:rFonts w:ascii="Arial" w:hAnsi="Arial" w:cs="Arial" w:eastAsia="仿宋_GB2312;仿宋"/>
          <w:sz w:val="28"/>
        </w:rPr>
        <w:t>年</w:t>
      </w:r>
      <w:r>
        <w:rPr>
          <w:rFonts w:eastAsia="仿宋_GB2312;仿宋" w:cs="Arial" w:ascii="Arial" w:hAnsi="Arial"/>
          <w:sz w:val="28"/>
        </w:rPr>
        <w:t>3</w:t>
      </w:r>
      <w:r>
        <w:rPr>
          <w:rFonts w:ascii="Arial" w:hAnsi="Arial" w:cs="Arial" w:eastAsia="仿宋_GB2312;仿宋"/>
          <w:sz w:val="28"/>
        </w:rPr>
        <w:t>月</w:t>
      </w:r>
      <w:r>
        <w:rPr>
          <w:rFonts w:eastAsia="仿宋_GB2312;仿宋" w:cs="Arial" w:ascii="Arial" w:hAnsi="Arial"/>
          <w:sz w:val="28"/>
        </w:rPr>
        <w:t>24</w:t>
      </w:r>
      <w:r>
        <w:rPr>
          <w:rFonts w:ascii="Arial" w:hAnsi="Arial" w:cs="Arial" w:eastAsia="仿宋_GB2312;仿宋"/>
          <w:sz w:val="28"/>
        </w:rPr>
        <w:t>日公布的《国务院关于修改部分行政法规的决定》</w:t>
      </w:r>
      <w:r>
        <w:rPr>
          <w:rFonts w:eastAsia="仿宋_GB2312;仿宋" w:cs="Arial" w:ascii="Arial" w:hAnsi="Arial"/>
          <w:sz w:val="28"/>
        </w:rPr>
        <w:t>[</w:t>
      </w:r>
      <w:r>
        <w:rPr>
          <w:rFonts w:ascii="Arial" w:hAnsi="Arial" w:cs="Arial" w:eastAsia="仿宋_GB2312;仿宋"/>
          <w:sz w:val="28"/>
        </w:rPr>
        <w:t>中华人民共和国国务院令第</w:t>
      </w:r>
      <w:r>
        <w:rPr>
          <w:rFonts w:eastAsia="仿宋_GB2312;仿宋" w:cs="Arial" w:ascii="Arial" w:hAnsi="Arial"/>
          <w:sz w:val="28"/>
        </w:rPr>
        <w:t>710</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修订，自公布之日起施行）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5.</w:t>
      </w:r>
      <w:r>
        <w:rPr>
          <w:rFonts w:ascii="Arial" w:hAnsi="Arial" w:cs="Arial" w:eastAsia="仿宋_GB2312;仿宋"/>
          <w:sz w:val="28"/>
        </w:rPr>
        <w:t>《不动产登记暂行条例实施细则》（</w:t>
      </w:r>
      <w:r>
        <w:rPr>
          <w:rFonts w:eastAsia="仿宋_GB2312;仿宋" w:cs="Arial" w:ascii="Arial" w:hAnsi="Arial"/>
          <w:sz w:val="28"/>
        </w:rPr>
        <w:t>2015</w:t>
      </w:r>
      <w:r>
        <w:rPr>
          <w:rFonts w:ascii="Arial" w:hAnsi="Arial" w:cs="Arial" w:eastAsia="仿宋_GB2312;仿宋"/>
          <w:sz w:val="28"/>
        </w:rPr>
        <w:t>年</w:t>
      </w:r>
      <w:r>
        <w:rPr>
          <w:rFonts w:eastAsia="仿宋_GB2312;仿宋" w:cs="Arial" w:ascii="Arial" w:hAnsi="Arial"/>
          <w:sz w:val="28"/>
        </w:rPr>
        <w:t>6</w:t>
      </w:r>
      <w:r>
        <w:rPr>
          <w:rFonts w:ascii="Arial" w:hAnsi="Arial" w:cs="Arial" w:eastAsia="仿宋_GB2312;仿宋"/>
          <w:sz w:val="28"/>
        </w:rPr>
        <w:t>月</w:t>
      </w:r>
      <w:r>
        <w:rPr>
          <w:rFonts w:eastAsia="仿宋_GB2312;仿宋" w:cs="Arial" w:ascii="Arial" w:hAnsi="Arial"/>
          <w:sz w:val="28"/>
        </w:rPr>
        <w:t>29</w:t>
      </w:r>
      <w:r>
        <w:rPr>
          <w:rFonts w:ascii="Arial" w:hAnsi="Arial" w:cs="Arial" w:eastAsia="仿宋_GB2312;仿宋"/>
          <w:sz w:val="28"/>
        </w:rPr>
        <w:t>日国土资源部第</w:t>
      </w:r>
      <w:r>
        <w:rPr>
          <w:rFonts w:eastAsia="仿宋_GB2312;仿宋" w:cs="Arial" w:ascii="Arial" w:hAnsi="Arial"/>
          <w:sz w:val="28"/>
        </w:rPr>
        <w:t>3</w:t>
      </w:r>
      <w:r>
        <w:rPr>
          <w:rFonts w:ascii="Arial" w:hAnsi="Arial" w:cs="Arial" w:eastAsia="仿宋_GB2312;仿宋"/>
          <w:sz w:val="28"/>
        </w:rPr>
        <w:t>次部务会议通过，自</w:t>
      </w:r>
      <w:r>
        <w:rPr>
          <w:rFonts w:eastAsia="仿宋_GB2312;仿宋" w:cs="Arial" w:ascii="Arial" w:hAnsi="Arial"/>
          <w:sz w:val="28"/>
        </w:rPr>
        <w:t>2016</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日起施行；根据</w:t>
      </w:r>
      <w:r>
        <w:rPr>
          <w:rFonts w:eastAsia="仿宋_GB2312;仿宋" w:cs="Arial" w:ascii="Arial" w:hAnsi="Arial"/>
          <w:sz w:val="28"/>
        </w:rPr>
        <w:t>2019</w:t>
      </w:r>
      <w:r>
        <w:rPr>
          <w:rFonts w:ascii="Arial" w:hAnsi="Arial" w:cs="Arial" w:eastAsia="仿宋_GB2312;仿宋"/>
          <w:sz w:val="28"/>
        </w:rPr>
        <w:t>年</w:t>
      </w:r>
      <w:r>
        <w:rPr>
          <w:rFonts w:eastAsia="仿宋_GB2312;仿宋" w:cs="Arial" w:ascii="Arial" w:hAnsi="Arial"/>
          <w:sz w:val="28"/>
        </w:rPr>
        <w:t>7</w:t>
      </w:r>
      <w:r>
        <w:rPr>
          <w:rFonts w:ascii="Arial" w:hAnsi="Arial" w:cs="Arial" w:eastAsia="仿宋_GB2312;仿宋"/>
          <w:sz w:val="28"/>
        </w:rPr>
        <w:t>月</w:t>
      </w:r>
      <w:r>
        <w:rPr>
          <w:rFonts w:eastAsia="仿宋_GB2312;仿宋" w:cs="Arial" w:ascii="Arial" w:hAnsi="Arial"/>
          <w:sz w:val="28"/>
        </w:rPr>
        <w:t>16</w:t>
      </w:r>
      <w:r>
        <w:rPr>
          <w:rFonts w:ascii="Arial" w:hAnsi="Arial" w:cs="Arial" w:eastAsia="仿宋_GB2312;仿宋"/>
          <w:sz w:val="28"/>
        </w:rPr>
        <w:t>日自然资源部第</w:t>
      </w:r>
      <w:r>
        <w:rPr>
          <w:rFonts w:eastAsia="仿宋_GB2312;仿宋" w:cs="Arial" w:ascii="Arial" w:hAnsi="Arial"/>
          <w:sz w:val="28"/>
        </w:rPr>
        <w:t>2</w:t>
      </w:r>
      <w:r>
        <w:rPr>
          <w:rFonts w:ascii="Arial" w:hAnsi="Arial" w:cs="Arial" w:eastAsia="仿宋_GB2312;仿宋"/>
          <w:sz w:val="28"/>
        </w:rPr>
        <w:t>次部务会议审议通过《自然资源部关于第一批废止和修改的部门规章的决定》</w:t>
      </w:r>
      <w:r>
        <w:rPr>
          <w:rFonts w:eastAsia="仿宋_GB2312;仿宋" w:cs="Arial" w:ascii="Arial" w:hAnsi="Arial"/>
          <w:sz w:val="28"/>
        </w:rPr>
        <w:t>[</w:t>
      </w:r>
      <w:r>
        <w:rPr>
          <w:rFonts w:ascii="Arial" w:hAnsi="Arial" w:cs="Arial" w:eastAsia="仿宋_GB2312;仿宋"/>
          <w:sz w:val="28"/>
        </w:rPr>
        <w:t>中华人民共和国自然资源部令第</w:t>
      </w:r>
      <w:r>
        <w:rPr>
          <w:rFonts w:eastAsia="仿宋_GB2312;仿宋" w:cs="Arial" w:ascii="Arial" w:hAnsi="Arial"/>
          <w:sz w:val="28"/>
        </w:rPr>
        <w:t>5</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修订，自公布之日起施行）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6.</w:t>
      </w:r>
      <w:r>
        <w:rPr>
          <w:rFonts w:ascii="Arial" w:hAnsi="Arial" w:cs="Arial" w:eastAsia="仿宋_GB2312;仿宋"/>
          <w:sz w:val="28"/>
        </w:rPr>
        <w:t>《中华人民共和国资产评估法》（</w:t>
      </w:r>
      <w:r>
        <w:rPr>
          <w:rFonts w:eastAsia="仿宋_GB2312;仿宋" w:cs="Arial" w:ascii="Arial" w:hAnsi="Arial"/>
          <w:sz w:val="28"/>
        </w:rPr>
        <w:t>2016</w:t>
      </w:r>
      <w:r>
        <w:rPr>
          <w:rFonts w:ascii="Arial" w:hAnsi="Arial" w:cs="Arial" w:eastAsia="仿宋_GB2312;仿宋"/>
          <w:sz w:val="28"/>
        </w:rPr>
        <w:t>年</w:t>
      </w:r>
      <w:r>
        <w:rPr>
          <w:rFonts w:eastAsia="仿宋_GB2312;仿宋" w:cs="Arial" w:ascii="Arial" w:hAnsi="Arial"/>
          <w:sz w:val="28"/>
        </w:rPr>
        <w:t>7</w:t>
      </w:r>
      <w:r>
        <w:rPr>
          <w:rFonts w:ascii="Arial" w:hAnsi="Arial" w:cs="Arial" w:eastAsia="仿宋_GB2312;仿宋"/>
          <w:sz w:val="28"/>
        </w:rPr>
        <w:t>月</w:t>
      </w:r>
      <w:r>
        <w:rPr>
          <w:rFonts w:eastAsia="仿宋_GB2312;仿宋" w:cs="Arial" w:ascii="Arial" w:hAnsi="Arial"/>
          <w:sz w:val="28"/>
        </w:rPr>
        <w:t>2</w:t>
      </w:r>
      <w:r>
        <w:rPr>
          <w:rFonts w:ascii="Arial" w:hAnsi="Arial" w:cs="Arial" w:eastAsia="仿宋_GB2312;仿宋"/>
          <w:sz w:val="28"/>
        </w:rPr>
        <w:t>日第十二届全国人民代表大会常务委员会第二十一次会议通过，</w:t>
      </w:r>
      <w:r>
        <w:rPr>
          <w:rFonts w:eastAsia="仿宋_GB2312;仿宋" w:cs="Arial" w:ascii="Arial" w:hAnsi="Arial"/>
          <w:sz w:val="28"/>
        </w:rPr>
        <w:t>2016</w:t>
      </w:r>
      <w:r>
        <w:rPr>
          <w:rFonts w:ascii="Arial" w:hAnsi="Arial" w:cs="Arial" w:eastAsia="仿宋_GB2312;仿宋"/>
          <w:sz w:val="28"/>
        </w:rPr>
        <w:t>年</w:t>
      </w:r>
      <w:r>
        <w:rPr>
          <w:rFonts w:eastAsia="仿宋_GB2312;仿宋" w:cs="Arial" w:ascii="Arial" w:hAnsi="Arial"/>
          <w:sz w:val="28"/>
        </w:rPr>
        <w:t>3</w:t>
      </w:r>
      <w:r>
        <w:rPr>
          <w:rFonts w:ascii="Arial" w:hAnsi="Arial" w:cs="Arial" w:eastAsia="仿宋_GB2312;仿宋"/>
          <w:sz w:val="28"/>
        </w:rPr>
        <w:t>月</w:t>
      </w:r>
      <w:r>
        <w:rPr>
          <w:rFonts w:eastAsia="仿宋_GB2312;仿宋" w:cs="Arial" w:ascii="Arial" w:hAnsi="Arial"/>
          <w:sz w:val="28"/>
        </w:rPr>
        <w:t>16</w:t>
      </w:r>
      <w:r>
        <w:rPr>
          <w:rFonts w:ascii="Arial" w:hAnsi="Arial" w:cs="Arial" w:eastAsia="仿宋_GB2312;仿宋"/>
          <w:sz w:val="28"/>
        </w:rPr>
        <w:t>日中华人民共和国主席令第</w:t>
      </w:r>
      <w:r>
        <w:rPr>
          <w:rFonts w:eastAsia="仿宋_GB2312;仿宋" w:cs="Arial" w:ascii="Arial" w:hAnsi="Arial"/>
          <w:sz w:val="28"/>
        </w:rPr>
        <w:t>46</w:t>
      </w:r>
      <w:r>
        <w:rPr>
          <w:rFonts w:ascii="Arial" w:hAnsi="Arial" w:cs="Arial" w:eastAsia="仿宋_GB2312;仿宋"/>
          <w:sz w:val="28"/>
        </w:rPr>
        <w:t>号公布，自</w:t>
      </w:r>
      <w:r>
        <w:rPr>
          <w:rFonts w:eastAsia="仿宋_GB2312;仿宋" w:cs="Arial" w:ascii="Arial" w:hAnsi="Arial"/>
          <w:sz w:val="28"/>
        </w:rPr>
        <w:t>2016</w:t>
      </w:r>
      <w:r>
        <w:rPr>
          <w:rFonts w:ascii="Arial" w:hAnsi="Arial" w:cs="Arial" w:eastAsia="仿宋_GB2312;仿宋"/>
          <w:sz w:val="28"/>
        </w:rPr>
        <w:t>年</w:t>
      </w:r>
      <w:r>
        <w:rPr>
          <w:rFonts w:eastAsia="仿宋_GB2312;仿宋" w:cs="Arial" w:ascii="Arial" w:hAnsi="Arial"/>
          <w:sz w:val="28"/>
        </w:rPr>
        <w:t>12</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7.</w:t>
      </w:r>
      <w:r>
        <w:rPr>
          <w:rFonts w:ascii="Arial" w:hAnsi="Arial" w:cs="Arial" w:eastAsia="仿宋_GB2312;仿宋"/>
          <w:sz w:val="28"/>
        </w:rPr>
        <w:t>《中华人民共和国民法典》（</w:t>
      </w:r>
      <w:r>
        <w:rPr>
          <w:rFonts w:eastAsia="仿宋_GB2312;仿宋" w:cs="Arial" w:ascii="Arial" w:hAnsi="Arial"/>
          <w:sz w:val="28"/>
        </w:rPr>
        <w:t>2020</w:t>
      </w:r>
      <w:r>
        <w:rPr>
          <w:rFonts w:ascii="Arial" w:hAnsi="Arial" w:cs="Arial" w:eastAsia="仿宋_GB2312;仿宋"/>
          <w:sz w:val="28"/>
        </w:rPr>
        <w:t>年</w:t>
      </w:r>
      <w:r>
        <w:rPr>
          <w:rFonts w:eastAsia="仿宋_GB2312;仿宋" w:cs="Arial" w:ascii="Arial" w:hAnsi="Arial"/>
          <w:sz w:val="28"/>
        </w:rPr>
        <w:t>5</w:t>
      </w:r>
      <w:r>
        <w:rPr>
          <w:rFonts w:ascii="Arial" w:hAnsi="Arial" w:cs="Arial" w:eastAsia="仿宋_GB2312;仿宋"/>
          <w:sz w:val="28"/>
        </w:rPr>
        <w:t>月</w:t>
      </w:r>
      <w:r>
        <w:rPr>
          <w:rFonts w:eastAsia="仿宋_GB2312;仿宋" w:cs="Arial" w:ascii="Arial" w:hAnsi="Arial"/>
          <w:sz w:val="28"/>
        </w:rPr>
        <w:t>28</w:t>
      </w:r>
      <w:r>
        <w:rPr>
          <w:rFonts w:ascii="Arial" w:hAnsi="Arial" w:cs="Arial" w:eastAsia="仿宋_GB2312;仿宋"/>
          <w:sz w:val="28"/>
        </w:rPr>
        <w:t>日第十三届全国人大三次会议表决通过，自</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8.</w:t>
      </w:r>
      <w:r>
        <w:rPr>
          <w:rFonts w:ascii="Arial" w:hAnsi="Arial" w:cs="Arial" w:eastAsia="仿宋_GB2312;仿宋"/>
          <w:sz w:val="28"/>
        </w:rPr>
        <w:t>《中华人民共和国城镇国有土地使用权出让和转让暂行条例》（</w:t>
      </w:r>
      <w:r>
        <w:rPr>
          <w:rFonts w:eastAsia="仿宋_GB2312;仿宋" w:cs="Arial" w:ascii="Arial" w:hAnsi="Arial"/>
          <w:sz w:val="28"/>
        </w:rPr>
        <w:t>1990</w:t>
      </w:r>
      <w:r>
        <w:rPr>
          <w:rFonts w:ascii="Arial" w:hAnsi="Arial" w:cs="Arial" w:eastAsia="仿宋_GB2312;仿宋"/>
          <w:sz w:val="28"/>
        </w:rPr>
        <w:t>年</w:t>
      </w:r>
      <w:r>
        <w:rPr>
          <w:rFonts w:eastAsia="仿宋_GB2312;仿宋" w:cs="Arial" w:ascii="Arial" w:hAnsi="Arial"/>
          <w:sz w:val="28"/>
        </w:rPr>
        <w:t>5</w:t>
      </w:r>
      <w:r>
        <w:rPr>
          <w:rFonts w:ascii="Arial" w:hAnsi="Arial" w:cs="Arial" w:eastAsia="仿宋_GB2312;仿宋"/>
          <w:sz w:val="28"/>
        </w:rPr>
        <w:t>月</w:t>
      </w:r>
      <w:r>
        <w:rPr>
          <w:rFonts w:eastAsia="仿宋_GB2312;仿宋" w:cs="Arial" w:ascii="Arial" w:hAnsi="Arial"/>
          <w:sz w:val="28"/>
        </w:rPr>
        <w:t>19</w:t>
      </w:r>
      <w:r>
        <w:rPr>
          <w:rFonts w:ascii="Arial" w:hAnsi="Arial" w:cs="Arial" w:eastAsia="仿宋_GB2312;仿宋"/>
          <w:sz w:val="28"/>
        </w:rPr>
        <w:t>日中华人民共和国国务院令第</w:t>
      </w:r>
      <w:r>
        <w:rPr>
          <w:rFonts w:eastAsia="仿宋_GB2312;仿宋" w:cs="Arial" w:ascii="Arial" w:hAnsi="Arial"/>
          <w:sz w:val="28"/>
        </w:rPr>
        <w:t>55</w:t>
      </w:r>
      <w:r>
        <w:rPr>
          <w:rFonts w:ascii="Arial" w:hAnsi="Arial" w:cs="Arial" w:eastAsia="仿宋_GB2312;仿宋"/>
          <w:sz w:val="28"/>
        </w:rPr>
        <w:t>号发布，自发布之日起施行）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9.</w:t>
      </w:r>
      <w:r>
        <w:rPr>
          <w:rFonts w:ascii="Arial" w:hAnsi="Arial" w:cs="Arial" w:eastAsia="仿宋_GB2312;仿宋"/>
          <w:sz w:val="28"/>
        </w:rPr>
        <w:t>《中华人民共和国土地管理法实施条例》（</w:t>
      </w:r>
      <w:r>
        <w:rPr>
          <w:rFonts w:eastAsia="仿宋_GB2312;仿宋" w:cs="Arial" w:ascii="Arial" w:hAnsi="Arial"/>
          <w:sz w:val="28"/>
        </w:rPr>
        <w:t>1998</w:t>
      </w:r>
      <w:r>
        <w:rPr>
          <w:rFonts w:ascii="Arial" w:hAnsi="Arial" w:cs="Arial" w:eastAsia="仿宋_GB2312;仿宋"/>
          <w:sz w:val="28"/>
        </w:rPr>
        <w:t>年</w:t>
      </w:r>
      <w:r>
        <w:rPr>
          <w:rFonts w:eastAsia="仿宋_GB2312;仿宋" w:cs="Arial" w:ascii="Arial" w:hAnsi="Arial"/>
          <w:sz w:val="28"/>
        </w:rPr>
        <w:t>12</w:t>
      </w:r>
      <w:r>
        <w:rPr>
          <w:rFonts w:ascii="Arial" w:hAnsi="Arial" w:cs="Arial" w:eastAsia="仿宋_GB2312;仿宋"/>
          <w:sz w:val="28"/>
        </w:rPr>
        <w:t>月</w:t>
      </w:r>
      <w:r>
        <w:rPr>
          <w:rFonts w:eastAsia="仿宋_GB2312;仿宋" w:cs="Arial" w:ascii="Arial" w:hAnsi="Arial"/>
          <w:sz w:val="28"/>
        </w:rPr>
        <w:t>24</w:t>
      </w:r>
      <w:r>
        <w:rPr>
          <w:rFonts w:ascii="Arial" w:hAnsi="Arial" w:cs="Arial" w:eastAsia="仿宋_GB2312;仿宋"/>
          <w:sz w:val="28"/>
        </w:rPr>
        <w:t>日国务院第</w:t>
      </w:r>
      <w:r>
        <w:rPr>
          <w:rFonts w:eastAsia="仿宋_GB2312;仿宋" w:cs="Arial" w:ascii="Arial" w:hAnsi="Arial"/>
          <w:sz w:val="28"/>
        </w:rPr>
        <w:t>12</w:t>
      </w:r>
      <w:r>
        <w:rPr>
          <w:rFonts w:ascii="Arial" w:hAnsi="Arial" w:cs="Arial" w:eastAsia="仿宋_GB2312;仿宋"/>
          <w:sz w:val="28"/>
        </w:rPr>
        <w:t>次常务会议通过</w:t>
      </w:r>
      <w:r>
        <w:rPr>
          <w:rFonts w:ascii="Arial" w:hAnsi="Arial" w:cs="Arial" w:eastAsia="Arial"/>
          <w:sz w:val="28"/>
        </w:rPr>
        <w:t xml:space="preserve"> </w:t>
      </w:r>
      <w:r>
        <w:rPr>
          <w:rFonts w:ascii="Arial" w:hAnsi="Arial" w:cs="Arial" w:eastAsia="仿宋_GB2312;仿宋"/>
          <w:sz w:val="28"/>
        </w:rPr>
        <w:t>，</w:t>
      </w:r>
      <w:r>
        <w:rPr>
          <w:rFonts w:eastAsia="仿宋_GB2312;仿宋" w:cs="Arial" w:ascii="Arial" w:hAnsi="Arial"/>
          <w:sz w:val="28"/>
        </w:rPr>
        <w:t>1998</w:t>
      </w:r>
      <w:r>
        <w:rPr>
          <w:rFonts w:ascii="Arial" w:hAnsi="Arial" w:cs="Arial" w:eastAsia="仿宋_GB2312;仿宋"/>
          <w:sz w:val="28"/>
        </w:rPr>
        <w:t>年</w:t>
      </w:r>
      <w:r>
        <w:rPr>
          <w:rFonts w:eastAsia="仿宋_GB2312;仿宋" w:cs="Arial" w:ascii="Arial" w:hAnsi="Arial"/>
          <w:sz w:val="28"/>
        </w:rPr>
        <w:t>12</w:t>
      </w:r>
      <w:r>
        <w:rPr>
          <w:rFonts w:ascii="Arial" w:hAnsi="Arial" w:cs="Arial" w:eastAsia="仿宋_GB2312;仿宋"/>
          <w:sz w:val="28"/>
        </w:rPr>
        <w:t>月</w:t>
      </w:r>
      <w:r>
        <w:rPr>
          <w:rFonts w:eastAsia="仿宋_GB2312;仿宋" w:cs="Arial" w:ascii="Arial" w:hAnsi="Arial"/>
          <w:sz w:val="28"/>
        </w:rPr>
        <w:t>27</w:t>
      </w:r>
      <w:r>
        <w:rPr>
          <w:rFonts w:ascii="Arial" w:hAnsi="Arial" w:cs="Arial" w:eastAsia="仿宋_GB2312;仿宋"/>
          <w:sz w:val="28"/>
        </w:rPr>
        <w:t>日中华人民共和国国务院令第</w:t>
      </w:r>
      <w:r>
        <w:rPr>
          <w:rFonts w:eastAsia="仿宋_GB2312;仿宋" w:cs="Arial" w:ascii="Arial" w:hAnsi="Arial"/>
          <w:sz w:val="28"/>
        </w:rPr>
        <w:t>256</w:t>
      </w:r>
      <w:r>
        <w:rPr>
          <w:rFonts w:ascii="Arial" w:hAnsi="Arial" w:cs="Arial" w:eastAsia="仿宋_GB2312;仿宋"/>
          <w:sz w:val="28"/>
        </w:rPr>
        <w:t>号发布，自</w:t>
      </w:r>
      <w:r>
        <w:rPr>
          <w:rFonts w:eastAsia="仿宋_GB2312;仿宋" w:cs="Arial" w:ascii="Arial" w:hAnsi="Arial"/>
          <w:sz w:val="28"/>
        </w:rPr>
        <w:t>1999</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r>
        <w:rPr>
          <w:rFonts w:eastAsia="仿宋_GB2312;仿宋" w:cs="Arial" w:ascii="Arial" w:hAnsi="Arial"/>
          <w:sz w:val="28"/>
        </w:rPr>
        <w:t>2010</w:t>
      </w:r>
      <w:r>
        <w:rPr>
          <w:rFonts w:ascii="Arial" w:hAnsi="Arial" w:cs="Arial" w:eastAsia="仿宋_GB2312;仿宋"/>
          <w:sz w:val="28"/>
        </w:rPr>
        <w:t>年</w:t>
      </w:r>
      <w:r>
        <w:rPr>
          <w:rFonts w:eastAsia="仿宋_GB2312;仿宋" w:cs="Arial" w:ascii="Arial" w:hAnsi="Arial"/>
          <w:sz w:val="28"/>
        </w:rPr>
        <w:t>12</w:t>
      </w:r>
      <w:r>
        <w:rPr>
          <w:rFonts w:ascii="Arial" w:hAnsi="Arial" w:cs="Arial" w:eastAsia="仿宋_GB2312;仿宋"/>
          <w:sz w:val="28"/>
        </w:rPr>
        <w:t>月</w:t>
      </w:r>
      <w:r>
        <w:rPr>
          <w:rFonts w:eastAsia="仿宋_GB2312;仿宋" w:cs="Arial" w:ascii="Arial" w:hAnsi="Arial"/>
          <w:sz w:val="28"/>
        </w:rPr>
        <w:t>29</w:t>
      </w:r>
      <w:r>
        <w:rPr>
          <w:rFonts w:ascii="Arial" w:hAnsi="Arial" w:cs="Arial" w:eastAsia="仿宋_GB2312;仿宋"/>
          <w:sz w:val="28"/>
        </w:rPr>
        <w:t>日国务院第</w:t>
      </w:r>
      <w:r>
        <w:rPr>
          <w:rFonts w:eastAsia="仿宋_GB2312;仿宋" w:cs="Arial" w:ascii="Arial" w:hAnsi="Arial"/>
          <w:sz w:val="28"/>
        </w:rPr>
        <w:t>138</w:t>
      </w:r>
      <w:r>
        <w:rPr>
          <w:rFonts w:ascii="Arial" w:hAnsi="Arial" w:cs="Arial" w:eastAsia="仿宋_GB2312;仿宋"/>
          <w:sz w:val="28"/>
        </w:rPr>
        <w:t>次常务会议第一次修正通过，</w:t>
      </w:r>
      <w:r>
        <w:rPr>
          <w:rFonts w:eastAsia="仿宋_GB2312;仿宋" w:cs="Arial" w:ascii="Arial" w:hAnsi="Arial"/>
          <w:sz w:val="28"/>
        </w:rPr>
        <w:t>2011</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8</w:t>
      </w:r>
      <w:r>
        <w:rPr>
          <w:rFonts w:ascii="Arial" w:hAnsi="Arial" w:cs="Arial" w:eastAsia="仿宋_GB2312;仿宋"/>
          <w:sz w:val="28"/>
        </w:rPr>
        <w:t>日中华人民共和国国务院令第</w:t>
      </w:r>
      <w:r>
        <w:rPr>
          <w:rFonts w:eastAsia="仿宋_GB2312;仿宋" w:cs="Arial" w:ascii="Arial" w:hAnsi="Arial"/>
          <w:sz w:val="28"/>
        </w:rPr>
        <w:t>588</w:t>
      </w:r>
      <w:r>
        <w:rPr>
          <w:rFonts w:ascii="Arial" w:hAnsi="Arial" w:cs="Arial" w:eastAsia="仿宋_GB2312;仿宋"/>
          <w:sz w:val="28"/>
        </w:rPr>
        <w:t>号发布，自发布之日起施行；</w:t>
      </w:r>
      <w:r>
        <w:rPr>
          <w:rFonts w:eastAsia="仿宋_GB2312;仿宋" w:cs="Arial" w:ascii="Arial" w:hAnsi="Arial"/>
          <w:sz w:val="28"/>
        </w:rPr>
        <w:t>2014</w:t>
      </w:r>
      <w:r>
        <w:rPr>
          <w:rFonts w:ascii="Arial" w:hAnsi="Arial" w:cs="Arial" w:eastAsia="仿宋_GB2312;仿宋"/>
          <w:sz w:val="28"/>
        </w:rPr>
        <w:t>年</w:t>
      </w:r>
      <w:r>
        <w:rPr>
          <w:rFonts w:eastAsia="仿宋_GB2312;仿宋" w:cs="Arial" w:ascii="Arial" w:hAnsi="Arial"/>
          <w:sz w:val="28"/>
        </w:rPr>
        <w:t>7</w:t>
      </w:r>
      <w:r>
        <w:rPr>
          <w:rFonts w:ascii="Arial" w:hAnsi="Arial" w:cs="Arial" w:eastAsia="仿宋_GB2312;仿宋"/>
          <w:sz w:val="28"/>
        </w:rPr>
        <w:t>月</w:t>
      </w:r>
      <w:r>
        <w:rPr>
          <w:rFonts w:eastAsia="仿宋_GB2312;仿宋" w:cs="Arial" w:ascii="Arial" w:hAnsi="Arial"/>
          <w:sz w:val="28"/>
        </w:rPr>
        <w:t>9</w:t>
      </w:r>
      <w:r>
        <w:rPr>
          <w:rFonts w:ascii="Arial" w:hAnsi="Arial" w:cs="Arial" w:eastAsia="仿宋_GB2312;仿宋"/>
          <w:sz w:val="28"/>
        </w:rPr>
        <w:t>日国务院第</w:t>
      </w:r>
      <w:r>
        <w:rPr>
          <w:rFonts w:eastAsia="仿宋_GB2312;仿宋" w:cs="Arial" w:ascii="Arial" w:hAnsi="Arial"/>
          <w:sz w:val="28"/>
        </w:rPr>
        <w:t>54</w:t>
      </w:r>
      <w:r>
        <w:rPr>
          <w:rFonts w:ascii="Arial" w:hAnsi="Arial" w:cs="Arial" w:eastAsia="仿宋_GB2312;仿宋"/>
          <w:sz w:val="28"/>
        </w:rPr>
        <w:t>次常务会议第二次修正通过，</w:t>
      </w:r>
      <w:r>
        <w:rPr>
          <w:rFonts w:eastAsia="仿宋_GB2312;仿宋" w:cs="Arial" w:ascii="Arial" w:hAnsi="Arial"/>
          <w:sz w:val="28"/>
        </w:rPr>
        <w:t>2014</w:t>
      </w:r>
      <w:r>
        <w:rPr>
          <w:rFonts w:ascii="Arial" w:hAnsi="Arial" w:cs="Arial" w:eastAsia="仿宋_GB2312;仿宋"/>
          <w:sz w:val="28"/>
        </w:rPr>
        <w:t>年</w:t>
      </w:r>
      <w:r>
        <w:rPr>
          <w:rFonts w:eastAsia="仿宋_GB2312;仿宋" w:cs="Arial" w:ascii="Arial" w:hAnsi="Arial"/>
          <w:sz w:val="28"/>
        </w:rPr>
        <w:t>7</w:t>
      </w:r>
      <w:r>
        <w:rPr>
          <w:rFonts w:ascii="Arial" w:hAnsi="Arial" w:cs="Arial" w:eastAsia="仿宋_GB2312;仿宋"/>
          <w:sz w:val="28"/>
        </w:rPr>
        <w:t>月</w:t>
      </w:r>
      <w:r>
        <w:rPr>
          <w:rFonts w:eastAsia="仿宋_GB2312;仿宋" w:cs="Arial" w:ascii="Arial" w:hAnsi="Arial"/>
          <w:sz w:val="28"/>
        </w:rPr>
        <w:t>29</w:t>
      </w:r>
      <w:r>
        <w:rPr>
          <w:rFonts w:ascii="Arial" w:hAnsi="Arial" w:cs="Arial" w:eastAsia="仿宋_GB2312;仿宋"/>
          <w:sz w:val="28"/>
        </w:rPr>
        <w:t>日中华人民共和国国务院令第</w:t>
      </w:r>
      <w:r>
        <w:rPr>
          <w:rFonts w:eastAsia="仿宋_GB2312;仿宋" w:cs="Arial" w:ascii="Arial" w:hAnsi="Arial"/>
          <w:sz w:val="28"/>
        </w:rPr>
        <w:t>653</w:t>
      </w:r>
      <w:r>
        <w:rPr>
          <w:rFonts w:ascii="Arial" w:hAnsi="Arial" w:cs="Arial" w:eastAsia="仿宋_GB2312;仿宋"/>
          <w:sz w:val="28"/>
        </w:rPr>
        <w:t>号公布，自公布之日起施行；</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4</w:t>
      </w:r>
      <w:r>
        <w:rPr>
          <w:rFonts w:ascii="Arial" w:hAnsi="Arial" w:cs="Arial" w:eastAsia="仿宋_GB2312;仿宋"/>
          <w:sz w:val="28"/>
        </w:rPr>
        <w:t>月</w:t>
      </w:r>
      <w:r>
        <w:rPr>
          <w:rFonts w:eastAsia="仿宋_GB2312;仿宋" w:cs="Arial" w:ascii="Arial" w:hAnsi="Arial"/>
          <w:sz w:val="28"/>
        </w:rPr>
        <w:t>21</w:t>
      </w:r>
      <w:r>
        <w:rPr>
          <w:rFonts w:ascii="Arial" w:hAnsi="Arial" w:cs="Arial" w:eastAsia="仿宋_GB2312;仿宋"/>
          <w:sz w:val="28"/>
        </w:rPr>
        <w:t>日国务院第</w:t>
      </w:r>
      <w:r>
        <w:rPr>
          <w:rFonts w:eastAsia="仿宋_GB2312;仿宋" w:cs="Arial" w:ascii="Arial" w:hAnsi="Arial"/>
          <w:sz w:val="28"/>
        </w:rPr>
        <w:t>132</w:t>
      </w:r>
      <w:r>
        <w:rPr>
          <w:rFonts w:ascii="Arial" w:hAnsi="Arial" w:cs="Arial" w:eastAsia="仿宋_GB2312;仿宋"/>
          <w:sz w:val="28"/>
        </w:rPr>
        <w:t>次会议第三次修订通过，</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7</w:t>
      </w:r>
      <w:r>
        <w:rPr>
          <w:rFonts w:ascii="Arial" w:hAnsi="Arial" w:cs="Arial" w:eastAsia="仿宋_GB2312;仿宋"/>
          <w:sz w:val="28"/>
        </w:rPr>
        <w:t>月</w:t>
      </w:r>
      <w:r>
        <w:rPr>
          <w:rFonts w:eastAsia="仿宋_GB2312;仿宋" w:cs="Arial" w:ascii="Arial" w:hAnsi="Arial"/>
          <w:sz w:val="28"/>
        </w:rPr>
        <w:t>2</w:t>
      </w:r>
      <w:r>
        <w:rPr>
          <w:rFonts w:ascii="Arial" w:hAnsi="Arial" w:cs="Arial" w:eastAsia="仿宋_GB2312;仿宋"/>
          <w:sz w:val="28"/>
        </w:rPr>
        <w:t>日中华人民共和国国务院令第</w:t>
      </w:r>
      <w:r>
        <w:rPr>
          <w:rFonts w:eastAsia="仿宋_GB2312;仿宋" w:cs="Arial" w:ascii="Arial" w:hAnsi="Arial"/>
          <w:sz w:val="28"/>
        </w:rPr>
        <w:t>743</w:t>
      </w:r>
      <w:r>
        <w:rPr>
          <w:rFonts w:ascii="Arial" w:hAnsi="Arial" w:cs="Arial" w:eastAsia="仿宋_GB2312;仿宋"/>
          <w:sz w:val="28"/>
        </w:rPr>
        <w:t>号公布，自</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10.</w:t>
      </w:r>
      <w:r>
        <w:rPr>
          <w:rFonts w:ascii="Arial" w:hAnsi="Arial" w:cs="Arial" w:eastAsia="仿宋_GB2312;仿宋"/>
          <w:sz w:val="28"/>
        </w:rPr>
        <w:t>《北京市人民政府关于更新出让国有建设用地使用权基准地价的通知》</w:t>
      </w:r>
      <w:r>
        <w:rPr>
          <w:rFonts w:eastAsia="仿宋_GB2312;仿宋" w:cs="Arial" w:ascii="Arial" w:hAnsi="Arial"/>
          <w:sz w:val="28"/>
        </w:rPr>
        <w:t>[</w:t>
      </w:r>
      <w:r>
        <w:rPr>
          <w:rFonts w:ascii="Arial" w:hAnsi="Arial" w:cs="Arial" w:eastAsia="仿宋_GB2312;仿宋"/>
          <w:sz w:val="28"/>
        </w:rPr>
        <w:t>京政发（</w:t>
      </w:r>
      <w:r>
        <w:rPr>
          <w:rFonts w:eastAsia="仿宋_GB2312;仿宋" w:cs="Arial" w:ascii="Arial" w:hAnsi="Arial"/>
          <w:sz w:val="28"/>
        </w:rPr>
        <w:t>2022</w:t>
      </w:r>
      <w:r>
        <w:rPr>
          <w:rFonts w:ascii="Arial" w:hAnsi="Arial" w:cs="Arial" w:eastAsia="仿宋_GB2312;仿宋"/>
          <w:sz w:val="28"/>
        </w:rPr>
        <w:t>）</w:t>
      </w:r>
      <w:r>
        <w:rPr>
          <w:rFonts w:eastAsia="仿宋_GB2312;仿宋" w:cs="Arial" w:ascii="Arial" w:hAnsi="Arial"/>
          <w:sz w:val="28"/>
        </w:rPr>
        <w:t>12</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11.</w:t>
      </w:r>
      <w:r>
        <w:rPr>
          <w:rFonts w:ascii="Arial" w:hAnsi="Arial" w:cs="Arial" w:eastAsia="仿宋_GB2312;仿宋"/>
          <w:sz w:val="28"/>
        </w:rPr>
        <w:t>《关于进一步规范土地一级开发项目管理费和利润管理的通知》</w:t>
      </w:r>
      <w:r>
        <w:rPr>
          <w:rFonts w:eastAsia="仿宋_GB2312;仿宋" w:cs="Arial" w:ascii="Arial" w:hAnsi="Arial"/>
          <w:sz w:val="28"/>
        </w:rPr>
        <w:t>[</w:t>
      </w:r>
      <w:r>
        <w:rPr>
          <w:rFonts w:ascii="Arial" w:hAnsi="Arial" w:cs="Arial" w:eastAsia="仿宋_GB2312;仿宋"/>
          <w:sz w:val="28"/>
        </w:rPr>
        <w:t>京规自发（</w:t>
      </w:r>
      <w:r>
        <w:rPr>
          <w:rFonts w:eastAsia="仿宋_GB2312;仿宋" w:cs="Arial" w:ascii="Arial" w:hAnsi="Arial"/>
          <w:sz w:val="28"/>
        </w:rPr>
        <w:t>2021</w:t>
      </w:r>
      <w:r>
        <w:rPr>
          <w:rFonts w:ascii="Arial" w:hAnsi="Arial" w:cs="Arial" w:eastAsia="仿宋_GB2312;仿宋"/>
          <w:sz w:val="28"/>
        </w:rPr>
        <w:t>）</w:t>
      </w:r>
      <w:r>
        <w:rPr>
          <w:rFonts w:eastAsia="仿宋_GB2312;仿宋" w:cs="Arial" w:ascii="Arial" w:hAnsi="Arial"/>
          <w:sz w:val="28"/>
        </w:rPr>
        <w:t>303</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rFonts w:ascii="Arial" w:hAnsi="Arial" w:cs="Arial"/>
          <w:sz w:val="28"/>
          <w:szCs w:val="28"/>
        </w:rPr>
      </w:pPr>
      <w:r>
        <w:rPr>
          <w:rFonts w:eastAsia="仿宋_GB2312;仿宋" w:cs="Arial" w:ascii="Arial" w:hAnsi="Arial"/>
          <w:sz w:val="28"/>
        </w:rPr>
        <w:t>12.</w:t>
      </w:r>
      <w:r>
        <w:rPr>
          <w:rFonts w:ascii="Arial" w:hAnsi="Arial" w:cs="Arial" w:eastAsia="仿宋_GB2312;仿宋"/>
          <w:sz w:val="28"/>
        </w:rPr>
        <w:t>《国有土地上房屋征收与补偿条例》</w:t>
      </w:r>
      <w:r>
        <w:rPr>
          <w:rFonts w:eastAsia="仿宋_GB2312;仿宋" w:cs="Arial" w:ascii="Arial" w:hAnsi="Arial"/>
          <w:sz w:val="28"/>
        </w:rPr>
        <w:t>[</w:t>
      </w:r>
      <w:r>
        <w:rPr>
          <w:rFonts w:ascii="Arial" w:hAnsi="Arial" w:cs="Arial" w:eastAsia="仿宋_GB2312;仿宋"/>
          <w:sz w:val="28"/>
        </w:rPr>
        <w:t>中华人民共和国国务院令第</w:t>
      </w:r>
      <w:r>
        <w:rPr>
          <w:rFonts w:eastAsia="仿宋_GB2312;仿宋" w:cs="Arial" w:ascii="Arial" w:hAnsi="Arial"/>
          <w:sz w:val="28"/>
        </w:rPr>
        <w:t>590</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pPr>
      <w:r>
        <w:rPr>
          <w:rFonts w:eastAsia="仿宋_GB2312;仿宋" w:cs="Arial" w:ascii="Arial" w:hAnsi="Arial"/>
          <w:sz w:val="28"/>
        </w:rPr>
        <w:t>13.</w:t>
      </w:r>
      <w:r>
        <w:rPr>
          <w:rFonts w:ascii="Arial" w:hAnsi="Arial" w:cs="Arial" w:eastAsia="仿宋_GB2312;仿宋"/>
          <w:sz w:val="28"/>
        </w:rPr>
        <w:t>关于印发《北京市国有土地上房屋征收停产停业损失补偿暂行办法》的通知</w:t>
      </w:r>
      <w:r>
        <w:rPr>
          <w:rFonts w:eastAsia="仿宋_GB2312;仿宋" w:cs="Arial" w:ascii="Arial" w:hAnsi="Arial"/>
          <w:sz w:val="28"/>
        </w:rPr>
        <w:t>[</w:t>
      </w:r>
      <w:r>
        <w:rPr>
          <w:rFonts w:ascii="Arial" w:hAnsi="Arial" w:cs="Arial" w:eastAsia="仿宋_GB2312;仿宋"/>
          <w:sz w:val="28"/>
        </w:rPr>
        <w:t>京建法（</w:t>
      </w:r>
      <w:r>
        <w:rPr>
          <w:rFonts w:eastAsia="仿宋_GB2312;仿宋" w:cs="Arial" w:ascii="Arial" w:hAnsi="Arial"/>
          <w:sz w:val="28"/>
        </w:rPr>
        <w:t>2011</w:t>
      </w:r>
      <w:r>
        <w:rPr>
          <w:rFonts w:ascii="Arial" w:hAnsi="Arial" w:cs="Arial" w:eastAsia="仿宋_GB2312;仿宋"/>
          <w:sz w:val="28"/>
        </w:rPr>
        <w:t>）</w:t>
      </w:r>
      <w:r>
        <w:rPr>
          <w:rFonts w:eastAsia="仿宋_GB2312;仿宋" w:cs="Arial" w:ascii="Arial" w:hAnsi="Arial"/>
          <w:sz w:val="28"/>
        </w:rPr>
        <w:t>18</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14.</w:t>
      </w:r>
      <w:r>
        <w:rPr>
          <w:rFonts w:ascii="Arial" w:hAnsi="Arial" w:cs="Arial" w:eastAsia="仿宋_GB2312;仿宋"/>
          <w:sz w:val="28"/>
        </w:rPr>
        <w:t>《关于国有土地上房屋征收与补偿中有关事项的通知》</w:t>
      </w:r>
      <w:r>
        <w:rPr>
          <w:rFonts w:eastAsia="仿宋_GB2312;仿宋" w:cs="Arial" w:ascii="Arial" w:hAnsi="Arial"/>
          <w:sz w:val="28"/>
        </w:rPr>
        <w:t>[</w:t>
      </w:r>
      <w:r>
        <w:rPr>
          <w:rFonts w:ascii="Arial" w:hAnsi="Arial" w:cs="Arial" w:eastAsia="仿宋_GB2312;仿宋"/>
          <w:sz w:val="28"/>
        </w:rPr>
        <w:t>京建法﹝</w:t>
      </w:r>
      <w:r>
        <w:rPr>
          <w:rFonts w:eastAsia="仿宋_GB2312;仿宋" w:cs="Arial" w:ascii="Arial" w:hAnsi="Arial"/>
          <w:sz w:val="28"/>
        </w:rPr>
        <w:t>2012﹞19</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rFonts w:ascii="Arial" w:hAnsi="Arial" w:eastAsia="仿宋_GB2312;仿宋" w:cs="Arial"/>
          <w:color w:val="E36C0A"/>
          <w:sz w:val="28"/>
        </w:rPr>
      </w:pPr>
      <w:r>
        <w:rPr>
          <w:rFonts w:eastAsia="仿宋_GB2312;仿宋" w:cs="Arial" w:ascii="Arial" w:hAnsi="Arial"/>
          <w:sz w:val="28"/>
        </w:rPr>
        <w:t>15</w:t>
      </w:r>
      <w:r>
        <w:rPr>
          <w:rFonts w:eastAsia="仿宋_GB2312;仿宋" w:cs="Arial" w:ascii="Arial" w:hAnsi="Arial"/>
          <w:sz w:val="28"/>
        </w:rPr>
        <w:t>.</w:t>
      </w:r>
      <w:r>
        <w:rPr>
          <w:rFonts w:ascii="Arial" w:hAnsi="Arial" w:cs="Arial" w:eastAsia="仿宋_GB2312;仿宋"/>
          <w:sz w:val="28"/>
        </w:rPr>
        <w:t>《自然资源部办公厅关于印发</w:t>
      </w:r>
      <w:r>
        <w:rPr>
          <w:rFonts w:ascii="仿宋" w:hAnsi="仿宋" w:cs="Arial" w:eastAsia="仿宋"/>
          <w:sz w:val="28"/>
        </w:rPr>
        <w:t>〈</w:t>
      </w:r>
      <w:r>
        <w:rPr>
          <w:rFonts w:ascii="Arial" w:hAnsi="Arial" w:cs="Arial" w:eastAsia="仿宋_GB2312;仿宋"/>
          <w:sz w:val="28"/>
        </w:rPr>
        <w:t>国土空间调查、规划、用途管制用地用海分类指南（试行）</w:t>
      </w:r>
      <w:r>
        <w:rPr>
          <w:rFonts w:ascii="仿宋" w:hAnsi="仿宋" w:cs="Arial" w:eastAsia="仿宋"/>
          <w:sz w:val="28"/>
        </w:rPr>
        <w:t>〉</w:t>
      </w:r>
      <w:r>
        <w:rPr>
          <w:rFonts w:ascii="Arial" w:hAnsi="Arial" w:cs="Arial" w:eastAsia="仿宋_GB2312;仿宋"/>
          <w:sz w:val="28"/>
        </w:rPr>
        <w:t>的通知》</w:t>
      </w:r>
      <w:r>
        <w:rPr>
          <w:rFonts w:eastAsia="仿宋_GB2312;仿宋" w:cs="Arial" w:ascii="Arial" w:hAnsi="Arial"/>
          <w:sz w:val="28"/>
        </w:rPr>
        <w:t>[</w:t>
      </w:r>
      <w:r>
        <w:rPr>
          <w:rFonts w:ascii="Arial" w:hAnsi="Arial" w:cs="Arial" w:eastAsia="仿宋_GB2312;仿宋"/>
          <w:sz w:val="28"/>
        </w:rPr>
        <w:t>自然资办发〔</w:t>
      </w:r>
      <w:r>
        <w:rPr>
          <w:rFonts w:eastAsia="仿宋_GB2312;仿宋" w:cs="Arial" w:ascii="Arial" w:hAnsi="Arial"/>
          <w:sz w:val="28"/>
        </w:rPr>
        <w:t>2020</w:t>
      </w:r>
      <w:r>
        <w:rPr>
          <w:rFonts w:ascii="Arial" w:hAnsi="Arial" w:cs="Arial" w:eastAsia="仿宋_GB2312;仿宋"/>
          <w:sz w:val="28"/>
        </w:rPr>
        <w:t>〕</w:t>
      </w:r>
      <w:r>
        <w:rPr>
          <w:rFonts w:eastAsia="仿宋_GB2312;仿宋" w:cs="Arial" w:ascii="Arial" w:hAnsi="Arial"/>
          <w:sz w:val="28"/>
        </w:rPr>
        <w:t>51</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16</w:t>
      </w:r>
      <w:r>
        <w:rPr>
          <w:rFonts w:eastAsia="仿宋_GB2312;仿宋" w:cs="Arial" w:ascii="Arial" w:hAnsi="Arial"/>
          <w:sz w:val="28"/>
        </w:rPr>
        <w:t>.</w:t>
      </w:r>
      <w:r>
        <w:rPr>
          <w:rFonts w:ascii="Arial" w:hAnsi="Arial" w:cs="Arial" w:eastAsia="仿宋_GB2312;仿宋"/>
          <w:sz w:val="28"/>
        </w:rPr>
        <w:t>《北京市国土空间调查、规划、用途管制用地分类指南（试行）》</w:t>
      </w:r>
    </w:p>
    <w:p>
      <w:pPr>
        <w:pStyle w:val="Normal"/>
        <w:spacing w:lineRule="auto" w:line="360"/>
        <w:jc w:val="both"/>
        <w:rPr>
          <w:rFonts w:ascii="Arial" w:hAnsi="Arial" w:eastAsia="仿宋_GB2312;仿宋" w:cs="Arial"/>
          <w:sz w:val="28"/>
        </w:rPr>
      </w:pPr>
      <w:r>
        <w:rPr>
          <w:rFonts w:ascii="Arial" w:hAnsi="Arial" w:cs="Arial" w:eastAsia="仿宋_GB2312;仿宋"/>
          <w:sz w:val="28"/>
        </w:rPr>
        <w:t>（二）采用的技术标准</w:t>
      </w:r>
    </w:p>
    <w:p>
      <w:pPr>
        <w:pStyle w:val="Normal"/>
        <w:spacing w:lineRule="auto" w:line="360"/>
        <w:ind w:firstLine="560"/>
        <w:jc w:val="both"/>
        <w:rPr/>
      </w:pPr>
      <w:r>
        <w:rPr>
          <w:rFonts w:eastAsia="仿宋_GB2312;仿宋" w:cs="Arial" w:ascii="Arial" w:hAnsi="Arial"/>
          <w:sz w:val="28"/>
        </w:rPr>
        <w:t>1.</w:t>
      </w:r>
      <w:r>
        <w:rPr>
          <w:rFonts w:ascii="Arial" w:hAnsi="Arial" w:cs="Arial" w:eastAsia="仿宋_GB2312;仿宋"/>
          <w:sz w:val="28"/>
        </w:rPr>
        <w:t>《城镇土地</w:t>
      </w:r>
      <w:r>
        <w:rPr>
          <w:rFonts w:ascii="Arial" w:hAnsi="Arial" w:cs="Arial" w:eastAsia="仿宋_GB2312;仿宋"/>
          <w:sz w:val="28"/>
        </w:rPr>
        <w:t>估价</w:t>
      </w:r>
      <w:r>
        <w:rPr>
          <w:rFonts w:ascii="Arial" w:hAnsi="Arial" w:cs="Arial" w:eastAsia="仿宋_GB2312;仿宋"/>
          <w:sz w:val="28"/>
        </w:rPr>
        <w:t>规程》</w:t>
      </w:r>
      <w:r>
        <w:rPr>
          <w:rFonts w:eastAsia="仿宋_GB2312;仿宋" w:cs="Arial" w:ascii="Arial" w:hAnsi="Arial"/>
          <w:sz w:val="28"/>
        </w:rPr>
        <w:t>[GB/T 18508-2014]</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2.</w:t>
      </w:r>
      <w:r>
        <w:rPr>
          <w:rFonts w:ascii="Arial" w:hAnsi="Arial" w:cs="Arial" w:eastAsia="仿宋_GB2312;仿宋"/>
          <w:sz w:val="28"/>
        </w:rPr>
        <w:t>《城镇土地分等定级规程》</w:t>
      </w:r>
      <w:hyperlink r:id="rId31" w:tgtFrame="_blank">
        <w:r>
          <w:rPr>
            <w:rStyle w:val="Internet"/>
            <w:rFonts w:eastAsia="仿宋_GB2312;仿宋" w:cs="Arial" w:ascii="Arial" w:hAnsi="Arial"/>
            <w:sz w:val="28"/>
          </w:rPr>
          <w:t>[GB/T 18507-2014]</w:t>
        </w:r>
      </w:hyperlink>
    </w:p>
    <w:p>
      <w:pPr>
        <w:pStyle w:val="Normal"/>
        <w:spacing w:lineRule="auto" w:line="360"/>
        <w:ind w:firstLine="560"/>
        <w:jc w:val="both"/>
        <w:rPr/>
      </w:pPr>
      <w:r>
        <w:rPr>
          <w:rFonts w:eastAsia="仿宋_GB2312;仿宋" w:cs="Arial" w:ascii="Arial" w:hAnsi="Arial"/>
          <w:sz w:val="28"/>
        </w:rPr>
        <w:t>3.</w:t>
      </w:r>
      <w:r>
        <w:rPr>
          <w:rFonts w:ascii="Arial" w:hAnsi="Arial" w:cs="Arial" w:eastAsia="仿宋_GB2312;仿宋"/>
          <w:sz w:val="28"/>
        </w:rPr>
        <w:t>《土地利用现状分类》</w:t>
      </w:r>
      <w:r>
        <w:rPr>
          <w:rFonts w:eastAsia="仿宋_GB2312;仿宋" w:cs="Arial" w:ascii="Arial" w:hAnsi="Arial"/>
          <w:sz w:val="28"/>
        </w:rPr>
        <w:t>[GB/T 21010-2017]</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4.</w:t>
      </w:r>
      <w:r>
        <w:rPr>
          <w:rFonts w:ascii="Arial" w:hAnsi="Arial" w:cs="Arial" w:eastAsia="仿宋_GB2312;仿宋"/>
          <w:sz w:val="28"/>
        </w:rPr>
        <w:t>《城市用地分类与规划建设用地标准》</w:t>
      </w:r>
      <w:r>
        <w:rPr>
          <w:rFonts w:eastAsia="仿宋_GB2312;仿宋" w:cs="Arial" w:ascii="Arial" w:hAnsi="Arial"/>
          <w:sz w:val="28"/>
        </w:rPr>
        <w:t>[GB50137-2011]</w:t>
      </w:r>
    </w:p>
    <w:p>
      <w:pPr>
        <w:pStyle w:val="Normal"/>
        <w:spacing w:lineRule="auto" w:line="360"/>
        <w:ind w:firstLine="560"/>
        <w:jc w:val="both"/>
        <w:rPr/>
      </w:pPr>
      <w:r>
        <w:rPr>
          <w:rFonts w:eastAsia="仿宋_GB2312;仿宋" w:cs="Arial" w:ascii="Arial" w:hAnsi="Arial"/>
          <w:sz w:val="28"/>
        </w:rPr>
        <w:t>5.</w:t>
      </w:r>
      <w:r>
        <w:rPr>
          <w:rFonts w:ascii="Arial" w:hAnsi="Arial" w:cs="Arial" w:eastAsia="仿宋_GB2312;仿宋"/>
          <w:sz w:val="28"/>
        </w:rPr>
        <w:t>《自然资源分等定级通则》（</w:t>
      </w:r>
      <w:r>
        <w:rPr>
          <w:rFonts w:eastAsia="仿宋_GB2312;仿宋" w:cs="Arial" w:ascii="Arial" w:hAnsi="Arial"/>
          <w:sz w:val="28"/>
        </w:rPr>
        <w:t>TD/T 1060-2021</w:t>
      </w:r>
      <w:r>
        <w:rPr>
          <w:rFonts w:ascii="Arial" w:hAnsi="Arial" w:cs="Arial" w:eastAsia="仿宋_GB2312;仿宋"/>
          <w:sz w:val="28"/>
        </w:rPr>
        <w:t>）</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6.</w:t>
      </w:r>
      <w:r>
        <w:rPr>
          <w:rFonts w:ascii="Arial" w:hAnsi="Arial" w:cs="Arial" w:eastAsia="仿宋_GB2312;仿宋"/>
          <w:sz w:val="28"/>
        </w:rPr>
        <w:t>《自然资源价格评估通则》（</w:t>
      </w:r>
      <w:r>
        <w:rPr>
          <w:rFonts w:eastAsia="仿宋_GB2312;仿宋" w:cs="Arial" w:ascii="Arial" w:hAnsi="Arial"/>
          <w:sz w:val="28"/>
        </w:rPr>
        <w:t>TD/T 1061-2021</w:t>
      </w:r>
      <w:r>
        <w:rPr>
          <w:rFonts w:ascii="Arial" w:hAnsi="Arial" w:cs="Arial" w:eastAsia="仿宋_GB2312;仿宋"/>
          <w:sz w:val="28"/>
        </w:rPr>
        <w:t>）</w:t>
      </w:r>
    </w:p>
    <w:p>
      <w:pPr>
        <w:pStyle w:val="Normal"/>
        <w:spacing w:lineRule="auto" w:line="360"/>
        <w:ind w:firstLine="560"/>
        <w:jc w:val="both"/>
        <w:rPr/>
      </w:pPr>
      <w:r>
        <w:rPr>
          <w:rFonts w:eastAsia="仿宋_GB2312;仿宋" w:cs="Arial" w:ascii="Arial" w:hAnsi="Arial"/>
          <w:sz w:val="28"/>
        </w:rPr>
        <w:t>7</w:t>
      </w:r>
      <w:r>
        <w:rPr>
          <w:rFonts w:eastAsia="仿宋_GB2312;仿宋" w:cs="Arial" w:ascii="Arial" w:hAnsi="Arial"/>
          <w:sz w:val="28"/>
        </w:rPr>
        <w:t>.</w:t>
      </w:r>
      <w:r>
        <w:rPr>
          <w:rFonts w:ascii="Arial" w:hAnsi="Arial" w:cs="Arial" w:eastAsia="仿宋_GB2312;仿宋"/>
          <w:sz w:val="28"/>
        </w:rPr>
        <w:t>《房地产估价规范》</w:t>
      </w:r>
      <w:r>
        <w:rPr>
          <w:rFonts w:eastAsia="仿宋_GB2312;仿宋" w:cs="Arial" w:ascii="Arial" w:hAnsi="Arial"/>
          <w:sz w:val="28"/>
        </w:rPr>
        <w:t>[GB/T 50291-2015]</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8.</w:t>
      </w:r>
      <w:r>
        <w:rPr>
          <w:rFonts w:ascii="Arial" w:hAnsi="Arial" w:cs="Arial" w:eastAsia="仿宋_GB2312;仿宋"/>
          <w:sz w:val="28"/>
        </w:rPr>
        <w:t>《关于发布</w:t>
      </w:r>
      <w:r>
        <w:rPr>
          <w:rFonts w:eastAsia="仿宋_GB2312;仿宋" w:cs="Arial" w:ascii="Arial" w:hAnsi="Arial"/>
          <w:sz w:val="28"/>
        </w:rPr>
        <w:t>&lt;</w:t>
      </w:r>
      <w:r>
        <w:rPr>
          <w:rFonts w:ascii="Arial" w:hAnsi="Arial" w:cs="Arial" w:eastAsia="仿宋_GB2312;仿宋"/>
          <w:sz w:val="28"/>
        </w:rPr>
        <w:t>北京市企业国有建设用地使用权收购补偿价格评估技术指引</w:t>
      </w:r>
      <w:r>
        <w:rPr>
          <w:rFonts w:eastAsia="仿宋_GB2312;仿宋" w:cs="Arial" w:ascii="Arial" w:hAnsi="Arial"/>
          <w:sz w:val="28"/>
        </w:rPr>
        <w:t>&gt;</w:t>
      </w:r>
      <w:r>
        <w:rPr>
          <w:rFonts w:ascii="Arial" w:hAnsi="Arial" w:cs="Arial" w:eastAsia="仿宋_GB2312;仿宋"/>
          <w:sz w:val="28"/>
        </w:rPr>
        <w:t>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2018</w:t>
      </w:r>
      <w:r>
        <w:rPr>
          <w:rFonts w:ascii="Arial" w:hAnsi="Arial" w:cs="Arial" w:eastAsia="仿宋_GB2312;仿宋"/>
          <w:sz w:val="28"/>
        </w:rPr>
        <w:t>）</w:t>
      </w:r>
      <w:r>
        <w:rPr>
          <w:rFonts w:eastAsia="仿宋_GB2312;仿宋" w:cs="Arial" w:ascii="Arial" w:hAnsi="Arial"/>
          <w:sz w:val="28"/>
        </w:rPr>
        <w:t>004</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9.</w:t>
      </w:r>
      <w:r>
        <w:rPr>
          <w:rFonts w:ascii="Arial" w:hAnsi="Arial" w:cs="Arial" w:eastAsia="仿宋_GB2312;仿宋"/>
          <w:sz w:val="28"/>
        </w:rPr>
        <w:t>《北京市企业国有建设用地使用权收购补偿价格评估技术指引》应用有关说明的通知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2021</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pPr>
      <w:r>
        <w:rPr>
          <w:rFonts w:eastAsia="仿宋_GB2312;仿宋" w:cs="Arial" w:ascii="Arial" w:hAnsi="Arial"/>
          <w:sz w:val="28"/>
        </w:rPr>
        <w:t>10.</w:t>
      </w:r>
      <w:r>
        <w:rPr>
          <w:rFonts w:ascii="Arial" w:hAnsi="Arial" w:cs="Arial" w:eastAsia="仿宋_GB2312;仿宋"/>
          <w:sz w:val="28"/>
        </w:rPr>
        <w:t>《北京市房屋重置成新价评估技术标准》</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2016</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11.</w:t>
      </w:r>
      <w:r>
        <w:rPr>
          <w:rFonts w:ascii="Arial" w:hAnsi="Arial" w:cs="Arial" w:eastAsia="仿宋_GB2312;仿宋"/>
          <w:sz w:val="28"/>
        </w:rPr>
        <w:t>《关于调整</w:t>
      </w:r>
      <w:r>
        <w:rPr>
          <w:rFonts w:ascii="仿宋" w:hAnsi="仿宋" w:cs="Arial" w:eastAsia="仿宋"/>
          <w:sz w:val="28"/>
        </w:rPr>
        <w:t>〈</w:t>
      </w:r>
      <w:r>
        <w:rPr>
          <w:rFonts w:ascii="Arial" w:hAnsi="Arial" w:cs="Arial" w:eastAsia="仿宋_GB2312;仿宋"/>
          <w:sz w:val="28"/>
        </w:rPr>
        <w:t>北京市房屋重置成新价评估技术标准</w:t>
      </w:r>
      <w:r>
        <w:rPr>
          <w:rFonts w:ascii="仿宋" w:hAnsi="仿宋" w:cs="Arial" w:eastAsia="仿宋"/>
          <w:sz w:val="28"/>
        </w:rPr>
        <w:t>〉</w:t>
      </w:r>
      <w:r>
        <w:rPr>
          <w:rFonts w:ascii="Arial" w:hAnsi="Arial" w:cs="Arial" w:eastAsia="仿宋_GB2312;仿宋"/>
          <w:sz w:val="28"/>
        </w:rPr>
        <w:t>相关系数的通知》（</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10</w:t>
      </w:r>
      <w:r>
        <w:rPr>
          <w:rFonts w:ascii="Arial" w:hAnsi="Arial" w:cs="Arial" w:eastAsia="仿宋_GB2312;仿宋"/>
          <w:sz w:val="28"/>
        </w:rPr>
        <w:t>日发布）</w:t>
      </w:r>
    </w:p>
    <w:p>
      <w:pPr>
        <w:pStyle w:val="Normal"/>
        <w:spacing w:lineRule="auto" w:line="360"/>
        <w:ind w:firstLine="560"/>
        <w:jc w:val="both"/>
        <w:rPr>
          <w:rFonts w:ascii="Arial" w:hAnsi="Arial" w:eastAsia="仿宋_GB2312;仿宋" w:cs="Arial"/>
          <w:sz w:val="28"/>
        </w:rPr>
      </w:pPr>
      <w:r>
        <w:rPr>
          <w:rFonts w:cs="Arial" w:ascii="Arial" w:hAnsi="Arial"/>
          <w:sz w:val="28"/>
        </w:rPr>
        <w:t>12.</w:t>
      </w:r>
      <w:r>
        <w:rPr>
          <w:rFonts w:ascii="Arial" w:hAnsi="Arial" w:cs="Arial" w:eastAsia="仿宋_GB2312;仿宋"/>
          <w:sz w:val="28"/>
        </w:rPr>
        <w:t>自然资源部办公厅关于印发《划拨国有建设用地使用权地价评估指导意见（试行）》的通知</w:t>
      </w:r>
      <w:r>
        <w:rPr>
          <w:rFonts w:eastAsia="仿宋_GB2312;仿宋" w:cs="Arial" w:ascii="Arial" w:hAnsi="Arial"/>
          <w:sz w:val="28"/>
        </w:rPr>
        <w:t>[</w:t>
      </w:r>
      <w:r>
        <w:rPr>
          <w:rFonts w:ascii="Arial" w:hAnsi="Arial" w:cs="Arial" w:eastAsia="仿宋_GB2312;仿宋"/>
          <w:sz w:val="28"/>
        </w:rPr>
        <w:t>自然资办函〔</w:t>
      </w:r>
      <w:r>
        <w:rPr>
          <w:rFonts w:eastAsia="仿宋_GB2312;仿宋" w:cs="Arial" w:ascii="Arial" w:hAnsi="Arial"/>
          <w:sz w:val="28"/>
        </w:rPr>
        <w:t>2019</w:t>
      </w:r>
      <w:r>
        <w:rPr>
          <w:rFonts w:ascii="Arial" w:hAnsi="Arial" w:cs="Arial" w:eastAsia="仿宋_GB2312;仿宋"/>
          <w:sz w:val="28"/>
        </w:rPr>
        <w:t>〕</w:t>
      </w:r>
      <w:r>
        <w:rPr>
          <w:rFonts w:eastAsia="仿宋_GB2312;仿宋" w:cs="Arial" w:ascii="Arial" w:hAnsi="Arial"/>
          <w:sz w:val="28"/>
        </w:rPr>
        <w:t>922</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w:t>
      </w:r>
      <w:r>
        <w:rPr>
          <w:rFonts w:eastAsia="仿宋_GB2312;仿宋" w:cs="Arial" w:ascii="Arial" w:hAnsi="Arial"/>
          <w:sz w:val="28"/>
        </w:rPr>
        <w:t>3.</w:t>
      </w:r>
      <w:r>
        <w:rPr>
          <w:rFonts w:ascii="Arial" w:hAnsi="Arial" w:cs="Arial" w:eastAsia="仿宋_GB2312;仿宋"/>
          <w:sz w:val="28"/>
        </w:rPr>
        <w:t>《北京市国有建设用地使用权出让地价评估技术导则（试行）》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w:t>
      </w:r>
      <w:r>
        <w:rPr>
          <w:rFonts w:eastAsia="仿宋_GB2312;仿宋" w:cs="Arial" w:ascii="Arial" w:hAnsi="Arial"/>
          <w:sz w:val="28"/>
        </w:rPr>
        <w:t>4.</w:t>
      </w:r>
      <w:r>
        <w:rPr>
          <w:rFonts w:ascii="Arial" w:hAnsi="Arial" w:cs="Arial" w:eastAsia="仿宋_GB2312;仿宋"/>
          <w:sz w:val="28"/>
        </w:rPr>
        <w:t>《北京市协议出让涉及的划拨地价评估技术指引（试行）》的通知（北估秘</w:t>
      </w:r>
      <w:r>
        <w:rPr>
          <w:rFonts w:eastAsia="仿宋_GB2312;仿宋" w:cs="Arial" w:ascii="Arial" w:hAnsi="Arial"/>
          <w:sz w:val="28"/>
        </w:rPr>
        <w:t>[2022]002</w:t>
      </w:r>
      <w:r>
        <w:rPr>
          <w:rFonts w:ascii="Arial" w:hAnsi="Arial" w:cs="Arial" w:eastAsia="仿宋_GB2312;仿宋"/>
          <w:sz w:val="28"/>
        </w:rPr>
        <w:t>号）</w:t>
      </w:r>
    </w:p>
    <w:p>
      <w:pPr>
        <w:pStyle w:val="Normal"/>
        <w:spacing w:lineRule="auto" w:line="360"/>
        <w:jc w:val="both"/>
        <w:rPr/>
      </w:pPr>
      <w:r>
        <w:rPr>
          <w:rFonts w:ascii="Arial" w:hAnsi="Arial" w:cs="Arial" w:eastAsia="仿宋_GB2312;仿宋"/>
          <w:sz w:val="28"/>
          <w:szCs w:val="18"/>
        </w:rPr>
        <w:t>（三）</w:t>
      </w:r>
      <w:r>
        <w:rPr>
          <w:rFonts w:ascii="Arial" w:hAnsi="Arial" w:cs="Arial" w:eastAsia="Arial"/>
          <w:sz w:val="28"/>
          <w:szCs w:val="18"/>
        </w:rPr>
        <w:t xml:space="preserve"> </w:t>
      </w:r>
      <w:r>
        <w:rPr>
          <w:rFonts w:ascii="Arial" w:hAnsi="Arial" w:cs="Arial" w:eastAsia="仿宋_GB2312;仿宋"/>
          <w:sz w:val="28"/>
          <w:szCs w:val="18"/>
        </w:rPr>
        <w:t>委托估价方提供的资料</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w:t>
      </w:r>
      <w:r>
        <w:rPr>
          <w:rFonts w:eastAsia="仿宋_GB2312;仿宋" w:cs="Arial" w:ascii="Arial" w:hAnsi="Arial"/>
          <w:sz w:val="28"/>
        </w:rPr>
        <w:t>.</w:t>
      </w:r>
      <w:r>
        <w:rPr>
          <w:rFonts w:ascii="Arial" w:hAnsi="Arial" w:cs="Arial" w:eastAsia="仿宋_GB2312;仿宋"/>
          <w:sz w:val="28"/>
        </w:rPr>
        <w:t>《国有建设用地使用权收购补偿价格委托估价函》复印件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2.</w:t>
      </w:r>
      <w:r>
        <w:rPr>
          <w:rFonts w:ascii="Arial" w:hAnsi="Arial" w:cs="Arial" w:eastAsia="仿宋_GB2312;仿宋"/>
          <w:sz w:val="28"/>
        </w:rPr>
        <w:t>《国有土地使用证》</w:t>
      </w:r>
      <w:r>
        <w:rPr>
          <w:rFonts w:eastAsia="仿宋_GB2312;仿宋" w:cs="Arial" w:ascii="Arial" w:hAnsi="Arial"/>
          <w:sz w:val="28"/>
        </w:rPr>
        <w:t>[</w:t>
      </w:r>
      <w:r>
        <w:rPr>
          <w:rFonts w:ascii="Arial" w:hAnsi="Arial" w:cs="Arial" w:eastAsia="仿宋_GB2312;仿宋"/>
          <w:sz w:val="28"/>
        </w:rPr>
        <w:t>京海国用（</w:t>
      </w:r>
      <w:r>
        <w:rPr>
          <w:rFonts w:eastAsia="仿宋_GB2312;仿宋" w:cs="Arial" w:ascii="Arial" w:hAnsi="Arial"/>
          <w:sz w:val="28"/>
        </w:rPr>
        <w:t>2004</w:t>
      </w:r>
      <w:r>
        <w:rPr>
          <w:rFonts w:ascii="Arial" w:hAnsi="Arial" w:cs="Arial" w:eastAsia="仿宋_GB2312;仿宋"/>
          <w:sz w:val="28"/>
        </w:rPr>
        <w:t>划）字第</w:t>
      </w:r>
      <w:r>
        <w:rPr>
          <w:rFonts w:eastAsia="仿宋_GB2312;仿宋" w:cs="Arial" w:ascii="Arial" w:hAnsi="Arial"/>
          <w:sz w:val="28"/>
        </w:rPr>
        <w:t>2880</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3.</w:t>
      </w:r>
      <w:r>
        <w:rPr>
          <w:rFonts w:ascii="Arial" w:hAnsi="Arial" w:cs="Arial" w:eastAsia="仿宋_GB2312;仿宋"/>
          <w:sz w:val="28"/>
        </w:rPr>
        <w:t>《房屋所有权证》</w:t>
      </w:r>
      <w:r>
        <w:rPr>
          <w:rFonts w:eastAsia="仿宋_GB2312;仿宋" w:cs="Arial" w:ascii="Arial" w:hAnsi="Arial"/>
          <w:sz w:val="28"/>
        </w:rPr>
        <w:t>[</w:t>
      </w:r>
      <w:r>
        <w:rPr>
          <w:rFonts w:ascii="Arial" w:hAnsi="Arial" w:cs="Arial" w:eastAsia="仿宋_GB2312;仿宋"/>
          <w:sz w:val="28"/>
        </w:rPr>
        <w:t>海全字第</w:t>
      </w:r>
      <w:r>
        <w:rPr>
          <w:rFonts w:eastAsia="仿宋_GB2312;仿宋" w:cs="Arial" w:ascii="Arial" w:hAnsi="Arial"/>
          <w:sz w:val="28"/>
        </w:rPr>
        <w:t>01614</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4.</w:t>
      </w:r>
      <w:r>
        <w:rPr>
          <w:rFonts w:ascii="Arial" w:hAnsi="Arial" w:cs="Arial" w:eastAsia="仿宋_GB2312;仿宋"/>
          <w:sz w:val="28"/>
        </w:rPr>
        <w:t>《土地权属审查告知书》</w:t>
      </w:r>
      <w:r>
        <w:rPr>
          <w:rFonts w:eastAsia="仿宋_GB2312;仿宋" w:cs="Arial" w:ascii="Arial" w:hAnsi="Arial"/>
          <w:sz w:val="28"/>
        </w:rPr>
        <w:t>[</w:t>
      </w:r>
      <w:r>
        <w:rPr>
          <w:rFonts w:ascii="Arial" w:hAnsi="Arial" w:cs="Arial" w:eastAsia="仿宋_GB2312;仿宋"/>
          <w:sz w:val="28"/>
        </w:rPr>
        <w:t>编号：海权属审（</w:t>
      </w:r>
      <w:r>
        <w:rPr>
          <w:rFonts w:eastAsia="仿宋_GB2312;仿宋" w:cs="Arial" w:ascii="Arial" w:hAnsi="Arial"/>
          <w:sz w:val="28"/>
        </w:rPr>
        <w:t>2020</w:t>
      </w:r>
      <w:r>
        <w:rPr>
          <w:rFonts w:ascii="Arial" w:hAnsi="Arial" w:cs="Arial" w:eastAsia="仿宋_GB2312;仿宋"/>
          <w:sz w:val="28"/>
        </w:rPr>
        <w:t>）字第</w:t>
      </w:r>
      <w:r>
        <w:rPr>
          <w:rFonts w:eastAsia="仿宋_GB2312;仿宋" w:cs="Arial" w:ascii="Arial" w:hAnsi="Arial"/>
          <w:sz w:val="28"/>
        </w:rPr>
        <w:t>1172</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5.</w:t>
      </w:r>
      <w:r>
        <w:rPr>
          <w:rFonts w:ascii="Arial" w:hAnsi="Arial" w:cs="Arial" w:eastAsia="仿宋_GB2312;仿宋"/>
          <w:sz w:val="28"/>
        </w:rPr>
        <w:t>《关于西三旗建材城中路</w:t>
      </w:r>
      <w:r>
        <w:rPr>
          <w:rFonts w:eastAsia="仿宋_GB2312;仿宋" w:cs="Arial" w:ascii="Arial" w:hAnsi="Arial"/>
          <w:sz w:val="28"/>
        </w:rPr>
        <w:t>2</w:t>
      </w:r>
      <w:r>
        <w:rPr>
          <w:rFonts w:ascii="Arial" w:hAnsi="Arial" w:cs="Arial" w:eastAsia="仿宋_GB2312;仿宋"/>
          <w:sz w:val="28"/>
        </w:rPr>
        <w:t>号地块收储情况说明》</w:t>
      </w:r>
      <w:r>
        <w:rPr>
          <w:rFonts w:ascii="Arial" w:hAnsi="Arial" w:cs="Arial" w:eastAsia="仿宋_GB2312;仿宋"/>
          <w:sz w:val="28"/>
        </w:rPr>
        <w:t>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6</w:t>
      </w:r>
      <w:r>
        <w:rPr>
          <w:rFonts w:eastAsia="仿宋_GB2312;仿宋" w:cs="Arial" w:ascii="Arial" w:hAnsi="Arial"/>
          <w:sz w:val="28"/>
        </w:rPr>
        <w:t>.</w:t>
      </w:r>
      <w:r>
        <w:rPr>
          <w:rFonts w:ascii="Arial" w:hAnsi="Arial" w:cs="Arial" w:eastAsia="仿宋_GB2312;仿宋"/>
          <w:sz w:val="28"/>
        </w:rPr>
        <w:t>《海淀区北京五星青岛啤酒有限公司用地项目地形及地上物测绘技术报告书》</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7</w:t>
      </w:r>
      <w:r>
        <w:rPr>
          <w:rFonts w:eastAsia="仿宋_GB2312;仿宋" w:cs="Arial" w:ascii="Arial" w:hAnsi="Arial"/>
          <w:sz w:val="28"/>
        </w:rPr>
        <w:t>.</w:t>
      </w:r>
      <w:r>
        <w:rPr>
          <w:rFonts w:ascii="Arial" w:hAnsi="Arial" w:cs="Arial" w:eastAsia="仿宋_GB2312;仿宋"/>
          <w:sz w:val="28"/>
        </w:rPr>
        <w:t>《名称变更通知》</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8.</w:t>
      </w:r>
      <w:r>
        <w:rPr>
          <w:rFonts w:ascii="Arial" w:hAnsi="Arial" w:cs="Arial" w:eastAsia="仿宋_GB2312;仿宋"/>
          <w:sz w:val="28"/>
        </w:rPr>
        <w:t>不动产权利人《营业执照（副本）》复印件</w:t>
      </w:r>
    </w:p>
    <w:p>
      <w:pPr>
        <w:pStyle w:val="Normal"/>
        <w:spacing w:lineRule="auto" w:line="360"/>
        <w:jc w:val="both"/>
        <w:rPr/>
      </w:pPr>
      <w:r>
        <w:rPr>
          <w:rFonts w:ascii="Arial" w:hAnsi="Arial" w:cs="Arial" w:eastAsia="仿宋_GB2312;仿宋"/>
          <w:sz w:val="28"/>
          <w:szCs w:val="18"/>
        </w:rPr>
        <w:t>（四）受托估价方掌握的有关资料和评估专业人员实地勘察、调查所获取的资料实地勘查</w:t>
      </w:r>
      <w:r>
        <w:rPr>
          <w:rFonts w:ascii="Arial" w:hAnsi="Arial" w:cs="Arial" w:eastAsia="仿宋_GB2312;仿宋"/>
          <w:sz w:val="28"/>
        </w:rPr>
        <w:t>的有关资料</w:t>
      </w:r>
    </w:p>
    <w:p>
      <w:pPr>
        <w:pStyle w:val="Normal"/>
        <w:spacing w:lineRule="auto" w:line="360"/>
        <w:jc w:val="both"/>
        <w:rPr>
          <w:rFonts w:ascii="Arial" w:hAnsi="Arial" w:eastAsia="仿宋_GB2312;仿宋" w:cs="Arial"/>
          <w:sz w:val="28"/>
        </w:rPr>
      </w:pPr>
      <w:r>
        <w:rPr>
          <w:rFonts w:eastAsia="仿宋_GB2312;仿宋" w:cs="Arial" w:ascii="Arial" w:hAnsi="Arial"/>
          <w:sz w:val="28"/>
        </w:rPr>
      </w:r>
    </w:p>
    <w:p>
      <w:pPr>
        <w:pStyle w:val="Normal"/>
        <w:numPr>
          <w:ilvl w:val="0"/>
          <w:numId w:val="0"/>
        </w:numPr>
        <w:spacing w:lineRule="auto" w:line="360"/>
        <w:outlineLvl w:val="1"/>
        <w:rPr>
          <w:rFonts w:ascii="Arial" w:hAnsi="Arial" w:eastAsia="仿宋_GB2312;仿宋" w:cs="Arial"/>
          <w:b/>
          <w:b/>
          <w:sz w:val="28"/>
        </w:rPr>
      </w:pPr>
      <w:bookmarkStart w:id="25" w:name="__RefHeading___Toc469066146"/>
      <w:r>
        <w:rPr>
          <w:rFonts w:ascii="Arial" w:hAnsi="Arial" w:cs="Arial" w:eastAsia="仿宋_GB2312;仿宋"/>
          <w:b/>
          <w:sz w:val="28"/>
        </w:rPr>
        <w:t>二、</w:t>
      </w:r>
      <w:bookmarkEnd w:id="25"/>
      <w:r>
        <w:rPr>
          <w:rFonts w:ascii="Arial" w:hAnsi="Arial" w:cs="Arial" w:eastAsia="仿宋_GB2312;仿宋"/>
          <w:b/>
          <w:sz w:val="28"/>
        </w:rPr>
        <w:t>土地估价</w:t>
      </w:r>
    </w:p>
    <w:p>
      <w:pPr>
        <w:pStyle w:val="Normal"/>
        <w:spacing w:lineRule="auto" w:line="360"/>
        <w:jc w:val="both"/>
        <w:rPr>
          <w:rFonts w:ascii="Arial" w:hAnsi="Arial" w:eastAsia="仿宋_GB2312;仿宋" w:cs="Arial"/>
          <w:sz w:val="28"/>
        </w:rPr>
      </w:pPr>
      <w:r>
        <w:rPr>
          <w:rFonts w:ascii="Arial" w:hAnsi="Arial" w:cs="Arial" w:eastAsia="仿宋_GB2312;仿宋"/>
          <w:sz w:val="28"/>
        </w:rPr>
        <w:t>（一）</w:t>
      </w:r>
      <w:r>
        <w:rPr>
          <w:rFonts w:ascii="Arial" w:hAnsi="Arial" w:cs="Arial" w:eastAsia="仿宋_GB2312;仿宋"/>
          <w:sz w:val="28"/>
        </w:rPr>
        <w:t>估价原则</w:t>
      </w:r>
    </w:p>
    <w:p>
      <w:pPr>
        <w:pStyle w:val="Normal"/>
        <w:spacing w:lineRule="auto" w:line="360"/>
        <w:ind w:firstLine="630"/>
        <w:jc w:val="both"/>
        <w:rPr>
          <w:rFonts w:eastAsia="仿宋_GB2312;仿宋"/>
        </w:rPr>
      </w:pPr>
      <w:r>
        <w:rPr>
          <w:rFonts w:ascii="Arial" w:hAnsi="Arial" w:cs="Arial" w:eastAsia="仿宋_GB2312;仿宋"/>
          <w:sz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w:t>
      </w:r>
      <w:r>
        <w:rPr>
          <w:rFonts w:ascii="Arial" w:hAnsi="Arial" w:cs="Arial" w:eastAsia="仿宋_GB2312;仿宋"/>
          <w:sz w:val="28"/>
        </w:rPr>
        <w:t>估算</w:t>
      </w:r>
      <w:r>
        <w:rPr>
          <w:rFonts w:ascii="Arial" w:hAnsi="Arial" w:cs="Arial" w:eastAsia="仿宋_GB2312;仿宋"/>
          <w:sz w:val="28"/>
        </w:rPr>
        <w:t>。在土地估价的实践和理论的探索中，在对土地价格形成和变化的规律认识的基础上，总结出一些在</w:t>
      </w:r>
      <w:r>
        <w:rPr>
          <w:rFonts w:ascii="Arial" w:hAnsi="Arial" w:cs="Arial" w:eastAsia="仿宋_GB2312;仿宋"/>
          <w:sz w:val="28"/>
        </w:rPr>
        <w:t>估算</w:t>
      </w:r>
      <w:r>
        <w:rPr>
          <w:rFonts w:ascii="Arial" w:hAnsi="Arial" w:cs="Arial" w:eastAsia="仿宋_GB2312;仿宋"/>
          <w:sz w:val="28"/>
        </w:rPr>
        <w:t>活动中应当遵循的法则或标准，而在</w:t>
      </w:r>
      <w:r>
        <w:rPr>
          <w:rFonts w:ascii="Arial" w:hAnsi="Arial" w:cs="Arial" w:eastAsia="仿宋_GB2312;仿宋"/>
          <w:sz w:val="28"/>
        </w:rPr>
        <w:t>估算</w:t>
      </w:r>
      <w:r>
        <w:rPr>
          <w:rFonts w:ascii="Arial" w:hAnsi="Arial" w:cs="Arial" w:eastAsia="仿宋_GB2312;仿宋"/>
          <w:sz w:val="28"/>
        </w:rPr>
        <w:t>作业时，这些原则又指导人们的</w:t>
      </w:r>
      <w:r>
        <w:rPr>
          <w:rFonts w:ascii="Arial" w:hAnsi="Arial" w:cs="Arial" w:eastAsia="仿宋_GB2312;仿宋"/>
          <w:sz w:val="28"/>
        </w:rPr>
        <w:t>估算</w:t>
      </w:r>
      <w:r>
        <w:rPr>
          <w:rFonts w:ascii="Arial" w:hAnsi="Arial" w:cs="Arial" w:eastAsia="仿宋_GB2312;仿宋"/>
          <w:sz w:val="28"/>
        </w:rPr>
        <w:t>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eastAsia="仿宋_GB2312;仿宋" w:cs="Arial" w:ascii="Arial" w:hAnsi="Arial"/>
          <w:sz w:val="28"/>
        </w:rPr>
        <w:t>:</w:t>
      </w:r>
      <w:r>
        <w:rPr>
          <w:rFonts w:ascii="Arial" w:hAnsi="Arial" w:cs="Arial" w:eastAsia="仿宋_GB2312;仿宋"/>
          <w:sz w:val="28"/>
        </w:rPr>
        <w:t>合法原则、替代原则、最有效利用原则、供需原则、贡献原则、谨慎性原则等。</w:t>
      </w:r>
      <w:r>
        <w:rPr>
          <w:rFonts w:ascii="Arial" w:hAnsi="Arial" w:cs="Arial" w:eastAsia="Arial"/>
          <w:sz w:val="28"/>
        </w:rPr>
        <w:t xml:space="preserve"> </w:t>
      </w:r>
    </w:p>
    <w:p>
      <w:pPr>
        <w:pStyle w:val="Normal"/>
        <w:spacing w:lineRule="auto" w:line="360"/>
        <w:ind w:firstLine="630"/>
        <w:jc w:val="both"/>
        <w:rPr>
          <w:rFonts w:eastAsia="仿宋_GB2312;仿宋"/>
        </w:rPr>
      </w:pPr>
      <w:r>
        <w:rPr>
          <w:rFonts w:eastAsia="仿宋_GB2312;仿宋" w:cs="Arial" w:ascii="Arial" w:hAnsi="Arial"/>
          <w:sz w:val="28"/>
        </w:rPr>
        <w:t>1.</w:t>
      </w:r>
      <w:r>
        <w:rPr>
          <w:rFonts w:ascii="Arial" w:hAnsi="Arial" w:cs="Arial" w:eastAsia="仿宋_GB2312;仿宋"/>
          <w:sz w:val="28"/>
        </w:rPr>
        <w:t>合法原则</w:t>
      </w:r>
      <w:r>
        <w:rPr>
          <w:rFonts w:ascii="Arial" w:hAnsi="Arial" w:cs="Arial" w:eastAsia="Arial"/>
          <w:sz w:val="28"/>
        </w:rPr>
        <w:t xml:space="preserve"> </w:t>
      </w:r>
    </w:p>
    <w:p>
      <w:pPr>
        <w:pStyle w:val="Normal"/>
        <w:spacing w:lineRule="auto" w:line="360"/>
        <w:ind w:firstLine="630"/>
        <w:jc w:val="both"/>
        <w:rPr>
          <w:rFonts w:eastAsia="仿宋_GB2312;仿宋"/>
        </w:rPr>
      </w:pPr>
      <w:r>
        <w:rPr>
          <w:rFonts w:ascii="Arial" w:hAnsi="Arial" w:cs="Arial" w:eastAsia="仿宋_GB2312;仿宋"/>
          <w:sz w:val="28"/>
        </w:rPr>
        <w:t>合法原则是指土地使用权价格评估必须以估价对象的合法利用为前提。由于我国所有制特点，土地流转过程是土地使用权的流转，土地使用权的取得、使用年限、利用方式、利用规划等方面有严格控制，所以进行土地使用权价格评估时，必须确保估价对象来源合法、利用合法。同时，土地估价还有遵循相关法律法规的规定。</w:t>
      </w:r>
      <w:r>
        <w:rPr>
          <w:rFonts w:ascii="Arial" w:hAnsi="Arial" w:cs="Arial" w:eastAsia="Arial"/>
          <w:sz w:val="28"/>
        </w:rPr>
        <w:t xml:space="preserve"> </w:t>
      </w:r>
    </w:p>
    <w:p>
      <w:pPr>
        <w:pStyle w:val="Normal"/>
        <w:spacing w:lineRule="auto" w:line="360"/>
        <w:ind w:firstLine="630"/>
        <w:jc w:val="both"/>
        <w:rPr>
          <w:rFonts w:eastAsia="仿宋_GB2312;仿宋"/>
        </w:rPr>
      </w:pPr>
      <w:r>
        <w:rPr>
          <w:rFonts w:ascii="Arial" w:hAnsi="Arial" w:cs="Arial" w:eastAsia="仿宋_GB2312;仿宋"/>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w:t>
      </w:r>
      <w:r>
        <w:rPr>
          <w:rFonts w:ascii="Arial" w:hAnsi="Arial" w:cs="Arial" w:eastAsia="仿宋_GB2312;仿宋"/>
          <w:sz w:val="28"/>
        </w:rPr>
        <w:t>估算</w:t>
      </w:r>
      <w:r>
        <w:rPr>
          <w:rFonts w:ascii="Arial" w:hAnsi="Arial" w:cs="Arial" w:eastAsia="仿宋_GB2312;仿宋"/>
          <w:sz w:val="28"/>
        </w:rPr>
        <w:t>时，土地的权益不是可以由委托人或估价人员假设确定的，而是应当具有合法的依据。</w:t>
      </w:r>
      <w:r>
        <w:rPr>
          <w:rFonts w:ascii="Arial" w:hAnsi="Arial" w:cs="Arial" w:eastAsia="Arial"/>
          <w:sz w:val="28"/>
        </w:rPr>
        <w:t xml:space="preserve"> </w:t>
      </w:r>
    </w:p>
    <w:p>
      <w:pPr>
        <w:pStyle w:val="Normal"/>
        <w:spacing w:lineRule="auto" w:line="360"/>
        <w:ind w:firstLine="630"/>
        <w:jc w:val="both"/>
        <w:rPr>
          <w:rFonts w:ascii="Arial" w:hAnsi="Arial" w:eastAsia="仿宋_GB2312;仿宋" w:cs="Arial"/>
          <w:sz w:val="28"/>
        </w:rPr>
      </w:pPr>
      <w:r>
        <w:rPr>
          <w:rFonts w:eastAsia="仿宋_GB2312;仿宋" w:cs="Arial" w:ascii="Arial" w:hAnsi="Arial"/>
          <w:sz w:val="28"/>
        </w:rPr>
        <w:t>2.</w:t>
      </w:r>
      <w:r>
        <w:rPr>
          <w:rFonts w:ascii="Arial" w:hAnsi="Arial" w:cs="Arial" w:eastAsia="仿宋_GB2312;仿宋"/>
          <w:sz w:val="28"/>
        </w:rPr>
        <w:t>替代原则</w:t>
      </w:r>
    </w:p>
    <w:p>
      <w:pPr>
        <w:pStyle w:val="Normal"/>
        <w:spacing w:lineRule="auto" w:line="360"/>
        <w:ind w:firstLine="630"/>
        <w:jc w:val="both"/>
        <w:rPr>
          <w:rFonts w:eastAsia="仿宋_GB2312;仿宋"/>
        </w:rPr>
      </w:pPr>
      <w:r>
        <w:rPr>
          <w:rFonts w:ascii="Arial" w:hAnsi="Arial" w:cs="Arial" w:eastAsia="仿宋_GB2312;仿宋"/>
          <w:sz w:val="28"/>
        </w:rPr>
        <w:t>替代原则是指土地估价应以相邻地区或类似地区功能相同、条件相似的土地市场交易价格为依据，估价结果不得明显偏离具有替代性质的土地正常价格。</w:t>
      </w:r>
      <w:r>
        <w:rPr>
          <w:rFonts w:ascii="Arial" w:hAnsi="Arial" w:cs="Arial" w:eastAsia="Arial"/>
          <w:sz w:val="28"/>
        </w:rPr>
        <w:t xml:space="preserve"> </w:t>
      </w:r>
    </w:p>
    <w:p>
      <w:pPr>
        <w:pStyle w:val="Normal"/>
        <w:spacing w:lineRule="auto" w:line="360"/>
        <w:ind w:firstLine="630"/>
        <w:jc w:val="both"/>
        <w:rPr>
          <w:rFonts w:ascii="Arial" w:hAnsi="Arial" w:eastAsia="仿宋_GB2312;仿宋" w:cs="Arial"/>
          <w:sz w:val="28"/>
        </w:rPr>
      </w:pPr>
      <w:r>
        <w:rPr>
          <w:rFonts w:ascii="Arial" w:hAnsi="Arial" w:cs="Arial" w:eastAsia="仿宋_GB2312;仿宋"/>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pStyle w:val="Normal"/>
        <w:spacing w:lineRule="auto" w:line="360"/>
        <w:ind w:firstLine="630"/>
        <w:jc w:val="both"/>
        <w:rPr/>
      </w:pPr>
      <w:r>
        <w:rPr>
          <w:rFonts w:ascii="Arial" w:hAnsi="Arial" w:cs="Arial" w:eastAsia="仿宋_GB2312;仿宋"/>
          <w:sz w:val="28"/>
        </w:rPr>
        <w:t>替代原则可以概括为三点：（</w:t>
      </w:r>
      <w:r>
        <w:rPr>
          <w:rFonts w:eastAsia="仿宋_GB2312;仿宋" w:cs="Arial" w:ascii="Arial" w:hAnsi="Arial"/>
          <w:sz w:val="28"/>
        </w:rPr>
        <w:t>1</w:t>
      </w:r>
      <w:r>
        <w:rPr>
          <w:rFonts w:ascii="Arial" w:hAnsi="Arial" w:cs="Arial" w:eastAsia="仿宋_GB2312;仿宋"/>
          <w:sz w:val="28"/>
        </w:rPr>
        <w:t>）土地价格水平由具有相同性质的替代性土地的价格所决定；（</w:t>
      </w:r>
      <w:r>
        <w:rPr>
          <w:rFonts w:eastAsia="仿宋_GB2312;仿宋" w:cs="Arial" w:ascii="Arial" w:hAnsi="Arial"/>
          <w:sz w:val="28"/>
        </w:rPr>
        <w:t>2</w:t>
      </w:r>
      <w:r>
        <w:rPr>
          <w:rFonts w:ascii="Arial" w:hAnsi="Arial" w:cs="Arial" w:eastAsia="仿宋_GB2312;仿宋"/>
          <w:sz w:val="28"/>
        </w:rPr>
        <w:t>）土地价格水平是由最了解行情的买卖者按市场交易实例相互比较后决定；（</w:t>
      </w:r>
      <w:r>
        <w:rPr>
          <w:rFonts w:eastAsia="仿宋_GB2312;仿宋" w:cs="Arial" w:ascii="Arial" w:hAnsi="Arial"/>
          <w:sz w:val="28"/>
        </w:rPr>
        <w:t>3</w:t>
      </w:r>
      <w:r>
        <w:rPr>
          <w:rFonts w:ascii="Arial" w:hAnsi="Arial" w:cs="Arial" w:eastAsia="仿宋_GB2312;仿宋"/>
          <w:sz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pStyle w:val="Normal"/>
        <w:spacing w:lineRule="auto" w:line="360"/>
        <w:ind w:firstLine="630"/>
        <w:jc w:val="both"/>
        <w:rPr>
          <w:rFonts w:eastAsia="仿宋_GB2312;仿宋"/>
        </w:rPr>
      </w:pPr>
      <w:r>
        <w:rPr>
          <w:rFonts w:ascii="Arial" w:hAnsi="Arial" w:cs="Arial" w:eastAsia="仿宋_GB2312;仿宋"/>
          <w:sz w:val="28"/>
        </w:rPr>
        <w:t>替代原则的适用范围广，是本次评估成本逼近法中土地取得费的理论基础。</w:t>
      </w:r>
      <w:r>
        <w:rPr>
          <w:rFonts w:ascii="Arial" w:hAnsi="Arial" w:cs="Arial" w:eastAsia="Arial"/>
          <w:sz w:val="28"/>
        </w:rPr>
        <w:t xml:space="preserve"> </w:t>
      </w:r>
    </w:p>
    <w:p>
      <w:pPr>
        <w:pStyle w:val="Normal"/>
        <w:spacing w:lineRule="auto" w:line="360"/>
        <w:ind w:firstLine="630"/>
        <w:jc w:val="both"/>
        <w:rPr>
          <w:rFonts w:eastAsia="仿宋_GB2312;仿宋"/>
        </w:rPr>
      </w:pPr>
      <w:r>
        <w:rPr>
          <w:rFonts w:eastAsia="仿宋_GB2312;仿宋" w:cs="Arial" w:ascii="Arial" w:hAnsi="Arial"/>
          <w:sz w:val="28"/>
        </w:rPr>
        <w:t>3.</w:t>
      </w:r>
      <w:r>
        <w:rPr>
          <w:rFonts w:ascii="Arial" w:hAnsi="Arial" w:cs="Arial" w:eastAsia="仿宋_GB2312;仿宋"/>
          <w:sz w:val="28"/>
        </w:rPr>
        <w:t>最有效利用原则</w:t>
      </w:r>
      <w:r>
        <w:rPr>
          <w:rFonts w:ascii="Arial" w:hAnsi="Arial" w:cs="Arial" w:eastAsia="Arial"/>
          <w:sz w:val="28"/>
        </w:rPr>
        <w:t xml:space="preserve"> </w:t>
      </w:r>
    </w:p>
    <w:p>
      <w:pPr>
        <w:pStyle w:val="Normal"/>
        <w:spacing w:lineRule="auto" w:line="360"/>
        <w:ind w:firstLine="630"/>
        <w:jc w:val="both"/>
        <w:rPr>
          <w:rFonts w:eastAsia="仿宋_GB2312;仿宋"/>
        </w:rPr>
      </w:pPr>
      <w:r>
        <w:rPr>
          <w:rFonts w:ascii="Arial" w:hAnsi="Arial" w:cs="Arial" w:eastAsia="仿宋_GB2312;仿宋"/>
          <w:sz w:val="28"/>
        </w:rPr>
        <w:t>最有效利用原则是指土地估价应以估价对象的最有效利用为前提条件。判断土地的最有效利用以土地利用符合其自身利用条件、法律法规政策及规划限制、市场要求和最佳利用程度等。</w:t>
      </w:r>
      <w:r>
        <w:rPr>
          <w:rFonts w:ascii="Arial" w:hAnsi="Arial" w:cs="Arial" w:eastAsia="Arial"/>
          <w:sz w:val="28"/>
        </w:rPr>
        <w:t xml:space="preserve"> </w:t>
      </w:r>
    </w:p>
    <w:p>
      <w:pPr>
        <w:pStyle w:val="Normal"/>
        <w:spacing w:lineRule="auto" w:line="360"/>
        <w:ind w:firstLine="630"/>
        <w:jc w:val="both"/>
        <w:rPr/>
      </w:pPr>
      <w:r>
        <w:rPr>
          <w:rFonts w:ascii="Arial" w:hAnsi="Arial" w:cs="Arial" w:eastAsia="仿宋_GB2312;仿宋"/>
          <w:sz w:val="28"/>
        </w:rPr>
        <w:t>最有效利用原则是经济学中效用最大化原理在土地估价中的具体运用。土地具有用途的多样性，土地不同的利用方式会给权利人带来不同的收益，而土地权利人都期望从其占有的土地上获取更大的收益，并以此作为确定土地利用方式的依据。因此，土地价格应该是土地在获利最大的利用方式下的价格。</w:t>
      </w:r>
    </w:p>
    <w:p>
      <w:pPr>
        <w:pStyle w:val="Normal"/>
        <w:spacing w:lineRule="auto" w:line="360"/>
        <w:ind w:firstLine="630"/>
        <w:jc w:val="both"/>
        <w:rPr>
          <w:rFonts w:eastAsia="仿宋_GB2312;仿宋"/>
        </w:rPr>
      </w:pPr>
      <w:r>
        <w:rPr>
          <w:rFonts w:ascii="Arial" w:hAnsi="Arial" w:cs="Arial" w:eastAsia="仿宋_GB2312;仿宋"/>
          <w:sz w:val="28"/>
        </w:rPr>
        <w:t>根据最有效利用原则，土地估价不应受土地现实利用状况所限制，应该对最有效利用进行正确的判断。依据四项准则：（</w:t>
      </w:r>
      <w:r>
        <w:rPr>
          <w:rFonts w:eastAsia="仿宋_GB2312;仿宋" w:cs="Arial" w:ascii="Arial" w:hAnsi="Arial"/>
          <w:sz w:val="28"/>
        </w:rPr>
        <w:t>1</w:t>
      </w:r>
      <w:r>
        <w:rPr>
          <w:rFonts w:ascii="Arial" w:hAnsi="Arial" w:cs="Arial" w:eastAsia="仿宋_GB2312;仿宋"/>
          <w:sz w:val="28"/>
        </w:rPr>
        <w:t>）法律上许可，即最有效利用应以合法利用为前提，在法律法规政策及规划限制内利用；（</w:t>
      </w:r>
      <w:r>
        <w:rPr>
          <w:rFonts w:eastAsia="仿宋_GB2312;仿宋" w:cs="Arial" w:ascii="Arial" w:hAnsi="Arial"/>
          <w:sz w:val="28"/>
        </w:rPr>
        <w:t>2</w:t>
      </w:r>
      <w:r>
        <w:rPr>
          <w:rFonts w:ascii="Arial" w:hAnsi="Arial" w:cs="Arial" w:eastAsia="仿宋_GB2312;仿宋"/>
          <w:sz w:val="28"/>
        </w:rPr>
        <w:t>）工程技术上可行，现在的工程技术水平能满足土地利用方式的技术需求，土地利用应符合其自身利用条件；（</w:t>
      </w:r>
      <w:r>
        <w:rPr>
          <w:rFonts w:eastAsia="仿宋_GB2312;仿宋" w:cs="Arial" w:ascii="Arial" w:hAnsi="Arial"/>
          <w:sz w:val="28"/>
        </w:rPr>
        <w:t>3</w:t>
      </w:r>
      <w:r>
        <w:rPr>
          <w:rFonts w:ascii="Arial" w:hAnsi="Arial" w:cs="Arial" w:eastAsia="仿宋_GB2312;仿宋"/>
          <w:sz w:val="28"/>
        </w:rPr>
        <w:t>）经济上可行，土地的利用方式具有市场需求及能否获利；（</w:t>
      </w:r>
      <w:r>
        <w:rPr>
          <w:rFonts w:eastAsia="仿宋_GB2312;仿宋" w:cs="Arial" w:ascii="Arial" w:hAnsi="Arial"/>
          <w:sz w:val="28"/>
        </w:rPr>
        <w:t>4</w:t>
      </w:r>
      <w:r>
        <w:rPr>
          <w:rFonts w:ascii="Arial" w:hAnsi="Arial" w:cs="Arial" w:eastAsia="仿宋_GB2312;仿宋"/>
          <w:sz w:val="28"/>
        </w:rPr>
        <w:t>）价值最大化，在具备上述三项条件的前提下，将具有经济可行性的各种可能利用方式进行比较，回报最大的利用方式即最有效利用方式。</w:t>
      </w:r>
      <w:r>
        <w:rPr>
          <w:rFonts w:ascii="Arial" w:hAnsi="Arial" w:cs="Arial" w:eastAsia="Arial"/>
          <w:sz w:val="28"/>
        </w:rPr>
        <w:t xml:space="preserve"> </w:t>
      </w:r>
    </w:p>
    <w:p>
      <w:pPr>
        <w:pStyle w:val="Normal"/>
        <w:spacing w:lineRule="auto" w:line="360"/>
        <w:ind w:firstLine="630"/>
        <w:jc w:val="both"/>
        <w:rPr>
          <w:rFonts w:eastAsia="仿宋_GB2312;仿宋"/>
        </w:rPr>
      </w:pPr>
      <w:r>
        <w:rPr>
          <w:rFonts w:ascii="Arial" w:hAnsi="Arial" w:cs="Arial" w:eastAsia="仿宋_GB2312;仿宋"/>
          <w:sz w:val="28"/>
        </w:rPr>
        <w:t>实际中的应用有两种情况：一是假定为空地条件下的最有效利用，适用于土地开发或房地产开发；二是保持现状条件下的最有效利用，一般是指已建成的房地产在继续利用状态下的土地估价。</w:t>
      </w:r>
      <w:r>
        <w:rPr>
          <w:rFonts w:ascii="Arial" w:hAnsi="Arial" w:cs="Arial" w:eastAsia="Arial"/>
          <w:sz w:val="28"/>
        </w:rPr>
        <w:t xml:space="preserve"> </w:t>
      </w:r>
      <w:r>
        <w:rPr>
          <w:rFonts w:ascii="Arial" w:hAnsi="Arial" w:cs="Arial" w:eastAsia="仿宋_GB2312;仿宋"/>
          <w:sz w:val="28"/>
        </w:rPr>
        <w:t>最有效利用原则是土地估价的基本原则，土地估价应以土地的最有效利用为前提。最有效利用原则与变动原则和预期收益原则关系密切，在判断最有效利用时，以变动原则和预期收益原则为基础，即土地最有效利用是对土地的过去，现在和将来作长远考虑后确定。</w:t>
      </w:r>
      <w:r>
        <w:rPr>
          <w:rFonts w:ascii="Arial" w:hAnsi="Arial" w:cs="Arial" w:eastAsia="Arial"/>
          <w:sz w:val="28"/>
        </w:rPr>
        <w:t xml:space="preserve"> </w:t>
      </w:r>
    </w:p>
    <w:p>
      <w:pPr>
        <w:pStyle w:val="Normal"/>
        <w:spacing w:lineRule="auto" w:line="360"/>
        <w:ind w:firstLine="630"/>
        <w:jc w:val="both"/>
        <w:rPr>
          <w:rFonts w:ascii="Arial" w:hAnsi="Arial" w:eastAsia="仿宋_GB2312;仿宋" w:cs="Arial"/>
          <w:sz w:val="28"/>
        </w:rPr>
      </w:pPr>
      <w:r>
        <w:rPr>
          <w:rFonts w:eastAsia="仿宋_GB2312;仿宋" w:cs="Arial" w:ascii="Arial" w:hAnsi="Arial"/>
          <w:sz w:val="28"/>
        </w:rPr>
        <w:t>4.</w:t>
      </w:r>
      <w:r>
        <w:rPr>
          <w:rFonts w:ascii="Arial" w:hAnsi="Arial" w:cs="Arial" w:eastAsia="仿宋_GB2312;仿宋"/>
          <w:sz w:val="28"/>
        </w:rPr>
        <w:t>供需原则</w:t>
      </w:r>
    </w:p>
    <w:p>
      <w:pPr>
        <w:pStyle w:val="Normal"/>
        <w:spacing w:lineRule="auto" w:line="360"/>
        <w:ind w:firstLine="630"/>
        <w:jc w:val="both"/>
        <w:rPr/>
      </w:pPr>
      <w:r>
        <w:rPr>
          <w:rFonts w:ascii="Arial" w:hAnsi="Arial" w:cs="Arial" w:eastAsia="仿宋_GB2312;仿宋"/>
          <w:sz w:val="28"/>
        </w:rPr>
        <w:t>土地估价应以市场供需决定土地价格为依据，并充分考虑土地供需的特殊性和土地市场的地域性。</w:t>
      </w:r>
    </w:p>
    <w:p>
      <w:pPr>
        <w:pStyle w:val="Normal"/>
        <w:spacing w:lineRule="auto" w:line="360"/>
        <w:ind w:firstLine="630"/>
        <w:jc w:val="both"/>
        <w:rPr>
          <w:rFonts w:ascii="Arial" w:hAnsi="Arial" w:eastAsia="仿宋_GB2312;仿宋" w:cs="Arial"/>
          <w:sz w:val="28"/>
        </w:rPr>
      </w:pPr>
      <w:r>
        <w:rPr>
          <w:rFonts w:ascii="Arial" w:hAnsi="Arial" w:cs="Arial" w:eastAsia="仿宋_GB2312;仿宋"/>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pPr>
        <w:pStyle w:val="Normal"/>
        <w:spacing w:lineRule="auto" w:line="360"/>
        <w:ind w:firstLine="630"/>
        <w:jc w:val="both"/>
        <w:rPr>
          <w:rFonts w:ascii="Arial" w:hAnsi="Arial" w:eastAsia="仿宋_GB2312;仿宋" w:cs="Arial"/>
          <w:sz w:val="28"/>
        </w:rPr>
      </w:pPr>
      <w:r>
        <w:rPr>
          <w:rFonts w:ascii="Arial" w:hAnsi="Arial" w:cs="Arial" w:eastAsia="仿宋_GB2312;仿宋"/>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pPr>
        <w:pStyle w:val="Normal"/>
        <w:spacing w:lineRule="auto" w:line="360"/>
        <w:ind w:firstLine="630"/>
        <w:jc w:val="both"/>
        <w:rPr>
          <w:rFonts w:ascii="Arial" w:hAnsi="Arial" w:eastAsia="仿宋_GB2312;仿宋" w:cs="Arial"/>
          <w:sz w:val="28"/>
        </w:rPr>
      </w:pPr>
      <w:r>
        <w:rPr>
          <w:rFonts w:ascii="Arial" w:hAnsi="Arial" w:cs="Arial" w:eastAsia="仿宋_GB2312;仿宋"/>
          <w:sz w:val="28"/>
        </w:rPr>
        <w:t>因此，土地不能仅根据均衡法则来决定价格。尤其在我国城市土地属国家所有，市场中能够流动的仅是有限年期的土地使用权，土地供方主要由国家控制，这一因素对地价具有至关重要的影响。</w:t>
      </w:r>
    </w:p>
    <w:p>
      <w:pPr>
        <w:pStyle w:val="Normal"/>
        <w:spacing w:lineRule="auto" w:line="360"/>
        <w:ind w:firstLine="630"/>
        <w:jc w:val="both"/>
        <w:rPr>
          <w:rFonts w:eastAsia="仿宋_GB2312;仿宋"/>
        </w:rPr>
      </w:pPr>
      <w:r>
        <w:rPr>
          <w:rFonts w:eastAsia="仿宋_GB2312;仿宋" w:cs="Arial" w:ascii="Arial" w:hAnsi="Arial"/>
          <w:sz w:val="28"/>
        </w:rPr>
        <w:t>5.</w:t>
      </w:r>
      <w:r>
        <w:rPr>
          <w:rFonts w:ascii="Arial" w:hAnsi="Arial" w:cs="Arial" w:eastAsia="仿宋_GB2312;仿宋"/>
          <w:sz w:val="28"/>
        </w:rPr>
        <w:t>贡献原则</w:t>
      </w:r>
      <w:r>
        <w:rPr>
          <w:rFonts w:ascii="Arial" w:hAnsi="Arial" w:cs="Arial" w:eastAsia="Arial"/>
          <w:sz w:val="28"/>
        </w:rPr>
        <w:t xml:space="preserve"> </w:t>
      </w:r>
    </w:p>
    <w:p>
      <w:pPr>
        <w:pStyle w:val="Normal"/>
        <w:spacing w:lineRule="auto" w:line="360"/>
        <w:ind w:firstLine="630"/>
        <w:jc w:val="both"/>
        <w:rPr>
          <w:rFonts w:ascii="Arial" w:hAnsi="Arial" w:eastAsia="仿宋_GB2312;仿宋" w:cs="Arial"/>
          <w:sz w:val="28"/>
        </w:rPr>
      </w:pPr>
      <w:r>
        <w:rPr>
          <w:rFonts w:ascii="Arial" w:hAnsi="Arial" w:cs="Arial" w:eastAsia="仿宋_GB2312;仿宋"/>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hAnsi="Arial" w:cs="Arial" w:eastAsia="Arial"/>
          <w:sz w:val="28"/>
        </w:rPr>
        <w:t xml:space="preserve"> </w:t>
      </w:r>
    </w:p>
    <w:p>
      <w:pPr>
        <w:pStyle w:val="Normal"/>
        <w:spacing w:lineRule="auto" w:line="360"/>
        <w:ind w:firstLine="630"/>
        <w:jc w:val="both"/>
        <w:rPr>
          <w:rFonts w:eastAsia="仿宋_GB2312;仿宋"/>
        </w:rPr>
      </w:pPr>
      <w:r>
        <w:rPr>
          <w:rFonts w:eastAsia="仿宋_GB2312;仿宋" w:cs="Arial" w:ascii="Arial" w:hAnsi="Arial"/>
          <w:sz w:val="28"/>
        </w:rPr>
        <w:t>6</w:t>
      </w:r>
      <w:r>
        <w:rPr>
          <w:rFonts w:eastAsia="仿宋_GB2312;仿宋" w:cs="Arial" w:ascii="Arial" w:hAnsi="Arial"/>
          <w:sz w:val="28"/>
        </w:rPr>
        <w:t>.</w:t>
      </w:r>
      <w:r>
        <w:rPr>
          <w:rFonts w:ascii="Arial" w:hAnsi="Arial" w:cs="Arial" w:eastAsia="仿宋_GB2312;仿宋"/>
          <w:sz w:val="28"/>
        </w:rPr>
        <w:t>谨慎性原则</w:t>
      </w:r>
      <w:r>
        <w:rPr>
          <w:rFonts w:ascii="Arial" w:hAnsi="Arial" w:cs="Arial" w:eastAsia="Arial"/>
          <w:sz w:val="28"/>
        </w:rPr>
        <w:t xml:space="preserve">  </w:t>
      </w:r>
    </w:p>
    <w:p>
      <w:pPr>
        <w:pStyle w:val="Normal"/>
        <w:spacing w:lineRule="auto" w:line="360"/>
        <w:ind w:firstLine="630"/>
        <w:jc w:val="both"/>
        <w:rPr>
          <w:rFonts w:eastAsia="仿宋_GB2312;仿宋"/>
        </w:rPr>
      </w:pPr>
      <w:r>
        <w:rPr>
          <w:rFonts w:ascii="Arial" w:hAnsi="Arial" w:cs="Arial" w:eastAsia="仿宋_GB2312;仿宋"/>
          <w:sz w:val="28"/>
        </w:rPr>
        <w:t>谨慎性原则是指在评估中确定相关参数和结果时，应分析并充分考虑土地市场运行状况、有关行业发展状况，以及存在的风险。在不确定性条件下做出估计和判断时要保持一定程度的谨慎性，以便不高估也不低估估价对象的价值。</w:t>
      </w:r>
      <w:r>
        <w:rPr>
          <w:rFonts w:ascii="Arial" w:hAnsi="Arial" w:cs="Arial" w:eastAsia="Arial"/>
          <w:sz w:val="28"/>
        </w:rPr>
        <w:t xml:space="preserve"> </w:t>
      </w:r>
    </w:p>
    <w:p>
      <w:pPr>
        <w:pStyle w:val="Normal"/>
        <w:spacing w:lineRule="auto" w:line="360"/>
        <w:ind w:firstLine="630"/>
        <w:jc w:val="both"/>
        <w:rPr>
          <w:rFonts w:ascii="Arial" w:hAnsi="Arial" w:eastAsia="仿宋_GB2312;仿宋" w:cs="Arial"/>
          <w:sz w:val="28"/>
        </w:rPr>
      </w:pPr>
      <w:r>
        <w:rPr>
          <w:rFonts w:ascii="Arial" w:hAnsi="Arial" w:cs="Arial" w:eastAsia="仿宋_GB2312;仿宋"/>
          <w:sz w:val="28"/>
        </w:rPr>
        <w:t>本次评估考虑估价对象的具体情况，结合估价目的，在估价过程中确定相关参数和结果时，仔细分析并充分考虑土地市场运行状况、有关行业发展状况、存在的风险，严格遵循着谨慎性原则。</w:t>
      </w:r>
      <w:r>
        <w:rPr>
          <w:rFonts w:ascii="Arial" w:hAnsi="Arial" w:cs="Arial" w:eastAsia="Arial"/>
          <w:sz w:val="28"/>
        </w:rPr>
        <w:t xml:space="preserve"> </w:t>
      </w:r>
    </w:p>
    <w:p>
      <w:pPr>
        <w:pStyle w:val="Normal"/>
        <w:overflowPunct w:val="false"/>
        <w:snapToGrid w:val="false"/>
        <w:spacing w:lineRule="auto" w:line="300" w:before="60" w:after="60"/>
        <w:ind w:firstLine="560"/>
        <w:jc w:val="both"/>
        <w:rPr/>
      </w:pPr>
      <w:r>
        <w:rPr>
          <w:rFonts w:eastAsia="仿宋_GB2312;仿宋" w:cs="Arial" w:ascii="Arial" w:hAnsi="Arial"/>
          <w:sz w:val="28"/>
        </w:rPr>
        <w:t>7</w:t>
      </w:r>
      <w:r>
        <w:rPr>
          <w:rFonts w:eastAsia="仿宋_GB2312;仿宋" w:cs="Arial" w:ascii="Arial" w:hAnsi="Arial"/>
          <w:sz w:val="28"/>
        </w:rPr>
        <w:t>.</w:t>
      </w:r>
      <w:r>
        <w:rPr>
          <w:rFonts w:ascii="Arial" w:hAnsi="Arial" w:cs="Arial" w:eastAsia="仿宋_GB2312;仿宋"/>
          <w:sz w:val="28"/>
        </w:rPr>
        <w:t>预期收益原则</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w:t>
      </w:r>
    </w:p>
    <w:p>
      <w:pPr>
        <w:pStyle w:val="Normal1"/>
        <w:autoSpaceDE w:val="false"/>
        <w:spacing w:lineRule="auto" w:line="360"/>
        <w:ind w:right="140" w:hanging="0"/>
        <w:jc w:val="both"/>
        <w:textAlignment w:val="bottom"/>
        <w:rPr>
          <w:rFonts w:ascii="Arial" w:hAnsi="Arial" w:eastAsia="仿宋_GB2312;仿宋" w:cs="Arial"/>
          <w:bCs/>
          <w:sz w:val="28"/>
        </w:rPr>
      </w:pPr>
      <w:r>
        <w:rPr>
          <w:rFonts w:ascii="Arial" w:hAnsi="Arial" w:cs="Arial" w:eastAsia="仿宋_GB2312;仿宋"/>
          <w:bCs/>
          <w:sz w:val="28"/>
        </w:rPr>
        <w:t>（</w:t>
      </w:r>
      <w:r>
        <w:rPr>
          <w:rFonts w:ascii="Arial" w:hAnsi="Arial" w:cs="Arial" w:eastAsia="仿宋_GB2312;仿宋"/>
          <w:bCs/>
          <w:sz w:val="28"/>
        </w:rPr>
        <w:t>二</w:t>
      </w:r>
      <w:r>
        <w:rPr>
          <w:rFonts w:ascii="Arial" w:hAnsi="Arial" w:cs="Arial" w:eastAsia="仿宋_GB2312;仿宋"/>
          <w:bCs/>
          <w:sz w:val="28"/>
        </w:rPr>
        <w:t>）估价方法</w:t>
      </w:r>
    </w:p>
    <w:p>
      <w:pPr>
        <w:pStyle w:val="Normal"/>
        <w:spacing w:lineRule="auto" w:line="360"/>
        <w:ind w:firstLine="630"/>
        <w:jc w:val="both"/>
        <w:rPr>
          <w:rFonts w:ascii="Arial" w:hAnsi="Arial" w:eastAsia="仿宋_GB2312;仿宋" w:cs="Arial"/>
          <w:sz w:val="28"/>
        </w:rPr>
      </w:pPr>
      <w:r>
        <w:rPr>
          <w:rFonts w:eastAsia="仿宋_GB2312;仿宋" w:cs="Arial" w:ascii="Arial" w:hAnsi="Arial"/>
          <w:sz w:val="28"/>
        </w:rPr>
        <w:t>1.</w:t>
      </w:r>
      <w:r>
        <w:rPr>
          <w:rFonts w:ascii="Arial" w:hAnsi="Arial" w:cs="Arial" w:eastAsia="仿宋_GB2312;仿宋"/>
          <w:sz w:val="28"/>
        </w:rPr>
        <w:t>方法选择</w:t>
      </w:r>
    </w:p>
    <w:p>
      <w:pPr>
        <w:pStyle w:val="Normal"/>
        <w:spacing w:lineRule="auto" w:line="360"/>
        <w:ind w:firstLine="630"/>
        <w:jc w:val="both"/>
        <w:rPr/>
      </w:pPr>
      <w:r>
        <w:rPr>
          <w:rFonts w:ascii="Arial" w:hAnsi="Arial" w:cs="Arial" w:eastAsia="仿宋_GB2312;仿宋"/>
          <w:sz w:val="28"/>
        </w:rPr>
        <w:t>本报告估价目的是</w:t>
      </w:r>
      <w:r>
        <w:rPr>
          <w:rFonts w:ascii="Arial" w:hAnsi="Arial" w:cs="Arial" w:eastAsia="仿宋_GB2312;仿宋"/>
          <w:sz w:val="28"/>
        </w:rPr>
        <w:t>为北京市海淀区规划和自然资源综合事务中心收购的国有建设用地使用权的补偿提供依据，评估被收购国有建设用地使用权的收购补偿价格</w:t>
      </w:r>
      <w:r>
        <w:rPr>
          <w:rFonts w:ascii="Arial" w:hAnsi="Arial" w:cs="Arial" w:eastAsia="仿宋_GB2312;仿宋"/>
          <w:sz w:val="28"/>
        </w:rPr>
        <w:t>。根据估价对象现状条件及《关于发布</w:t>
      </w:r>
      <w:r>
        <w:rPr>
          <w:rFonts w:eastAsia="仿宋_GB2312;仿宋" w:cs="Arial" w:ascii="Arial" w:hAnsi="Arial"/>
          <w:sz w:val="28"/>
        </w:rPr>
        <w:t>&lt;</w:t>
      </w:r>
      <w:r>
        <w:rPr>
          <w:rFonts w:ascii="Arial" w:hAnsi="Arial" w:cs="Arial" w:eastAsia="仿宋_GB2312;仿宋"/>
          <w:sz w:val="28"/>
        </w:rPr>
        <w:t>北京市企业国有建设用地使用权收购补偿价格评估技术指引</w:t>
      </w:r>
      <w:r>
        <w:rPr>
          <w:rFonts w:eastAsia="仿宋_GB2312;仿宋" w:cs="Arial" w:ascii="Arial" w:hAnsi="Arial"/>
          <w:sz w:val="28"/>
        </w:rPr>
        <w:t>&gt;</w:t>
      </w:r>
      <w:r>
        <w:rPr>
          <w:rFonts w:ascii="Arial" w:hAnsi="Arial" w:cs="Arial" w:eastAsia="仿宋_GB2312;仿宋"/>
          <w:sz w:val="28"/>
        </w:rPr>
        <w:t>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2018</w:t>
      </w:r>
      <w:r>
        <w:rPr>
          <w:rFonts w:ascii="Arial" w:hAnsi="Arial" w:cs="Arial" w:eastAsia="仿宋_GB2312;仿宋"/>
          <w:sz w:val="28"/>
        </w:rPr>
        <w:t>）</w:t>
      </w:r>
      <w:r>
        <w:rPr>
          <w:rFonts w:eastAsia="仿宋_GB2312;仿宋" w:cs="Arial" w:ascii="Arial" w:hAnsi="Arial"/>
          <w:sz w:val="28"/>
        </w:rPr>
        <w:t>004</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、《关于发布</w:t>
      </w:r>
      <w:r>
        <w:rPr>
          <w:rFonts w:ascii="仿宋" w:hAnsi="仿宋" w:cs="Arial" w:eastAsia="仿宋"/>
          <w:sz w:val="28"/>
        </w:rPr>
        <w:t>〈</w:t>
      </w:r>
      <w:r>
        <w:rPr>
          <w:rFonts w:ascii="Arial" w:hAnsi="Arial" w:cs="Arial" w:eastAsia="仿宋_GB2312;仿宋"/>
          <w:sz w:val="28"/>
        </w:rPr>
        <w:t>北京市企业国有建设用地使用权收购补偿价格评估技术指引</w:t>
      </w:r>
      <w:r>
        <w:rPr>
          <w:rFonts w:ascii="仿宋" w:hAnsi="仿宋" w:cs="Arial" w:eastAsia="仿宋"/>
          <w:sz w:val="28"/>
        </w:rPr>
        <w:t>〉</w:t>
      </w:r>
      <w:r>
        <w:rPr>
          <w:rFonts w:ascii="Arial" w:hAnsi="Arial" w:cs="Arial" w:eastAsia="仿宋_GB2312;仿宋"/>
          <w:sz w:val="28"/>
        </w:rPr>
        <w:t>应用有关说明的通知》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2021</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，确定</w:t>
      </w:r>
      <w:r>
        <w:rPr>
          <w:rFonts w:ascii="Arial" w:hAnsi="Arial" w:cs="Arial" w:eastAsia="仿宋_GB2312;仿宋"/>
          <w:sz w:val="28"/>
        </w:rPr>
        <w:t>估算</w:t>
      </w:r>
      <w:r>
        <w:rPr>
          <w:rFonts w:ascii="Arial" w:hAnsi="Arial" w:cs="Arial" w:eastAsia="仿宋_GB2312;仿宋"/>
          <w:sz w:val="28"/>
        </w:rPr>
        <w:t>思路如下：</w:t>
      </w:r>
    </w:p>
    <w:p>
      <w:pPr>
        <w:pStyle w:val="Normal"/>
        <w:autoSpaceDE w:val="false"/>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土地收购补偿价格</w:t>
      </w:r>
      <w:r>
        <w:rPr>
          <w:rFonts w:eastAsia="仿宋_GB2312;仿宋" w:cs="Arial" w:ascii="Arial" w:hAnsi="Arial"/>
          <w:sz w:val="28"/>
        </w:rPr>
        <w:t>=</w:t>
      </w:r>
      <w:r>
        <w:rPr>
          <w:rFonts w:ascii="Arial" w:hAnsi="Arial" w:cs="Arial" w:eastAsia="仿宋_GB2312;仿宋"/>
          <w:sz w:val="28"/>
        </w:rPr>
        <w:t>土地使用权价格</w:t>
      </w:r>
      <w:r>
        <w:rPr>
          <w:rFonts w:eastAsia="仿宋_GB2312;仿宋" w:cs="Arial" w:ascii="Arial" w:hAnsi="Arial"/>
          <w:sz w:val="28"/>
        </w:rPr>
        <w:t>+</w:t>
      </w:r>
      <w:r>
        <w:rPr>
          <w:rFonts w:ascii="Arial" w:hAnsi="Arial" w:cs="Arial" w:eastAsia="仿宋_GB2312;仿宋"/>
          <w:sz w:val="28"/>
        </w:rPr>
        <w:t>房屋重置成新价</w:t>
      </w:r>
      <w:r>
        <w:rPr>
          <w:rFonts w:eastAsia="仿宋_GB2312;仿宋" w:cs="Arial" w:ascii="Arial" w:hAnsi="Arial"/>
          <w:sz w:val="28"/>
        </w:rPr>
        <w:t>+</w:t>
      </w:r>
      <w:r>
        <w:rPr>
          <w:rFonts w:ascii="Arial" w:hAnsi="Arial" w:cs="Arial" w:eastAsia="仿宋_GB2312;仿宋"/>
          <w:sz w:val="28"/>
        </w:rPr>
        <w:t>附属物价格</w:t>
      </w:r>
      <w:r>
        <w:rPr>
          <w:rFonts w:eastAsia="仿宋_GB2312;仿宋" w:cs="Arial" w:ascii="Arial" w:hAnsi="Arial"/>
          <w:sz w:val="28"/>
        </w:rPr>
        <w:t>+</w:t>
      </w:r>
      <w:r>
        <w:rPr>
          <w:rFonts w:ascii="Arial" w:hAnsi="Arial" w:cs="Arial" w:eastAsia="仿宋_GB2312;仿宋"/>
          <w:sz w:val="28"/>
        </w:rPr>
        <w:t>无法恢复使用的设施设备补偿价</w:t>
      </w:r>
      <w:r>
        <w:rPr>
          <w:rFonts w:eastAsia="仿宋_GB2312;仿宋" w:cs="Arial" w:ascii="Arial" w:hAnsi="Arial"/>
          <w:sz w:val="28"/>
        </w:rPr>
        <w:t>+</w:t>
      </w:r>
      <w:r>
        <w:rPr>
          <w:rFonts w:ascii="Arial" w:hAnsi="Arial" w:cs="Arial" w:eastAsia="仿宋_GB2312;仿宋"/>
          <w:sz w:val="28"/>
        </w:rPr>
        <w:t>停产停业损失补偿费用</w:t>
      </w:r>
      <w:r>
        <w:rPr>
          <w:rFonts w:eastAsia="仿宋_GB2312;仿宋" w:cs="Arial" w:ascii="Arial" w:hAnsi="Arial"/>
          <w:sz w:val="28"/>
        </w:rPr>
        <w:t>+</w:t>
      </w:r>
      <w:r>
        <w:rPr>
          <w:rFonts w:ascii="Arial" w:hAnsi="Arial" w:cs="Arial" w:eastAsia="仿宋_GB2312;仿宋"/>
          <w:sz w:val="28"/>
        </w:rPr>
        <w:t>搬迁、临时安置补偿费用</w:t>
      </w:r>
    </w:p>
    <w:p>
      <w:pPr>
        <w:pStyle w:val="Normal"/>
        <w:autoSpaceDE w:val="false"/>
        <w:spacing w:lineRule="auto" w:line="360"/>
        <w:ind w:firstLine="560"/>
        <w:jc w:val="both"/>
        <w:textAlignment w:val="bottom"/>
        <w:rPr/>
      </w:pPr>
      <w:r>
        <w:rPr>
          <w:rFonts w:ascii="Arial" w:hAnsi="Arial" w:cs="Arial" w:eastAsia="仿宋_GB2312;仿宋"/>
          <w:sz w:val="28"/>
        </w:rPr>
        <w:t>根据《城镇土地估价规程》</w:t>
      </w:r>
      <w:r>
        <w:rPr>
          <w:rFonts w:eastAsia="仿宋_GB2312;仿宋" w:cs="Arial" w:ascii="Arial" w:hAnsi="Arial"/>
          <w:sz w:val="28"/>
        </w:rPr>
        <w:t>[GB/T 18508-2014]</w:t>
      </w:r>
      <w:r>
        <w:rPr>
          <w:rFonts w:ascii="Arial" w:hAnsi="Arial" w:cs="Arial" w:eastAsia="仿宋_GB2312;仿宋"/>
          <w:sz w:val="28"/>
        </w:rPr>
        <w:t>以及估价对象的具体条件、用地性质及估价目的，结合评估专业人员收集的有关资料，考虑到当地地产市场发育程度，选择评估方法。</w:t>
      </w:r>
    </w:p>
    <w:p>
      <w:pPr>
        <w:pStyle w:val="Normal"/>
        <w:autoSpaceDE w:val="false"/>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w:t>
      </w:r>
      <w:r>
        <w:rPr>
          <w:rFonts w:eastAsia="仿宋_GB2312;仿宋" w:cs="Arial" w:ascii="Arial" w:hAnsi="Arial"/>
          <w:sz w:val="28"/>
        </w:rPr>
        <w:t>1</w:t>
      </w:r>
      <w:r>
        <w:rPr>
          <w:rFonts w:ascii="Arial" w:hAnsi="Arial" w:cs="Arial" w:eastAsia="仿宋_GB2312;仿宋"/>
          <w:sz w:val="28"/>
        </w:rPr>
        <w:t>）土地使用权价格的评估方法</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根据《划拨国有建设用地使用权地价评估指导意见》（试行）（自然资办函</w:t>
      </w:r>
      <w:r>
        <w:rPr>
          <w:rFonts w:eastAsia="仿宋_GB2312;仿宋" w:cs="Arial" w:ascii="Arial" w:hAnsi="Arial"/>
          <w:sz w:val="28"/>
        </w:rPr>
        <w:t>[2019]922</w:t>
      </w:r>
      <w:r>
        <w:rPr>
          <w:rFonts w:ascii="Arial" w:hAnsi="Arial" w:cs="Arial" w:eastAsia="仿宋_GB2312;仿宋"/>
          <w:sz w:val="28"/>
        </w:rPr>
        <w:t>号），划拨土地评估方法包括成本逼近法、市场比较法、公示地价系数修正法、收益还原法、剩余（增值收益扣减）法，划拨地价评估至少应当选用以上评估方法中的两种。</w:t>
      </w:r>
      <w:r>
        <w:rPr>
          <w:rFonts w:ascii="Arial" w:hAnsi="Arial" w:cs="Arial" w:eastAsia="仿宋_GB2312;仿宋"/>
          <w:sz w:val="28"/>
        </w:rPr>
        <w:t>五种方法的定义及适用条件如下：</w:t>
      </w:r>
    </w:p>
    <w:p>
      <w:pPr>
        <w:pStyle w:val="Normal1"/>
        <w:autoSpaceDE w:val="false"/>
        <w:spacing w:lineRule="auto" w:line="360"/>
        <w:ind w:right="6" w:firstLine="560"/>
        <w:jc w:val="both"/>
        <w:textAlignment w:val="bottom"/>
        <w:rPr/>
      </w:pPr>
      <w:r>
        <w:rPr>
          <w:rFonts w:ascii="Arial" w:hAnsi="Arial" w:cs="Arial" w:eastAsia="仿宋_GB2312;仿宋"/>
          <w:sz w:val="28"/>
        </w:rPr>
        <w:t>市场比较法：市场比较法是选取一定数量的可比实例，将它们与估价对象进行比较，根据其间的差异对可比实例成交价格进行处理后得到估价对象价值或价格的方法。市场比较法主要用于</w:t>
      </w:r>
      <w:r>
        <w:rPr>
          <w:rFonts w:ascii="Arial" w:hAnsi="Arial" w:cs="Arial" w:eastAsia="仿宋_GB2312;仿宋"/>
          <w:sz w:val="28"/>
        </w:rPr>
        <w:t>有</w:t>
      </w:r>
      <w:r>
        <w:rPr>
          <w:rFonts w:ascii="Arial" w:hAnsi="Arial" w:cs="Arial" w:eastAsia="仿宋_GB2312;仿宋"/>
          <w:sz w:val="28"/>
        </w:rPr>
        <w:t>同类房地产交易</w:t>
      </w:r>
      <w:r>
        <w:rPr>
          <w:rFonts w:ascii="Arial" w:hAnsi="Arial" w:cs="Arial" w:eastAsia="仿宋_GB2312;仿宋"/>
          <w:sz w:val="28"/>
        </w:rPr>
        <w:t>，</w:t>
      </w:r>
      <w:r>
        <w:rPr>
          <w:rFonts w:ascii="Arial" w:hAnsi="Arial" w:cs="Arial" w:eastAsia="仿宋_GB2312;仿宋"/>
          <w:sz w:val="28"/>
        </w:rPr>
        <w:t>且具有一定可比性的房地产。</w:t>
      </w:r>
    </w:p>
    <w:p>
      <w:pPr>
        <w:pStyle w:val="Normal"/>
        <w:spacing w:lineRule="auto" w:line="360"/>
        <w:ind w:firstLine="560"/>
        <w:jc w:val="both"/>
        <w:rPr/>
      </w:pPr>
      <w:r>
        <w:rPr>
          <w:rFonts w:ascii="Arial" w:hAnsi="Arial" w:cs="Arial" w:eastAsia="仿宋_GB2312;仿宋"/>
          <w:sz w:val="28"/>
        </w:rPr>
        <w:t>收益还原法：收益还原法是预测估价对象的未来收益，利用报酬率或资本化率、收益乘数将未来收益转换为价值得到估价价值或价格的方法。收益还原法适用于估价对象或其同类房地产通常有租金等经济收入的收益性房地产。</w:t>
      </w:r>
    </w:p>
    <w:p>
      <w:pPr>
        <w:pStyle w:val="Normal"/>
        <w:spacing w:lineRule="auto" w:line="360"/>
        <w:ind w:left="-2" w:firstLine="560"/>
        <w:jc w:val="both"/>
        <w:rPr/>
      </w:pPr>
      <w:r>
        <w:rPr>
          <w:rFonts w:ascii="Arial" w:hAnsi="Arial" w:cs="Arial" w:eastAsia="仿宋_GB2312;仿宋"/>
          <w:sz w:val="28"/>
        </w:rPr>
        <w:t>成本逼近法：成本逼近法是以取得和开发土地所耗费的各项费用之和为主要依据，再加上一定的利润、利息、应缴纳的税金和</w:t>
      </w:r>
      <w:hyperlink r:id="rId32" w:tgtFrame="_blank">
        <w:r>
          <w:rPr>
            <w:rStyle w:val="Internet"/>
            <w:rFonts w:ascii="Arial" w:hAnsi="Arial" w:cs="Arial" w:eastAsia="仿宋_GB2312;仿宋"/>
            <w:sz w:val="28"/>
          </w:rPr>
          <w:t>土地所有权</w:t>
        </w:r>
      </w:hyperlink>
      <w:r>
        <w:rPr>
          <w:rFonts w:ascii="Arial" w:hAnsi="Arial" w:cs="Arial" w:eastAsia="仿宋_GB2312;仿宋"/>
          <w:sz w:val="28"/>
        </w:rPr>
        <w:t>收益来确定</w:t>
      </w:r>
      <w:hyperlink r:id="rId33" w:tgtFrame="_blank">
        <w:r>
          <w:rPr>
            <w:rStyle w:val="Internet"/>
            <w:rFonts w:ascii="Arial" w:hAnsi="Arial" w:cs="Arial" w:eastAsia="仿宋_GB2312;仿宋"/>
            <w:sz w:val="28"/>
          </w:rPr>
          <w:t>土地价格</w:t>
        </w:r>
      </w:hyperlink>
      <w:r>
        <w:rPr>
          <w:rFonts w:ascii="Arial" w:hAnsi="Arial" w:cs="Arial" w:eastAsia="仿宋_GB2312;仿宋"/>
          <w:sz w:val="28"/>
        </w:rPr>
        <w:t>的估价方法。成本逼近法一般是用于新开发土地，或土地市场欠发育、交易实例少的地区的土地价格评估。</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剩余（增值收益扣减）法</w:t>
      </w:r>
      <w:r>
        <w:rPr>
          <w:rFonts w:ascii="Arial" w:hAnsi="Arial" w:cs="Arial" w:eastAsia="仿宋_GB2312;仿宋"/>
          <w:sz w:val="28"/>
        </w:rPr>
        <w:t>：</w:t>
      </w:r>
      <w:r>
        <w:rPr>
          <w:rFonts w:ascii="Arial" w:hAnsi="Arial" w:cs="Arial" w:eastAsia="仿宋_GB2312;仿宋"/>
          <w:sz w:val="28"/>
        </w:rPr>
        <w:t>是在《城镇土地估价规程》剩余法思路上衍生技术路线，通过出让土地使用权价格扣减土地增值收益的方法评估划拨地价。估价对象周边市场满足出让土地使用权价格评估，北京市暂未公布土地增值收益，可以通过招拍挂市场成交价与土地一级开发成本差额计算土地增值收益，但与收储市场存在一定差异难以量化。</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基准地价系数修正法：该方法适用于政府或其有关部门已公布基准地价地区的土地估价。</w:t>
      </w:r>
    </w:p>
    <w:p>
      <w:pPr>
        <w:pStyle w:val="BodyTextIndent2"/>
        <w:widowControl/>
        <w:tabs>
          <w:tab w:val="clear" w:pos="420"/>
          <w:tab w:val="right" w:pos="8840" w:leader="none"/>
        </w:tabs>
        <w:spacing w:lineRule="auto" w:line="360"/>
        <w:ind w:firstLine="560"/>
        <w:textAlignment w:val="bottom"/>
        <w:rPr/>
      </w:pPr>
      <w:r>
        <w:rPr>
          <w:rFonts w:ascii="Arial" w:hAnsi="Arial" w:cs="Arial" w:eastAsia="仿宋_GB2312;仿宋"/>
          <w:kern w:val="2"/>
        </w:rPr>
        <w:t>依据《关于发布</w:t>
      </w:r>
      <w:r>
        <w:rPr>
          <w:rFonts w:eastAsia="仿宋_GB2312;仿宋" w:cs="Arial" w:ascii="Arial" w:hAnsi="Arial"/>
          <w:kern w:val="2"/>
        </w:rPr>
        <w:t>&lt;</w:t>
      </w:r>
      <w:r>
        <w:rPr>
          <w:rFonts w:ascii="Arial" w:hAnsi="Arial" w:cs="Arial" w:eastAsia="仿宋_GB2312;仿宋"/>
          <w:kern w:val="2"/>
        </w:rPr>
        <w:t>北京市企业国有建设用地使用权收购补偿价格评估技术指引</w:t>
      </w:r>
      <w:r>
        <w:rPr>
          <w:rFonts w:eastAsia="仿宋_GB2312;仿宋" w:cs="Arial" w:ascii="Arial" w:hAnsi="Arial"/>
          <w:kern w:val="2"/>
        </w:rPr>
        <w:t>&gt;</w:t>
      </w:r>
      <w:r>
        <w:rPr>
          <w:rFonts w:ascii="Arial" w:hAnsi="Arial" w:cs="Arial" w:eastAsia="仿宋_GB2312;仿宋"/>
          <w:kern w:val="2"/>
        </w:rPr>
        <w:t>的通知》</w:t>
      </w:r>
      <w:r>
        <w:rPr>
          <w:rFonts w:eastAsia="仿宋_GB2312;仿宋" w:cs="Arial" w:ascii="Arial" w:hAnsi="Arial"/>
          <w:kern w:val="2"/>
        </w:rPr>
        <w:t>[</w:t>
      </w:r>
      <w:r>
        <w:rPr>
          <w:rFonts w:ascii="Arial" w:hAnsi="Arial" w:cs="Arial" w:eastAsia="仿宋_GB2312;仿宋"/>
          <w:kern w:val="2"/>
        </w:rPr>
        <w:t>北估秘（</w:t>
      </w:r>
      <w:r>
        <w:rPr>
          <w:rFonts w:eastAsia="仿宋_GB2312;仿宋" w:cs="Arial" w:ascii="Arial" w:hAnsi="Arial"/>
          <w:kern w:val="2"/>
        </w:rPr>
        <w:t>2018</w:t>
      </w:r>
      <w:r>
        <w:rPr>
          <w:rFonts w:ascii="Arial" w:hAnsi="Arial" w:cs="Arial" w:eastAsia="仿宋_GB2312;仿宋"/>
          <w:kern w:val="2"/>
        </w:rPr>
        <w:t>）</w:t>
      </w:r>
      <w:r>
        <w:rPr>
          <w:rFonts w:eastAsia="仿宋_GB2312;仿宋" w:cs="Arial" w:ascii="Arial" w:hAnsi="Arial"/>
          <w:kern w:val="2"/>
        </w:rPr>
        <w:t>004</w:t>
      </w:r>
      <w:r>
        <w:rPr>
          <w:rFonts w:ascii="Arial" w:hAnsi="Arial" w:cs="Arial" w:eastAsia="仿宋_GB2312;仿宋"/>
          <w:kern w:val="2"/>
        </w:rPr>
        <w:t>号</w:t>
      </w:r>
      <w:r>
        <w:rPr>
          <w:rFonts w:eastAsia="仿宋_GB2312;仿宋" w:cs="Arial" w:ascii="Arial" w:hAnsi="Arial"/>
          <w:kern w:val="2"/>
        </w:rPr>
        <w:t>]</w:t>
      </w:r>
      <w:r>
        <w:rPr>
          <w:rFonts w:ascii="Arial" w:hAnsi="Arial" w:cs="Arial" w:eastAsia="仿宋_GB2312;仿宋"/>
          <w:kern w:val="2"/>
        </w:rPr>
        <w:t>、</w:t>
      </w:r>
      <w:r>
        <w:rPr>
          <w:rFonts w:ascii="Arial" w:hAnsi="Arial" w:cs="Arial" w:eastAsia="仿宋_GB2312;仿宋"/>
        </w:rPr>
        <w:t>《关于发布</w:t>
      </w:r>
      <w:r>
        <w:rPr>
          <w:rFonts w:ascii="仿宋" w:hAnsi="仿宋" w:cs="Arial" w:eastAsia="仿宋"/>
        </w:rPr>
        <w:t>〈</w:t>
      </w:r>
      <w:r>
        <w:rPr>
          <w:rFonts w:ascii="Arial" w:hAnsi="Arial" w:cs="Arial" w:eastAsia="仿宋_GB2312;仿宋"/>
        </w:rPr>
        <w:t>北京市企业国有建设用地使用权收购补偿价格评估技术指引</w:t>
      </w:r>
      <w:r>
        <w:rPr>
          <w:rFonts w:ascii="仿宋" w:hAnsi="仿宋" w:cs="Arial" w:eastAsia="仿宋"/>
        </w:rPr>
        <w:t>〉</w:t>
      </w:r>
      <w:r>
        <w:rPr>
          <w:rFonts w:ascii="Arial" w:hAnsi="Arial" w:cs="Arial" w:eastAsia="仿宋_GB2312;仿宋"/>
        </w:rPr>
        <w:t>应用有关说明的通知》</w:t>
      </w:r>
      <w:r>
        <w:rPr>
          <w:rFonts w:eastAsia="仿宋_GB2312;仿宋" w:cs="Arial" w:ascii="Arial" w:hAnsi="Arial"/>
        </w:rPr>
        <w:t>[</w:t>
      </w:r>
      <w:r>
        <w:rPr>
          <w:rFonts w:ascii="Arial" w:hAnsi="Arial" w:cs="Arial" w:eastAsia="仿宋_GB2312;仿宋"/>
        </w:rPr>
        <w:t>北估秘（</w:t>
      </w:r>
      <w:r>
        <w:rPr>
          <w:rFonts w:eastAsia="仿宋_GB2312;仿宋" w:cs="Arial" w:ascii="Arial" w:hAnsi="Arial"/>
        </w:rPr>
        <w:t>2021</w:t>
      </w:r>
      <w:r>
        <w:rPr>
          <w:rFonts w:ascii="Arial" w:hAnsi="Arial" w:cs="Arial" w:eastAsia="仿宋_GB2312;仿宋"/>
        </w:rPr>
        <w:t>）</w:t>
      </w:r>
      <w:r>
        <w:rPr>
          <w:rFonts w:eastAsia="仿宋_GB2312;仿宋" w:cs="Arial" w:ascii="Arial" w:hAnsi="Arial"/>
        </w:rPr>
        <w:t>001</w:t>
      </w:r>
      <w:r>
        <w:rPr>
          <w:rFonts w:ascii="Arial" w:hAnsi="Arial" w:cs="Arial" w:eastAsia="仿宋_GB2312;仿宋"/>
        </w:rPr>
        <w:t>号</w:t>
      </w:r>
      <w:r>
        <w:rPr>
          <w:rFonts w:eastAsia="仿宋_GB2312;仿宋" w:cs="Arial" w:ascii="Arial" w:hAnsi="Arial"/>
        </w:rPr>
        <w:t>]</w:t>
      </w:r>
      <w:r>
        <w:rPr>
          <w:rFonts w:ascii="Arial" w:hAnsi="Arial" w:cs="Arial" w:eastAsia="仿宋_GB2312;仿宋"/>
          <w:kern w:val="2"/>
        </w:rPr>
        <w:t>，</w:t>
      </w:r>
      <w:r>
        <w:rPr>
          <w:rFonts w:ascii="Arial" w:hAnsi="Arial" w:cs="Arial" w:eastAsia="仿宋_GB2312;仿宋"/>
        </w:rPr>
        <w:t>土地估价师应综合考虑区位、用途、土地使用权类型、土地开发程度等价格影响因素，对</w:t>
      </w:r>
      <w:r>
        <w:rPr>
          <w:rFonts w:ascii="Arial" w:hAnsi="Arial" w:cs="Arial" w:eastAsia="仿宋_GB2312;仿宋"/>
        </w:rPr>
        <w:t>估价方法</w:t>
      </w:r>
      <w:r>
        <w:rPr>
          <w:rFonts w:ascii="Arial" w:hAnsi="Arial" w:cs="Arial" w:eastAsia="仿宋_GB2312;仿宋"/>
        </w:rPr>
        <w:t>进行适用性分析后，选用两种以上评估方法</w:t>
      </w:r>
      <w:r>
        <w:rPr>
          <w:rFonts w:ascii="Arial" w:hAnsi="Arial" w:cs="Arial" w:eastAsia="仿宋_GB2312;仿宋"/>
          <w:kern w:val="2"/>
        </w:rPr>
        <w:t>。</w:t>
      </w:r>
    </w:p>
    <w:p>
      <w:pPr>
        <w:pStyle w:val="Normal"/>
        <w:spacing w:lineRule="auto" w:line="360"/>
        <w:ind w:left="-2" w:firstLine="560"/>
        <w:jc w:val="both"/>
        <w:rPr>
          <w:rFonts w:ascii="Arial" w:hAnsi="Arial" w:eastAsia="仿宋_GB2312;仿宋" w:cs="Arial"/>
          <w:sz w:val="28"/>
        </w:rPr>
      </w:pPr>
      <w:r>
        <w:rPr>
          <w:rFonts w:ascii="Arial" w:hAnsi="Arial" w:cs="Arial" w:eastAsia="仿宋_GB2312;仿宋"/>
          <w:sz w:val="28"/>
        </w:rPr>
        <w:t>评估专业人员在认真分析所掌握的资料并进行了实地勘查之后，根据估价对象土地的特点及开发项目本身的实际状况，选取市场比较法和成本逼近法作为本次评估的基本方法，</w:t>
      </w:r>
      <w:r>
        <w:rPr>
          <w:rFonts w:ascii="Arial" w:hAnsi="Arial" w:cs="Arial" w:eastAsia="仿宋_GB2312;仿宋"/>
          <w:sz w:val="28"/>
        </w:rPr>
        <w:t>估算</w:t>
      </w:r>
      <w:r>
        <w:rPr>
          <w:rFonts w:ascii="Arial" w:hAnsi="Arial" w:cs="Arial" w:eastAsia="仿宋_GB2312;仿宋"/>
          <w:sz w:val="28"/>
        </w:rPr>
        <w:t>国有建设用地划拨使用权收购补偿价格</w:t>
      </w:r>
      <w:r>
        <w:rPr>
          <w:rFonts w:ascii="Arial" w:hAnsi="Arial" w:cs="Arial" w:eastAsia="仿宋_GB2312;仿宋"/>
          <w:sz w:val="28"/>
        </w:rPr>
        <w:t>。</w:t>
      </w:r>
    </w:p>
    <w:p>
      <w:pPr>
        <w:pStyle w:val="Normal"/>
        <w:snapToGrid w:val="false"/>
        <w:spacing w:lineRule="auto" w:line="360"/>
        <w:ind w:left="560" w:hanging="0"/>
        <w:rPr>
          <w:rFonts w:ascii="Arial" w:hAnsi="Arial" w:eastAsia="仿宋_GB2312;仿宋" w:cs="Arial"/>
          <w:sz w:val="28"/>
          <w:szCs w:val="28"/>
        </w:rPr>
      </w:pPr>
      <w:r>
        <w:rPr>
          <w:rFonts w:ascii="Arial" w:hAnsi="Arial" w:cs="Arial" w:eastAsia="仿宋_GB2312;仿宋"/>
          <w:sz w:val="28"/>
          <w:szCs w:val="28"/>
        </w:rPr>
        <w:t>（</w:t>
      </w:r>
      <w:r>
        <w:rPr>
          <w:rFonts w:eastAsia="仿宋_GB2312;仿宋" w:cs="Arial" w:ascii="Arial" w:hAnsi="Arial"/>
          <w:sz w:val="28"/>
          <w:szCs w:val="28"/>
        </w:rPr>
        <w:t>2</w:t>
      </w:r>
      <w:r>
        <w:rPr>
          <w:rFonts w:ascii="Arial" w:hAnsi="Arial" w:cs="Arial" w:eastAsia="仿宋_GB2312;仿宋"/>
          <w:sz w:val="28"/>
          <w:szCs w:val="28"/>
        </w:rPr>
        <w:t>）房屋重置成新价的评估方法</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按照《指引》，房地分开评估时，建（构）筑物价格的</w:t>
      </w:r>
      <w:r>
        <w:rPr>
          <w:rFonts w:ascii="Arial" w:hAnsi="Arial" w:cs="Arial" w:eastAsia="仿宋_GB2312;仿宋"/>
          <w:sz w:val="28"/>
        </w:rPr>
        <w:t>估算</w:t>
      </w:r>
      <w:r>
        <w:rPr>
          <w:rFonts w:ascii="Arial" w:hAnsi="Arial" w:cs="Arial" w:eastAsia="仿宋_GB2312;仿宋"/>
          <w:sz w:val="28"/>
        </w:rPr>
        <w:t>采用北京市相应的房屋重置成新价评估技术标准。补偿价格</w:t>
      </w:r>
      <w:r>
        <w:rPr>
          <w:rFonts w:ascii="Arial" w:hAnsi="Arial" w:cs="Arial" w:eastAsia="仿宋_GB2312;仿宋"/>
          <w:sz w:val="28"/>
          <w:szCs w:val="28"/>
        </w:rPr>
        <w:t>参考</w:t>
      </w:r>
      <w:r>
        <w:rPr>
          <w:rFonts w:ascii="Arial" w:hAnsi="Arial" w:cs="Arial" w:eastAsia="仿宋_GB2312;仿宋"/>
          <w:sz w:val="28"/>
        </w:rPr>
        <w:t>《北京市房屋重置成新价评估技术标准》</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2016</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、《关于调整</w:t>
      </w:r>
      <w:r>
        <w:rPr>
          <w:rFonts w:ascii="仿宋" w:hAnsi="仿宋" w:cs="Arial" w:eastAsia="仿宋"/>
          <w:sz w:val="28"/>
        </w:rPr>
        <w:t>〈</w:t>
      </w:r>
      <w:r>
        <w:rPr>
          <w:rFonts w:ascii="Arial" w:hAnsi="Arial" w:cs="Arial" w:eastAsia="仿宋_GB2312;仿宋"/>
          <w:sz w:val="28"/>
        </w:rPr>
        <w:t>北京市房屋重置成新价评估技术标准</w:t>
      </w:r>
      <w:r>
        <w:rPr>
          <w:rFonts w:ascii="仿宋" w:hAnsi="仿宋" w:cs="Arial" w:eastAsia="仿宋"/>
          <w:sz w:val="28"/>
        </w:rPr>
        <w:t>〉</w:t>
      </w:r>
      <w:r>
        <w:rPr>
          <w:rFonts w:ascii="Arial" w:hAnsi="Arial" w:cs="Arial" w:eastAsia="仿宋_GB2312;仿宋"/>
          <w:sz w:val="28"/>
        </w:rPr>
        <w:t>相关系数的通知》（</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10</w:t>
      </w:r>
      <w:r>
        <w:rPr>
          <w:rFonts w:ascii="Arial" w:hAnsi="Arial" w:cs="Arial" w:eastAsia="仿宋_GB2312;仿宋"/>
          <w:sz w:val="28"/>
        </w:rPr>
        <w:t>日发布）</w:t>
      </w:r>
      <w:r>
        <w:rPr>
          <w:rFonts w:ascii="Arial" w:hAnsi="Arial" w:cs="Arial" w:eastAsia="仿宋_GB2312;仿宋"/>
          <w:sz w:val="28"/>
          <w:szCs w:val="28"/>
        </w:rPr>
        <w:t>进行评估。</w:t>
      </w:r>
    </w:p>
    <w:p>
      <w:pPr>
        <w:pStyle w:val="Normal"/>
        <w:snapToGrid w:val="false"/>
        <w:spacing w:lineRule="auto" w:line="360"/>
        <w:ind w:firstLine="560"/>
        <w:rPr/>
      </w:pPr>
      <w:r>
        <w:rPr>
          <w:rFonts w:ascii="Arial" w:hAnsi="Arial" w:cs="Arial" w:eastAsia="仿宋_GB2312;仿宋"/>
          <w:sz w:val="28"/>
          <w:szCs w:val="28"/>
        </w:rPr>
        <w:t>（</w:t>
      </w:r>
      <w:r>
        <w:rPr>
          <w:rFonts w:eastAsia="仿宋_GB2312;仿宋" w:cs="Arial" w:ascii="Arial" w:hAnsi="Arial"/>
          <w:sz w:val="28"/>
          <w:szCs w:val="28"/>
        </w:rPr>
        <w:t>3</w:t>
      </w:r>
      <w:r>
        <w:rPr>
          <w:rFonts w:ascii="Arial" w:hAnsi="Arial" w:cs="Arial" w:eastAsia="仿宋_GB2312;仿宋"/>
          <w:sz w:val="28"/>
          <w:szCs w:val="28"/>
        </w:rPr>
        <w:t>）</w:t>
      </w:r>
      <w:r>
        <w:rPr>
          <w:rFonts w:ascii="Arial" w:hAnsi="Arial" w:cs="Arial" w:eastAsia="仿宋_GB2312;仿宋"/>
          <w:sz w:val="28"/>
        </w:rPr>
        <w:t>附属物价格</w:t>
      </w:r>
      <w:r>
        <w:rPr>
          <w:rFonts w:ascii="Arial" w:hAnsi="Arial" w:cs="Arial" w:eastAsia="仿宋_GB2312;仿宋"/>
          <w:sz w:val="28"/>
          <w:szCs w:val="28"/>
        </w:rPr>
        <w:t>的评估方法</w:t>
      </w:r>
    </w:p>
    <w:p>
      <w:pPr>
        <w:pStyle w:val="Normal"/>
        <w:spacing w:lineRule="auto" w:line="360"/>
        <w:ind w:firstLine="560"/>
        <w:jc w:val="both"/>
        <w:rPr/>
      </w:pPr>
      <w:r>
        <w:rPr>
          <w:rFonts w:ascii="Arial" w:hAnsi="Arial" w:cs="Arial" w:eastAsia="仿宋_GB2312;仿宋"/>
          <w:sz w:val="28"/>
        </w:rPr>
        <w:t>附属物包括树木及院地，补偿价格参照《北京市房屋重置成新价评估技术标准》</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2016</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w:t>
      </w:r>
      <w:r>
        <w:rPr>
          <w:rFonts w:ascii="Arial" w:hAnsi="Arial" w:cs="Arial" w:eastAsia="仿宋_GB2312;仿宋"/>
          <w:sz w:val="28"/>
        </w:rPr>
        <w:t>《关于调整</w:t>
      </w:r>
      <w:r>
        <w:rPr>
          <w:rFonts w:ascii="仿宋" w:hAnsi="仿宋" w:cs="Arial" w:eastAsia="仿宋"/>
          <w:sz w:val="28"/>
        </w:rPr>
        <w:t>〈</w:t>
      </w:r>
      <w:r>
        <w:rPr>
          <w:rFonts w:ascii="Arial" w:hAnsi="Arial" w:cs="Arial" w:eastAsia="仿宋_GB2312;仿宋"/>
          <w:sz w:val="28"/>
        </w:rPr>
        <w:t>北京市房屋重置成新价评估技术标准</w:t>
      </w:r>
      <w:r>
        <w:rPr>
          <w:rFonts w:ascii="仿宋" w:hAnsi="仿宋" w:cs="Arial" w:eastAsia="仿宋"/>
          <w:sz w:val="28"/>
        </w:rPr>
        <w:t>〉</w:t>
      </w:r>
      <w:r>
        <w:rPr>
          <w:rFonts w:ascii="Arial" w:hAnsi="Arial" w:cs="Arial" w:eastAsia="仿宋_GB2312;仿宋"/>
          <w:sz w:val="28"/>
        </w:rPr>
        <w:t>相关系数的通知》（</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10</w:t>
      </w:r>
      <w:r>
        <w:rPr>
          <w:rFonts w:ascii="Arial" w:hAnsi="Arial" w:cs="Arial" w:eastAsia="仿宋_GB2312;仿宋"/>
          <w:sz w:val="28"/>
        </w:rPr>
        <w:t>日发布）</w:t>
      </w:r>
      <w:r>
        <w:rPr>
          <w:rFonts w:ascii="Arial" w:hAnsi="Arial" w:cs="Arial" w:eastAsia="仿宋_GB2312;仿宋"/>
          <w:sz w:val="28"/>
        </w:rPr>
        <w:t>进行评估。</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w:t>
      </w:r>
      <w:r>
        <w:rPr>
          <w:rFonts w:eastAsia="仿宋_GB2312;仿宋" w:cs="Arial" w:ascii="Arial" w:hAnsi="Arial"/>
          <w:sz w:val="28"/>
        </w:rPr>
        <w:t>4</w:t>
      </w:r>
      <w:r>
        <w:rPr>
          <w:rFonts w:ascii="Arial" w:hAnsi="Arial" w:cs="Arial" w:eastAsia="仿宋_GB2312;仿宋"/>
          <w:sz w:val="28"/>
        </w:rPr>
        <w:t>）无法恢复使用的设施设备补偿价格的评估方法</w:t>
      </w:r>
    </w:p>
    <w:p>
      <w:pPr>
        <w:pStyle w:val="Normal"/>
        <w:spacing w:lineRule="auto" w:line="360"/>
        <w:ind w:firstLine="560"/>
        <w:rPr/>
      </w:pPr>
      <w:r>
        <w:rPr>
          <w:rFonts w:ascii="Arial" w:hAnsi="Arial" w:cs="Arial" w:eastAsia="仿宋_GB2312;仿宋"/>
          <w:sz w:val="28"/>
        </w:rPr>
        <w:t>由于估价对象宗地并未进行生产，现状实际大部分土地闲置空地，且未能提供设施设备的权属证明。经评估专业人员现场勘察，本次</w:t>
      </w:r>
      <w:r>
        <w:rPr>
          <w:rFonts w:ascii="Arial" w:hAnsi="Arial" w:cs="Arial" w:eastAsia="仿宋_GB2312;仿宋"/>
          <w:sz w:val="28"/>
        </w:rPr>
        <w:t>估算</w:t>
      </w:r>
      <w:r>
        <w:rPr>
          <w:rFonts w:ascii="Arial" w:hAnsi="Arial" w:cs="Arial" w:eastAsia="仿宋_GB2312;仿宋"/>
          <w:sz w:val="28"/>
        </w:rPr>
        <w:t>设定不存在因土地收购造成的无法恢复使用的设施设备情况。</w:t>
      </w:r>
    </w:p>
    <w:p>
      <w:pPr>
        <w:pStyle w:val="Normal"/>
        <w:spacing w:lineRule="auto" w:line="360"/>
        <w:ind w:firstLine="560"/>
        <w:rPr/>
      </w:pPr>
      <w:r>
        <w:rPr>
          <w:rFonts w:ascii="Arial" w:hAnsi="Arial" w:cs="Arial" w:eastAsia="仿宋_GB2312;仿宋"/>
          <w:sz w:val="28"/>
          <w:szCs w:val="28"/>
        </w:rPr>
        <w:t>（</w:t>
      </w:r>
      <w:r>
        <w:rPr>
          <w:rFonts w:eastAsia="仿宋_GB2312;仿宋" w:cs="Arial" w:ascii="Arial" w:hAnsi="Arial"/>
          <w:sz w:val="28"/>
          <w:szCs w:val="28"/>
        </w:rPr>
        <w:t>5</w:t>
      </w:r>
      <w:r>
        <w:rPr>
          <w:rFonts w:ascii="Arial" w:hAnsi="Arial" w:cs="Arial" w:eastAsia="仿宋_GB2312;仿宋"/>
          <w:sz w:val="28"/>
          <w:szCs w:val="28"/>
        </w:rPr>
        <w:t>）</w:t>
      </w:r>
      <w:r>
        <w:rPr>
          <w:rFonts w:ascii="Arial" w:hAnsi="Arial" w:cs="Arial" w:eastAsia="仿宋_GB2312;仿宋"/>
          <w:sz w:val="28"/>
        </w:rPr>
        <w:t>停产停业损失补偿费用</w:t>
      </w:r>
    </w:p>
    <w:p>
      <w:pPr>
        <w:pStyle w:val="Normal"/>
        <w:spacing w:lineRule="auto" w:line="360"/>
        <w:ind w:left="-2" w:firstLine="560"/>
        <w:jc w:val="both"/>
        <w:rPr>
          <w:rFonts w:ascii="Arial" w:hAnsi="Arial" w:eastAsia="仿宋_GB2312;仿宋" w:cs="Arial"/>
          <w:sz w:val="28"/>
        </w:rPr>
      </w:pPr>
      <w:r>
        <w:rPr>
          <w:rFonts w:ascii="Arial" w:hAnsi="Arial" w:cs="Arial" w:eastAsia="仿宋_GB2312;仿宋"/>
          <w:sz w:val="28"/>
        </w:rPr>
        <w:t>停产停业损失补偿包括房屋停产停业期间租金、净利润损失、员工生活补助费，参照《北京市国有土地上房屋征收停产停业损失补偿暂行办法》</w:t>
      </w:r>
      <w:r>
        <w:rPr>
          <w:rFonts w:eastAsia="仿宋_GB2312;仿宋" w:cs="Arial" w:ascii="Arial" w:hAnsi="Arial"/>
          <w:sz w:val="28"/>
        </w:rPr>
        <w:t>[</w:t>
      </w:r>
      <w:r>
        <w:rPr>
          <w:rFonts w:ascii="Arial" w:hAnsi="Arial" w:cs="Arial" w:eastAsia="仿宋_GB2312;仿宋"/>
          <w:sz w:val="28"/>
        </w:rPr>
        <w:t>京建法（</w:t>
      </w:r>
      <w:r>
        <w:rPr>
          <w:rFonts w:eastAsia="仿宋_GB2312;仿宋" w:cs="Arial" w:ascii="Arial" w:hAnsi="Arial"/>
          <w:sz w:val="28"/>
        </w:rPr>
        <w:t>2011</w:t>
      </w:r>
      <w:r>
        <w:rPr>
          <w:rFonts w:ascii="Arial" w:hAnsi="Arial" w:cs="Arial" w:eastAsia="仿宋_GB2312;仿宋"/>
          <w:sz w:val="28"/>
        </w:rPr>
        <w:t>）</w:t>
      </w:r>
      <w:r>
        <w:rPr>
          <w:rFonts w:eastAsia="仿宋_GB2312;仿宋" w:cs="Arial" w:ascii="Arial" w:hAnsi="Arial"/>
          <w:sz w:val="28"/>
        </w:rPr>
        <w:t>18</w:t>
      </w:r>
      <w:r>
        <w:rPr>
          <w:rFonts w:ascii="Arial" w:hAnsi="Arial" w:cs="Arial" w:eastAsia="仿宋_GB2312;仿宋"/>
          <w:sz w:val="28"/>
        </w:rPr>
        <w:t>号</w:t>
      </w:r>
      <w:r>
        <w:rPr>
          <w:rFonts w:eastAsia="仿宋_GB2312;仿宋" w:cs="Arial" w:ascii="Arial" w:hAnsi="Arial"/>
          <w:sz w:val="28"/>
        </w:rPr>
        <w:t xml:space="preserve">] </w:t>
      </w:r>
      <w:r>
        <w:rPr>
          <w:rFonts w:ascii="Arial" w:hAnsi="Arial" w:cs="Arial" w:eastAsia="仿宋_GB2312;仿宋"/>
          <w:sz w:val="28"/>
        </w:rPr>
        <w:t>、《关于发布</w:t>
      </w:r>
      <w:r>
        <w:rPr>
          <w:rFonts w:eastAsia="仿宋_GB2312;仿宋" w:cs="Arial" w:ascii="Arial" w:hAnsi="Arial"/>
          <w:sz w:val="28"/>
        </w:rPr>
        <w:t>&lt;</w:t>
      </w:r>
      <w:r>
        <w:rPr>
          <w:rFonts w:ascii="Arial" w:hAnsi="Arial" w:cs="Arial" w:eastAsia="仿宋_GB2312;仿宋"/>
          <w:sz w:val="28"/>
        </w:rPr>
        <w:t>北京市企业国有建设用地使用权收购补偿价格评估技术指引</w:t>
      </w:r>
      <w:r>
        <w:rPr>
          <w:rFonts w:eastAsia="仿宋_GB2312;仿宋" w:cs="Arial" w:ascii="Arial" w:hAnsi="Arial"/>
          <w:sz w:val="28"/>
        </w:rPr>
        <w:t>&gt;</w:t>
      </w:r>
      <w:r>
        <w:rPr>
          <w:rFonts w:ascii="Arial" w:hAnsi="Arial" w:cs="Arial" w:eastAsia="仿宋_GB2312;仿宋"/>
          <w:sz w:val="28"/>
        </w:rPr>
        <w:t>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2018</w:t>
      </w:r>
      <w:r>
        <w:rPr>
          <w:rFonts w:ascii="Arial" w:hAnsi="Arial" w:cs="Arial" w:eastAsia="仿宋_GB2312;仿宋"/>
          <w:sz w:val="28"/>
        </w:rPr>
        <w:t>）</w:t>
      </w:r>
      <w:r>
        <w:rPr>
          <w:rFonts w:eastAsia="仿宋_GB2312;仿宋" w:cs="Arial" w:ascii="Arial" w:hAnsi="Arial"/>
          <w:sz w:val="28"/>
        </w:rPr>
        <w:t>004</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、《关于发布</w:t>
      </w:r>
      <w:r>
        <w:rPr>
          <w:rFonts w:ascii="仿宋" w:hAnsi="仿宋" w:cs="Arial" w:eastAsia="仿宋"/>
          <w:sz w:val="28"/>
        </w:rPr>
        <w:t>〈</w:t>
      </w:r>
      <w:r>
        <w:rPr>
          <w:rFonts w:ascii="Arial" w:hAnsi="Arial" w:cs="Arial" w:eastAsia="仿宋_GB2312;仿宋"/>
          <w:sz w:val="28"/>
        </w:rPr>
        <w:t>北京市企业国有建设用地使用权收购补偿价格评估技术指引</w:t>
      </w:r>
      <w:r>
        <w:rPr>
          <w:rFonts w:ascii="仿宋" w:hAnsi="仿宋" w:cs="Arial" w:eastAsia="仿宋"/>
          <w:sz w:val="28"/>
        </w:rPr>
        <w:t>〉</w:t>
      </w:r>
      <w:r>
        <w:rPr>
          <w:rFonts w:ascii="Arial" w:hAnsi="Arial" w:cs="Arial" w:eastAsia="仿宋_GB2312;仿宋"/>
          <w:sz w:val="28"/>
        </w:rPr>
        <w:t>应用有关说明的通知》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2021</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确定。</w:t>
      </w:r>
    </w:p>
    <w:p>
      <w:pPr>
        <w:pStyle w:val="Normal"/>
        <w:spacing w:lineRule="auto" w:line="360"/>
        <w:ind w:firstLine="560"/>
        <w:rPr>
          <w:rFonts w:ascii="Arial" w:hAnsi="Arial" w:eastAsia="仿宋_GB2312;仿宋" w:cs="Arial"/>
          <w:sz w:val="28"/>
        </w:rPr>
      </w:pPr>
      <w:r>
        <w:rPr>
          <w:rFonts w:ascii="Arial" w:hAnsi="Arial" w:cs="Arial" w:eastAsia="仿宋_GB2312;仿宋"/>
          <w:sz w:val="28"/>
        </w:rPr>
        <w:t>由于</w:t>
      </w:r>
      <w:r>
        <w:rPr>
          <w:rFonts w:ascii="Arial" w:hAnsi="Arial" w:cs="Arial" w:eastAsia="仿宋_GB2312;仿宋"/>
          <w:sz w:val="28"/>
        </w:rPr>
        <w:t>估价对象宗地未进行生产，现状实际大部分土地闲置空地，经评估专业人员现场勘察，不存在</w:t>
      </w:r>
      <w:r>
        <w:rPr>
          <w:rFonts w:ascii="仿宋_GB2312;仿宋" w:hAnsi="仿宋_GB2312;仿宋" w:cs="Arial" w:eastAsia="仿宋_GB2312;仿宋"/>
          <w:sz w:val="28"/>
        </w:rPr>
        <w:t>因土地收购造成的停产停业损失补偿</w:t>
      </w:r>
      <w:r>
        <w:rPr>
          <w:rFonts w:ascii="Arial" w:hAnsi="Arial" w:cs="Arial" w:eastAsia="仿宋_GB2312;仿宋"/>
          <w:sz w:val="28"/>
        </w:rPr>
        <w:t>情况。</w:t>
      </w:r>
    </w:p>
    <w:p>
      <w:pPr>
        <w:pStyle w:val="Normal"/>
        <w:spacing w:lineRule="auto" w:line="360"/>
        <w:ind w:firstLine="560"/>
        <w:rPr>
          <w:rFonts w:ascii="Arial" w:hAnsi="Arial" w:eastAsia="仿宋_GB2312;仿宋" w:cs="Arial"/>
          <w:sz w:val="28"/>
        </w:rPr>
      </w:pPr>
      <w:r>
        <w:rPr>
          <w:rFonts w:ascii="Arial" w:hAnsi="Arial" w:cs="Arial" w:eastAsia="仿宋_GB2312;仿宋"/>
          <w:sz w:val="28"/>
        </w:rPr>
        <w:t>（</w:t>
      </w:r>
      <w:r>
        <w:rPr>
          <w:rFonts w:eastAsia="仿宋_GB2312;仿宋" w:cs="Arial" w:ascii="Arial" w:hAnsi="Arial"/>
          <w:sz w:val="28"/>
        </w:rPr>
        <w:t>6</w:t>
      </w:r>
      <w:r>
        <w:rPr>
          <w:rFonts w:ascii="Arial" w:hAnsi="Arial" w:cs="Arial" w:eastAsia="仿宋_GB2312;仿宋"/>
          <w:sz w:val="28"/>
        </w:rPr>
        <w:t>）搬迁、临时安置补偿费用</w:t>
      </w:r>
    </w:p>
    <w:p>
      <w:pPr>
        <w:pStyle w:val="Normal1"/>
        <w:autoSpaceDE w:val="false"/>
        <w:spacing w:lineRule="auto" w:line="360"/>
        <w:ind w:right="31" w:firstLine="560"/>
        <w:jc w:val="both"/>
        <w:textAlignment w:val="bottom"/>
        <w:rPr>
          <w:rFonts w:ascii="Arial" w:hAnsi="Arial" w:eastAsia="仿宋_GB2312;仿宋" w:cs="Arial"/>
          <w:sz w:val="28"/>
        </w:rPr>
      </w:pPr>
      <w:r>
        <w:rPr>
          <w:rFonts w:ascii="Arial" w:hAnsi="Arial" w:cs="Arial" w:eastAsia="仿宋_GB2312;仿宋"/>
          <w:sz w:val="28"/>
        </w:rPr>
        <w:t>参照《关于国有土地上房屋征收与补偿中有关事项的通知》</w:t>
      </w:r>
      <w:r>
        <w:rPr>
          <w:rFonts w:eastAsia="仿宋_GB2312;仿宋" w:cs="Arial" w:ascii="Arial" w:hAnsi="Arial"/>
          <w:sz w:val="28"/>
        </w:rPr>
        <w:t>[</w:t>
      </w:r>
      <w:r>
        <w:rPr>
          <w:rFonts w:ascii="Arial" w:hAnsi="Arial" w:cs="Arial" w:eastAsia="仿宋_GB2312;仿宋"/>
          <w:sz w:val="28"/>
        </w:rPr>
        <w:t>京建法</w:t>
      </w:r>
      <w:r>
        <w:rPr>
          <w:rFonts w:ascii="Arial" w:hAnsi="Arial" w:cs="Arial"/>
          <w:sz w:val="28"/>
        </w:rPr>
        <w:t>（</w:t>
      </w:r>
      <w:r>
        <w:rPr>
          <w:rFonts w:eastAsia="仿宋_GB2312;仿宋" w:cs="Arial" w:ascii="Arial" w:hAnsi="Arial"/>
          <w:sz w:val="28"/>
        </w:rPr>
        <w:t>2012</w:t>
      </w:r>
      <w:r>
        <w:rPr>
          <w:rFonts w:ascii="Arial" w:hAnsi="Arial" w:cs="Arial"/>
          <w:sz w:val="28"/>
        </w:rPr>
        <w:t>）</w:t>
      </w:r>
      <w:r>
        <w:rPr>
          <w:rFonts w:eastAsia="仿宋_GB2312;仿宋" w:cs="Arial" w:ascii="Arial" w:hAnsi="Arial"/>
          <w:sz w:val="28"/>
        </w:rPr>
        <w:t>19</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确定。</w:t>
      </w:r>
    </w:p>
    <w:p>
      <w:pPr>
        <w:pStyle w:val="Normal"/>
        <w:spacing w:lineRule="auto" w:line="360"/>
        <w:ind w:left="-2" w:firstLine="560"/>
        <w:jc w:val="both"/>
        <w:rPr/>
      </w:pPr>
      <w:r>
        <w:rPr>
          <w:rFonts w:eastAsia="仿宋_GB2312;仿宋" w:cs="Arial" w:ascii="Arial" w:hAnsi="Arial"/>
          <w:sz w:val="28"/>
          <w:szCs w:val="28"/>
        </w:rPr>
        <w:t>2.</w:t>
      </w:r>
      <w:r>
        <w:rPr>
          <w:rFonts w:ascii="Arial" w:hAnsi="Arial" w:cs="Arial" w:eastAsia="仿宋_GB2312;仿宋"/>
          <w:sz w:val="28"/>
          <w:szCs w:val="28"/>
        </w:rPr>
        <w:t>本次评估所采用的估价方法简述如下：</w:t>
      </w:r>
    </w:p>
    <w:p>
      <w:pPr>
        <w:pStyle w:val="Normal1"/>
        <w:autoSpaceDE w:val="false"/>
        <w:spacing w:lineRule="auto" w:line="360"/>
        <w:ind w:right="3" w:firstLine="566"/>
        <w:jc w:val="both"/>
        <w:textAlignment w:val="bottom"/>
        <w:rPr/>
      </w:pPr>
      <w:r>
        <w:rPr>
          <w:rFonts w:ascii="Arial" w:hAnsi="Arial" w:cs="Arial" w:eastAsia="仿宋_GB2312;仿宋"/>
          <w:sz w:val="28"/>
        </w:rPr>
        <w:t>（</w:t>
      </w:r>
      <w:r>
        <w:rPr>
          <w:rFonts w:eastAsia="仿宋_GB2312;仿宋" w:cs="Arial" w:ascii="Arial" w:hAnsi="Arial"/>
          <w:sz w:val="28"/>
        </w:rPr>
        <w:t>1</w:t>
      </w:r>
      <w:r>
        <w:rPr>
          <w:rFonts w:ascii="Arial" w:hAnsi="Arial" w:cs="Arial" w:eastAsia="仿宋_GB2312;仿宋"/>
          <w:sz w:val="28"/>
        </w:rPr>
        <w:t>）市场比较法</w:t>
      </w:r>
    </w:p>
    <w:p>
      <w:pPr>
        <w:pStyle w:val="Normal1"/>
        <w:autoSpaceDE w:val="false"/>
        <w:spacing w:lineRule="auto" w:line="360"/>
        <w:ind w:right="3" w:firstLine="566"/>
        <w:jc w:val="both"/>
        <w:textAlignment w:val="bottom"/>
        <w:rPr>
          <w:rFonts w:ascii="仿宋_GB2312;仿宋" w:hAnsi="仿宋_GB2312;仿宋" w:eastAsia="仿宋_GB2312;仿宋"/>
          <w:sz w:val="28"/>
        </w:rPr>
      </w:pPr>
      <w:r>
        <w:rPr>
          <w:rFonts w:ascii="仿宋_GB2312;仿宋" w:hAnsi="仿宋_GB2312;仿宋" w:cs="Arial" w:eastAsia="仿宋_GB2312;仿宋"/>
          <w:sz w:val="28"/>
        </w:rPr>
        <w:t>根据替代原理，将待估宗地与具有替代性的，且在估价期日近期市场上交易的类似宗地进行比较，并对类似宗地的成交价格进行差异修正，以此估算待估宗地价格的方法。</w:t>
      </w:r>
    </w:p>
    <w:p>
      <w:pPr>
        <w:pStyle w:val="Normal1"/>
        <w:autoSpaceDE w:val="false"/>
        <w:spacing w:lineRule="auto" w:line="360"/>
        <w:ind w:right="3" w:firstLine="566"/>
        <w:jc w:val="both"/>
        <w:textAlignment w:val="bottom"/>
        <w:rPr>
          <w:rFonts w:ascii="仿宋_GB2312;仿宋" w:hAnsi="仿宋_GB2312;仿宋" w:eastAsia="仿宋_GB2312;仿宋"/>
          <w:sz w:val="28"/>
        </w:rPr>
      </w:pPr>
      <w:r>
        <w:rPr>
          <w:rFonts w:ascii="仿宋_GB2312;仿宋" w:hAnsi="仿宋_GB2312;仿宋" w:eastAsia="仿宋_GB2312;仿宋"/>
          <w:sz w:val="28"/>
        </w:rPr>
        <w:t>其计算公式为：</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rPr>
      </w:pPr>
      <w:r>
        <w:rPr>
          <w:rFonts w:eastAsia="仿宋_GB2312;仿宋" w:cs="Arial" w:ascii="Arial" w:hAnsi="Arial"/>
          <w:color w:val="000000"/>
          <w:sz w:val="28"/>
        </w:rPr>
        <w:t>P</w:t>
      </w:r>
      <w:r>
        <w:rPr>
          <w:rFonts w:eastAsia="仿宋_GB2312;仿宋" w:ascii="仿宋_GB2312;仿宋" w:hAnsi="仿宋_GB2312;仿宋"/>
          <w:color w:val="000000"/>
          <w:sz w:val="28"/>
        </w:rPr>
        <w:t>=</w:t>
      </w:r>
      <w:r>
        <w:rPr>
          <w:rFonts w:eastAsia="仿宋_GB2312;仿宋" w:cs="Arial" w:ascii="Arial" w:hAnsi="Arial"/>
          <w:color w:val="000000"/>
          <w:sz w:val="28"/>
        </w:rPr>
        <w:t>P</w:t>
      </w:r>
      <w:r>
        <w:rPr>
          <w:rFonts w:eastAsia="仿宋_GB2312;仿宋" w:cs="Arial" w:ascii="Arial" w:hAnsi="Arial"/>
          <w:color w:val="000000"/>
          <w:sz w:val="28"/>
          <w:vertAlign w:val="subscript"/>
        </w:rPr>
        <w:t>B</w:t>
      </w:r>
      <w:r>
        <w:rPr>
          <w:rFonts w:cs="宋体;SimSun"/>
          <w:color w:val="000000"/>
          <w:sz w:val="28"/>
        </w:rPr>
        <w:t>×</w:t>
      </w:r>
      <w:r>
        <w:rPr>
          <w:rFonts w:eastAsia="仿宋_GB2312;仿宋" w:cs="Arial" w:ascii="Arial" w:hAnsi="Arial"/>
          <w:color w:val="000000"/>
          <w:sz w:val="28"/>
        </w:rPr>
        <w:t>A</w:t>
      </w:r>
      <w:r>
        <w:rPr>
          <w:rFonts w:cs="宋体;SimSun"/>
          <w:color w:val="000000"/>
          <w:sz w:val="28"/>
        </w:rPr>
        <w:t>×</w:t>
      </w:r>
      <w:r>
        <w:rPr>
          <w:rFonts w:eastAsia="仿宋_GB2312;仿宋" w:cs="Arial" w:ascii="Arial" w:hAnsi="Arial"/>
          <w:color w:val="000000"/>
          <w:sz w:val="28"/>
        </w:rPr>
        <w:t>B</w:t>
      </w:r>
      <w:r>
        <w:rPr>
          <w:rFonts w:cs="宋体;SimSun"/>
          <w:color w:val="000000"/>
          <w:sz w:val="28"/>
        </w:rPr>
        <w:t>×</w:t>
      </w:r>
      <w:r>
        <w:rPr>
          <w:rFonts w:eastAsia="仿宋_GB2312;仿宋" w:cs="Arial" w:ascii="Arial" w:hAnsi="Arial"/>
          <w:color w:val="000000"/>
          <w:sz w:val="28"/>
        </w:rPr>
        <w:t>C</w:t>
      </w:r>
      <w:r>
        <w:rPr>
          <w:rFonts w:cs="宋体;SimSun"/>
          <w:color w:val="000000"/>
          <w:sz w:val="28"/>
        </w:rPr>
        <w:t>×</w:t>
      </w:r>
      <w:r>
        <w:rPr>
          <w:rFonts w:eastAsia="仿宋_GB2312;仿宋" w:cs="Arial" w:ascii="Arial" w:hAnsi="Arial"/>
          <w:color w:val="000000"/>
          <w:sz w:val="28"/>
        </w:rPr>
        <w:t>D</w:t>
      </w:r>
      <w:r>
        <w:rPr>
          <w:rFonts w:cs="宋体;SimSun"/>
          <w:color w:val="000000"/>
          <w:sz w:val="28"/>
        </w:rPr>
        <w:t>×</w:t>
      </w:r>
      <w:r>
        <w:rPr>
          <w:rFonts w:eastAsia="仿宋_GB2312;仿宋" w:cs="Arial" w:ascii="Arial" w:hAnsi="Arial"/>
          <w:color w:val="000000"/>
          <w:sz w:val="28"/>
        </w:rPr>
        <w:t>E</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rPr>
      </w:pPr>
      <w:r>
        <w:rPr>
          <w:rFonts w:ascii="仿宋_GB2312;仿宋" w:hAnsi="仿宋_GB2312;仿宋" w:eastAsia="仿宋_GB2312;仿宋"/>
          <w:color w:val="000000"/>
          <w:sz w:val="28"/>
        </w:rPr>
        <w:t>式中：</w:t>
      </w:r>
    </w:p>
    <w:p>
      <w:pPr>
        <w:pStyle w:val="Normal1"/>
        <w:autoSpaceDE w:val="false"/>
        <w:spacing w:lineRule="auto" w:line="360"/>
        <w:ind w:right="140" w:firstLine="570"/>
        <w:jc w:val="both"/>
        <w:textAlignment w:val="bottom"/>
        <w:rPr/>
      </w:pPr>
      <w:r>
        <w:rPr>
          <w:rFonts w:eastAsia="仿宋_GB2312;仿宋" w:cs="Arial" w:ascii="Arial" w:hAnsi="Arial"/>
          <w:color w:val="000000"/>
          <w:sz w:val="28"/>
        </w:rPr>
        <w:t>P</w:t>
      </w:r>
      <w:r>
        <w:rPr>
          <w:rFonts w:eastAsia="仿宋_GB2312;仿宋" w:ascii="仿宋_GB2312;仿宋" w:hAnsi="仿宋_GB2312;仿宋"/>
          <w:color w:val="000000"/>
          <w:sz w:val="28"/>
        </w:rPr>
        <w:t>——</w:t>
      </w:r>
      <w:r>
        <w:rPr>
          <w:rFonts w:ascii="仿宋_GB2312;仿宋" w:hAnsi="仿宋_GB2312;仿宋" w:eastAsia="仿宋_GB2312;仿宋"/>
          <w:color w:val="000000"/>
          <w:sz w:val="28"/>
        </w:rPr>
        <w:t>待估宗地价格；</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vertAlign w:val="subscript"/>
        </w:rPr>
      </w:pPr>
      <w:r>
        <w:rPr>
          <w:rFonts w:eastAsia="仿宋_GB2312;仿宋" w:cs="Arial" w:ascii="Arial" w:hAnsi="Arial"/>
          <w:color w:val="000000"/>
          <w:sz w:val="28"/>
        </w:rPr>
        <w:t>P</w:t>
      </w:r>
      <w:r>
        <w:rPr>
          <w:rFonts w:eastAsia="仿宋_GB2312;仿宋" w:cs="Arial" w:ascii="Arial" w:hAnsi="Arial"/>
          <w:color w:val="000000"/>
          <w:sz w:val="28"/>
          <w:vertAlign w:val="subscript"/>
        </w:rPr>
        <w:t>B</w:t>
      </w:r>
      <w:r>
        <w:rPr>
          <w:rFonts w:eastAsia="仿宋_GB2312;仿宋" w:ascii="仿宋_GB2312;仿宋" w:hAnsi="仿宋_GB2312;仿宋"/>
          <w:color w:val="000000"/>
          <w:sz w:val="28"/>
        </w:rPr>
        <w:t>——</w:t>
      </w:r>
      <w:r>
        <w:rPr>
          <w:rFonts w:ascii="仿宋_GB2312;仿宋" w:hAnsi="仿宋_GB2312;仿宋" w:eastAsia="仿宋_GB2312;仿宋"/>
          <w:color w:val="000000"/>
          <w:sz w:val="28"/>
        </w:rPr>
        <w:t>比较实例价格；</w:t>
      </w:r>
    </w:p>
    <w:p>
      <w:pPr>
        <w:pStyle w:val="Normal1"/>
        <w:autoSpaceDE w:val="false"/>
        <w:spacing w:lineRule="auto" w:line="360"/>
        <w:ind w:right="140" w:firstLine="570"/>
        <w:jc w:val="both"/>
        <w:textAlignment w:val="bottom"/>
        <w:rPr/>
      </w:pPr>
      <w:r>
        <w:rPr>
          <w:rFonts w:eastAsia="仿宋_GB2312;仿宋" w:cs="Arial" w:ascii="Arial" w:hAnsi="Arial"/>
          <w:color w:val="000000"/>
          <w:sz w:val="28"/>
        </w:rPr>
        <w:t>A</w:t>
      </w:r>
      <w:r>
        <w:rPr>
          <w:rFonts w:eastAsia="仿宋_GB2312;仿宋" w:ascii="仿宋_GB2312;仿宋" w:hAnsi="仿宋_GB2312;仿宋"/>
          <w:color w:val="000000"/>
          <w:sz w:val="28"/>
        </w:rPr>
        <w:t>——</w:t>
      </w:r>
      <w:r>
        <w:rPr>
          <w:rFonts w:ascii="仿宋_GB2312;仿宋" w:hAnsi="仿宋_GB2312;仿宋" w:eastAsia="仿宋_GB2312;仿宋"/>
          <w:color w:val="000000"/>
          <w:sz w:val="28"/>
        </w:rPr>
        <w:t>待估宗地交易情况指数</w:t>
      </w:r>
      <w:r>
        <w:rPr>
          <w:rFonts w:eastAsia="仿宋_GB2312;仿宋" w:ascii="仿宋_GB2312;仿宋" w:hAnsi="仿宋_GB2312;仿宋"/>
          <w:sz w:val="28"/>
        </w:rPr>
        <w:t>/</w:t>
      </w:r>
      <w:r>
        <w:rPr>
          <w:rFonts w:ascii="仿宋_GB2312;仿宋" w:hAnsi="仿宋_GB2312;仿宋" w:eastAsia="仿宋_GB2312;仿宋"/>
          <w:color w:val="000000"/>
          <w:sz w:val="28"/>
        </w:rPr>
        <w:t>比较实例宗地交易情况指数</w:t>
      </w:r>
    </w:p>
    <w:p>
      <w:pPr>
        <w:pStyle w:val="Normal1"/>
        <w:autoSpaceDE w:val="false"/>
        <w:spacing w:lineRule="auto" w:line="360"/>
        <w:ind w:right="140" w:firstLine="570"/>
        <w:jc w:val="both"/>
        <w:textAlignment w:val="bottom"/>
        <w:rPr/>
      </w:pPr>
      <w:r>
        <w:rPr>
          <w:rFonts w:eastAsia="仿宋_GB2312;仿宋" w:cs="Arial" w:ascii="Arial" w:hAnsi="Arial"/>
          <w:color w:val="000000"/>
          <w:sz w:val="28"/>
        </w:rPr>
        <w:t>B</w:t>
      </w:r>
      <w:r>
        <w:rPr>
          <w:rFonts w:eastAsia="仿宋_GB2312;仿宋" w:ascii="仿宋_GB2312;仿宋" w:hAnsi="仿宋_GB2312;仿宋"/>
          <w:color w:val="000000"/>
          <w:sz w:val="28"/>
        </w:rPr>
        <w:t>——</w:t>
      </w:r>
      <w:r>
        <w:rPr>
          <w:rFonts w:ascii="仿宋_GB2312;仿宋" w:hAnsi="仿宋_GB2312;仿宋" w:eastAsia="仿宋_GB2312;仿宋"/>
          <w:color w:val="000000"/>
          <w:sz w:val="28"/>
        </w:rPr>
        <w:t>待估宗地</w:t>
      </w:r>
      <w:r>
        <w:rPr>
          <w:rFonts w:ascii="仿宋_GB2312;仿宋" w:hAnsi="仿宋_GB2312;仿宋" w:cs="Arial" w:eastAsia="仿宋_GB2312;仿宋"/>
          <w:color w:val="000000"/>
          <w:sz w:val="28"/>
        </w:rPr>
        <w:t>估价期日</w:t>
      </w:r>
      <w:r>
        <w:rPr>
          <w:rFonts w:ascii="仿宋_GB2312;仿宋" w:hAnsi="仿宋_GB2312;仿宋" w:eastAsia="仿宋_GB2312;仿宋"/>
          <w:color w:val="000000"/>
          <w:sz w:val="28"/>
        </w:rPr>
        <w:t>地价指数</w:t>
      </w:r>
      <w:r>
        <w:rPr>
          <w:rFonts w:eastAsia="仿宋_GB2312;仿宋" w:ascii="仿宋_GB2312;仿宋" w:hAnsi="仿宋_GB2312;仿宋"/>
          <w:sz w:val="28"/>
        </w:rPr>
        <w:t>/</w:t>
      </w:r>
      <w:r>
        <w:rPr>
          <w:rFonts w:ascii="仿宋_GB2312;仿宋" w:hAnsi="仿宋_GB2312;仿宋" w:eastAsia="仿宋_GB2312;仿宋"/>
          <w:color w:val="000000"/>
          <w:sz w:val="28"/>
        </w:rPr>
        <w:t>比较实例宗地</w:t>
      </w:r>
      <w:r>
        <w:rPr>
          <w:rFonts w:ascii="仿宋_GB2312;仿宋" w:hAnsi="仿宋_GB2312;仿宋" w:cs="Arial" w:eastAsia="仿宋_GB2312;仿宋"/>
          <w:color w:val="000000"/>
          <w:sz w:val="28"/>
        </w:rPr>
        <w:t>交易日期地价</w:t>
      </w:r>
      <w:r>
        <w:rPr>
          <w:rFonts w:ascii="仿宋_GB2312;仿宋" w:hAnsi="仿宋_GB2312;仿宋" w:eastAsia="仿宋_GB2312;仿宋"/>
          <w:color w:val="000000"/>
          <w:sz w:val="28"/>
        </w:rPr>
        <w:t>指数</w:t>
      </w:r>
    </w:p>
    <w:p>
      <w:pPr>
        <w:pStyle w:val="Normal1"/>
        <w:autoSpaceDE w:val="false"/>
        <w:spacing w:lineRule="auto" w:line="360"/>
        <w:ind w:right="140" w:firstLine="570"/>
        <w:jc w:val="both"/>
        <w:textAlignment w:val="bottom"/>
        <w:rPr/>
      </w:pPr>
      <w:r>
        <w:rPr>
          <w:rFonts w:eastAsia="仿宋_GB2312;仿宋" w:cs="Arial" w:ascii="Arial" w:hAnsi="Arial"/>
          <w:color w:val="000000"/>
          <w:sz w:val="28"/>
        </w:rPr>
        <w:t>C</w:t>
      </w:r>
      <w:r>
        <w:rPr>
          <w:rFonts w:eastAsia="仿宋_GB2312;仿宋" w:ascii="仿宋_GB2312;仿宋" w:hAnsi="仿宋_GB2312;仿宋"/>
          <w:color w:val="000000"/>
          <w:sz w:val="28"/>
        </w:rPr>
        <w:t>——</w:t>
      </w:r>
      <w:r>
        <w:rPr>
          <w:rFonts w:ascii="仿宋_GB2312;仿宋" w:hAnsi="仿宋_GB2312;仿宋" w:eastAsia="仿宋_GB2312;仿宋"/>
          <w:color w:val="000000"/>
          <w:sz w:val="28"/>
        </w:rPr>
        <w:t>待估宗地区域因素条件指数</w:t>
      </w:r>
      <w:r>
        <w:rPr>
          <w:rFonts w:eastAsia="仿宋_GB2312;仿宋" w:ascii="仿宋_GB2312;仿宋" w:hAnsi="仿宋_GB2312;仿宋"/>
          <w:sz w:val="28"/>
        </w:rPr>
        <w:t>/</w:t>
      </w:r>
      <w:r>
        <w:rPr>
          <w:rFonts w:ascii="仿宋_GB2312;仿宋" w:hAnsi="仿宋_GB2312;仿宋" w:eastAsia="仿宋_GB2312;仿宋"/>
          <w:color w:val="000000"/>
          <w:sz w:val="28"/>
        </w:rPr>
        <w:t>比较实例宗地区域因素条件指数</w:t>
      </w:r>
    </w:p>
    <w:p>
      <w:pPr>
        <w:pStyle w:val="Normal1"/>
        <w:autoSpaceDE w:val="false"/>
        <w:spacing w:lineRule="auto" w:line="360"/>
        <w:ind w:right="140" w:firstLine="570"/>
        <w:jc w:val="both"/>
        <w:textAlignment w:val="bottom"/>
        <w:rPr/>
      </w:pPr>
      <w:r>
        <w:rPr>
          <w:rFonts w:eastAsia="仿宋_GB2312;仿宋" w:cs="Arial" w:ascii="Arial" w:hAnsi="Arial"/>
          <w:color w:val="000000"/>
          <w:sz w:val="28"/>
        </w:rPr>
        <w:t>D</w:t>
      </w:r>
      <w:r>
        <w:rPr>
          <w:rFonts w:eastAsia="仿宋_GB2312;仿宋" w:ascii="仿宋_GB2312;仿宋" w:hAnsi="仿宋_GB2312;仿宋"/>
          <w:color w:val="000000"/>
          <w:sz w:val="28"/>
        </w:rPr>
        <w:t>——</w:t>
      </w:r>
      <w:r>
        <w:rPr>
          <w:rFonts w:ascii="仿宋_GB2312;仿宋" w:hAnsi="仿宋_GB2312;仿宋" w:eastAsia="仿宋_GB2312;仿宋"/>
          <w:color w:val="000000"/>
          <w:sz w:val="28"/>
        </w:rPr>
        <w:t>待估宗地个别因素条件指数</w:t>
      </w:r>
      <w:r>
        <w:rPr>
          <w:rFonts w:eastAsia="仿宋_GB2312;仿宋" w:ascii="仿宋_GB2312;仿宋" w:hAnsi="仿宋_GB2312;仿宋"/>
          <w:sz w:val="28"/>
        </w:rPr>
        <w:t>/</w:t>
      </w:r>
      <w:r>
        <w:rPr>
          <w:rFonts w:ascii="仿宋_GB2312;仿宋" w:hAnsi="仿宋_GB2312;仿宋" w:eastAsia="仿宋_GB2312;仿宋"/>
          <w:color w:val="000000"/>
          <w:sz w:val="28"/>
        </w:rPr>
        <w:t>比较实例宗地个别因素条件指数</w:t>
      </w:r>
    </w:p>
    <w:p>
      <w:pPr>
        <w:pStyle w:val="Normal1"/>
        <w:autoSpaceDE w:val="false"/>
        <w:spacing w:lineRule="auto" w:line="360"/>
        <w:ind w:right="140" w:firstLine="570"/>
        <w:jc w:val="both"/>
        <w:textAlignment w:val="bottom"/>
        <w:rPr/>
      </w:pPr>
      <w:r>
        <w:rPr>
          <w:rFonts w:eastAsia="仿宋_GB2312;仿宋" w:cs="Arial" w:ascii="Arial" w:hAnsi="Arial"/>
          <w:color w:val="000000"/>
          <w:sz w:val="28"/>
        </w:rPr>
        <w:t>E</w:t>
      </w:r>
      <w:r>
        <w:rPr>
          <w:rFonts w:eastAsia="仿宋_GB2312;仿宋" w:ascii="仿宋_GB2312;仿宋" w:hAnsi="仿宋_GB2312;仿宋"/>
          <w:color w:val="000000"/>
          <w:sz w:val="28"/>
        </w:rPr>
        <w:t>——</w:t>
      </w:r>
      <w:r>
        <w:rPr>
          <w:rFonts w:ascii="仿宋_GB2312;仿宋" w:hAnsi="仿宋_GB2312;仿宋" w:eastAsia="仿宋_GB2312;仿宋"/>
          <w:color w:val="000000"/>
          <w:sz w:val="28"/>
        </w:rPr>
        <w:t>待估宗地使用年期修正指数</w:t>
      </w:r>
      <w:r>
        <w:rPr>
          <w:rFonts w:eastAsia="仿宋_GB2312;仿宋" w:ascii="仿宋_GB2312;仿宋" w:hAnsi="仿宋_GB2312;仿宋"/>
          <w:sz w:val="28"/>
        </w:rPr>
        <w:t>/</w:t>
      </w:r>
      <w:r>
        <w:rPr>
          <w:rFonts w:ascii="仿宋_GB2312;仿宋" w:hAnsi="仿宋_GB2312;仿宋" w:eastAsia="仿宋_GB2312;仿宋"/>
          <w:color w:val="000000"/>
          <w:sz w:val="28"/>
        </w:rPr>
        <w:t>比较实例宗地使用年期修正指数</w:t>
      </w:r>
    </w:p>
    <w:p>
      <w:pPr>
        <w:pStyle w:val="BodyTextIndent2"/>
        <w:widowControl/>
        <w:tabs>
          <w:tab w:val="clear" w:pos="420"/>
          <w:tab w:val="right" w:pos="8840" w:leader="none"/>
        </w:tabs>
        <w:spacing w:lineRule="auto" w:line="360"/>
        <w:ind w:firstLine="560"/>
        <w:textAlignment w:val="bottom"/>
        <w:rPr/>
      </w:pPr>
      <w:r>
        <w:rPr>
          <w:rFonts w:ascii="Arial" w:hAnsi="Arial" w:cs="Arial" w:eastAsia="仿宋_GB2312;仿宋"/>
        </w:rPr>
        <w:t>（</w:t>
      </w:r>
      <w:r>
        <w:rPr>
          <w:rFonts w:eastAsia="仿宋_GB2312;仿宋" w:cs="Arial" w:ascii="Arial" w:hAnsi="Arial"/>
        </w:rPr>
        <w:t>2</w:t>
      </w:r>
      <w:r>
        <w:rPr>
          <w:rFonts w:ascii="Arial" w:hAnsi="Arial" w:cs="Arial" w:eastAsia="仿宋_GB2312;仿宋"/>
        </w:rPr>
        <w:t>）</w:t>
      </w:r>
      <w:r>
        <w:rPr>
          <w:rFonts w:cs="Arial" w:eastAsia="仿宋_GB2312;仿宋"/>
          <w:szCs w:val="28"/>
        </w:rPr>
        <w:t>成本逼近法</w:t>
      </w:r>
    </w:p>
    <w:p>
      <w:pPr>
        <w:pStyle w:val="Normal1"/>
        <w:autoSpaceDE w:val="false"/>
        <w:spacing w:lineRule="auto" w:line="360"/>
        <w:ind w:right="140" w:firstLine="570"/>
        <w:jc w:val="both"/>
        <w:textAlignment w:val="bottom"/>
        <w:rPr/>
      </w:pPr>
      <w:r>
        <w:rPr>
          <w:rFonts w:ascii="仿宋_GB2312;仿宋" w:hAnsi="仿宋_GB2312;仿宋" w:eastAsia="仿宋_GB2312;仿宋"/>
          <w:sz w:val="28"/>
        </w:rPr>
        <w:t>成本逼近法以取得和开发土地所耗费的各项客观费用之合为主要依据，加上客观的利润、利息、应缴纳的税金和土地增值收益等确定宗地价格的方法。</w:t>
      </w:r>
    </w:p>
    <w:p>
      <w:pPr>
        <w:pStyle w:val="Normal1"/>
        <w:autoSpaceDE w:val="false"/>
        <w:spacing w:lineRule="auto" w:line="360"/>
        <w:ind w:right="140" w:firstLine="570"/>
        <w:jc w:val="both"/>
        <w:textAlignment w:val="bottom"/>
        <w:rPr>
          <w:rFonts w:ascii="仿宋_GB2312;仿宋" w:hAnsi="仿宋_GB2312;仿宋" w:eastAsia="仿宋_GB2312;仿宋"/>
          <w:sz w:val="28"/>
        </w:rPr>
      </w:pPr>
      <w:r>
        <w:rPr>
          <w:rFonts w:ascii="仿宋_GB2312;仿宋" w:hAnsi="仿宋_GB2312;仿宋" w:eastAsia="仿宋_GB2312;仿宋"/>
          <w:sz w:val="28"/>
        </w:rPr>
        <w:t>其基本计算公式为：</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vertAlign w:val="subscript"/>
        </w:rPr>
      </w:pPr>
      <w:r>
        <w:rPr>
          <w:rFonts w:eastAsia="仿宋_GB2312;仿宋" w:cs="Arial" w:ascii="Arial" w:hAnsi="Arial"/>
          <w:color w:val="000000"/>
          <w:sz w:val="28"/>
        </w:rPr>
        <w:t>P</w:t>
      </w:r>
      <w:r>
        <w:rPr>
          <w:rFonts w:eastAsia="仿宋_GB2312;仿宋" w:cs="Arial" w:ascii="Arial" w:hAnsi="Arial"/>
          <w:color w:val="000000"/>
          <w:sz w:val="28"/>
          <w:vertAlign w:val="subscript"/>
        </w:rPr>
        <w:t>1</w:t>
      </w:r>
      <w:r>
        <w:rPr>
          <w:rFonts w:eastAsia="仿宋_GB2312;仿宋" w:ascii="仿宋_GB2312;仿宋" w:hAnsi="仿宋_GB2312;仿宋"/>
          <w:color w:val="000000"/>
          <w:sz w:val="28"/>
        </w:rPr>
        <w:t>=</w:t>
      </w:r>
      <w:r>
        <w:rPr>
          <w:rFonts w:eastAsia="仿宋_GB2312;仿宋" w:cs="Arial" w:ascii="Arial" w:hAnsi="Arial"/>
          <w:color w:val="000000"/>
          <w:sz w:val="28"/>
        </w:rPr>
        <w:t>E</w:t>
      </w:r>
      <w:r>
        <w:rPr>
          <w:rFonts w:eastAsia="仿宋_GB2312;仿宋" w:cs="Arial" w:ascii="Arial" w:hAnsi="Arial"/>
          <w:color w:val="000000"/>
          <w:sz w:val="28"/>
          <w:vertAlign w:val="subscript"/>
        </w:rPr>
        <w:t>a</w:t>
      </w:r>
      <w:r>
        <w:rPr>
          <w:rFonts w:cs="宋体;SimSun"/>
          <w:color w:val="000000"/>
          <w:sz w:val="28"/>
        </w:rPr>
        <w:t>+</w:t>
      </w:r>
      <w:r>
        <w:rPr>
          <w:rFonts w:eastAsia="仿宋_GB2312;仿宋" w:cs="Arial" w:ascii="Arial" w:hAnsi="Arial"/>
          <w:color w:val="000000"/>
          <w:sz w:val="28"/>
        </w:rPr>
        <w:t>E</w:t>
      </w:r>
      <w:r>
        <w:rPr>
          <w:rFonts w:eastAsia="仿宋_GB2312;仿宋" w:cs="Arial" w:ascii="Arial" w:hAnsi="Arial"/>
          <w:color w:val="000000"/>
          <w:sz w:val="28"/>
          <w:vertAlign w:val="subscript"/>
        </w:rPr>
        <w:t>d</w:t>
      </w:r>
      <w:r>
        <w:rPr>
          <w:rFonts w:cs="宋体;SimSun"/>
          <w:color w:val="000000"/>
          <w:sz w:val="28"/>
        </w:rPr>
        <w:t>+</w:t>
      </w:r>
      <w:r>
        <w:rPr>
          <w:rFonts w:eastAsia="仿宋_GB2312;仿宋" w:cs="Arial" w:ascii="Arial" w:hAnsi="Arial"/>
          <w:color w:val="000000"/>
          <w:sz w:val="28"/>
        </w:rPr>
        <w:t>T</w:t>
      </w:r>
      <w:r>
        <w:rPr>
          <w:rFonts w:cs="宋体;SimSun"/>
          <w:color w:val="000000"/>
          <w:sz w:val="28"/>
        </w:rPr>
        <w:t>+</w:t>
      </w:r>
      <w:r>
        <w:rPr>
          <w:rFonts w:eastAsia="仿宋_GB2312;仿宋" w:cs="Arial" w:ascii="Arial" w:hAnsi="Arial"/>
          <w:color w:val="000000"/>
          <w:sz w:val="28"/>
        </w:rPr>
        <w:t>R</w:t>
      </w:r>
      <w:r>
        <w:rPr>
          <w:rFonts w:eastAsia="仿宋_GB2312;仿宋" w:cs="Arial" w:ascii="Arial" w:hAnsi="Arial"/>
          <w:color w:val="000000"/>
          <w:sz w:val="28"/>
          <w:vertAlign w:val="subscript"/>
        </w:rPr>
        <w:t>1</w:t>
      </w:r>
      <w:r>
        <w:rPr>
          <w:rFonts w:cs="宋体;SimSun"/>
          <w:color w:val="000000"/>
          <w:sz w:val="28"/>
        </w:rPr>
        <w:t>+</w:t>
      </w:r>
      <w:r>
        <w:rPr>
          <w:rFonts w:eastAsia="仿宋_GB2312;仿宋" w:cs="Arial" w:ascii="Arial" w:hAnsi="Arial"/>
          <w:color w:val="000000"/>
          <w:sz w:val="28"/>
        </w:rPr>
        <w:t>R</w:t>
      </w:r>
      <w:r>
        <w:rPr>
          <w:rFonts w:eastAsia="仿宋_GB2312;仿宋" w:cs="Arial" w:ascii="Arial" w:hAnsi="Arial"/>
          <w:color w:val="000000"/>
          <w:sz w:val="28"/>
          <w:vertAlign w:val="subscript"/>
        </w:rPr>
        <w:t>2</w:t>
      </w:r>
      <w:r>
        <w:rPr>
          <w:rFonts w:cs="宋体;SimSun"/>
          <w:color w:val="000000"/>
          <w:sz w:val="28"/>
        </w:rPr>
        <w:t>+</w:t>
      </w:r>
      <w:r>
        <w:rPr>
          <w:rFonts w:eastAsia="仿宋_GB2312;仿宋" w:cs="Arial" w:ascii="Arial" w:hAnsi="Arial"/>
          <w:color w:val="000000"/>
          <w:sz w:val="28"/>
        </w:rPr>
        <w:t>R</w:t>
      </w:r>
      <w:r>
        <w:rPr>
          <w:rFonts w:eastAsia="仿宋_GB2312;仿宋" w:cs="Arial" w:ascii="Arial" w:hAnsi="Arial"/>
          <w:color w:val="000000"/>
          <w:sz w:val="28"/>
          <w:vertAlign w:val="subscript"/>
        </w:rPr>
        <w:t>3</w:t>
      </w:r>
    </w:p>
    <w:p>
      <w:pPr>
        <w:pStyle w:val="Normal1"/>
        <w:autoSpaceDE w:val="false"/>
        <w:spacing w:lineRule="auto" w:line="360"/>
        <w:ind w:right="140" w:firstLine="700"/>
        <w:jc w:val="both"/>
        <w:textAlignment w:val="bottom"/>
        <w:rPr>
          <w:rFonts w:ascii="仿宋_GB2312;仿宋" w:hAnsi="仿宋_GB2312;仿宋" w:eastAsia="仿宋_GB2312;仿宋"/>
          <w:color w:val="000000"/>
          <w:sz w:val="28"/>
        </w:rPr>
      </w:pPr>
      <w:r>
        <w:rPr>
          <w:rFonts w:eastAsia="仿宋_GB2312;仿宋" w:ascii="仿宋_GB2312;仿宋" w:hAnsi="仿宋_GB2312;仿宋"/>
          <w:color w:val="000000"/>
          <w:sz w:val="28"/>
        </w:rPr>
        <w:t xml:space="preserve">= </w:t>
      </w:r>
      <w:r>
        <w:rPr>
          <w:rFonts w:eastAsia="仿宋_GB2312;仿宋" w:cs="Arial" w:ascii="Arial" w:hAnsi="Arial"/>
          <w:color w:val="000000"/>
          <w:sz w:val="28"/>
        </w:rPr>
        <w:t>P</w:t>
      </w:r>
      <w:r>
        <w:rPr>
          <w:rFonts w:eastAsia="仿宋_GB2312;仿宋" w:cs="Arial" w:ascii="Arial" w:hAnsi="Arial"/>
          <w:color w:val="000000"/>
          <w:sz w:val="28"/>
          <w:vertAlign w:val="subscript"/>
        </w:rPr>
        <w:t>E</w:t>
      </w:r>
      <w:r>
        <w:rPr>
          <w:rFonts w:cs="宋体;SimSun"/>
          <w:color w:val="000000"/>
          <w:sz w:val="28"/>
        </w:rPr>
        <w:t>+</w:t>
      </w:r>
      <w:r>
        <w:rPr>
          <w:rFonts w:eastAsia="仿宋_GB2312;仿宋" w:cs="Arial" w:ascii="Arial" w:hAnsi="Arial"/>
          <w:color w:val="000000"/>
          <w:sz w:val="28"/>
        </w:rPr>
        <w:t>R</w:t>
      </w:r>
      <w:r>
        <w:rPr>
          <w:rFonts w:eastAsia="仿宋_GB2312;仿宋" w:cs="Arial" w:ascii="Arial" w:hAnsi="Arial"/>
          <w:color w:val="000000"/>
          <w:sz w:val="28"/>
          <w:vertAlign w:val="subscript"/>
        </w:rPr>
        <w:t>3</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rPr>
      </w:pPr>
      <w:r>
        <w:rPr>
          <w:rFonts w:ascii="仿宋_GB2312;仿宋" w:hAnsi="仿宋_GB2312;仿宋" w:eastAsia="仿宋_GB2312;仿宋"/>
          <w:color w:val="000000"/>
          <w:sz w:val="28"/>
        </w:rPr>
        <w:t>式中：</w:t>
      </w:r>
    </w:p>
    <w:p>
      <w:pPr>
        <w:pStyle w:val="Normal1"/>
        <w:autoSpaceDE w:val="false"/>
        <w:spacing w:lineRule="auto" w:line="360"/>
        <w:ind w:right="140" w:firstLine="570"/>
        <w:jc w:val="both"/>
        <w:textAlignment w:val="bottom"/>
        <w:rPr/>
      </w:pPr>
      <w:r>
        <w:rPr>
          <w:rFonts w:eastAsia="仿宋_GB2312;仿宋" w:cs="Arial" w:ascii="Arial" w:hAnsi="Arial"/>
          <w:color w:val="000000"/>
          <w:sz w:val="28"/>
        </w:rPr>
        <w:t>P</w:t>
      </w:r>
      <w:r>
        <w:rPr>
          <w:rFonts w:eastAsia="仿宋_GB2312;仿宋" w:cs="Arial" w:ascii="Arial" w:hAnsi="Arial"/>
          <w:color w:val="000000"/>
          <w:sz w:val="28"/>
          <w:vertAlign w:val="subscript"/>
        </w:rPr>
        <w:t>1</w:t>
      </w:r>
      <w:r>
        <w:rPr>
          <w:rFonts w:eastAsia="仿宋_GB2312;仿宋" w:ascii="仿宋_GB2312;仿宋" w:hAnsi="仿宋_GB2312;仿宋"/>
          <w:color w:val="000000"/>
          <w:sz w:val="28"/>
        </w:rPr>
        <w:t>——</w:t>
      </w:r>
      <w:r>
        <w:rPr>
          <w:rFonts w:ascii="仿宋_GB2312;仿宋" w:hAnsi="仿宋_GB2312;仿宋" w:eastAsia="仿宋_GB2312;仿宋"/>
          <w:color w:val="000000"/>
          <w:sz w:val="28"/>
        </w:rPr>
        <w:t>待估宗地价格</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vertAlign w:val="subscript"/>
        </w:rPr>
      </w:pPr>
      <w:r>
        <w:rPr>
          <w:rFonts w:eastAsia="仿宋_GB2312;仿宋" w:cs="Arial" w:ascii="Arial" w:hAnsi="Arial"/>
          <w:color w:val="000000"/>
          <w:sz w:val="28"/>
        </w:rPr>
        <w:t>E</w:t>
      </w:r>
      <w:r>
        <w:rPr>
          <w:rFonts w:eastAsia="仿宋_GB2312;仿宋" w:cs="Arial" w:ascii="Arial" w:hAnsi="Arial"/>
          <w:color w:val="000000"/>
          <w:sz w:val="28"/>
          <w:vertAlign w:val="subscript"/>
        </w:rPr>
        <w:t>a</w:t>
      </w:r>
      <w:r>
        <w:rPr>
          <w:rFonts w:eastAsia="仿宋_GB2312;仿宋" w:ascii="仿宋_GB2312;仿宋" w:hAnsi="仿宋_GB2312;仿宋"/>
          <w:color w:val="000000"/>
          <w:sz w:val="28"/>
        </w:rPr>
        <w:t>——</w:t>
      </w:r>
      <w:r>
        <w:rPr>
          <w:rFonts w:ascii="仿宋_GB2312;仿宋" w:hAnsi="仿宋_GB2312;仿宋" w:eastAsia="仿宋_GB2312;仿宋"/>
          <w:color w:val="000000"/>
          <w:sz w:val="28"/>
        </w:rPr>
        <w:t>土地取得费</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vertAlign w:val="subscript"/>
        </w:rPr>
      </w:pPr>
      <w:r>
        <w:rPr>
          <w:rFonts w:eastAsia="仿宋_GB2312;仿宋" w:cs="Arial" w:ascii="Arial" w:hAnsi="Arial"/>
          <w:color w:val="000000"/>
          <w:sz w:val="28"/>
        </w:rPr>
        <w:t>E</w:t>
      </w:r>
      <w:r>
        <w:rPr>
          <w:rFonts w:eastAsia="仿宋_GB2312;仿宋" w:cs="Arial" w:ascii="Arial" w:hAnsi="Arial"/>
          <w:color w:val="000000"/>
          <w:sz w:val="28"/>
          <w:vertAlign w:val="subscript"/>
        </w:rPr>
        <w:t>d</w:t>
      </w:r>
      <w:r>
        <w:rPr>
          <w:rFonts w:eastAsia="仿宋_GB2312;仿宋" w:ascii="仿宋_GB2312;仿宋" w:hAnsi="仿宋_GB2312;仿宋"/>
          <w:color w:val="000000"/>
          <w:sz w:val="28"/>
        </w:rPr>
        <w:t>——</w:t>
      </w:r>
      <w:r>
        <w:rPr>
          <w:rFonts w:ascii="仿宋_GB2312;仿宋" w:hAnsi="仿宋_GB2312;仿宋" w:eastAsia="仿宋_GB2312;仿宋"/>
          <w:color w:val="000000"/>
          <w:sz w:val="28"/>
        </w:rPr>
        <w:t>土地开发费</w:t>
      </w:r>
    </w:p>
    <w:p>
      <w:pPr>
        <w:pStyle w:val="Normal1"/>
        <w:autoSpaceDE w:val="false"/>
        <w:spacing w:lineRule="auto" w:line="360"/>
        <w:ind w:right="140" w:firstLine="570"/>
        <w:jc w:val="both"/>
        <w:textAlignment w:val="bottom"/>
        <w:rPr/>
      </w:pPr>
      <w:r>
        <w:rPr>
          <w:rFonts w:eastAsia="仿宋_GB2312;仿宋" w:cs="Arial" w:ascii="Arial" w:hAnsi="Arial"/>
          <w:color w:val="000000"/>
          <w:sz w:val="28"/>
        </w:rPr>
        <w:t>T</w:t>
      </w:r>
      <w:r>
        <w:rPr>
          <w:rFonts w:eastAsia="仿宋_GB2312;仿宋" w:ascii="仿宋_GB2312;仿宋" w:hAnsi="仿宋_GB2312;仿宋"/>
          <w:color w:val="000000"/>
          <w:sz w:val="28"/>
        </w:rPr>
        <w:t>——</w:t>
      </w:r>
      <w:r>
        <w:rPr>
          <w:rFonts w:ascii="仿宋_GB2312;仿宋" w:hAnsi="仿宋_GB2312;仿宋" w:eastAsia="仿宋_GB2312;仿宋"/>
          <w:color w:val="000000"/>
          <w:sz w:val="28"/>
        </w:rPr>
        <w:t>税费</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vertAlign w:val="subscript"/>
        </w:rPr>
      </w:pPr>
      <w:r>
        <w:rPr>
          <w:rFonts w:eastAsia="仿宋_GB2312;仿宋" w:cs="Arial" w:ascii="Arial" w:hAnsi="Arial"/>
          <w:color w:val="000000"/>
          <w:sz w:val="28"/>
        </w:rPr>
        <w:t>R</w:t>
      </w:r>
      <w:r>
        <w:rPr>
          <w:rFonts w:eastAsia="仿宋_GB2312;仿宋" w:cs="Arial" w:ascii="Arial" w:hAnsi="Arial"/>
          <w:color w:val="000000"/>
          <w:sz w:val="28"/>
          <w:vertAlign w:val="subscript"/>
        </w:rPr>
        <w:t>1</w:t>
      </w:r>
      <w:r>
        <w:rPr>
          <w:rFonts w:eastAsia="仿宋_GB2312;仿宋" w:ascii="仿宋_GB2312;仿宋" w:hAnsi="仿宋_GB2312;仿宋"/>
          <w:color w:val="000000"/>
          <w:sz w:val="28"/>
        </w:rPr>
        <w:t>——</w:t>
      </w:r>
      <w:r>
        <w:rPr>
          <w:rFonts w:ascii="仿宋_GB2312;仿宋" w:hAnsi="仿宋_GB2312;仿宋" w:eastAsia="仿宋_GB2312;仿宋"/>
          <w:color w:val="000000"/>
          <w:sz w:val="28"/>
        </w:rPr>
        <w:t>利息</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vertAlign w:val="subscript"/>
        </w:rPr>
      </w:pPr>
      <w:r>
        <w:rPr>
          <w:rFonts w:eastAsia="仿宋_GB2312;仿宋" w:cs="Arial" w:ascii="Arial" w:hAnsi="Arial"/>
          <w:color w:val="000000"/>
          <w:sz w:val="28"/>
        </w:rPr>
        <w:t>R</w:t>
      </w:r>
      <w:r>
        <w:rPr>
          <w:rFonts w:eastAsia="仿宋_GB2312;仿宋" w:cs="Arial" w:ascii="Arial" w:hAnsi="Arial"/>
          <w:color w:val="000000"/>
          <w:sz w:val="28"/>
          <w:vertAlign w:val="subscript"/>
        </w:rPr>
        <w:t>2</w:t>
      </w:r>
      <w:r>
        <w:rPr>
          <w:rFonts w:eastAsia="仿宋_GB2312;仿宋" w:ascii="仿宋_GB2312;仿宋" w:hAnsi="仿宋_GB2312;仿宋"/>
          <w:color w:val="000000"/>
          <w:sz w:val="28"/>
        </w:rPr>
        <w:t>——</w:t>
      </w:r>
      <w:r>
        <w:rPr>
          <w:rFonts w:ascii="仿宋_GB2312;仿宋" w:hAnsi="仿宋_GB2312;仿宋" w:eastAsia="仿宋_GB2312;仿宋"/>
          <w:color w:val="000000"/>
          <w:sz w:val="28"/>
        </w:rPr>
        <w:t>利润</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vertAlign w:val="subscript"/>
        </w:rPr>
      </w:pPr>
      <w:r>
        <w:rPr>
          <w:rFonts w:eastAsia="仿宋_GB2312;仿宋" w:cs="Arial" w:ascii="Arial" w:hAnsi="Arial"/>
          <w:color w:val="000000"/>
          <w:sz w:val="28"/>
        </w:rPr>
        <w:t>R</w:t>
      </w:r>
      <w:r>
        <w:rPr>
          <w:rFonts w:eastAsia="仿宋_GB2312;仿宋" w:cs="Arial" w:ascii="Arial" w:hAnsi="Arial"/>
          <w:color w:val="000000"/>
          <w:sz w:val="28"/>
          <w:vertAlign w:val="subscript"/>
        </w:rPr>
        <w:t>3</w:t>
      </w:r>
      <w:r>
        <w:rPr>
          <w:rFonts w:eastAsia="仿宋_GB2312;仿宋" w:ascii="仿宋_GB2312;仿宋" w:hAnsi="仿宋_GB2312;仿宋"/>
          <w:color w:val="000000"/>
          <w:sz w:val="28"/>
        </w:rPr>
        <w:t>——</w:t>
      </w:r>
      <w:r>
        <w:rPr>
          <w:rFonts w:ascii="仿宋_GB2312;仿宋" w:hAnsi="仿宋_GB2312;仿宋" w:eastAsia="仿宋_GB2312;仿宋"/>
          <w:color w:val="000000"/>
          <w:sz w:val="28"/>
        </w:rPr>
        <w:t>土地增值</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rPr>
      </w:pPr>
      <w:r>
        <w:rPr>
          <w:rFonts w:eastAsia="仿宋_GB2312;仿宋" w:cs="Arial" w:ascii="Arial" w:hAnsi="Arial"/>
          <w:color w:val="000000"/>
          <w:sz w:val="28"/>
        </w:rPr>
        <w:t>P</w:t>
      </w:r>
      <w:r>
        <w:rPr>
          <w:rFonts w:eastAsia="仿宋_GB2312;仿宋" w:cs="Arial" w:ascii="Arial" w:hAnsi="Arial"/>
          <w:color w:val="000000"/>
          <w:sz w:val="28"/>
          <w:vertAlign w:val="subscript"/>
        </w:rPr>
        <w:t>E</w:t>
      </w:r>
      <w:r>
        <w:rPr>
          <w:rFonts w:eastAsia="仿宋_GB2312;仿宋" w:ascii="仿宋_GB2312;仿宋" w:hAnsi="仿宋_GB2312;仿宋"/>
          <w:color w:val="000000"/>
          <w:sz w:val="28"/>
        </w:rPr>
        <w:t>——</w:t>
      </w:r>
      <w:r>
        <w:rPr>
          <w:rFonts w:ascii="仿宋_GB2312;仿宋" w:hAnsi="仿宋_GB2312;仿宋" w:eastAsia="仿宋_GB2312;仿宋"/>
          <w:color w:val="000000"/>
          <w:sz w:val="28"/>
        </w:rPr>
        <w:t>土地成本价格</w:t>
      </w:r>
    </w:p>
    <w:p>
      <w:pPr>
        <w:pStyle w:val="Normal"/>
        <w:spacing w:lineRule="auto" w:line="360"/>
        <w:jc w:val="both"/>
        <w:rPr>
          <w:rFonts w:ascii="Arial" w:hAnsi="Arial" w:eastAsia="仿宋_GB2312;仿宋" w:cs="Arial"/>
          <w:sz w:val="28"/>
        </w:rPr>
      </w:pPr>
      <w:r>
        <w:rPr>
          <w:rFonts w:ascii="Arial" w:hAnsi="Arial" w:cs="Arial" w:eastAsia="仿宋_GB2312;仿宋"/>
          <w:sz w:val="28"/>
        </w:rPr>
        <w:t>（三）估价结果</w:t>
      </w:r>
    </w:p>
    <w:p>
      <w:pPr>
        <w:pStyle w:val="Normal"/>
        <w:spacing w:lineRule="auto" w:line="360"/>
        <w:ind w:firstLine="560"/>
        <w:jc w:val="both"/>
        <w:rPr>
          <w:rFonts w:ascii="Arial" w:hAnsi="Arial" w:eastAsia="仿宋_GB2312;仿宋" w:cs="Arial"/>
          <w:kern w:val="2"/>
          <w:sz w:val="28"/>
        </w:rPr>
      </w:pPr>
      <w:r>
        <w:rPr>
          <w:rFonts w:ascii="Arial" w:hAnsi="Arial" w:cs="Arial" w:eastAsia="仿宋_GB2312;仿宋"/>
          <w:kern w:val="2"/>
          <w:sz w:val="28"/>
        </w:rPr>
        <w:t>评估专业人员根据估价的目的，按照</w:t>
      </w:r>
      <w:r>
        <w:rPr>
          <w:rFonts w:ascii="Arial" w:hAnsi="Arial" w:cs="Arial" w:eastAsia="仿宋_GB2312;仿宋"/>
          <w:kern w:val="2"/>
          <w:sz w:val="28"/>
        </w:rPr>
        <w:t>估算</w:t>
      </w:r>
      <w:r>
        <w:rPr>
          <w:rFonts w:ascii="Arial" w:hAnsi="Arial" w:cs="Arial" w:eastAsia="仿宋_GB2312;仿宋"/>
          <w:kern w:val="2"/>
          <w:sz w:val="28"/>
        </w:rPr>
        <w:t>的程序，采用科学的</w:t>
      </w:r>
      <w:r>
        <w:rPr>
          <w:rFonts w:ascii="Arial" w:hAnsi="Arial" w:cs="Arial" w:eastAsia="仿宋_GB2312;仿宋"/>
          <w:kern w:val="2"/>
          <w:sz w:val="28"/>
        </w:rPr>
        <w:t>估价方法</w:t>
      </w:r>
      <w:r>
        <w:rPr>
          <w:rFonts w:ascii="Arial" w:hAnsi="Arial" w:cs="Arial" w:eastAsia="仿宋_GB2312;仿宋"/>
          <w:kern w:val="2"/>
          <w:sz w:val="28"/>
        </w:rPr>
        <w:t>（市场比较法和成本逼近法</w:t>
      </w:r>
      <w:r>
        <w:rPr>
          <w:rFonts w:ascii="Arial" w:hAnsi="Arial" w:cs="Arial" w:eastAsia="仿宋_GB2312;仿宋"/>
          <w:kern w:val="2"/>
          <w:sz w:val="28"/>
        </w:rPr>
        <w:t>、重置成本法</w:t>
      </w:r>
      <w:r>
        <w:rPr>
          <w:rFonts w:ascii="Arial" w:hAnsi="Arial" w:cs="Arial" w:eastAsia="仿宋_GB2312;仿宋"/>
          <w:kern w:val="2"/>
          <w:sz w:val="28"/>
        </w:rPr>
        <w:t>），在认真分析现有资料的基础上，通过仔细测算和认真分析各种影响</w:t>
      </w:r>
      <w:r>
        <w:rPr>
          <w:rFonts w:ascii="Arial" w:hAnsi="Arial" w:cs="Arial" w:eastAsia="仿宋_GB2312;仿宋"/>
          <w:sz w:val="28"/>
        </w:rPr>
        <w:t>土地</w:t>
      </w:r>
      <w:r>
        <w:rPr>
          <w:rFonts w:ascii="Arial" w:hAnsi="Arial" w:cs="Arial" w:eastAsia="仿宋_GB2312;仿宋"/>
          <w:kern w:val="2"/>
          <w:sz w:val="28"/>
        </w:rPr>
        <w:t>价格的因素，</w:t>
      </w:r>
      <w:r>
        <w:rPr>
          <w:rFonts w:ascii="Arial" w:hAnsi="Arial" w:cs="Arial" w:eastAsia="仿宋_GB2312;仿宋"/>
          <w:sz w:val="28"/>
          <w:szCs w:val="28"/>
        </w:rPr>
        <w:t>确定估价对象</w:t>
      </w:r>
      <w:r>
        <w:rPr>
          <w:rFonts w:ascii="Arial" w:hAnsi="Arial" w:cs="Arial" w:eastAsia="仿宋_GB2312;仿宋"/>
          <w:kern w:val="2"/>
          <w:sz w:val="28"/>
        </w:rPr>
        <w:t>在估价期日</w:t>
      </w:r>
      <w:r>
        <w:rPr>
          <w:rFonts w:eastAsia="仿宋_GB2312;仿宋" w:cs="Arial" w:ascii="Arial" w:hAnsi="Arial"/>
          <w:kern w:val="2"/>
          <w:sz w:val="28"/>
        </w:rPr>
        <w:t>2023</w:t>
      </w:r>
      <w:r>
        <w:rPr>
          <w:rFonts w:ascii="Arial" w:hAnsi="Arial" w:cs="Arial" w:eastAsia="仿宋_GB2312;仿宋"/>
          <w:kern w:val="2"/>
          <w:sz w:val="28"/>
        </w:rPr>
        <w:t>年</w:t>
      </w:r>
      <w:r>
        <w:rPr>
          <w:rFonts w:eastAsia="仿宋_GB2312;仿宋" w:cs="Arial" w:ascii="Arial" w:hAnsi="Arial"/>
          <w:kern w:val="2"/>
          <w:sz w:val="28"/>
        </w:rPr>
        <w:t>11</w:t>
      </w:r>
      <w:r>
        <w:rPr>
          <w:rFonts w:ascii="Arial" w:hAnsi="Arial" w:cs="Arial" w:eastAsia="仿宋_GB2312;仿宋"/>
          <w:kern w:val="2"/>
          <w:sz w:val="28"/>
        </w:rPr>
        <w:t>月</w:t>
      </w:r>
      <w:r>
        <w:rPr>
          <w:rFonts w:eastAsia="仿宋_GB2312;仿宋" w:cs="Arial" w:ascii="Arial" w:hAnsi="Arial"/>
          <w:kern w:val="2"/>
          <w:sz w:val="28"/>
        </w:rPr>
        <w:t>18</w:t>
      </w:r>
      <w:r>
        <w:rPr>
          <w:rFonts w:ascii="Arial" w:hAnsi="Arial" w:cs="Arial" w:eastAsia="仿宋_GB2312;仿宋"/>
          <w:kern w:val="2"/>
          <w:sz w:val="28"/>
        </w:rPr>
        <w:t>日的土地使用权收购补偿价格为</w:t>
      </w:r>
      <w:r>
        <w:rPr>
          <w:rFonts w:ascii="Arial" w:hAnsi="Arial" w:cs="Arial" w:eastAsia="仿宋_GB2312;仿宋"/>
          <w:b/>
          <w:kern w:val="2"/>
          <w:sz w:val="28"/>
        </w:rPr>
        <w:t>人民币</w:t>
      </w:r>
      <w:r>
        <w:rPr>
          <w:rFonts w:eastAsia="仿宋_GB2312;仿宋" w:cs="Arial" w:ascii="Arial" w:hAnsi="Arial"/>
          <w:b/>
          <w:kern w:val="2"/>
          <w:sz w:val="28"/>
        </w:rPr>
        <w:t>9373.4213</w:t>
      </w:r>
      <w:r>
        <w:rPr>
          <w:rFonts w:ascii="Arial" w:hAnsi="Arial" w:cs="Arial" w:eastAsia="仿宋_GB2312;仿宋"/>
          <w:b/>
          <w:kern w:val="2"/>
          <w:sz w:val="28"/>
        </w:rPr>
        <w:t>万元，大写玖仟叁佰柒拾叁万肆仟贰佰壹拾叁元整</w:t>
      </w:r>
      <w:r>
        <w:rPr>
          <w:rFonts w:ascii="Arial" w:hAnsi="Arial" w:cs="Arial" w:eastAsia="仿宋_GB2312;仿宋"/>
          <w:kern w:val="2"/>
          <w:sz w:val="28"/>
        </w:rPr>
        <w:t>。</w:t>
      </w:r>
      <w:r>
        <w:rPr>
          <w:rFonts w:ascii="Arial" w:hAnsi="Arial" w:cs="Arial" w:eastAsia="仿宋_GB2312;仿宋"/>
          <w:sz w:val="28"/>
        </w:rPr>
        <w:t>估价结果明细如下：</w:t>
      </w:r>
    </w:p>
    <w:p>
      <w:pPr>
        <w:pStyle w:val="Normal"/>
        <w:spacing w:lineRule="auto" w:line="360"/>
        <w:ind w:firstLine="560"/>
        <w:jc w:val="both"/>
        <w:rPr>
          <w:rFonts w:ascii="Arial" w:hAnsi="Arial" w:eastAsia="仿宋_GB2312;仿宋" w:cs="Arial"/>
          <w:sz w:val="28"/>
          <w:szCs w:val="28"/>
        </w:rPr>
      </w:pPr>
      <w:r>
        <w:rPr>
          <w:rFonts w:ascii="Arial" w:hAnsi="Arial" w:cs="Arial" w:eastAsia="仿宋_GB2312;仿宋"/>
          <w:sz w:val="28"/>
          <w:szCs w:val="28"/>
        </w:rPr>
        <w:t>（转下页）</w:t>
      </w:r>
      <w:r>
        <w:br w:type="page"/>
      </w:r>
    </w:p>
    <w:p>
      <w:pPr>
        <w:pStyle w:val="Normal"/>
        <w:spacing w:lineRule="auto" w:line="360"/>
        <w:jc w:val="center"/>
        <w:rPr>
          <w:rFonts w:cs="Arial"/>
        </w:rPr>
      </w:pPr>
      <w:r>
        <w:rPr>
          <w:rFonts w:ascii="Arial" w:hAnsi="Arial" w:cs="Arial" w:eastAsia="仿宋_GB2312;仿宋"/>
          <w:b/>
          <w:bCs/>
          <w:sz w:val="28"/>
          <w:szCs w:val="28"/>
        </w:rPr>
        <w:t>收购补偿价格评估结果</w:t>
      </w:r>
    </w:p>
    <w:tbl>
      <w:tblPr>
        <w:tblW w:w="5000" w:type="pct"/>
        <w:jc w:val="center"/>
        <w:tblInd w:w="0" w:type="dxa"/>
        <w:tblCellMar>
          <w:top w:w="0" w:type="dxa"/>
          <w:left w:w="108" w:type="dxa"/>
          <w:bottom w:w="0" w:type="dxa"/>
          <w:right w:w="108" w:type="dxa"/>
        </w:tblCellMar>
      </w:tblPr>
      <w:tblGrid>
        <w:gridCol w:w="890"/>
        <w:gridCol w:w="3074"/>
        <w:gridCol w:w="2108"/>
        <w:gridCol w:w="3226"/>
      </w:tblGrid>
      <w:tr>
        <w:trPr>
          <w:trHeight w:val="454" w:hRule="atLeast"/>
        </w:trPr>
        <w:tc>
          <w:tcPr>
            <w:tcW w:w="890"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序号</w:t>
            </w:r>
          </w:p>
        </w:tc>
        <w:tc>
          <w:tcPr>
            <w:tcW w:w="3074"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项目</w:t>
            </w:r>
          </w:p>
        </w:tc>
        <w:tc>
          <w:tcPr>
            <w:tcW w:w="210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评估价格</w:t>
            </w:r>
          </w:p>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备注</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1</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土地使用权价格</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9452.3358</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采用市场比较法、成本逼近法评估测算</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2</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建（构）筑物价格</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46.8404</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采用重置成本法测算</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3</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附属物（树木）价格</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11.5346</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采用重置成本法测算</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4</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无法恢复使用的设施设备补偿价</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0</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仿宋_GB2312;仿宋" w:hAnsi="仿宋_GB2312;仿宋" w:cs="仿宋_GB2312;仿宋" w:eastAsia="仿宋_GB2312;仿宋"/>
                <w:sz w:val="28"/>
                <w:szCs w:val="28"/>
              </w:rPr>
              <w:t>——</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5</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停产停业损失补偿费用</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0</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6</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搬迁、临时安置补偿费用</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3.3895</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参照《关于国有土地上房屋征收与补偿中有关事项的通知》</w:t>
            </w:r>
            <w:r>
              <w:rPr>
                <w:rFonts w:eastAsia="仿宋_GB2312;仿宋" w:cs="Arial" w:ascii="Arial" w:hAnsi="Arial"/>
                <w:sz w:val="28"/>
                <w:szCs w:val="28"/>
              </w:rPr>
              <w:t>[</w:t>
            </w:r>
            <w:r>
              <w:rPr>
                <w:rFonts w:ascii="Arial" w:hAnsi="Arial" w:cs="Arial" w:eastAsia="仿宋_GB2312;仿宋"/>
                <w:sz w:val="28"/>
                <w:szCs w:val="28"/>
              </w:rPr>
              <w:t>京建法（</w:t>
            </w:r>
            <w:r>
              <w:rPr>
                <w:rFonts w:eastAsia="仿宋_GB2312;仿宋" w:cs="Arial" w:ascii="Arial" w:hAnsi="Arial"/>
                <w:sz w:val="28"/>
                <w:szCs w:val="28"/>
              </w:rPr>
              <w:t>2012</w:t>
            </w:r>
            <w:r>
              <w:rPr>
                <w:rFonts w:ascii="Arial" w:hAnsi="Arial" w:cs="Arial" w:eastAsia="仿宋_GB2312;仿宋"/>
                <w:sz w:val="28"/>
                <w:szCs w:val="28"/>
              </w:rPr>
              <w:t>）</w:t>
            </w:r>
            <w:r>
              <w:rPr>
                <w:rFonts w:eastAsia="仿宋_GB2312;仿宋" w:cs="Arial" w:ascii="Arial" w:hAnsi="Arial"/>
                <w:sz w:val="28"/>
                <w:szCs w:val="28"/>
              </w:rPr>
              <w:t>19</w:t>
            </w:r>
            <w:r>
              <w:rPr>
                <w:rFonts w:ascii="Arial" w:hAnsi="Arial" w:cs="Arial" w:eastAsia="仿宋_GB2312;仿宋"/>
                <w:sz w:val="28"/>
                <w:szCs w:val="28"/>
              </w:rPr>
              <w:t>号</w:t>
            </w:r>
            <w:r>
              <w:rPr>
                <w:rFonts w:eastAsia="仿宋_GB2312;仿宋" w:cs="Arial" w:ascii="Arial" w:hAnsi="Arial"/>
                <w:sz w:val="28"/>
                <w:szCs w:val="28"/>
              </w:rPr>
              <w:t>]</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7</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土地收购补偿价格</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9373.4213</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eastAsia="仿宋_GB2312;仿宋" w:cs="Arial" w:ascii="Arial" w:hAnsi="Arial"/>
                <w:sz w:val="28"/>
                <w:szCs w:val="28"/>
              </w:rPr>
              <w:t>=1+2+3+4+5+6</w:t>
            </w:r>
          </w:p>
        </w:tc>
      </w:tr>
    </w:tbl>
    <w:p>
      <w:pPr>
        <w:pStyle w:val="Normal"/>
        <w:spacing w:lineRule="auto" w:line="360" w:before="120" w:after="0"/>
        <w:ind w:firstLine="700"/>
        <w:jc w:val="both"/>
        <w:rPr>
          <w:rFonts w:ascii="Arial" w:hAnsi="Arial" w:eastAsia="仿宋_GB2312;仿宋" w:cs="Arial"/>
          <w:sz w:val="28"/>
        </w:rPr>
      </w:pPr>
      <w:r>
        <w:rPr>
          <w:rFonts w:ascii="Arial" w:hAnsi="Arial" w:cs="Arial" w:eastAsia="仿宋_GB2312;仿宋"/>
          <w:kern w:val="2"/>
          <w:sz w:val="28"/>
        </w:rPr>
        <w:t>详见《土地估价结果一览表》</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注：其中土地使用权价格测算各方法权重的确定详见《土地估价技术报告》中</w:t>
      </w:r>
      <w:r>
        <w:rPr>
          <w:rFonts w:ascii="Arial" w:hAnsi="Arial" w:cs="Arial" w:eastAsia="仿宋_GB2312;仿宋"/>
          <w:sz w:val="28"/>
        </w:rPr>
        <w:t>估价方法</w:t>
      </w:r>
      <w:r>
        <w:rPr>
          <w:rFonts w:ascii="Arial" w:hAnsi="Arial" w:cs="Arial" w:eastAsia="仿宋_GB2312;仿宋"/>
          <w:sz w:val="28"/>
        </w:rPr>
        <w:t>与</w:t>
      </w:r>
      <w:r>
        <w:rPr>
          <w:rFonts w:ascii="Arial" w:hAnsi="Arial" w:cs="Arial" w:eastAsia="仿宋_GB2312;仿宋"/>
          <w:sz w:val="28"/>
        </w:rPr>
        <w:t>估算</w:t>
      </w:r>
      <w:r>
        <w:rPr>
          <w:rFonts w:ascii="Arial" w:hAnsi="Arial" w:cs="Arial" w:eastAsia="仿宋_GB2312;仿宋"/>
          <w:sz w:val="28"/>
        </w:rPr>
        <w:t>过程一节。</w:t>
      </w:r>
    </w:p>
    <w:p>
      <w:pPr>
        <w:pStyle w:val="Normal"/>
        <w:numPr>
          <w:ilvl w:val="0"/>
          <w:numId w:val="0"/>
        </w:numPr>
        <w:spacing w:lineRule="auto" w:line="360"/>
        <w:outlineLvl w:val="1"/>
        <w:rPr/>
      </w:pPr>
      <w:bookmarkStart w:id="26" w:name="__RefHeading___Toc469066147"/>
      <w:bookmarkEnd w:id="26"/>
      <w:r>
        <w:rPr>
          <w:rFonts w:ascii="Arial" w:hAnsi="Arial" w:cs="Arial" w:eastAsia="仿宋_GB2312;仿宋"/>
          <w:b/>
          <w:sz w:val="28"/>
        </w:rPr>
        <w:t>三、估价结果和估价报告的使用</w:t>
      </w:r>
    </w:p>
    <w:p>
      <w:pPr>
        <w:pStyle w:val="Normal"/>
        <w:snapToGrid w:val="false"/>
        <w:spacing w:lineRule="auto" w:line="360"/>
        <w:jc w:val="both"/>
        <w:textAlignment w:val="bottom"/>
        <w:rPr/>
      </w:pPr>
      <w:r>
        <w:rPr>
          <w:rFonts w:ascii="Arial" w:hAnsi="Arial" w:cs="Arial" w:eastAsia="仿宋_GB2312;仿宋"/>
          <w:sz w:val="28"/>
        </w:rPr>
        <w:t>（一）估价的前提条件和假设条件</w:t>
      </w:r>
    </w:p>
    <w:p>
      <w:pPr>
        <w:pStyle w:val="Normal"/>
        <w:snapToGrid w:val="false"/>
        <w:spacing w:lineRule="auto" w:line="360"/>
        <w:ind w:firstLine="555"/>
        <w:jc w:val="both"/>
        <w:textAlignment w:val="bottom"/>
        <w:rPr/>
      </w:pPr>
      <w:r>
        <w:rPr>
          <w:rFonts w:eastAsia="仿宋_GB2312;仿宋" w:cs="Arial" w:ascii="Arial" w:hAnsi="Arial"/>
          <w:sz w:val="28"/>
        </w:rPr>
        <w:t>1.</w:t>
      </w:r>
      <w:r>
        <w:rPr>
          <w:rFonts w:ascii="Arial" w:hAnsi="Arial" w:cs="Arial" w:eastAsia="仿宋_GB2312;仿宋"/>
          <w:sz w:val="28"/>
        </w:rPr>
        <w:t>委托估价方提供的资料属实，没有保留及隐瞒。</w:t>
      </w:r>
    </w:p>
    <w:p>
      <w:pPr>
        <w:pStyle w:val="Normal"/>
        <w:snapToGrid w:val="false"/>
        <w:spacing w:lineRule="auto" w:line="360"/>
        <w:jc w:val="both"/>
        <w:textAlignment w:val="bottom"/>
        <w:rPr/>
      </w:pPr>
      <w:r>
        <w:rPr>
          <w:rFonts w:ascii="Arial" w:hAnsi="Arial" w:cs="Arial" w:eastAsia="Arial"/>
          <w:sz w:val="28"/>
        </w:rPr>
        <w:t xml:space="preserve">    </w:t>
      </w:r>
      <w:r>
        <w:rPr>
          <w:rFonts w:eastAsia="仿宋_GB2312;仿宋" w:cs="Arial" w:ascii="Arial" w:hAnsi="Arial"/>
          <w:sz w:val="28"/>
        </w:rPr>
        <w:t>2.</w:t>
      </w:r>
      <w:r>
        <w:rPr>
          <w:rFonts w:ascii="Arial" w:hAnsi="Arial" w:cs="Arial" w:eastAsia="仿宋_GB2312;仿宋"/>
          <w:sz w:val="28"/>
        </w:rPr>
        <w:t>任何有关估价对象的运作方式、程序符合国家、地方的有关法律、法规。</w:t>
      </w:r>
    </w:p>
    <w:p>
      <w:pPr>
        <w:pStyle w:val="Normal"/>
        <w:spacing w:lineRule="auto" w:line="360"/>
        <w:ind w:right="17" w:firstLine="560"/>
        <w:jc w:val="both"/>
        <w:rPr>
          <w:rFonts w:ascii="Arial" w:hAnsi="Arial" w:eastAsia="仿宋_GB2312;仿宋" w:cs="Arial"/>
          <w:sz w:val="28"/>
        </w:rPr>
      </w:pPr>
      <w:r>
        <w:rPr>
          <w:rFonts w:eastAsia="仿宋_GB2312;仿宋" w:cs="Arial" w:ascii="Arial" w:hAnsi="Arial"/>
          <w:sz w:val="28"/>
        </w:rPr>
        <w:t>3.</w:t>
      </w:r>
      <w:r>
        <w:rPr>
          <w:rFonts w:ascii="Arial" w:hAnsi="Arial" w:cs="Arial" w:eastAsia="仿宋_GB2312;仿宋"/>
          <w:sz w:val="28"/>
        </w:rPr>
        <w:t>委托估价方合法取得估价对象划拨国有建设用地使用权。</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4.</w:t>
      </w:r>
      <w:r>
        <w:rPr>
          <w:rFonts w:ascii="Arial" w:hAnsi="Arial" w:cs="Arial" w:eastAsia="仿宋_GB2312;仿宋"/>
          <w:sz w:val="28"/>
        </w:rPr>
        <w:t>根据《国有土地使用证》</w:t>
      </w:r>
      <w:r>
        <w:rPr>
          <w:rFonts w:eastAsia="仿宋_GB2312;仿宋" w:cs="Arial" w:ascii="Arial" w:hAnsi="Arial"/>
          <w:sz w:val="28"/>
        </w:rPr>
        <w:t>[</w:t>
      </w:r>
      <w:r>
        <w:rPr>
          <w:rFonts w:ascii="Arial" w:hAnsi="Arial" w:cs="Arial" w:eastAsia="仿宋_GB2312;仿宋"/>
          <w:sz w:val="28"/>
        </w:rPr>
        <w:t>京海国用（</w:t>
      </w:r>
      <w:r>
        <w:rPr>
          <w:rFonts w:eastAsia="仿宋_GB2312;仿宋" w:cs="Arial" w:ascii="Arial" w:hAnsi="Arial"/>
          <w:sz w:val="28"/>
        </w:rPr>
        <w:t>2004</w:t>
      </w:r>
      <w:r>
        <w:rPr>
          <w:rFonts w:ascii="Arial" w:hAnsi="Arial" w:cs="Arial" w:eastAsia="仿宋_GB2312;仿宋"/>
          <w:sz w:val="28"/>
        </w:rPr>
        <w:t>划）字第</w:t>
      </w:r>
      <w:r>
        <w:rPr>
          <w:rFonts w:eastAsia="仿宋_GB2312;仿宋" w:cs="Arial" w:ascii="Arial" w:hAnsi="Arial"/>
          <w:sz w:val="28"/>
        </w:rPr>
        <w:t>2880</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复印件，本次评估估价对象证载地类（用途）为工业用地。本次评估设定用途即为证载用途工业用地。</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5.</w:t>
      </w:r>
      <w:r>
        <w:rPr>
          <w:rFonts w:ascii="Arial" w:hAnsi="Arial" w:cs="Arial" w:eastAsia="仿宋_GB2312;仿宋"/>
          <w:sz w:val="28"/>
        </w:rPr>
        <w:t>根据委托估价方介绍及评估专业人员现场勘查，本次评估估价对象实际土地开发程度为宗地红线外”七通”（即通路、通上水、通下水、通燃气、通电、通讯、通热）、宗地红线内有现状房屋。根据本次估价目的，本次估算设定土地开发程度即为实际开发程度红线外市政基础设施达”七通”（即通路、通上水、通下水、通燃气、通电、通讯、通热）、宗地红线内“场地平整”。</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6.</w:t>
      </w:r>
      <w:r>
        <w:rPr>
          <w:rFonts w:ascii="Arial" w:hAnsi="Arial" w:cs="Arial" w:eastAsia="仿宋_GB2312;仿宋"/>
          <w:sz w:val="28"/>
        </w:rPr>
        <w:t>评估专业人员根据委托估价方所提供的资料，未发现有抵押、租赁的登记信息，本次评估设定估价对象不存在抵押、租赁等他项权利。</w:t>
      </w:r>
    </w:p>
    <w:p>
      <w:pPr>
        <w:pStyle w:val="Normal"/>
        <w:snapToGrid w:val="false"/>
        <w:spacing w:lineRule="auto" w:line="360"/>
        <w:jc w:val="both"/>
        <w:textAlignment w:val="bottom"/>
        <w:rPr/>
      </w:pPr>
      <w:r>
        <w:rPr>
          <w:rFonts w:ascii="Arial" w:hAnsi="Arial" w:cs="Arial" w:eastAsia="仿宋_GB2312;仿宋"/>
          <w:sz w:val="28"/>
        </w:rPr>
        <w:t>（二）估价结果和估价报告的使用</w:t>
      </w:r>
    </w:p>
    <w:p>
      <w:pPr>
        <w:pStyle w:val="Normal"/>
        <w:snapToGrid w:val="false"/>
        <w:spacing w:lineRule="auto" w:line="360"/>
        <w:ind w:firstLine="585"/>
        <w:jc w:val="both"/>
        <w:textAlignment w:val="auto"/>
        <w:rPr/>
      </w:pPr>
      <w:r>
        <w:rPr>
          <w:rFonts w:eastAsia="仿宋_GB2312;仿宋" w:cs="Arial" w:ascii="Arial" w:hAnsi="Arial"/>
          <w:sz w:val="28"/>
        </w:rPr>
        <w:t>1.</w:t>
      </w:r>
      <w:r>
        <w:rPr>
          <w:rFonts w:ascii="Arial" w:hAnsi="Arial" w:cs="Arial" w:eastAsia="仿宋_GB2312;仿宋"/>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pPr>
        <w:pStyle w:val="Normal"/>
        <w:snapToGrid w:val="false"/>
        <w:spacing w:lineRule="auto" w:line="360"/>
        <w:ind w:firstLine="585"/>
        <w:jc w:val="both"/>
        <w:textAlignment w:val="auto"/>
        <w:rPr>
          <w:rFonts w:ascii="Arial" w:hAnsi="Arial" w:eastAsia="仿宋_GB2312;仿宋" w:cs="Arial"/>
          <w:sz w:val="28"/>
        </w:rPr>
      </w:pPr>
      <w:r>
        <w:rPr>
          <w:rFonts w:eastAsia="仿宋_GB2312;仿宋" w:cs="Arial" w:ascii="Arial" w:hAnsi="Arial"/>
          <w:sz w:val="28"/>
        </w:rPr>
        <w:t>2.</w:t>
      </w:r>
      <w:r>
        <w:rPr>
          <w:rFonts w:ascii="Arial" w:hAnsi="Arial" w:cs="Arial" w:eastAsia="仿宋_GB2312;仿宋"/>
          <w:sz w:val="28"/>
        </w:rPr>
        <w:t>委托估价方</w:t>
      </w:r>
      <w:r>
        <w:rPr>
          <w:rFonts w:ascii="Arial" w:hAnsi="Arial" w:cs="Arial" w:eastAsia="仿宋_GB2312;仿宋"/>
          <w:kern w:val="2"/>
          <w:sz w:val="28"/>
        </w:rPr>
        <w:t>应对其提供的权属证明以及其他资料的真实性、完整性和合法性负责。如因资料失实或资料提供人有所隐匿而导致估价结果失真，受托单位不承担相应的责任。</w:t>
      </w:r>
    </w:p>
    <w:p>
      <w:pPr>
        <w:pStyle w:val="Normal"/>
        <w:snapToGrid w:val="false"/>
        <w:spacing w:lineRule="auto" w:line="360"/>
        <w:ind w:firstLine="585"/>
        <w:jc w:val="both"/>
        <w:textAlignment w:val="auto"/>
        <w:rPr/>
      </w:pPr>
      <w:r>
        <w:rPr>
          <w:rFonts w:eastAsia="仿宋_GB2312;仿宋" w:cs="Arial" w:ascii="Arial" w:hAnsi="Arial"/>
          <w:sz w:val="28"/>
        </w:rPr>
        <w:t>3.</w:t>
      </w:r>
      <w:r>
        <w:rPr>
          <w:rFonts w:ascii="Arial" w:hAnsi="Arial" w:cs="Arial" w:eastAsia="仿宋_GB2312;仿宋"/>
          <w:sz w:val="28"/>
        </w:rPr>
        <w:t>本报告估价结果为估价期日下的土地收购补偿价格，随着时间的推移，该价格需要做相应的调整直至重新评估。</w:t>
      </w:r>
    </w:p>
    <w:p>
      <w:pPr>
        <w:pStyle w:val="Normal"/>
        <w:snapToGrid w:val="false"/>
        <w:spacing w:lineRule="auto" w:line="360"/>
        <w:ind w:firstLine="585"/>
        <w:jc w:val="both"/>
        <w:textAlignment w:val="auto"/>
        <w:rPr/>
      </w:pPr>
      <w:r>
        <w:rPr>
          <w:rFonts w:eastAsia="仿宋_GB2312;仿宋" w:cs="Arial" w:ascii="Arial" w:hAnsi="Arial"/>
          <w:sz w:val="28"/>
        </w:rPr>
        <w:t>4.</w:t>
      </w:r>
      <w:r>
        <w:rPr>
          <w:rFonts w:ascii="Arial" w:hAnsi="Arial" w:cs="Arial" w:eastAsia="仿宋_GB2312;仿宋"/>
          <w:sz w:val="28"/>
        </w:rPr>
        <w:t>本估价报告在受托单位盖章和土地估价师签字或签章的条件下有效。</w:t>
      </w:r>
    </w:p>
    <w:p>
      <w:pPr>
        <w:pStyle w:val="Normal"/>
        <w:snapToGrid w:val="false"/>
        <w:spacing w:lineRule="auto" w:line="360"/>
        <w:ind w:firstLine="585"/>
        <w:jc w:val="both"/>
        <w:textAlignment w:val="auto"/>
        <w:rPr/>
      </w:pPr>
      <w:r>
        <w:rPr>
          <w:rFonts w:eastAsia="仿宋_GB2312;仿宋" w:cs="Arial" w:ascii="Arial" w:hAnsi="Arial"/>
          <w:sz w:val="28"/>
        </w:rPr>
        <w:t>5.</w:t>
      </w:r>
      <w:r>
        <w:rPr>
          <w:rFonts w:ascii="Arial" w:hAnsi="Arial" w:cs="Arial" w:eastAsia="仿宋_GB2312;仿宋"/>
          <w:sz w:val="28"/>
        </w:rPr>
        <w:t>本次评估估价报告分为“土地估价报告”和“土地估价技术报告”两部分，“土地估价报告”供委托估价方使用，“土地估价技术报告”仅供受托单位存档。</w:t>
      </w:r>
    </w:p>
    <w:p>
      <w:pPr>
        <w:pStyle w:val="Normal"/>
        <w:snapToGrid w:val="false"/>
        <w:spacing w:lineRule="auto" w:line="360"/>
        <w:ind w:firstLine="570"/>
        <w:jc w:val="both"/>
        <w:rPr/>
      </w:pPr>
      <w:r>
        <w:rPr>
          <w:rFonts w:eastAsia="仿宋_GB2312;仿宋" w:cs="Arial" w:ascii="Arial" w:hAnsi="Arial"/>
          <w:sz w:val="28"/>
        </w:rPr>
        <w:t>6.</w:t>
      </w:r>
      <w:r>
        <w:rPr>
          <w:rFonts w:ascii="Arial" w:hAnsi="Arial" w:cs="Arial" w:eastAsia="仿宋_GB2312;仿宋"/>
          <w:sz w:val="28"/>
        </w:rPr>
        <w:t>本估价报告只能由估价报告载明的报告使用者使用，且只能用于本报告载明的唯一估价目的和用途。</w:t>
      </w:r>
    </w:p>
    <w:p>
      <w:pPr>
        <w:pStyle w:val="Normal"/>
        <w:snapToGrid w:val="false"/>
        <w:spacing w:lineRule="auto" w:line="360"/>
        <w:ind w:firstLine="570"/>
        <w:jc w:val="both"/>
        <w:rPr/>
      </w:pPr>
      <w:r>
        <w:rPr>
          <w:rFonts w:eastAsia="仿宋_GB2312;仿宋" w:cs="Arial" w:ascii="Arial" w:hAnsi="Arial"/>
          <w:sz w:val="28"/>
        </w:rPr>
        <w:t>7.</w:t>
      </w:r>
      <w:r>
        <w:rPr>
          <w:rFonts w:ascii="Arial" w:hAnsi="Arial" w:cs="Arial" w:eastAsia="仿宋_GB2312;仿宋"/>
          <w:sz w:val="28"/>
        </w:rPr>
        <w:t>委托估价方或者本估价报告使用人应按照法律规定和估价报告载明的使用范围使用本估价报告。委托估价方或者估价报告使用人违反前述规定使用本估价报告的，受托单位和评估专业人员不承担责任。</w:t>
      </w:r>
    </w:p>
    <w:p>
      <w:pPr>
        <w:pStyle w:val="Normal"/>
        <w:snapToGrid w:val="false"/>
        <w:spacing w:lineRule="auto" w:line="360"/>
        <w:ind w:firstLine="570"/>
        <w:jc w:val="both"/>
        <w:rPr/>
      </w:pPr>
      <w:r>
        <w:rPr>
          <w:rFonts w:eastAsia="仿宋_GB2312;仿宋" w:cs="Arial" w:ascii="Arial" w:hAnsi="Arial"/>
          <w:sz w:val="28"/>
        </w:rPr>
        <w:t>8.</w:t>
      </w:r>
      <w:r>
        <w:rPr>
          <w:rFonts w:ascii="Arial" w:hAnsi="Arial" w:cs="Arial" w:eastAsia="仿宋_GB2312;仿宋"/>
          <w:sz w:val="28"/>
        </w:rPr>
        <w:t>除委托估价方、估价委托合同中约定的其他估价报告使用人和法律、行政法规规定的估价报告使用人之外，其他任何机构和个人不能成为估价报告的使用人。</w:t>
      </w:r>
    </w:p>
    <w:p>
      <w:pPr>
        <w:pStyle w:val="Normal"/>
        <w:snapToGrid w:val="false"/>
        <w:spacing w:lineRule="auto" w:line="360"/>
        <w:ind w:firstLine="570"/>
        <w:jc w:val="both"/>
        <w:rPr>
          <w:rFonts w:ascii="Arial" w:hAnsi="Arial" w:eastAsia="仿宋_GB2312;仿宋" w:cs="Arial"/>
          <w:sz w:val="28"/>
        </w:rPr>
      </w:pPr>
      <w:r>
        <w:rPr>
          <w:rFonts w:eastAsia="仿宋_GB2312;仿宋" w:cs="Arial" w:ascii="Arial" w:hAnsi="Arial"/>
          <w:sz w:val="28"/>
        </w:rPr>
        <w:t>9.</w:t>
      </w:r>
      <w:r>
        <w:rPr>
          <w:rFonts w:ascii="Arial" w:hAnsi="Arial" w:cs="Arial" w:eastAsia="仿宋_GB2312;仿宋"/>
          <w:sz w:val="28"/>
        </w:rPr>
        <w:t>估价报告使用人应当正确理解估价结论。估价结论不等同于估价对象可实现价格，估价结论不应当被认为是对估价对象可实现价格的保证。</w:t>
      </w:r>
    </w:p>
    <w:p>
      <w:pPr>
        <w:pStyle w:val="Normal"/>
        <w:snapToGrid w:val="false"/>
        <w:spacing w:lineRule="auto" w:line="360"/>
        <w:ind w:firstLine="570"/>
        <w:jc w:val="both"/>
        <w:rPr>
          <w:rFonts w:ascii="Arial" w:hAnsi="Arial" w:eastAsia="仿宋_GB2312;仿宋" w:cs="Arial"/>
          <w:sz w:val="28"/>
        </w:rPr>
      </w:pPr>
      <w:r>
        <w:rPr>
          <w:rFonts w:eastAsia="仿宋_GB2312;仿宋" w:cs="Arial" w:ascii="Arial" w:hAnsi="Arial"/>
          <w:sz w:val="28"/>
        </w:rPr>
        <w:t>10.</w:t>
      </w:r>
      <w:r>
        <w:rPr>
          <w:rFonts w:ascii="Arial" w:hAnsi="Arial" w:cs="Arial" w:eastAsia="仿宋_GB2312;仿宋"/>
          <w:sz w:val="28"/>
        </w:rPr>
        <w:t>本报告所确定的土地价格仅为收购的国有建设用地使用权的补偿</w:t>
      </w:r>
      <w:r>
        <w:rPr>
          <w:rFonts w:ascii="Arial" w:hAnsi="Arial" w:cs="Arial" w:eastAsia="仿宋_GB2312;仿宋"/>
          <w:sz w:val="28"/>
        </w:rPr>
        <w:t>可能</w:t>
      </w:r>
      <w:r>
        <w:rPr>
          <w:rFonts w:ascii="Arial" w:hAnsi="Arial" w:cs="Arial" w:eastAsia="仿宋_GB2312;仿宋"/>
          <w:sz w:val="28"/>
        </w:rPr>
        <w:t>形成的价格，若违反特定用途使用本土地</w:t>
      </w:r>
      <w:r>
        <w:rPr>
          <w:rFonts w:ascii="Arial" w:hAnsi="Arial" w:cs="Arial" w:eastAsia="仿宋_GB2312;仿宋"/>
          <w:sz w:val="28"/>
        </w:rPr>
        <w:t>估价报告</w:t>
      </w:r>
      <w:r>
        <w:rPr>
          <w:rFonts w:ascii="Arial" w:hAnsi="Arial" w:cs="Arial" w:eastAsia="仿宋_GB2312;仿宋"/>
          <w:sz w:val="28"/>
        </w:rPr>
        <w:t>和估价结果，由此引出的一切法律责任由使用者自负。</w:t>
      </w:r>
    </w:p>
    <w:p>
      <w:pPr>
        <w:pStyle w:val="Normal"/>
        <w:snapToGrid w:val="false"/>
        <w:spacing w:lineRule="auto" w:line="360"/>
        <w:ind w:firstLine="570"/>
        <w:jc w:val="both"/>
        <w:rPr>
          <w:rFonts w:ascii="Arial" w:hAnsi="Arial" w:eastAsia="仿宋_GB2312;仿宋" w:cs="Arial"/>
          <w:sz w:val="28"/>
        </w:rPr>
      </w:pPr>
      <w:r>
        <w:rPr>
          <w:rFonts w:eastAsia="仿宋_GB2312;仿宋" w:cs="Arial" w:ascii="Arial" w:hAnsi="Arial"/>
          <w:sz w:val="28"/>
        </w:rPr>
        <w:t>11.</w:t>
      </w:r>
      <w:r>
        <w:rPr>
          <w:rFonts w:ascii="Arial" w:hAnsi="Arial" w:cs="Arial" w:eastAsia="仿宋_GB2312;仿宋"/>
          <w:sz w:val="28"/>
        </w:rPr>
        <w:t>报告有效期限为报告出具之日起壹年内有效。有效期自</w:t>
      </w:r>
      <w:r>
        <w:rPr>
          <w:rFonts w:eastAsia="仿宋_GB2312;仿宋" w:cs="Arial" w:ascii="Arial" w:hAnsi="Arial"/>
          <w:sz w:val="28"/>
        </w:rPr>
        <w:t>2024</w:t>
      </w:r>
      <w:r>
        <w:rPr>
          <w:rFonts w:ascii="Arial" w:hAnsi="Arial" w:cs="Arial" w:eastAsia="仿宋_GB2312;仿宋"/>
          <w:sz w:val="28"/>
        </w:rPr>
        <w:t>年</w:t>
      </w:r>
      <w:r>
        <w:rPr>
          <w:rFonts w:eastAsia="仿宋_GB2312;仿宋" w:cs="Arial" w:ascii="Arial" w:hAnsi="Arial"/>
          <w:sz w:val="28"/>
        </w:rPr>
        <w:t>5</w:t>
      </w:r>
      <w:r>
        <w:rPr>
          <w:rFonts w:ascii="Arial" w:hAnsi="Arial" w:cs="Arial" w:eastAsia="仿宋_GB2312;仿宋"/>
          <w:sz w:val="28"/>
        </w:rPr>
        <w:t>月</w:t>
      </w:r>
      <w:r>
        <w:rPr>
          <w:rFonts w:eastAsia="仿宋_GB2312;仿宋" w:cs="Arial" w:ascii="Arial" w:hAnsi="Arial"/>
          <w:sz w:val="28"/>
        </w:rPr>
        <w:t>30</w:t>
      </w:r>
      <w:r>
        <w:rPr>
          <w:rFonts w:ascii="Arial" w:hAnsi="Arial" w:cs="Arial" w:eastAsia="仿宋_GB2312;仿宋"/>
          <w:sz w:val="28"/>
        </w:rPr>
        <w:t>日起至</w:t>
      </w:r>
      <w:r>
        <w:rPr>
          <w:rFonts w:eastAsia="仿宋_GB2312;仿宋" w:cs="Arial" w:ascii="Arial" w:hAnsi="Arial"/>
          <w:sz w:val="28"/>
        </w:rPr>
        <w:t>2025</w:t>
      </w:r>
      <w:r>
        <w:rPr>
          <w:rFonts w:ascii="Arial" w:hAnsi="Arial" w:cs="Arial" w:eastAsia="仿宋_GB2312;仿宋"/>
          <w:sz w:val="28"/>
        </w:rPr>
        <w:t>年</w:t>
      </w:r>
      <w:r>
        <w:rPr>
          <w:rFonts w:eastAsia="仿宋_GB2312;仿宋" w:cs="Arial" w:ascii="Arial" w:hAnsi="Arial"/>
          <w:sz w:val="28"/>
        </w:rPr>
        <w:t>5</w:t>
      </w:r>
      <w:r>
        <w:rPr>
          <w:rFonts w:ascii="Arial" w:hAnsi="Arial" w:cs="Arial" w:eastAsia="仿宋_GB2312;仿宋"/>
          <w:sz w:val="28"/>
        </w:rPr>
        <w:t>月</w:t>
      </w:r>
      <w:r>
        <w:rPr>
          <w:rFonts w:eastAsia="仿宋_GB2312;仿宋" w:cs="Arial" w:ascii="Arial" w:hAnsi="Arial"/>
          <w:sz w:val="28"/>
        </w:rPr>
        <w:t>29</w:t>
      </w:r>
      <w:r>
        <w:rPr>
          <w:rFonts w:ascii="Arial" w:hAnsi="Arial" w:cs="Arial" w:eastAsia="仿宋_GB2312;仿宋"/>
          <w:sz w:val="28"/>
        </w:rPr>
        <w:t>日止</w:t>
      </w:r>
      <w:r>
        <w:rPr>
          <w:rFonts w:ascii="Arial" w:hAnsi="Arial" w:cs="Arial" w:eastAsia="仿宋_GB2312;仿宋"/>
          <w:kern w:val="2"/>
          <w:sz w:val="28"/>
        </w:rPr>
        <w:t>。</w:t>
      </w:r>
    </w:p>
    <w:p>
      <w:pPr>
        <w:pStyle w:val="Normal"/>
        <w:snapToGrid w:val="false"/>
        <w:spacing w:lineRule="auto" w:line="360"/>
        <w:ind w:firstLine="570"/>
        <w:jc w:val="both"/>
        <w:rPr>
          <w:rFonts w:ascii="Arial" w:hAnsi="Arial" w:eastAsia="仿宋_GB2312;仿宋" w:cs="Arial"/>
          <w:sz w:val="28"/>
        </w:rPr>
      </w:pPr>
      <w:r>
        <w:rPr>
          <w:rFonts w:eastAsia="楷体_GB2312;楷体" w:cs="Arial" w:ascii="Arial" w:hAnsi="Arial"/>
          <w:kern w:val="2"/>
          <w:sz w:val="28"/>
        </w:rPr>
        <w:t>12</w:t>
      </w:r>
      <w:r>
        <w:rPr>
          <w:rFonts w:eastAsia="仿宋_GB2312;仿宋" w:cs="Arial" w:ascii="Arial" w:hAnsi="Arial"/>
          <w:sz w:val="28"/>
        </w:rPr>
        <w:t>.</w:t>
      </w:r>
      <w:r>
        <w:rPr>
          <w:rFonts w:ascii="Arial" w:hAnsi="Arial" w:cs="Arial" w:eastAsia="仿宋_GB2312;仿宋"/>
          <w:sz w:val="28"/>
        </w:rPr>
        <w:t>本次土地估价报告的使用权归北京市海淀区规划和自然资源综合事务中心，土地估价报告由北京康正宏基房地产评估有限公司负责解释。</w:t>
      </w:r>
    </w:p>
    <w:p>
      <w:pPr>
        <w:pStyle w:val="Normal"/>
        <w:snapToGrid w:val="false"/>
        <w:spacing w:lineRule="auto" w:line="360"/>
        <w:jc w:val="both"/>
        <w:textAlignment w:val="bottom"/>
        <w:rPr>
          <w:rFonts w:ascii="Arial" w:hAnsi="Arial" w:eastAsia="仿宋_GB2312;仿宋" w:cs="Arial"/>
          <w:sz w:val="28"/>
        </w:rPr>
      </w:pPr>
      <w:r>
        <w:rPr>
          <w:rFonts w:ascii="Arial" w:hAnsi="Arial" w:cs="Arial" w:eastAsia="仿宋_GB2312;仿宋"/>
          <w:sz w:val="28"/>
        </w:rPr>
        <w:t>（三）需要特殊说明的事项</w:t>
      </w:r>
    </w:p>
    <w:p>
      <w:pPr>
        <w:pStyle w:val="Normal"/>
        <w:snapToGrid w:val="false"/>
        <w:spacing w:lineRule="auto" w:line="360"/>
        <w:ind w:firstLine="560"/>
        <w:jc w:val="both"/>
        <w:textAlignment w:val="bottom"/>
        <w:rPr>
          <w:rFonts w:ascii="Arial" w:hAnsi="Arial" w:eastAsia="仿宋_GB2312;仿宋" w:cs="Arial"/>
          <w:sz w:val="28"/>
        </w:rPr>
      </w:pPr>
      <w:r>
        <w:rPr>
          <w:rFonts w:eastAsia="仿宋_GB2312;仿宋" w:cs="Arial" w:ascii="Arial" w:hAnsi="Arial"/>
          <w:sz w:val="28"/>
        </w:rPr>
        <w:t>1.</w:t>
      </w:r>
      <w:r>
        <w:rPr>
          <w:rFonts w:ascii="Arial" w:hAnsi="Arial" w:cs="Arial" w:eastAsia="仿宋_GB2312;仿宋"/>
          <w:sz w:val="28"/>
        </w:rPr>
        <w:t>资料来源说明</w:t>
      </w:r>
    </w:p>
    <w:p>
      <w:pPr>
        <w:pStyle w:val="Normal"/>
        <w:snapToGrid w:val="false"/>
        <w:spacing w:lineRule="auto" w:line="360"/>
        <w:ind w:firstLine="560"/>
        <w:jc w:val="both"/>
        <w:textAlignment w:val="bottom"/>
        <w:rPr/>
      </w:pPr>
      <w:r>
        <w:rPr>
          <w:rFonts w:ascii="Arial" w:hAnsi="Arial" w:cs="Arial" w:eastAsia="仿宋_GB2312;仿宋"/>
          <w:sz w:val="28"/>
        </w:rPr>
        <w:t>（</w:t>
      </w:r>
      <w:r>
        <w:rPr>
          <w:rFonts w:eastAsia="仿宋_GB2312;仿宋" w:cs="Arial" w:ascii="Arial" w:hAnsi="Arial"/>
          <w:sz w:val="28"/>
        </w:rPr>
        <w:t>1</w:t>
      </w:r>
      <w:r>
        <w:rPr>
          <w:rFonts w:ascii="Arial" w:hAnsi="Arial" w:cs="Arial" w:eastAsia="仿宋_GB2312;仿宋"/>
          <w:sz w:val="28"/>
        </w:rPr>
        <w:t>）估价对象的土地、房屋权属资料、土地利用状况、评估项目相关资料由委托估价方提供。</w:t>
      </w:r>
    </w:p>
    <w:p>
      <w:pPr>
        <w:pStyle w:val="Normal"/>
        <w:snapToGrid w:val="false"/>
        <w:spacing w:lineRule="auto" w:line="360"/>
        <w:ind w:firstLine="560"/>
        <w:jc w:val="both"/>
        <w:textAlignment w:val="bottom"/>
        <w:rPr/>
      </w:pPr>
      <w:r>
        <w:rPr>
          <w:rFonts w:ascii="Arial" w:hAnsi="Arial" w:cs="Arial" w:eastAsia="仿宋_GB2312;仿宋"/>
          <w:sz w:val="28"/>
        </w:rPr>
        <w:t>（</w:t>
      </w:r>
      <w:r>
        <w:rPr>
          <w:rFonts w:eastAsia="仿宋_GB2312;仿宋" w:cs="Arial" w:ascii="Arial" w:hAnsi="Arial"/>
          <w:sz w:val="28"/>
        </w:rPr>
        <w:t>2</w:t>
      </w:r>
      <w:r>
        <w:rPr>
          <w:rFonts w:ascii="Arial" w:hAnsi="Arial" w:cs="Arial" w:eastAsia="仿宋_GB2312;仿宋"/>
          <w:sz w:val="28"/>
        </w:rPr>
        <w:t>）土地区位条件、地产市场交易资料、土地利用现状照片等相关资料由评估专业人员实地调查取得。</w:t>
      </w:r>
    </w:p>
    <w:p>
      <w:pPr>
        <w:pStyle w:val="Normal"/>
        <w:snapToGrid w:val="false"/>
        <w:spacing w:lineRule="auto" w:line="360"/>
        <w:ind w:firstLine="560"/>
        <w:jc w:val="both"/>
        <w:textAlignment w:val="bottom"/>
        <w:rPr/>
      </w:pPr>
      <w:r>
        <w:rPr>
          <w:rFonts w:ascii="Arial" w:hAnsi="Arial" w:cs="Arial" w:eastAsia="仿宋_GB2312;仿宋"/>
          <w:sz w:val="28"/>
        </w:rPr>
        <w:t>（</w:t>
      </w:r>
      <w:r>
        <w:rPr>
          <w:rFonts w:eastAsia="仿宋_GB2312;仿宋" w:cs="Arial" w:ascii="Arial" w:hAnsi="Arial"/>
          <w:sz w:val="28"/>
        </w:rPr>
        <w:t>3</w:t>
      </w:r>
      <w:r>
        <w:rPr>
          <w:rFonts w:ascii="Arial" w:hAnsi="Arial" w:cs="Arial" w:eastAsia="仿宋_GB2312;仿宋"/>
          <w:sz w:val="28"/>
        </w:rPr>
        <w:t>）区域经济发展状况、统计数据、城市规划资料、基准地价资料等由评估专业人员通过政府相关部门获取。</w:t>
      </w:r>
    </w:p>
    <w:p>
      <w:pPr>
        <w:pStyle w:val="Normal"/>
        <w:snapToGrid w:val="false"/>
        <w:spacing w:lineRule="auto" w:line="360"/>
        <w:ind w:firstLine="560"/>
        <w:jc w:val="both"/>
        <w:textAlignment w:val="bottom"/>
        <w:rPr/>
      </w:pPr>
      <w:r>
        <w:rPr>
          <w:rFonts w:ascii="Arial" w:hAnsi="Arial" w:cs="Arial" w:eastAsia="仿宋_GB2312;仿宋"/>
          <w:sz w:val="28"/>
        </w:rPr>
        <w:t>（</w:t>
      </w:r>
      <w:r>
        <w:rPr>
          <w:rFonts w:eastAsia="仿宋_GB2312;仿宋" w:cs="Arial" w:ascii="Arial" w:hAnsi="Arial"/>
          <w:sz w:val="28"/>
        </w:rPr>
        <w:t>4</w:t>
      </w:r>
      <w:r>
        <w:rPr>
          <w:rFonts w:ascii="Arial" w:hAnsi="Arial" w:cs="Arial" w:eastAsia="仿宋_GB2312;仿宋"/>
          <w:sz w:val="28"/>
        </w:rPr>
        <w:t>）估价中的相关参数资料由评估专业人员通过政府部门相关文件规定、公开媒体等多种途径获取。</w:t>
      </w:r>
    </w:p>
    <w:p>
      <w:pPr>
        <w:pStyle w:val="Normal"/>
        <w:snapToGrid w:val="false"/>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w:t>
      </w:r>
      <w:r>
        <w:rPr>
          <w:rFonts w:eastAsia="仿宋_GB2312;仿宋" w:cs="Arial" w:ascii="Arial" w:hAnsi="Arial"/>
          <w:sz w:val="28"/>
        </w:rPr>
        <w:t>5</w:t>
      </w:r>
      <w:r>
        <w:rPr>
          <w:rFonts w:ascii="Arial" w:hAnsi="Arial" w:cs="Arial" w:eastAsia="仿宋_GB2312;仿宋"/>
          <w:sz w:val="28"/>
        </w:rPr>
        <w:t>）评估专业人员结合执业经验，对上述相关评估资料的真实性、合法性、有效性、适用性进行了尽职核实、专业判断。委托估价方对所提供资料的真实性负责，受托单位对所收集资料的真实性、准确性负责。</w:t>
      </w:r>
    </w:p>
    <w:p>
      <w:pPr>
        <w:pStyle w:val="Normal"/>
        <w:snapToGrid w:val="false"/>
        <w:spacing w:lineRule="auto" w:line="360"/>
        <w:ind w:firstLine="560"/>
        <w:jc w:val="both"/>
        <w:rPr/>
      </w:pPr>
      <w:r>
        <w:rPr>
          <w:rFonts w:eastAsia="仿宋_GB2312;仿宋" w:cs="Arial" w:ascii="Arial" w:hAnsi="Arial"/>
          <w:sz w:val="28"/>
          <w:szCs w:val="28"/>
        </w:rPr>
        <w:t>2.</w:t>
      </w:r>
      <w:r>
        <w:rPr>
          <w:rFonts w:ascii="Arial" w:hAnsi="Arial" w:cs="Arial" w:eastAsia="仿宋_GB2312;仿宋"/>
          <w:sz w:val="28"/>
          <w:szCs w:val="28"/>
        </w:rPr>
        <w:t>本报告估价结果是在满足地价定义所设定条件下的土地使用权价格，若估价对象的土地利用方式、估价期日、土地使用年期、土地用途、土地面积、建筑面积等影响地价的因素发生变化，该估价</w:t>
      </w:r>
      <w:r>
        <w:rPr>
          <w:rFonts w:ascii="Arial" w:hAnsi="Arial" w:cs="Arial" w:eastAsia="仿宋_GB2312;仿宋"/>
          <w:sz w:val="28"/>
          <w:szCs w:val="28"/>
        </w:rPr>
        <w:t>价</w:t>
      </w:r>
      <w:r>
        <w:rPr>
          <w:rFonts w:ascii="Arial" w:hAnsi="Arial" w:cs="Arial" w:eastAsia="仿宋_GB2312;仿宋"/>
          <w:sz w:val="28"/>
          <w:szCs w:val="28"/>
        </w:rPr>
        <w:t>格应作相应调整。</w:t>
      </w:r>
    </w:p>
    <w:p>
      <w:pPr>
        <w:pStyle w:val="Normal"/>
        <w:snapToGrid w:val="false"/>
        <w:spacing w:lineRule="auto" w:line="360"/>
        <w:ind w:firstLine="560"/>
        <w:jc w:val="both"/>
        <w:rPr>
          <w:rFonts w:ascii="Arial" w:hAnsi="Arial" w:eastAsia="仿宋_GB2312;仿宋" w:cs="Arial"/>
          <w:sz w:val="28"/>
          <w:szCs w:val="28"/>
        </w:rPr>
      </w:pPr>
      <w:r>
        <w:rPr>
          <w:rFonts w:eastAsia="仿宋_GB2312;仿宋" w:cs="Arial" w:ascii="Arial" w:hAnsi="Arial"/>
          <w:sz w:val="28"/>
          <w:szCs w:val="28"/>
        </w:rPr>
        <w:t>3.</w:t>
      </w:r>
      <w:r>
        <w:rPr>
          <w:rFonts w:ascii="Arial" w:hAnsi="Arial" w:cs="Arial" w:eastAsia="仿宋_GB2312;仿宋"/>
          <w:sz w:val="28"/>
          <w:szCs w:val="28"/>
        </w:rPr>
        <w:t>根据不动产权利人介绍和估价人员现场查勘，估价对象所在宗地内房屋存在改建的情况，部分建筑物现状与《房屋所有权证》不一致（多</w:t>
      </w:r>
      <w:r>
        <w:rPr>
          <w:rFonts w:eastAsia="仿宋_GB2312;仿宋" w:cs="Arial" w:ascii="Arial" w:hAnsi="Arial"/>
          <w:sz w:val="28"/>
          <w:szCs w:val="28"/>
        </w:rPr>
        <w:t>2</w:t>
      </w:r>
      <w:r>
        <w:rPr>
          <w:rFonts w:ascii="Arial" w:hAnsi="Arial" w:cs="Arial" w:eastAsia="仿宋_GB2312;仿宋"/>
          <w:sz w:val="28"/>
          <w:szCs w:val="28"/>
        </w:rPr>
        <w:t>栋建筑物）；本次房屋的结构以评估专业人员实地查勘并经领勘人签字确认的记载为依据。</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4.</w:t>
      </w:r>
      <w:r>
        <w:rPr>
          <w:rFonts w:ascii="Arial" w:hAnsi="Arial" w:cs="Arial" w:eastAsia="仿宋_GB2312;仿宋"/>
          <w:sz w:val="28"/>
        </w:rPr>
        <w:t>根据委托估价方提供的《名称变更通知》，“北京双合盛五星啤酒集团公司”于</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8</w:t>
      </w:r>
      <w:r>
        <w:rPr>
          <w:rFonts w:ascii="Arial" w:hAnsi="Arial" w:cs="Arial" w:eastAsia="仿宋_GB2312;仿宋"/>
          <w:sz w:val="28"/>
        </w:rPr>
        <w:t>月</w:t>
      </w:r>
      <w:r>
        <w:rPr>
          <w:rFonts w:eastAsia="仿宋_GB2312;仿宋" w:cs="Arial" w:ascii="Arial" w:hAnsi="Arial"/>
          <w:sz w:val="28"/>
        </w:rPr>
        <w:t>2</w:t>
      </w:r>
      <w:r>
        <w:rPr>
          <w:rFonts w:ascii="Arial" w:hAnsi="Arial" w:cs="Arial" w:eastAsia="仿宋_GB2312;仿宋"/>
          <w:sz w:val="28"/>
        </w:rPr>
        <w:t>日名称变更为“北京双合盛五星啤酒有限公司”，特此说明。</w:t>
      </w:r>
    </w:p>
    <w:p>
      <w:pPr>
        <w:pStyle w:val="Normal"/>
        <w:snapToGrid w:val="false"/>
        <w:spacing w:lineRule="auto" w:line="360"/>
        <w:ind w:firstLine="560"/>
        <w:jc w:val="both"/>
        <w:rPr/>
      </w:pPr>
      <w:r>
        <w:rPr>
          <w:rFonts w:eastAsia="仿宋_GB2312;仿宋" w:cs="Arial" w:ascii="Arial" w:hAnsi="Arial"/>
          <w:sz w:val="28"/>
          <w:szCs w:val="28"/>
        </w:rPr>
        <w:t>5.</w:t>
      </w:r>
      <w:r>
        <w:rPr>
          <w:rFonts w:ascii="Arial" w:hAnsi="Arial" w:cs="Arial" w:eastAsia="仿宋_GB2312;仿宋"/>
          <w:sz w:val="28"/>
          <w:szCs w:val="28"/>
        </w:rPr>
        <w:t>本机构参与本次评估的评估专业人员与委托估价方无足以影响评估报告及评估结果公正性的关系。</w:t>
      </w:r>
    </w:p>
    <w:p>
      <w:pPr>
        <w:pStyle w:val="Normal"/>
        <w:snapToGrid w:val="false"/>
        <w:spacing w:lineRule="auto" w:line="360"/>
        <w:ind w:firstLine="560"/>
        <w:jc w:val="both"/>
        <w:textAlignment w:val="bottom"/>
        <w:rPr>
          <w:rFonts w:ascii="Arial" w:hAnsi="Arial" w:eastAsia="仿宋_GB2312;仿宋" w:cs="Arial"/>
          <w:sz w:val="28"/>
        </w:rPr>
      </w:pPr>
      <w:r>
        <w:rPr>
          <w:rFonts w:eastAsia="仿宋_GB2312;仿宋" w:cs="Arial" w:ascii="Arial" w:hAnsi="Arial"/>
          <w:sz w:val="28"/>
        </w:rPr>
        <w:t>6.</w:t>
      </w:r>
      <w:r>
        <w:rPr>
          <w:rFonts w:ascii="Arial" w:hAnsi="Arial" w:cs="Arial" w:eastAsia="仿宋_GB2312;仿宋"/>
          <w:sz w:val="28"/>
          <w:szCs w:val="28"/>
        </w:rPr>
        <w:t>经国务院批准，自</w:t>
      </w:r>
      <w:r>
        <w:rPr>
          <w:rFonts w:eastAsia="仿宋_GB2312;仿宋" w:cs="Arial" w:ascii="Arial" w:hAnsi="Arial"/>
          <w:sz w:val="28"/>
          <w:szCs w:val="28"/>
        </w:rPr>
        <w:t>2016</w:t>
      </w:r>
      <w:r>
        <w:rPr>
          <w:rFonts w:ascii="Arial" w:hAnsi="Arial" w:cs="Arial" w:eastAsia="仿宋_GB2312;仿宋"/>
          <w:sz w:val="28"/>
          <w:szCs w:val="28"/>
        </w:rPr>
        <w:t>年</w:t>
      </w:r>
      <w:r>
        <w:rPr>
          <w:rFonts w:eastAsia="仿宋_GB2312;仿宋" w:cs="Arial" w:ascii="Arial" w:hAnsi="Arial"/>
          <w:sz w:val="28"/>
          <w:szCs w:val="28"/>
        </w:rPr>
        <w:t>5</w:t>
      </w:r>
      <w:r>
        <w:rPr>
          <w:rFonts w:ascii="Arial" w:hAnsi="Arial" w:cs="Arial" w:eastAsia="仿宋_GB2312;仿宋"/>
          <w:sz w:val="28"/>
          <w:szCs w:val="28"/>
        </w:rPr>
        <w:t>月</w:t>
      </w:r>
      <w:r>
        <w:rPr>
          <w:rFonts w:eastAsia="仿宋_GB2312;仿宋" w:cs="Arial" w:ascii="Arial" w:hAnsi="Arial"/>
          <w:sz w:val="28"/>
          <w:szCs w:val="28"/>
        </w:rPr>
        <w:t>1</w:t>
      </w:r>
      <w:r>
        <w:rPr>
          <w:rFonts w:ascii="Arial" w:hAnsi="Arial" w:cs="Arial" w:eastAsia="仿宋_GB2312;仿宋"/>
          <w:sz w:val="28"/>
          <w:szCs w:val="28"/>
        </w:rPr>
        <w:t>日起，在全国范围内全面推开营业税改征增值税试点，建筑业、房地产业、金融业、生活服务业等全部营业税纳税人，纳入试点范围，由缴纳营业税改为缴纳增值税。根据估价目的、报告使用用途及必要性原则要求，本报告采纳简易计税方法记取增值税进行测算。</w:t>
      </w:r>
    </w:p>
    <w:p>
      <w:pPr>
        <w:pStyle w:val="Normal"/>
        <w:snapToGrid w:val="false"/>
        <w:spacing w:lineRule="auto" w:line="360"/>
        <w:ind w:firstLine="560"/>
        <w:jc w:val="both"/>
        <w:rPr>
          <w:rFonts w:ascii="Arial" w:hAnsi="Arial" w:eastAsia="仿宋_GB2312;仿宋" w:cs="Arial"/>
          <w:sz w:val="28"/>
          <w:szCs w:val="28"/>
        </w:rPr>
      </w:pPr>
      <w:r>
        <w:rPr>
          <w:rFonts w:eastAsia="仿宋_GB2312;仿宋" w:cs="Arial" w:ascii="Arial" w:hAnsi="Arial"/>
          <w:sz w:val="28"/>
        </w:rPr>
        <w:t>7.</w:t>
      </w:r>
      <w:r>
        <w:rPr>
          <w:rFonts w:ascii="Arial" w:hAnsi="Arial" w:cs="Arial" w:eastAsia="仿宋_GB2312;仿宋"/>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pPr>
        <w:sectPr>
          <w:headerReference w:type="default" r:id="rId34"/>
          <w:footerReference w:type="default" r:id="rId35"/>
          <w:type w:val="nextPage"/>
          <w:pgSz w:w="11906" w:h="16838"/>
          <w:pgMar w:left="1474" w:right="1134" w:header="1134" w:top="1843" w:footer="907" w:bottom="1134" w:gutter="0"/>
          <w:pgNumType w:fmt="decimal"/>
          <w:formProt w:val="false"/>
          <w:textDirection w:val="lrTb"/>
          <w:docGrid w:type="default" w:linePitch="326" w:charSpace="0"/>
        </w:sectPr>
        <w:pStyle w:val="Normal"/>
        <w:snapToGrid w:val="false"/>
        <w:spacing w:lineRule="auto" w:line="360"/>
        <w:ind w:firstLine="560"/>
        <w:jc w:val="both"/>
        <w:textAlignment w:val="bottom"/>
        <w:rPr>
          <w:rFonts w:ascii="Arial" w:hAnsi="Arial" w:eastAsia="仿宋_GB2312;仿宋" w:cs="Arial"/>
          <w:sz w:val="28"/>
        </w:rPr>
      </w:pPr>
      <w:r>
        <w:rPr>
          <w:rFonts w:eastAsia="仿宋_GB2312;仿宋" w:cs="Arial" w:ascii="Arial" w:hAnsi="Arial"/>
          <w:sz w:val="28"/>
          <w:szCs w:val="28"/>
        </w:rPr>
        <w:t>8.</w:t>
      </w:r>
      <w:r>
        <w:rPr>
          <w:rFonts w:ascii="Arial" w:hAnsi="Arial" w:cs="Arial" w:eastAsia="仿宋_GB2312;仿宋"/>
          <w:sz w:val="28"/>
          <w:szCs w:val="28"/>
        </w:rPr>
        <w:t>上述事项会对</w:t>
      </w:r>
      <w:r>
        <w:rPr>
          <w:rFonts w:ascii="Arial" w:hAnsi="Arial" w:cs="Arial" w:eastAsia="仿宋_GB2312;仿宋"/>
          <w:sz w:val="28"/>
          <w:szCs w:val="28"/>
        </w:rPr>
        <w:t>估价</w:t>
      </w:r>
      <w:r>
        <w:rPr>
          <w:rFonts w:ascii="Arial" w:hAnsi="Arial" w:cs="Arial" w:eastAsia="仿宋_GB2312;仿宋"/>
          <w:sz w:val="28"/>
          <w:szCs w:val="28"/>
        </w:rPr>
        <w:t>结论及估价报告的使用产生影响，在此提请报告使用者予以关注。</w:t>
      </w:r>
    </w:p>
    <w:p>
      <w:pPr>
        <w:pStyle w:val="Normal"/>
        <w:numPr>
          <w:ilvl w:val="0"/>
          <w:numId w:val="0"/>
        </w:numPr>
        <w:spacing w:lineRule="auto" w:line="360"/>
        <w:jc w:val="center"/>
        <w:outlineLvl w:val="0"/>
        <w:rPr/>
      </w:pPr>
      <w:bookmarkStart w:id="27" w:name="__RefHeading___Toc469066148"/>
      <w:bookmarkEnd w:id="27"/>
      <w:r>
        <w:rPr>
          <w:rFonts w:ascii="Arial" w:hAnsi="Arial" w:cs="Arial"/>
          <w:b/>
          <w:sz w:val="32"/>
        </w:rPr>
        <w:t>第四部分</w:t>
      </w:r>
      <w:r>
        <w:rPr>
          <w:rFonts w:ascii="Arial" w:hAnsi="Arial" w:cs="Arial" w:eastAsia="Arial"/>
          <w:b/>
          <w:sz w:val="32"/>
        </w:rPr>
        <w:t xml:space="preserve">  </w:t>
      </w:r>
      <w:r>
        <w:rPr>
          <w:rFonts w:ascii="Arial" w:hAnsi="Arial" w:cs="Arial"/>
          <w:b/>
          <w:sz w:val="32"/>
        </w:rPr>
        <w:t>附</w:t>
      </w:r>
      <w:r>
        <w:rPr>
          <w:rFonts w:ascii="Arial" w:hAnsi="Arial" w:cs="Arial" w:eastAsia="Arial"/>
          <w:b/>
          <w:sz w:val="32"/>
        </w:rPr>
        <w:t xml:space="preserve">  </w:t>
      </w:r>
      <w:r>
        <w:rPr>
          <w:rFonts w:ascii="Arial" w:hAnsi="Arial" w:cs="Arial"/>
          <w:b/>
          <w:sz w:val="32"/>
        </w:rPr>
        <w:t>件</w:t>
      </w:r>
    </w:p>
    <w:p>
      <w:pPr>
        <w:pStyle w:val="Normal"/>
        <w:spacing w:lineRule="auto" w:line="360"/>
        <w:ind w:firstLine="560"/>
        <w:jc w:val="both"/>
        <w:rPr>
          <w:rFonts w:ascii="Arial" w:hAnsi="Arial" w:eastAsia="仿宋_GB2312;仿宋" w:cs="Arial"/>
          <w:b/>
          <w:b/>
          <w:sz w:val="28"/>
        </w:rPr>
      </w:pPr>
      <w:r>
        <w:rPr>
          <w:rFonts w:eastAsia="仿宋_GB2312;仿宋" w:cs="Arial" w:ascii="Arial" w:hAnsi="Arial"/>
          <w:b/>
          <w:sz w:val="28"/>
        </w:rPr>
      </w:r>
    </w:p>
    <w:p>
      <w:pPr>
        <w:pStyle w:val="Normal"/>
        <w:spacing w:lineRule="auto" w:line="360"/>
        <w:ind w:firstLine="560"/>
        <w:jc w:val="both"/>
        <w:rPr/>
      </w:pPr>
      <w:r>
        <w:rPr>
          <w:rFonts w:eastAsia="仿宋_GB2312;仿宋" w:cs="Arial" w:ascii="Arial" w:hAnsi="Arial"/>
          <w:sz w:val="28"/>
        </w:rPr>
        <w:t>1</w:t>
      </w:r>
      <w:r>
        <w:rPr>
          <w:rFonts w:eastAsia="仿宋_GB2312;仿宋" w:cs="Arial" w:ascii="Arial" w:hAnsi="Arial"/>
          <w:sz w:val="28"/>
        </w:rPr>
        <w:t>.</w:t>
      </w:r>
      <w:r>
        <w:rPr>
          <w:rFonts w:ascii="Arial" w:hAnsi="Arial" w:cs="Arial" w:eastAsia="仿宋_GB2312;仿宋"/>
          <w:sz w:val="28"/>
        </w:rPr>
        <w:t>《国有建设用地使用权收购补偿价格委托估价函》复印件</w:t>
      </w:r>
    </w:p>
    <w:p>
      <w:pPr>
        <w:pStyle w:val="Normal"/>
        <w:spacing w:lineRule="auto" w:line="360"/>
        <w:ind w:firstLine="560"/>
        <w:jc w:val="both"/>
        <w:rPr/>
      </w:pPr>
      <w:r>
        <w:rPr>
          <w:rFonts w:eastAsia="仿宋_GB2312;仿宋" w:cs="Arial" w:ascii="Arial" w:hAnsi="Arial"/>
          <w:sz w:val="28"/>
        </w:rPr>
        <w:t>2.</w:t>
      </w:r>
      <w:r>
        <w:rPr>
          <w:rFonts w:ascii="Arial" w:hAnsi="Arial" w:cs="Arial" w:eastAsia="仿宋_GB2312;仿宋"/>
          <w:sz w:val="28"/>
        </w:rPr>
        <w:t>估价对象所在位置示意图</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3.</w:t>
      </w:r>
      <w:r>
        <w:rPr>
          <w:rFonts w:ascii="Arial" w:hAnsi="Arial" w:cs="Arial" w:eastAsia="仿宋_GB2312;仿宋"/>
          <w:sz w:val="28"/>
          <w:szCs w:val="28"/>
        </w:rPr>
        <w:t>估价对象实地勘察情况和相关照片</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4.</w:t>
      </w:r>
      <w:r>
        <w:rPr>
          <w:rFonts w:ascii="Arial" w:hAnsi="Arial" w:cs="Arial" w:eastAsia="仿宋_GB2312;仿宋"/>
          <w:sz w:val="28"/>
        </w:rPr>
        <w:t>《国有土地使用证》</w:t>
      </w:r>
      <w:r>
        <w:rPr>
          <w:rFonts w:eastAsia="仿宋_GB2312;仿宋" w:cs="Arial" w:ascii="Arial" w:hAnsi="Arial"/>
          <w:sz w:val="28"/>
        </w:rPr>
        <w:t>[</w:t>
      </w:r>
      <w:r>
        <w:rPr>
          <w:rFonts w:ascii="Arial" w:hAnsi="Arial" w:cs="Arial" w:eastAsia="仿宋_GB2312;仿宋"/>
          <w:sz w:val="28"/>
        </w:rPr>
        <w:t>京海国用（</w:t>
      </w:r>
      <w:r>
        <w:rPr>
          <w:rFonts w:eastAsia="仿宋_GB2312;仿宋" w:cs="Arial" w:ascii="Arial" w:hAnsi="Arial"/>
          <w:sz w:val="28"/>
        </w:rPr>
        <w:t>2004</w:t>
      </w:r>
      <w:r>
        <w:rPr>
          <w:rFonts w:ascii="Arial" w:hAnsi="Arial" w:cs="Arial" w:eastAsia="仿宋_GB2312;仿宋"/>
          <w:sz w:val="28"/>
        </w:rPr>
        <w:t>划）字第</w:t>
      </w:r>
      <w:r>
        <w:rPr>
          <w:rFonts w:eastAsia="仿宋_GB2312;仿宋" w:cs="Arial" w:ascii="Arial" w:hAnsi="Arial"/>
          <w:sz w:val="28"/>
        </w:rPr>
        <w:t>2880</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5.</w:t>
      </w:r>
      <w:r>
        <w:rPr>
          <w:rFonts w:ascii="Arial" w:hAnsi="Arial" w:cs="Arial" w:eastAsia="仿宋_GB2312;仿宋"/>
          <w:sz w:val="28"/>
        </w:rPr>
        <w:t>《土地权属审查告知书》</w:t>
      </w:r>
      <w:r>
        <w:rPr>
          <w:rFonts w:eastAsia="仿宋_GB2312;仿宋" w:cs="Arial" w:ascii="Arial" w:hAnsi="Arial"/>
          <w:sz w:val="28"/>
        </w:rPr>
        <w:t>[</w:t>
      </w:r>
      <w:r>
        <w:rPr>
          <w:rFonts w:ascii="Arial" w:hAnsi="Arial" w:cs="Arial" w:eastAsia="仿宋_GB2312;仿宋"/>
          <w:sz w:val="28"/>
        </w:rPr>
        <w:t>编号：海权属审（</w:t>
      </w:r>
      <w:r>
        <w:rPr>
          <w:rFonts w:eastAsia="仿宋_GB2312;仿宋" w:cs="Arial" w:ascii="Arial" w:hAnsi="Arial"/>
          <w:sz w:val="28"/>
        </w:rPr>
        <w:t>2020</w:t>
      </w:r>
      <w:r>
        <w:rPr>
          <w:rFonts w:ascii="Arial" w:hAnsi="Arial" w:cs="Arial" w:eastAsia="仿宋_GB2312;仿宋"/>
          <w:sz w:val="28"/>
        </w:rPr>
        <w:t>）字第</w:t>
      </w:r>
      <w:r>
        <w:rPr>
          <w:rFonts w:eastAsia="仿宋_GB2312;仿宋" w:cs="Arial" w:ascii="Arial" w:hAnsi="Arial"/>
          <w:sz w:val="28"/>
        </w:rPr>
        <w:t>1172</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6</w:t>
      </w:r>
      <w:r>
        <w:rPr>
          <w:rFonts w:eastAsia="仿宋_GB2312;仿宋" w:cs="Arial" w:ascii="Arial" w:hAnsi="Arial"/>
          <w:sz w:val="28"/>
        </w:rPr>
        <w:t>.</w:t>
      </w:r>
      <w:r>
        <w:rPr>
          <w:rFonts w:ascii="Arial" w:hAnsi="Arial" w:cs="Arial" w:eastAsia="仿宋_GB2312;仿宋"/>
          <w:sz w:val="28"/>
        </w:rPr>
        <w:t>《房屋所有权证》</w:t>
      </w:r>
      <w:r>
        <w:rPr>
          <w:rFonts w:eastAsia="仿宋_GB2312;仿宋" w:cs="Arial" w:ascii="Arial" w:hAnsi="Arial"/>
          <w:sz w:val="28"/>
        </w:rPr>
        <w:t>[</w:t>
      </w:r>
      <w:r>
        <w:rPr>
          <w:rFonts w:ascii="Arial" w:hAnsi="Arial" w:cs="Arial" w:eastAsia="仿宋_GB2312;仿宋"/>
          <w:sz w:val="28"/>
        </w:rPr>
        <w:t>海全字第</w:t>
      </w:r>
      <w:r>
        <w:rPr>
          <w:rFonts w:eastAsia="仿宋_GB2312;仿宋" w:cs="Arial" w:ascii="Arial" w:hAnsi="Arial"/>
          <w:sz w:val="28"/>
        </w:rPr>
        <w:t>01614</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7.</w:t>
      </w:r>
      <w:r>
        <w:rPr>
          <w:rFonts w:ascii="Arial" w:hAnsi="Arial" w:cs="Arial" w:eastAsia="仿宋_GB2312;仿宋"/>
          <w:sz w:val="28"/>
        </w:rPr>
        <w:t>《关于西三旗建材城中路</w:t>
      </w:r>
      <w:r>
        <w:rPr>
          <w:rFonts w:eastAsia="仿宋_GB2312;仿宋" w:cs="Arial" w:ascii="Arial" w:hAnsi="Arial"/>
          <w:sz w:val="28"/>
        </w:rPr>
        <w:t>2</w:t>
      </w:r>
      <w:r>
        <w:rPr>
          <w:rFonts w:ascii="Arial" w:hAnsi="Arial" w:cs="Arial" w:eastAsia="仿宋_GB2312;仿宋"/>
          <w:sz w:val="28"/>
        </w:rPr>
        <w:t>号地块收储情况说明》复印件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8.</w:t>
      </w:r>
      <w:r>
        <w:rPr>
          <w:rFonts w:ascii="Arial" w:hAnsi="Arial" w:cs="Arial" w:eastAsia="仿宋_GB2312;仿宋"/>
          <w:sz w:val="28"/>
        </w:rPr>
        <w:t>《海淀区北京五星青岛啤酒有限公司用地项目地形及地上物测绘技术报告书》复印件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9.</w:t>
      </w:r>
      <w:r>
        <w:rPr>
          <w:rFonts w:ascii="Arial" w:hAnsi="Arial" w:cs="Arial" w:eastAsia="仿宋_GB2312;仿宋"/>
          <w:sz w:val="28"/>
        </w:rPr>
        <w:t>《名称变更通知》复印件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10.</w:t>
      </w:r>
      <w:r>
        <w:rPr>
          <w:rFonts w:ascii="Arial" w:hAnsi="Arial" w:cs="Arial" w:eastAsia="仿宋_GB2312;仿宋"/>
          <w:sz w:val="28"/>
        </w:rPr>
        <w:t>不动产权利人《营业执照（副本）》复印件</w:t>
      </w:r>
    </w:p>
    <w:p>
      <w:pPr>
        <w:pStyle w:val="Normal"/>
        <w:spacing w:lineRule="auto" w:line="360"/>
        <w:ind w:firstLine="560"/>
        <w:jc w:val="both"/>
        <w:rPr/>
      </w:pPr>
      <w:r>
        <w:rPr>
          <w:rFonts w:eastAsia="仿宋_GB2312;仿宋" w:cs="Arial" w:ascii="Arial" w:hAnsi="Arial"/>
          <w:sz w:val="28"/>
        </w:rPr>
        <w:t>11.</w:t>
      </w:r>
      <w:r>
        <w:rPr>
          <w:rFonts w:ascii="Arial" w:hAnsi="Arial" w:cs="Arial" w:eastAsia="仿宋_GB2312;仿宋"/>
          <w:sz w:val="28"/>
        </w:rPr>
        <w:t>受托单位《营业执照（副本）》复印件</w:t>
      </w:r>
    </w:p>
    <w:p>
      <w:pPr>
        <w:pStyle w:val="Normal"/>
        <w:spacing w:lineRule="auto" w:line="360"/>
        <w:ind w:firstLine="560"/>
        <w:jc w:val="both"/>
        <w:rPr/>
      </w:pPr>
      <w:r>
        <w:rPr>
          <w:rFonts w:eastAsia="仿宋_GB2312;仿宋" w:cs="Arial" w:ascii="Arial" w:hAnsi="Arial"/>
          <w:sz w:val="28"/>
        </w:rPr>
        <w:t>12.</w:t>
      </w:r>
      <w:r>
        <w:rPr>
          <w:rFonts w:ascii="Arial" w:hAnsi="Arial" w:cs="Arial" w:eastAsia="仿宋_GB2312;仿宋"/>
          <w:sz w:val="28"/>
        </w:rPr>
        <w:t>受托单位评估资质复印件</w:t>
      </w:r>
    </w:p>
    <w:p>
      <w:pPr>
        <w:sectPr>
          <w:headerReference w:type="default" r:id="rId36"/>
          <w:headerReference w:type="first" r:id="rId37"/>
          <w:footerReference w:type="default" r:id="rId38"/>
          <w:footerReference w:type="first" r:id="rId39"/>
          <w:type w:val="nextPage"/>
          <w:pgSz w:w="11906" w:h="16838"/>
          <w:pgMar w:left="1474" w:right="1134" w:header="1134" w:top="1843" w:footer="907" w:bottom="1134" w:gutter="0"/>
          <w:pgNumType w:fmt="decimal"/>
          <w:formProt w:val="false"/>
          <w:titlePg/>
          <w:textDirection w:val="lrTb"/>
          <w:docGrid w:type="default" w:linePitch="326" w:charSpace="0"/>
        </w:sectPr>
        <w:pStyle w:val="Normal"/>
        <w:spacing w:lineRule="auto" w:line="360"/>
        <w:ind w:firstLine="560"/>
        <w:jc w:val="both"/>
        <w:rPr/>
      </w:pPr>
      <w:r>
        <w:rPr>
          <w:rFonts w:eastAsia="楷体_GB2312;楷体" w:cs="Arial" w:ascii="Arial" w:hAnsi="Arial"/>
          <w:sz w:val="28"/>
        </w:rPr>
        <w:t>13.</w:t>
      </w:r>
      <w:r>
        <w:rPr>
          <w:rFonts w:ascii="Arial" w:hAnsi="Arial" w:cs="Arial" w:eastAsia="仿宋_GB2312;仿宋"/>
          <w:sz w:val="28"/>
        </w:rPr>
        <w:t>评估专业人员资质证书复印件</w:t>
      </w:r>
    </w:p>
    <w:p>
      <w:pPr>
        <w:pStyle w:val="Normal"/>
        <w:spacing w:lineRule="auto" w:line="432"/>
        <w:ind w:left="840" w:hanging="840"/>
        <w:jc w:val="both"/>
        <w:rPr>
          <w:rFonts w:ascii="Arial" w:hAnsi="Arial" w:eastAsia="仿宋_GB2312;仿宋" w:cs="Arial"/>
          <w:sz w:val="28"/>
        </w:rPr>
      </w:pPr>
      <w:r>
        <w:rPr>
          <w:rFonts w:eastAsia="仿宋_GB2312;仿宋" w:cs="Arial" w:ascii="Arial" w:hAnsi="Arial"/>
          <w:sz w:val="28"/>
        </w:rPr>
      </w:r>
    </w:p>
    <w:p>
      <w:pPr>
        <w:pStyle w:val="Normal"/>
        <w:spacing w:lineRule="auto" w:line="432"/>
        <w:ind w:left="840" w:hanging="840"/>
        <w:jc w:val="both"/>
        <w:rPr>
          <w:rFonts w:ascii="Arial" w:hAnsi="Arial" w:eastAsia="仿宋_GB2312;仿宋" w:cs="Arial"/>
          <w:sz w:val="28"/>
        </w:rPr>
      </w:pPr>
      <w:r>
        <w:rPr>
          <w:rFonts w:eastAsia="仿宋_GB2312;仿宋" w:cs="Arial" w:ascii="Arial" w:hAnsi="Arial"/>
          <w:sz w:val="28"/>
        </w:rPr>
      </w:r>
    </w:p>
    <w:p>
      <w:pPr>
        <w:pStyle w:val="Normal"/>
        <w:spacing w:lineRule="auto" w:line="432"/>
        <w:jc w:val="center"/>
        <w:rPr>
          <w:rFonts w:ascii="Arial" w:hAnsi="Arial" w:cs="Arial"/>
          <w:sz w:val="44"/>
        </w:rPr>
      </w:pPr>
      <w:r>
        <w:rPr>
          <w:rFonts w:ascii="Arial" w:hAnsi="Arial" w:cs="Arial"/>
          <w:b/>
          <w:sz w:val="44"/>
        </w:rPr>
        <w:t>土</w:t>
      </w:r>
      <w:r>
        <w:rPr>
          <w:rFonts w:ascii="Arial" w:hAnsi="Arial" w:cs="Arial" w:eastAsia="Arial"/>
          <w:b/>
          <w:sz w:val="44"/>
        </w:rPr>
        <w:t xml:space="preserve"> </w:t>
      </w:r>
      <w:r>
        <w:rPr>
          <w:rFonts w:ascii="Arial" w:hAnsi="Arial" w:cs="Arial"/>
          <w:b/>
          <w:sz w:val="44"/>
        </w:rPr>
        <w:t>地</w:t>
      </w:r>
      <w:r>
        <w:rPr>
          <w:rFonts w:ascii="Arial" w:hAnsi="Arial" w:cs="Arial" w:eastAsia="Arial"/>
          <w:b/>
          <w:sz w:val="44"/>
        </w:rPr>
        <w:t xml:space="preserve"> </w:t>
      </w:r>
      <w:r>
        <w:rPr>
          <w:rFonts w:ascii="Arial" w:hAnsi="Arial" w:cs="Arial"/>
          <w:b/>
          <w:sz w:val="44"/>
        </w:rPr>
        <w:t>估</w:t>
      </w:r>
      <w:r>
        <w:rPr>
          <w:rFonts w:ascii="Arial" w:hAnsi="Arial" w:cs="Arial" w:eastAsia="Arial"/>
          <w:b/>
          <w:sz w:val="44"/>
        </w:rPr>
        <w:t xml:space="preserve"> </w:t>
      </w:r>
      <w:r>
        <w:rPr>
          <w:rFonts w:ascii="Arial" w:hAnsi="Arial" w:cs="Arial"/>
          <w:b/>
          <w:sz w:val="44"/>
        </w:rPr>
        <w:t>价</w:t>
      </w:r>
      <w:r>
        <w:rPr>
          <w:rFonts w:ascii="Arial" w:hAnsi="Arial" w:cs="Arial" w:eastAsia="Arial"/>
          <w:b/>
          <w:sz w:val="44"/>
        </w:rPr>
        <w:t xml:space="preserve"> </w:t>
      </w:r>
      <w:r>
        <w:rPr>
          <w:rFonts w:ascii="Arial" w:hAnsi="Arial" w:cs="Arial"/>
          <w:b/>
          <w:sz w:val="44"/>
        </w:rPr>
        <w:t>技</w:t>
      </w:r>
      <w:r>
        <w:rPr>
          <w:rFonts w:ascii="Arial" w:hAnsi="Arial" w:cs="Arial" w:eastAsia="Arial"/>
          <w:b/>
          <w:sz w:val="44"/>
        </w:rPr>
        <w:t xml:space="preserve"> </w:t>
      </w:r>
      <w:r>
        <w:rPr>
          <w:rFonts w:ascii="Arial" w:hAnsi="Arial" w:cs="Arial"/>
          <w:b/>
          <w:sz w:val="44"/>
        </w:rPr>
        <w:t>术</w:t>
      </w:r>
      <w:r>
        <w:rPr>
          <w:rFonts w:ascii="Arial" w:hAnsi="Arial" w:cs="Arial" w:eastAsia="Arial"/>
          <w:b/>
          <w:sz w:val="44"/>
        </w:rPr>
        <w:t xml:space="preserve"> </w:t>
      </w:r>
      <w:r>
        <w:rPr>
          <w:rFonts w:ascii="Arial" w:hAnsi="Arial" w:cs="Arial"/>
          <w:b/>
          <w:sz w:val="44"/>
        </w:rPr>
        <w:t>报</w:t>
      </w:r>
      <w:r>
        <w:rPr>
          <w:rFonts w:ascii="Arial" w:hAnsi="Arial" w:cs="Arial" w:eastAsia="Arial"/>
          <w:b/>
          <w:sz w:val="44"/>
        </w:rPr>
        <w:t xml:space="preserve"> </w:t>
      </w:r>
      <w:r>
        <w:rPr>
          <w:rFonts w:ascii="Arial" w:hAnsi="Arial" w:cs="Arial"/>
          <w:b/>
          <w:sz w:val="44"/>
        </w:rPr>
        <w:t>告</w:t>
      </w:r>
    </w:p>
    <w:p>
      <w:pPr>
        <w:pStyle w:val="Normal"/>
        <w:spacing w:lineRule="auto" w:line="360"/>
        <w:jc w:val="center"/>
        <w:rPr>
          <w:rFonts w:ascii="Arial" w:hAnsi="Arial" w:eastAsia="昆仑仿宋;黑体" w:cs="Arial"/>
          <w:sz w:val="44"/>
        </w:rPr>
      </w:pPr>
      <w:r>
        <w:rPr>
          <w:rFonts w:eastAsia="昆仑仿宋;黑体" w:cs="Arial" w:ascii="Arial" w:hAnsi="Arial"/>
          <w:sz w:val="44"/>
        </w:rPr>
      </w:r>
    </w:p>
    <w:p>
      <w:pPr>
        <w:pStyle w:val="Normal"/>
        <w:spacing w:lineRule="auto" w:line="360"/>
        <w:jc w:val="center"/>
        <w:rPr>
          <w:rFonts w:ascii="Arial" w:hAnsi="Arial" w:eastAsia="楷体_GB2312;楷体" w:cs="Arial"/>
          <w:bCs/>
          <w:sz w:val="32"/>
        </w:rPr>
      </w:pPr>
      <w:r>
        <w:rPr>
          <w:rFonts w:eastAsia="楷体_GB2312;楷体" w:cs="Arial" w:ascii="Arial" w:hAnsi="Arial"/>
          <w:bCs/>
          <w:sz w:val="32"/>
        </w:rPr>
      </w:r>
    </w:p>
    <w:p>
      <w:pPr>
        <w:pStyle w:val="Normal"/>
        <w:spacing w:lineRule="auto" w:line="360"/>
        <w:ind w:left="2201" w:hanging="2201"/>
        <w:jc w:val="both"/>
        <w:rPr>
          <w:rFonts w:ascii="Arial" w:hAnsi="Arial" w:eastAsia="楷体_GB2312;楷体" w:cs="Arial"/>
          <w:b/>
          <w:b/>
          <w:i/>
          <w:i/>
          <w:sz w:val="28"/>
          <w:szCs w:val="28"/>
        </w:rPr>
      </w:pPr>
      <w:r>
        <w:rPr>
          <w:rFonts w:ascii="Arial" w:hAnsi="Arial" w:cs="Arial" w:eastAsia="楷体_GB2312;楷体"/>
          <w:b/>
          <w:sz w:val="32"/>
        </w:rPr>
        <w:t>项</w:t>
      </w:r>
      <w:r>
        <w:rPr>
          <w:rFonts w:ascii="Arial" w:hAnsi="Arial" w:cs="Arial" w:eastAsia="Arial"/>
          <w:b/>
          <w:sz w:val="32"/>
        </w:rPr>
        <w:t xml:space="preserve">  </w:t>
      </w:r>
      <w:r>
        <w:rPr>
          <w:rFonts w:ascii="Arial" w:hAnsi="Arial" w:cs="Arial" w:eastAsia="楷体_GB2312;楷体"/>
          <w:b/>
          <w:sz w:val="32"/>
        </w:rPr>
        <w:t>目</w:t>
      </w:r>
      <w:r>
        <w:rPr>
          <w:rFonts w:ascii="Arial" w:hAnsi="Arial" w:cs="Arial" w:eastAsia="Arial"/>
          <w:b/>
          <w:sz w:val="32"/>
        </w:rPr>
        <w:t xml:space="preserve"> </w:t>
      </w:r>
      <w:r>
        <w:rPr>
          <w:rFonts w:ascii="Arial" w:hAnsi="Arial" w:cs="Arial" w:eastAsia="楷体_GB2312;楷体"/>
          <w:b/>
          <w:sz w:val="32"/>
        </w:rPr>
        <w:t>名</w:t>
      </w:r>
      <w:r>
        <w:rPr>
          <w:rFonts w:ascii="Arial" w:hAnsi="Arial" w:cs="Arial" w:eastAsia="Arial"/>
          <w:b/>
          <w:sz w:val="32"/>
        </w:rPr>
        <w:t xml:space="preserve"> </w:t>
      </w:r>
      <w:r>
        <w:rPr>
          <w:rFonts w:ascii="Arial" w:hAnsi="Arial" w:cs="Arial" w:eastAsia="楷体_GB2312;楷体"/>
          <w:b/>
          <w:sz w:val="32"/>
        </w:rPr>
        <w:t>称：北京市海淀区建材城中路</w:t>
      </w:r>
      <w:r>
        <w:rPr>
          <w:rFonts w:eastAsia="楷体_GB2312;楷体" w:cs="Arial" w:ascii="Arial" w:hAnsi="Arial"/>
          <w:b/>
          <w:sz w:val="32"/>
        </w:rPr>
        <w:t>2</w:t>
      </w:r>
      <w:r>
        <w:rPr>
          <w:rFonts w:ascii="Arial" w:hAnsi="Arial" w:cs="Arial" w:eastAsia="楷体_GB2312;楷体"/>
          <w:b/>
          <w:sz w:val="32"/>
        </w:rPr>
        <w:t>号国有建设用地使用权收购补偿价格评估</w:t>
      </w:r>
    </w:p>
    <w:p>
      <w:pPr>
        <w:pStyle w:val="Normal"/>
        <w:spacing w:lineRule="auto" w:line="360"/>
        <w:ind w:left="1925" w:hanging="1925"/>
        <w:jc w:val="both"/>
        <w:rPr>
          <w:rFonts w:ascii="Arial" w:hAnsi="Arial" w:eastAsia="楷体_GB2312;楷体" w:cs="Arial"/>
          <w:b/>
          <w:b/>
          <w:i/>
          <w:i/>
          <w:sz w:val="28"/>
          <w:szCs w:val="28"/>
        </w:rPr>
      </w:pPr>
      <w:r>
        <w:rPr>
          <w:rFonts w:eastAsia="楷体_GB2312;楷体" w:cs="Arial" w:ascii="Arial" w:hAnsi="Arial"/>
          <w:b/>
          <w:i/>
          <w:sz w:val="28"/>
          <w:szCs w:val="28"/>
        </w:rPr>
      </w:r>
    </w:p>
    <w:p>
      <w:pPr>
        <w:pStyle w:val="Normal"/>
        <w:spacing w:lineRule="auto" w:line="360"/>
        <w:rPr>
          <w:rFonts w:ascii="Arial" w:hAnsi="Arial" w:eastAsia="楷体_GB2312;楷体" w:cs="Arial"/>
          <w:b/>
          <w:b/>
          <w:bCs/>
          <w:sz w:val="32"/>
        </w:rPr>
      </w:pPr>
      <w:r>
        <w:rPr>
          <w:rFonts w:ascii="Arial" w:hAnsi="Arial" w:cs="Arial" w:eastAsia="楷体_GB2312;楷体"/>
          <w:b/>
          <w:sz w:val="32"/>
        </w:rPr>
        <w:t>受</w:t>
      </w:r>
      <w:r>
        <w:rPr>
          <w:rFonts w:ascii="Arial" w:hAnsi="Arial" w:cs="Arial" w:eastAsia="Arial"/>
          <w:b/>
          <w:sz w:val="32"/>
        </w:rPr>
        <w:t xml:space="preserve"> </w:t>
      </w:r>
      <w:r>
        <w:rPr>
          <w:rFonts w:ascii="Arial" w:hAnsi="Arial" w:cs="Arial" w:eastAsia="楷体_GB2312;楷体"/>
          <w:b/>
          <w:sz w:val="32"/>
        </w:rPr>
        <w:t>托</w:t>
      </w:r>
      <w:r>
        <w:rPr>
          <w:rFonts w:ascii="Arial" w:hAnsi="Arial" w:cs="Arial" w:eastAsia="Arial"/>
          <w:b/>
          <w:sz w:val="32"/>
        </w:rPr>
        <w:t xml:space="preserve"> </w:t>
      </w:r>
      <w:r>
        <w:rPr>
          <w:rFonts w:ascii="Arial" w:hAnsi="Arial" w:cs="Arial" w:eastAsia="楷体_GB2312;楷体"/>
          <w:b/>
          <w:sz w:val="32"/>
        </w:rPr>
        <w:t>单</w:t>
      </w:r>
      <w:r>
        <w:rPr>
          <w:rFonts w:ascii="Arial" w:hAnsi="Arial" w:cs="Arial" w:eastAsia="Arial"/>
          <w:b/>
          <w:sz w:val="32"/>
        </w:rPr>
        <w:t xml:space="preserve"> </w:t>
      </w:r>
      <w:r>
        <w:rPr>
          <w:rFonts w:ascii="Arial" w:hAnsi="Arial" w:cs="Arial" w:eastAsia="楷体_GB2312;楷体"/>
          <w:b/>
          <w:sz w:val="32"/>
        </w:rPr>
        <w:t>位：北京康正宏基房地产评估有限公司</w:t>
      </w:r>
    </w:p>
    <w:p>
      <w:pPr>
        <w:pStyle w:val="Normal"/>
        <w:spacing w:lineRule="auto" w:line="360"/>
        <w:ind w:right="-327" w:hanging="0"/>
        <w:rPr>
          <w:rFonts w:ascii="Arial" w:hAnsi="Arial" w:eastAsia="楷体_GB2312;楷体" w:cs="Arial"/>
          <w:b/>
          <w:b/>
          <w:bCs/>
          <w:sz w:val="32"/>
        </w:rPr>
      </w:pPr>
      <w:r>
        <w:rPr>
          <w:rFonts w:eastAsia="楷体_GB2312;楷体" w:cs="Arial" w:ascii="Arial" w:hAnsi="Arial"/>
          <w:b/>
          <w:bCs/>
          <w:sz w:val="32"/>
        </w:rPr>
      </w:r>
    </w:p>
    <w:p>
      <w:pPr>
        <w:pStyle w:val="Normal"/>
        <w:spacing w:lineRule="auto" w:line="360"/>
        <w:ind w:right="-327" w:hanging="0"/>
        <w:rPr>
          <w:rFonts w:ascii="Arial" w:hAnsi="Arial" w:eastAsia="楷体_GB2312;楷体" w:cs="Arial"/>
          <w:b/>
          <w:b/>
          <w:bCs/>
          <w:sz w:val="32"/>
        </w:rPr>
      </w:pPr>
      <w:r>
        <w:rPr>
          <w:rFonts w:ascii="Arial" w:hAnsi="Arial" w:cs="Arial" w:eastAsia="楷体_GB2312;楷体"/>
          <w:b/>
          <w:sz w:val="32"/>
        </w:rPr>
        <w:t>报</w:t>
      </w:r>
      <w:r>
        <w:rPr>
          <w:rFonts w:ascii="Arial" w:hAnsi="Arial" w:cs="Arial" w:eastAsia="Arial"/>
          <w:b/>
          <w:sz w:val="32"/>
        </w:rPr>
        <w:t xml:space="preserve"> </w:t>
      </w:r>
      <w:r>
        <w:rPr>
          <w:rFonts w:ascii="Arial" w:hAnsi="Arial" w:cs="Arial" w:eastAsia="楷体_GB2312;楷体"/>
          <w:b/>
          <w:sz w:val="32"/>
        </w:rPr>
        <w:t>告</w:t>
      </w:r>
      <w:r>
        <w:rPr>
          <w:rFonts w:ascii="Arial" w:hAnsi="Arial" w:cs="Arial" w:eastAsia="Arial"/>
          <w:b/>
          <w:sz w:val="32"/>
        </w:rPr>
        <w:t xml:space="preserve"> </w:t>
      </w:r>
      <w:r>
        <w:rPr>
          <w:rFonts w:ascii="Arial" w:hAnsi="Arial" w:cs="Arial" w:eastAsia="楷体_GB2312;楷体"/>
          <w:b/>
          <w:sz w:val="32"/>
        </w:rPr>
        <w:t>编</w:t>
      </w:r>
      <w:r>
        <w:rPr>
          <w:rFonts w:ascii="Arial" w:hAnsi="Arial" w:cs="Arial" w:eastAsia="Arial"/>
          <w:b/>
          <w:sz w:val="32"/>
        </w:rPr>
        <w:t xml:space="preserve"> </w:t>
      </w:r>
      <w:r>
        <w:rPr>
          <w:rFonts w:ascii="Arial" w:hAnsi="Arial" w:cs="Arial" w:eastAsia="楷体_GB2312;楷体"/>
          <w:b/>
          <w:sz w:val="32"/>
        </w:rPr>
        <w:t>号：康正评字</w:t>
      </w:r>
      <w:r>
        <w:rPr>
          <w:rFonts w:eastAsia="楷体_GB2312;楷体" w:cs="Arial" w:ascii="Arial" w:hAnsi="Arial"/>
          <w:b/>
          <w:sz w:val="32"/>
        </w:rPr>
        <w:t>2022-1-0543-F02SGCB6</w:t>
      </w:r>
      <w:r>
        <w:rPr>
          <w:rFonts w:ascii="Arial" w:hAnsi="Arial" w:cs="Arial" w:eastAsia="楷体_GB2312;楷体"/>
          <w:b/>
          <w:sz w:val="32"/>
        </w:rPr>
        <w:t>号</w:t>
      </w:r>
    </w:p>
    <w:p>
      <w:pPr>
        <w:pStyle w:val="Normal"/>
        <w:spacing w:lineRule="auto" w:line="360"/>
        <w:ind w:right="-207" w:hanging="0"/>
        <w:rPr>
          <w:rFonts w:ascii="Arial" w:hAnsi="Arial" w:eastAsia="楷体_GB2312;楷体" w:cs="Arial"/>
          <w:b/>
          <w:b/>
          <w:bCs/>
          <w:spacing w:val="-10"/>
          <w:sz w:val="32"/>
        </w:rPr>
      </w:pPr>
      <w:r>
        <w:rPr>
          <w:rFonts w:eastAsia="楷体_GB2312;楷体" w:cs="Arial" w:ascii="Arial" w:hAnsi="Arial"/>
          <w:b/>
          <w:bCs/>
          <w:spacing w:val="-10"/>
          <w:sz w:val="32"/>
        </w:rPr>
      </w:r>
    </w:p>
    <w:p>
      <w:pPr>
        <w:pStyle w:val="Normal"/>
        <w:spacing w:lineRule="auto" w:line="360"/>
        <w:ind w:right="-207" w:hanging="0"/>
        <w:rPr>
          <w:rFonts w:ascii="Arial" w:hAnsi="Arial" w:eastAsia="楷体_GB2312;楷体" w:cs="Arial"/>
          <w:b/>
          <w:b/>
          <w:bCs/>
          <w:spacing w:val="-10"/>
          <w:sz w:val="32"/>
        </w:rPr>
      </w:pPr>
      <w:r>
        <w:rPr>
          <w:rFonts w:ascii="Arial" w:hAnsi="Arial" w:cs="Arial" w:eastAsia="楷体_GB2312;楷体"/>
          <w:b/>
          <w:bCs/>
          <w:spacing w:val="-10"/>
          <w:sz w:val="32"/>
        </w:rPr>
        <w:t>技术报告编号：</w:t>
      </w:r>
      <w:r>
        <w:rPr>
          <w:rFonts w:ascii="Arial" w:hAnsi="Arial" w:cs="Arial" w:eastAsia="楷体_GB2312;楷体"/>
          <w:b/>
          <w:bCs/>
          <w:sz w:val="32"/>
        </w:rPr>
        <w:t>康正技评字</w:t>
      </w:r>
      <w:r>
        <w:rPr>
          <w:rFonts w:eastAsia="楷体_GB2312;楷体" w:cs="Arial" w:ascii="Arial" w:hAnsi="Arial"/>
          <w:b/>
          <w:sz w:val="32"/>
        </w:rPr>
        <w:t>2022-1-0543-F02SGCB6</w:t>
      </w:r>
      <w:r>
        <w:rPr>
          <w:rFonts w:ascii="Arial" w:hAnsi="Arial" w:cs="Arial" w:eastAsia="楷体_GB2312;楷体"/>
          <w:b/>
          <w:bCs/>
          <w:sz w:val="32"/>
        </w:rPr>
        <w:t>号</w:t>
      </w:r>
    </w:p>
    <w:p>
      <w:pPr>
        <w:pStyle w:val="Normal"/>
        <w:spacing w:lineRule="auto" w:line="360"/>
        <w:rPr>
          <w:rFonts w:ascii="Arial" w:hAnsi="Arial" w:eastAsia="楷体_GB2312;楷体" w:cs="Arial"/>
          <w:b/>
          <w:b/>
          <w:bCs/>
          <w:spacing w:val="-10"/>
          <w:sz w:val="32"/>
        </w:rPr>
      </w:pPr>
      <w:r>
        <w:rPr>
          <w:rFonts w:eastAsia="楷体_GB2312;楷体" w:cs="Arial" w:ascii="Arial" w:hAnsi="Arial"/>
          <w:b/>
          <w:bCs/>
          <w:spacing w:val="-10"/>
          <w:sz w:val="32"/>
        </w:rPr>
      </w:r>
    </w:p>
    <w:p>
      <w:pPr>
        <w:pStyle w:val="Normal"/>
        <w:spacing w:lineRule="auto" w:line="360"/>
        <w:rPr>
          <w:rFonts w:ascii="Arial" w:hAnsi="Arial" w:eastAsia="楷体_GB2312;楷体" w:cs="Arial"/>
          <w:b/>
          <w:b/>
          <w:bCs/>
          <w:spacing w:val="-20"/>
          <w:sz w:val="32"/>
        </w:rPr>
      </w:pPr>
      <w:r>
        <w:rPr>
          <w:rFonts w:ascii="Arial" w:hAnsi="Arial" w:cs="Arial" w:eastAsia="楷体_GB2312;楷体"/>
          <w:b/>
          <w:bCs/>
          <w:sz w:val="32"/>
        </w:rPr>
        <w:t>提交报告日期：</w:t>
      </w:r>
      <w:r>
        <w:rPr>
          <w:rFonts w:eastAsia="楷体_GB2312;楷体" w:cs="Arial" w:ascii="Arial" w:hAnsi="Arial"/>
          <w:b/>
          <w:sz w:val="32"/>
        </w:rPr>
        <w:t>2024</w:t>
      </w:r>
      <w:r>
        <w:rPr>
          <w:rFonts w:ascii="Arial" w:hAnsi="Arial" w:cs="Arial" w:eastAsia="楷体_GB2312;楷体"/>
          <w:b/>
          <w:sz w:val="32"/>
        </w:rPr>
        <w:t>年</w:t>
      </w:r>
      <w:r>
        <w:rPr>
          <w:rFonts w:eastAsia="楷体_GB2312;楷体" w:cs="Arial" w:ascii="Arial" w:hAnsi="Arial"/>
          <w:b/>
          <w:sz w:val="32"/>
        </w:rPr>
        <w:t>5</w:t>
      </w:r>
      <w:r>
        <w:rPr>
          <w:rFonts w:ascii="Arial" w:hAnsi="Arial" w:cs="Arial" w:eastAsia="楷体_GB2312;楷体"/>
          <w:b/>
          <w:sz w:val="32"/>
        </w:rPr>
        <w:t>月</w:t>
      </w:r>
      <w:r>
        <w:rPr>
          <w:rFonts w:eastAsia="楷体_GB2312;楷体" w:cs="Arial" w:ascii="Arial" w:hAnsi="Arial"/>
          <w:b/>
          <w:sz w:val="32"/>
        </w:rPr>
        <w:t>30</w:t>
      </w:r>
      <w:r>
        <w:rPr>
          <w:rFonts w:ascii="Arial" w:hAnsi="Arial" w:cs="Arial" w:eastAsia="楷体_GB2312;楷体"/>
          <w:b/>
          <w:sz w:val="32"/>
        </w:rPr>
        <w:t>日</w:t>
      </w:r>
    </w:p>
    <w:p>
      <w:pPr>
        <w:pStyle w:val="Normal"/>
        <w:spacing w:lineRule="auto" w:line="360"/>
        <w:rPr>
          <w:rFonts w:ascii="Arial" w:hAnsi="Arial" w:eastAsia="楷体_GB2312;楷体" w:cs="Arial"/>
          <w:b/>
          <w:b/>
          <w:bCs/>
          <w:spacing w:val="-20"/>
          <w:sz w:val="32"/>
        </w:rPr>
      </w:pPr>
      <w:r>
        <w:rPr>
          <w:rFonts w:eastAsia="楷体_GB2312;楷体" w:cs="Arial" w:ascii="Arial" w:hAnsi="Arial"/>
          <w:b/>
          <w:bCs/>
          <w:spacing w:val="-20"/>
          <w:sz w:val="32"/>
        </w:rPr>
      </w:r>
    </w:p>
    <w:p>
      <w:pPr>
        <w:pStyle w:val="Normal"/>
        <w:spacing w:lineRule="auto" w:line="360"/>
        <w:rPr>
          <w:rFonts w:ascii="Arial" w:hAnsi="Arial" w:eastAsia="楷体_GB2312;楷体" w:cs="Arial"/>
          <w:b/>
          <w:b/>
          <w:bCs/>
          <w:sz w:val="32"/>
        </w:rPr>
      </w:pPr>
      <w:r>
        <w:rPr>
          <w:rFonts w:ascii="Arial" w:hAnsi="Arial" w:cs="Arial" w:eastAsia="楷体_GB2312;楷体"/>
          <w:b/>
          <w:bCs/>
          <w:sz w:val="32"/>
        </w:rPr>
        <w:t>关键词：北京市、</w:t>
      </w:r>
      <w:r>
        <w:rPr>
          <w:rFonts w:ascii="Arial" w:hAnsi="Arial" w:cs="Arial" w:eastAsia="楷体_GB2312;楷体"/>
          <w:b/>
          <w:bCs/>
          <w:sz w:val="32"/>
        </w:rPr>
        <w:t>海淀</w:t>
      </w:r>
      <w:r>
        <w:rPr>
          <w:rFonts w:ascii="Arial" w:hAnsi="Arial" w:cs="Arial" w:eastAsia="楷体_GB2312;楷体"/>
          <w:b/>
          <w:bCs/>
          <w:sz w:val="32"/>
        </w:rPr>
        <w:t>区</w:t>
      </w:r>
    </w:p>
    <w:p>
      <w:pPr>
        <w:pStyle w:val="Normal"/>
        <w:spacing w:lineRule="auto" w:line="360"/>
        <w:ind w:firstLine="1285"/>
        <w:rPr>
          <w:rFonts w:ascii="Arial" w:hAnsi="Arial" w:eastAsia="楷体_GB2312;楷体" w:cs="Arial"/>
          <w:b/>
          <w:b/>
          <w:bCs/>
          <w:sz w:val="32"/>
        </w:rPr>
      </w:pPr>
      <w:r>
        <w:rPr>
          <w:rFonts w:ascii="Arial" w:hAnsi="Arial" w:cs="Arial" w:eastAsia="楷体_GB2312;楷体"/>
          <w:b/>
          <w:bCs/>
          <w:sz w:val="32"/>
        </w:rPr>
        <w:t>收购补偿</w:t>
      </w:r>
    </w:p>
    <w:p>
      <w:pPr>
        <w:sectPr>
          <w:headerReference w:type="default" r:id="rId40"/>
          <w:headerReference w:type="first" r:id="rId41"/>
          <w:footerReference w:type="default" r:id="rId42"/>
          <w:footerReference w:type="first" r:id="rId43"/>
          <w:type w:val="nextPage"/>
          <w:pgSz w:w="11906" w:h="16838"/>
          <w:pgMar w:left="1474" w:right="1134" w:header="851" w:top="1843" w:footer="1134" w:bottom="1190" w:gutter="0"/>
          <w:pgNumType w:start="0" w:fmt="decimal"/>
          <w:formProt w:val="false"/>
          <w:titlePg/>
          <w:textDirection w:val="lrTb"/>
          <w:docGrid w:type="default" w:linePitch="326" w:charSpace="0"/>
        </w:sectPr>
        <w:pStyle w:val="Normal"/>
        <w:spacing w:lineRule="auto" w:line="360"/>
        <w:ind w:firstLine="1285"/>
        <w:rPr>
          <w:rFonts w:ascii="Arial" w:hAnsi="Arial" w:eastAsia="楷体_GB2312;楷体" w:cs="Arial"/>
          <w:b/>
          <w:b/>
          <w:bCs/>
          <w:sz w:val="32"/>
        </w:rPr>
      </w:pPr>
      <w:r>
        <w:rPr>
          <w:rFonts w:ascii="Arial" w:hAnsi="Arial" w:cs="Arial" w:eastAsia="楷体_GB2312;楷体"/>
          <w:b/>
          <w:bCs/>
          <w:sz w:val="32"/>
        </w:rPr>
        <w:t>评估</w:t>
      </w:r>
    </w:p>
    <w:p>
      <w:pPr>
        <w:pStyle w:val="12"/>
        <w:rPr>
          <w:rStyle w:val="Internet"/>
          <w:rFonts w:ascii="Arial" w:hAnsi="Arial" w:cs="Arial"/>
          <w:color w:val="000000"/>
          <w:sz w:val="24"/>
          <w:szCs w:val="24"/>
        </w:rPr>
      </w:pPr>
      <w:r>
        <w:rPr>
          <w:rFonts w:ascii="Arial" w:hAnsi="Arial" w:cs="Arial"/>
          <w:b/>
          <w:sz w:val="32"/>
          <w:szCs w:val="32"/>
        </w:rPr>
        <w:t>目录</w:t>
      </w:r>
    </w:p>
    <w:sdt>
      <w:sdtPr>
        <w:docPartObj>
          <w:docPartGallery w:val="Table of Contents"/>
          <w:docPartUnique w:val="true"/>
        </w:docPartObj>
      </w:sdtPr>
      <w:sdtContent>
        <w:p>
          <w:pPr>
            <w:pStyle w:val="12"/>
            <w:tabs>
              <w:tab w:val="left" w:pos="840" w:leader="none"/>
              <w:tab w:val="right" w:pos="8654" w:leader="dot"/>
            </w:tabs>
            <w:spacing w:lineRule="auto" w:line="360"/>
            <w:jc w:val="center"/>
            <w:rPr>
              <w:rStyle w:val="Internet"/>
              <w:rFonts w:ascii="Arial" w:hAnsi="Arial" w:eastAsia="宋体;SimSun" w:cs="Arial"/>
              <w:color w:val="000000"/>
              <w:kern w:val="2"/>
              <w:sz w:val="21"/>
              <w:szCs w:val="22"/>
            </w:rPr>
          </w:pPr>
          <w:r>
            <w:fldChar w:fldCharType="begin"/>
          </w:r>
          <w:r>
            <w:rPr>
              <w:sz w:val="28"/>
              <w:szCs w:val="28"/>
              <w:rFonts w:eastAsia="仿宋_GB2312;仿宋" w:cs="Arial"/>
            </w:rPr>
            <w:instrText> TOC \o "1-2" \h \z \u </w:instrText>
          </w:r>
          <w:r>
            <w:rPr>
              <w:sz w:val="28"/>
              <w:szCs w:val="28"/>
              <w:rFonts w:eastAsia="仿宋_GB2312;仿宋" w:cs="Arial"/>
            </w:rPr>
            <w:fldChar w:fldCharType="separate"/>
          </w:r>
          <w:r>
            <w:rPr>
              <w:rFonts w:eastAsia="仿宋_GB2312;仿宋" w:cs="Arial"/>
              <w:sz w:val="28"/>
              <w:szCs w:val="28"/>
              <w:lang w:val="zh-CN" w:eastAsia="zh-CN"/>
            </w:rPr>
          </w:r>
        </w:p>
        <w:p>
          <w:pPr>
            <w:pStyle w:val="12"/>
            <w:rPr>
              <w:rFonts w:ascii="Arial" w:hAnsi="Arial" w:eastAsia="宋体;SimSun" w:cs="Arial"/>
              <w:kern w:val="2"/>
              <w:sz w:val="21"/>
              <w:szCs w:val="22"/>
            </w:rPr>
          </w:pPr>
          <w:hyperlink w:anchor="__RefHeading___Toc530042239">
            <w:r>
              <w:rPr>
                <w:rStyle w:val="Style"/>
                <w:rFonts w:ascii="Arial" w:hAnsi="Arial" w:cs="Arial"/>
                <w:b/>
              </w:rPr>
              <w:t>第一部分</w:t>
            </w:r>
            <w:r>
              <w:rPr>
                <w:rStyle w:val="Style"/>
                <w:rFonts w:ascii="Arial" w:hAnsi="Arial" w:cs="Arial" w:eastAsia="Arial"/>
                <w:b/>
              </w:rPr>
              <w:t xml:space="preserve">  </w:t>
            </w:r>
            <w:r>
              <w:rPr>
                <w:rStyle w:val="Style"/>
                <w:rFonts w:ascii="Arial" w:hAnsi="Arial" w:cs="Arial"/>
                <w:b/>
              </w:rPr>
              <w:t>总</w:t>
            </w:r>
            <w:r>
              <w:rPr>
                <w:rStyle w:val="Style"/>
                <w:rFonts w:ascii="Arial" w:hAnsi="Arial" w:cs="Arial" w:eastAsia="Arial"/>
                <w:b/>
              </w:rPr>
              <w:t xml:space="preserve">  </w:t>
            </w:r>
            <w:r>
              <w:rPr>
                <w:rStyle w:val="Style"/>
                <w:rFonts w:ascii="Arial" w:hAnsi="Arial" w:cs="Arial"/>
                <w:b/>
              </w:rPr>
              <w:t>述</w:t>
            </w:r>
            <w:r>
              <w:rPr>
                <w:rStyle w:val="Style"/>
                <w:rFonts w:cs="Arial" w:ascii="Arial" w:hAnsi="Arial"/>
              </w:rPr>
              <w:tab/>
              <w:t>1</w:t>
            </w:r>
          </w:hyperlink>
        </w:p>
        <w:p>
          <w:pPr>
            <w:pStyle w:val="27"/>
            <w:rPr>
              <w:rFonts w:ascii="Arial" w:hAnsi="Arial" w:cs="Arial"/>
              <w:kern w:val="2"/>
              <w:sz w:val="21"/>
              <w:szCs w:val="22"/>
              <w:lang w:val="zh-CN" w:eastAsia="zh-CN"/>
            </w:rPr>
          </w:pPr>
          <w:hyperlink w:anchor="__RefHeading___Toc530042240">
            <w:r>
              <w:rPr>
                <w:rStyle w:val="Style"/>
                <w:rFonts w:ascii="Arial" w:hAnsi="Arial" w:cs="Arial" w:eastAsia="仿宋_GB2312;仿宋"/>
                <w:b/>
                <w:bCs/>
                <w:lang w:val="zh-CN" w:eastAsia="zh-CN"/>
              </w:rPr>
              <w:t>一、项目名称</w:t>
            </w:r>
            <w:r>
              <w:rPr>
                <w:rStyle w:val="Style"/>
                <w:rFonts w:cs="Arial" w:ascii="Arial" w:hAnsi="Arial"/>
                <w:lang w:val="zh-CN" w:eastAsia="zh-CN"/>
              </w:rPr>
              <w:tab/>
              <w:t>1</w:t>
            </w:r>
          </w:hyperlink>
        </w:p>
        <w:p>
          <w:pPr>
            <w:pStyle w:val="27"/>
            <w:rPr>
              <w:rFonts w:ascii="Arial" w:hAnsi="Arial" w:cs="Arial"/>
              <w:kern w:val="2"/>
              <w:sz w:val="21"/>
              <w:szCs w:val="22"/>
              <w:lang w:val="zh-CN" w:eastAsia="zh-CN"/>
            </w:rPr>
          </w:pPr>
          <w:hyperlink w:anchor="__RefHeading___Toc530042241">
            <w:r>
              <w:rPr>
                <w:rStyle w:val="Style"/>
                <w:rFonts w:ascii="Arial" w:hAnsi="Arial" w:cs="Arial" w:eastAsia="仿宋_GB2312;仿宋"/>
                <w:b/>
                <w:bCs/>
                <w:lang w:val="zh-CN" w:eastAsia="zh-CN"/>
              </w:rPr>
              <w:t>二、委托估价方</w:t>
            </w:r>
            <w:r>
              <w:rPr>
                <w:rStyle w:val="Style"/>
                <w:rFonts w:cs="Arial" w:ascii="Arial" w:hAnsi="Arial"/>
                <w:lang w:val="zh-CN" w:eastAsia="zh-CN"/>
              </w:rPr>
              <w:tab/>
              <w:t>1</w:t>
            </w:r>
          </w:hyperlink>
        </w:p>
        <w:p>
          <w:pPr>
            <w:pStyle w:val="27"/>
            <w:rPr>
              <w:rFonts w:ascii="Arial" w:hAnsi="Arial" w:cs="Arial"/>
              <w:kern w:val="2"/>
              <w:sz w:val="21"/>
              <w:szCs w:val="22"/>
              <w:lang w:val="zh-CN" w:eastAsia="zh-CN"/>
            </w:rPr>
          </w:pPr>
          <w:hyperlink w:anchor="__RefHeading___Toc530042242">
            <w:r>
              <w:rPr>
                <w:rStyle w:val="Style"/>
                <w:rFonts w:ascii="Arial" w:hAnsi="Arial" w:cs="Arial" w:eastAsia="仿宋_GB2312;仿宋"/>
                <w:b/>
                <w:lang w:val="zh-CN" w:eastAsia="zh-CN"/>
              </w:rPr>
              <w:t>三、受托估价方</w:t>
            </w:r>
            <w:r>
              <w:rPr>
                <w:rStyle w:val="Style"/>
                <w:rFonts w:cs="Arial" w:ascii="Arial" w:hAnsi="Arial"/>
                <w:lang w:val="zh-CN" w:eastAsia="zh-CN"/>
              </w:rPr>
              <w:tab/>
              <w:t>1</w:t>
            </w:r>
          </w:hyperlink>
        </w:p>
        <w:p>
          <w:pPr>
            <w:pStyle w:val="27"/>
            <w:rPr>
              <w:rFonts w:ascii="Arial" w:hAnsi="Arial" w:cs="Arial"/>
              <w:kern w:val="2"/>
              <w:sz w:val="21"/>
              <w:szCs w:val="22"/>
              <w:lang w:val="zh-CN" w:eastAsia="zh-CN"/>
            </w:rPr>
          </w:pPr>
          <w:hyperlink w:anchor="__RefHeading___Toc530042243">
            <w:r>
              <w:rPr>
                <w:rStyle w:val="Style"/>
                <w:rFonts w:ascii="Arial" w:hAnsi="Arial" w:cs="Arial" w:eastAsia="仿宋_GB2312;仿宋"/>
                <w:b/>
                <w:lang w:val="zh-CN" w:eastAsia="zh-CN"/>
              </w:rPr>
              <w:t>四、估价目的</w:t>
            </w:r>
            <w:r>
              <w:rPr>
                <w:rStyle w:val="Style"/>
                <w:rFonts w:cs="Arial" w:ascii="Arial" w:hAnsi="Arial"/>
                <w:lang w:val="zh-CN" w:eastAsia="zh-CN"/>
              </w:rPr>
              <w:tab/>
              <w:t>1</w:t>
            </w:r>
          </w:hyperlink>
        </w:p>
        <w:p>
          <w:pPr>
            <w:pStyle w:val="27"/>
            <w:rPr>
              <w:rFonts w:ascii="Arial" w:hAnsi="Arial" w:cs="Arial"/>
              <w:kern w:val="2"/>
              <w:sz w:val="21"/>
              <w:szCs w:val="22"/>
              <w:lang w:val="zh-CN" w:eastAsia="zh-CN"/>
            </w:rPr>
          </w:pPr>
          <w:hyperlink w:anchor="__RefHeading___Toc530042244">
            <w:r>
              <w:rPr>
                <w:rStyle w:val="Style"/>
                <w:rFonts w:ascii="Arial" w:hAnsi="Arial" w:cs="Arial" w:eastAsia="仿宋_GB2312;仿宋"/>
                <w:b/>
                <w:lang w:val="zh-CN" w:eastAsia="zh-CN"/>
              </w:rPr>
              <w:t>五、估价依据</w:t>
            </w:r>
            <w:r>
              <w:rPr>
                <w:rStyle w:val="Style"/>
                <w:rFonts w:cs="Arial" w:ascii="Arial" w:hAnsi="Arial"/>
                <w:lang w:val="zh-CN" w:eastAsia="zh-CN"/>
              </w:rPr>
              <w:tab/>
              <w:t>2</w:t>
            </w:r>
          </w:hyperlink>
        </w:p>
        <w:p>
          <w:pPr>
            <w:pStyle w:val="27"/>
            <w:rPr>
              <w:rFonts w:ascii="Arial" w:hAnsi="Arial" w:cs="Arial"/>
              <w:kern w:val="2"/>
              <w:sz w:val="21"/>
              <w:szCs w:val="22"/>
              <w:lang w:val="zh-CN" w:eastAsia="zh-CN"/>
            </w:rPr>
          </w:pPr>
          <w:hyperlink w:anchor="__RefHeading___Toc530042245">
            <w:r>
              <w:rPr>
                <w:rStyle w:val="Style"/>
                <w:rFonts w:ascii="Arial" w:hAnsi="Arial" w:cs="Arial" w:eastAsia="仿宋_GB2312;仿宋"/>
                <w:b/>
                <w:lang w:val="zh-CN" w:eastAsia="zh-CN"/>
              </w:rPr>
              <w:t>六、估价期日</w:t>
            </w:r>
            <w:r>
              <w:rPr>
                <w:rStyle w:val="Style"/>
                <w:rFonts w:cs="Arial" w:ascii="Arial" w:hAnsi="Arial"/>
                <w:lang w:val="zh-CN" w:eastAsia="zh-CN"/>
              </w:rPr>
              <w:tab/>
              <w:t>5</w:t>
            </w:r>
          </w:hyperlink>
        </w:p>
        <w:p>
          <w:pPr>
            <w:pStyle w:val="27"/>
            <w:rPr>
              <w:rFonts w:ascii="Arial" w:hAnsi="Arial" w:cs="Arial"/>
              <w:kern w:val="2"/>
              <w:sz w:val="21"/>
              <w:szCs w:val="22"/>
              <w:lang w:val="zh-CN" w:eastAsia="zh-CN"/>
            </w:rPr>
          </w:pPr>
          <w:hyperlink w:anchor="__RefHeading___Toc530042246">
            <w:r>
              <w:rPr>
                <w:rStyle w:val="Style"/>
                <w:rFonts w:ascii="Arial" w:hAnsi="Arial" w:cs="Arial" w:eastAsia="仿宋_GB2312;仿宋"/>
                <w:b/>
                <w:bCs/>
                <w:lang w:val="zh-CN" w:eastAsia="zh-CN"/>
              </w:rPr>
              <w:t>七、估价日期</w:t>
            </w:r>
            <w:r>
              <w:rPr>
                <w:rStyle w:val="Style"/>
                <w:rFonts w:cs="Arial" w:ascii="Arial" w:hAnsi="Arial"/>
                <w:lang w:val="zh-CN" w:eastAsia="zh-CN"/>
              </w:rPr>
              <w:tab/>
              <w:t>5</w:t>
            </w:r>
          </w:hyperlink>
        </w:p>
        <w:p>
          <w:pPr>
            <w:pStyle w:val="27"/>
            <w:rPr>
              <w:rFonts w:ascii="Arial" w:hAnsi="Arial" w:cs="Arial"/>
              <w:kern w:val="2"/>
              <w:sz w:val="21"/>
              <w:szCs w:val="22"/>
              <w:lang w:val="zh-CN" w:eastAsia="zh-CN"/>
            </w:rPr>
          </w:pPr>
          <w:hyperlink w:anchor="__RefHeading___Toc530042247">
            <w:r>
              <w:rPr>
                <w:rStyle w:val="Style"/>
                <w:rFonts w:ascii="Arial" w:hAnsi="Arial" w:cs="Arial" w:eastAsia="仿宋_GB2312;仿宋"/>
                <w:b/>
                <w:bCs/>
                <w:lang w:val="zh-CN" w:eastAsia="zh-CN"/>
              </w:rPr>
              <w:t>八、地价定义</w:t>
            </w:r>
            <w:r>
              <w:rPr>
                <w:rStyle w:val="Style"/>
                <w:rFonts w:cs="Arial" w:ascii="Arial" w:hAnsi="Arial"/>
                <w:lang w:val="zh-CN" w:eastAsia="zh-CN"/>
              </w:rPr>
              <w:tab/>
              <w:t>5</w:t>
            </w:r>
          </w:hyperlink>
        </w:p>
        <w:p>
          <w:pPr>
            <w:pStyle w:val="27"/>
            <w:rPr>
              <w:rFonts w:ascii="Arial" w:hAnsi="Arial" w:cs="Arial"/>
              <w:kern w:val="2"/>
              <w:sz w:val="21"/>
              <w:szCs w:val="22"/>
              <w:lang w:val="zh-CN" w:eastAsia="zh-CN"/>
            </w:rPr>
          </w:pPr>
          <w:hyperlink w:anchor="__RefHeading___Toc530042248">
            <w:r>
              <w:rPr>
                <w:rStyle w:val="Style"/>
                <w:rFonts w:ascii="Arial" w:hAnsi="Arial" w:cs="Arial" w:eastAsia="仿宋_GB2312;仿宋"/>
                <w:b/>
                <w:lang w:val="zh-CN" w:eastAsia="zh-CN"/>
              </w:rPr>
              <w:t>九、估价结果</w:t>
            </w:r>
            <w:r>
              <w:rPr>
                <w:rStyle w:val="Style"/>
                <w:rFonts w:cs="Arial" w:ascii="Arial" w:hAnsi="Arial"/>
                <w:lang w:val="zh-CN" w:eastAsia="zh-CN"/>
              </w:rPr>
              <w:tab/>
              <w:t>10</w:t>
            </w:r>
          </w:hyperlink>
        </w:p>
        <w:p>
          <w:pPr>
            <w:pStyle w:val="27"/>
            <w:rPr>
              <w:rFonts w:ascii="Arial" w:hAnsi="Arial" w:cs="Arial"/>
              <w:kern w:val="2"/>
              <w:sz w:val="21"/>
              <w:szCs w:val="22"/>
              <w:lang w:val="zh-CN" w:eastAsia="zh-CN"/>
            </w:rPr>
          </w:pPr>
          <w:hyperlink w:anchor="__RefHeading___Toc530042249">
            <w:r>
              <w:rPr>
                <w:rStyle w:val="Style"/>
                <w:rFonts w:ascii="Arial" w:hAnsi="Arial" w:cs="Arial" w:eastAsia="仿宋_GB2312;仿宋"/>
                <w:bCs/>
                <w:lang w:val="zh-CN" w:eastAsia="zh-CN"/>
              </w:rPr>
              <w:t>附</w:t>
            </w:r>
            <w:r>
              <w:rPr>
                <w:rStyle w:val="Style"/>
                <w:rFonts w:ascii="Arial" w:hAnsi="Arial" w:cs="Arial" w:eastAsia="Arial"/>
                <w:b/>
                <w:lang w:val="zh-CN" w:eastAsia="zh-CN"/>
              </w:rPr>
              <w:t xml:space="preserve">    </w:t>
            </w:r>
            <w:r>
              <w:rPr>
                <w:rStyle w:val="Style"/>
                <w:rFonts w:ascii="Arial" w:hAnsi="Arial" w:cs="Arial" w:eastAsia="仿宋_GB2312;仿宋"/>
                <w:b/>
                <w:lang w:val="zh-CN" w:eastAsia="zh-CN"/>
              </w:rPr>
              <w:t>估价结果一览表</w:t>
            </w:r>
            <w:r>
              <w:rPr>
                <w:rStyle w:val="Style"/>
                <w:rFonts w:cs="Arial" w:ascii="Arial" w:hAnsi="Arial"/>
                <w:lang w:val="zh-CN" w:eastAsia="zh-CN"/>
              </w:rPr>
              <w:tab/>
              <w:t>12</w:t>
            </w:r>
          </w:hyperlink>
        </w:p>
        <w:p>
          <w:pPr>
            <w:pStyle w:val="27"/>
            <w:rPr>
              <w:rFonts w:ascii="Arial" w:hAnsi="Arial" w:cs="Arial"/>
              <w:kern w:val="2"/>
              <w:sz w:val="21"/>
              <w:szCs w:val="22"/>
              <w:lang w:val="zh-CN" w:eastAsia="zh-CN"/>
            </w:rPr>
          </w:pPr>
          <w:hyperlink w:anchor="__RefHeading___Toc530042250">
            <w:r>
              <w:rPr>
                <w:rStyle w:val="Style"/>
                <w:rFonts w:ascii="Arial" w:hAnsi="Arial" w:cs="Arial" w:eastAsia="仿宋_GB2312;仿宋"/>
                <w:b/>
                <w:lang w:val="zh-CN" w:eastAsia="zh-CN"/>
              </w:rPr>
              <w:t>十、需要特殊说明的事项</w:t>
            </w:r>
            <w:r>
              <w:rPr>
                <w:rStyle w:val="Style"/>
                <w:rFonts w:cs="Arial" w:ascii="Arial" w:hAnsi="Arial"/>
                <w:lang w:val="zh-CN" w:eastAsia="zh-CN"/>
              </w:rPr>
              <w:tab/>
              <w:t>13</w:t>
            </w:r>
          </w:hyperlink>
        </w:p>
        <w:p>
          <w:pPr>
            <w:pStyle w:val="27"/>
            <w:rPr>
              <w:rFonts w:ascii="Arial" w:hAnsi="Arial" w:cs="Arial"/>
              <w:kern w:val="2"/>
              <w:sz w:val="21"/>
              <w:szCs w:val="22"/>
              <w:lang w:val="zh-CN" w:eastAsia="zh-CN"/>
            </w:rPr>
          </w:pPr>
          <w:hyperlink w:anchor="__RefHeading___Toc530042251">
            <w:r>
              <w:rPr>
                <w:rStyle w:val="Style"/>
                <w:rFonts w:ascii="Arial" w:hAnsi="Arial" w:cs="Arial" w:eastAsia="仿宋_GB2312;仿宋"/>
                <w:b/>
                <w:lang w:val="zh-CN" w:eastAsia="zh-CN"/>
              </w:rPr>
              <w:t>十一、评估专业人员签字</w:t>
            </w:r>
            <w:r>
              <w:rPr>
                <w:rStyle w:val="Style"/>
                <w:rFonts w:cs="Arial" w:ascii="Arial" w:hAnsi="Arial"/>
                <w:lang w:val="zh-CN" w:eastAsia="zh-CN"/>
              </w:rPr>
              <w:tab/>
              <w:t>17</w:t>
            </w:r>
          </w:hyperlink>
        </w:p>
        <w:p>
          <w:pPr>
            <w:pStyle w:val="27"/>
            <w:rPr>
              <w:rFonts w:ascii="Arial" w:hAnsi="Arial" w:cs="Arial"/>
              <w:kern w:val="2"/>
              <w:sz w:val="21"/>
              <w:szCs w:val="22"/>
              <w:lang w:val="zh-CN" w:eastAsia="zh-CN"/>
            </w:rPr>
          </w:pPr>
          <w:hyperlink w:anchor="__RefHeading___Toc530042252">
            <w:r>
              <w:rPr>
                <w:rStyle w:val="Style"/>
                <w:rFonts w:ascii="Arial" w:hAnsi="Arial" w:cs="Arial" w:eastAsia="仿宋_GB2312;仿宋"/>
                <w:b/>
                <w:lang w:val="zh-CN" w:eastAsia="zh-CN"/>
              </w:rPr>
              <w:t>十二、土地估价机构</w:t>
            </w:r>
            <w:r>
              <w:rPr>
                <w:rStyle w:val="Style"/>
                <w:rFonts w:cs="Arial" w:ascii="Arial" w:hAnsi="Arial"/>
                <w:lang w:val="zh-CN" w:eastAsia="zh-CN"/>
              </w:rPr>
              <w:tab/>
            </w:r>
          </w:hyperlink>
          <w:r>
            <w:rPr>
              <w:rFonts w:cs="Arial" w:ascii="Arial" w:hAnsi="Arial"/>
            </w:rPr>
            <w:t>17</w:t>
          </w:r>
        </w:p>
        <w:p>
          <w:pPr>
            <w:pStyle w:val="12"/>
            <w:rPr>
              <w:rFonts w:ascii="Arial" w:hAnsi="Arial" w:eastAsia="宋体;SimSun" w:cs="Arial"/>
              <w:kern w:val="2"/>
              <w:sz w:val="21"/>
              <w:szCs w:val="22"/>
            </w:rPr>
          </w:pPr>
          <w:hyperlink w:anchor="__RefHeading___Toc530042253">
            <w:r>
              <w:rPr>
                <w:rStyle w:val="Style"/>
                <w:rFonts w:ascii="Arial" w:hAnsi="Arial" w:cs="Arial"/>
                <w:b/>
              </w:rPr>
              <w:t>第二部分</w:t>
            </w:r>
            <w:r>
              <w:rPr>
                <w:rStyle w:val="Style"/>
                <w:rFonts w:ascii="Arial" w:hAnsi="Arial" w:cs="Arial" w:eastAsia="Arial"/>
                <w:b/>
              </w:rPr>
              <w:t xml:space="preserve">  </w:t>
            </w:r>
            <w:r>
              <w:rPr>
                <w:rStyle w:val="Style"/>
                <w:rFonts w:ascii="Arial" w:hAnsi="Arial" w:cs="Arial"/>
                <w:b/>
              </w:rPr>
              <w:t>估价对象描述及土地价格影响因素分析</w:t>
            </w:r>
            <w:r>
              <w:rPr>
                <w:rStyle w:val="Style"/>
                <w:rFonts w:cs="Arial" w:ascii="Arial" w:hAnsi="Arial"/>
              </w:rPr>
              <w:tab/>
              <w:t>18</w:t>
            </w:r>
          </w:hyperlink>
        </w:p>
        <w:p>
          <w:pPr>
            <w:pStyle w:val="27"/>
            <w:rPr>
              <w:rFonts w:ascii="Arial" w:hAnsi="Arial" w:cs="Arial"/>
              <w:kern w:val="2"/>
              <w:sz w:val="21"/>
              <w:szCs w:val="22"/>
              <w:lang w:val="zh-CN" w:eastAsia="zh-CN"/>
            </w:rPr>
          </w:pPr>
          <w:hyperlink w:anchor="__RefHeading___Toc530042254">
            <w:r>
              <w:rPr>
                <w:rStyle w:val="Style"/>
                <w:rFonts w:ascii="Arial" w:hAnsi="Arial" w:cs="Arial" w:eastAsia="仿宋_GB2312;仿宋"/>
                <w:b/>
                <w:lang w:val="zh-CN" w:eastAsia="zh-CN"/>
              </w:rPr>
              <w:t>一、估价对象描述</w:t>
            </w:r>
            <w:r>
              <w:rPr>
                <w:rStyle w:val="Style"/>
                <w:rFonts w:cs="Arial" w:ascii="Arial" w:hAnsi="Arial"/>
                <w:lang w:val="zh-CN" w:eastAsia="zh-CN"/>
              </w:rPr>
              <w:tab/>
              <w:t>18</w:t>
            </w:r>
          </w:hyperlink>
        </w:p>
        <w:p>
          <w:pPr>
            <w:pStyle w:val="27"/>
            <w:rPr>
              <w:rFonts w:ascii="Arial" w:hAnsi="Arial" w:cs="Arial"/>
              <w:kern w:val="2"/>
              <w:sz w:val="21"/>
              <w:szCs w:val="22"/>
              <w:lang w:val="zh-CN" w:eastAsia="zh-CN"/>
            </w:rPr>
          </w:pPr>
          <w:hyperlink w:anchor="__RefHeading___Toc530042255">
            <w:r>
              <w:rPr>
                <w:rStyle w:val="Style"/>
                <w:rFonts w:ascii="Arial" w:hAnsi="Arial" w:cs="Arial" w:eastAsia="仿宋_GB2312;仿宋"/>
                <w:b/>
                <w:lang w:val="zh-CN" w:eastAsia="zh-CN"/>
              </w:rPr>
              <w:t>二、地价影响因素分析</w:t>
            </w:r>
            <w:r>
              <w:rPr>
                <w:rStyle w:val="Style"/>
                <w:rFonts w:cs="Arial" w:ascii="Arial" w:hAnsi="Arial"/>
                <w:lang w:val="zh-CN" w:eastAsia="zh-CN"/>
              </w:rPr>
              <w:tab/>
              <w:t>21</w:t>
            </w:r>
          </w:hyperlink>
        </w:p>
        <w:p>
          <w:pPr>
            <w:pStyle w:val="12"/>
            <w:rPr>
              <w:rFonts w:ascii="Arial" w:hAnsi="Arial" w:eastAsia="宋体;SimSun" w:cs="Arial"/>
              <w:kern w:val="2"/>
              <w:sz w:val="21"/>
              <w:szCs w:val="22"/>
            </w:rPr>
          </w:pPr>
          <w:hyperlink w:anchor="__RefHeading___Toc530042256">
            <w:r>
              <w:rPr>
                <w:rStyle w:val="Style"/>
                <w:rFonts w:ascii="Arial" w:hAnsi="Arial" w:cs="Arial"/>
                <w:b/>
              </w:rPr>
              <w:t>第三部分</w:t>
            </w:r>
            <w:r>
              <w:rPr>
                <w:rStyle w:val="Style"/>
                <w:rFonts w:ascii="Arial" w:hAnsi="Arial" w:cs="Arial" w:eastAsia="Arial"/>
                <w:b/>
              </w:rPr>
              <w:t xml:space="preserve">  </w:t>
            </w:r>
            <w:r>
              <w:rPr>
                <w:rStyle w:val="Style"/>
                <w:rFonts w:ascii="Arial" w:hAnsi="Arial" w:cs="Arial"/>
                <w:b/>
              </w:rPr>
              <w:t>土地估价</w:t>
            </w:r>
            <w:r>
              <w:rPr>
                <w:rStyle w:val="Style"/>
                <w:rFonts w:cs="Arial" w:ascii="Arial" w:hAnsi="Arial"/>
              </w:rPr>
              <w:tab/>
              <w:t>26</w:t>
            </w:r>
          </w:hyperlink>
        </w:p>
        <w:p>
          <w:pPr>
            <w:pStyle w:val="27"/>
            <w:rPr>
              <w:rFonts w:ascii="Arial" w:hAnsi="Arial" w:cs="Arial"/>
              <w:kern w:val="2"/>
              <w:sz w:val="21"/>
              <w:szCs w:val="22"/>
              <w:lang w:val="zh-CN" w:eastAsia="zh-CN"/>
            </w:rPr>
          </w:pPr>
          <w:hyperlink w:anchor="__RefHeading___Toc530042257">
            <w:r>
              <w:rPr>
                <w:rStyle w:val="Style"/>
                <w:rFonts w:ascii="Arial" w:hAnsi="Arial" w:cs="Arial" w:eastAsia="仿宋_GB2312;仿宋"/>
                <w:b/>
                <w:lang w:val="zh-CN" w:eastAsia="zh-CN"/>
              </w:rPr>
              <w:t>一、估价原则</w:t>
            </w:r>
            <w:r>
              <w:rPr>
                <w:rStyle w:val="Style"/>
                <w:rFonts w:cs="Arial" w:ascii="Arial" w:hAnsi="Arial"/>
                <w:lang w:val="zh-CN" w:eastAsia="zh-CN"/>
              </w:rPr>
              <w:tab/>
              <w:t>26</w:t>
            </w:r>
          </w:hyperlink>
        </w:p>
        <w:p>
          <w:pPr>
            <w:pStyle w:val="27"/>
            <w:rPr>
              <w:rFonts w:ascii="Arial" w:hAnsi="Arial" w:cs="Arial"/>
              <w:kern w:val="2"/>
              <w:sz w:val="21"/>
              <w:szCs w:val="22"/>
              <w:lang w:val="zh-CN" w:eastAsia="zh-CN"/>
            </w:rPr>
          </w:pPr>
          <w:hyperlink w:anchor="__RefHeading___Toc530042258">
            <w:r>
              <w:rPr>
                <w:rStyle w:val="Style"/>
                <w:rFonts w:ascii="Arial" w:hAnsi="Arial" w:cs="Arial" w:eastAsia="仿宋_GB2312;仿宋"/>
                <w:b/>
                <w:lang w:val="zh-CN" w:eastAsia="zh-CN"/>
              </w:rPr>
              <w:t>二、估价方法与估价过程</w:t>
            </w:r>
            <w:r>
              <w:rPr>
                <w:rStyle w:val="Style"/>
                <w:rFonts w:cs="Arial" w:ascii="Arial" w:hAnsi="Arial"/>
                <w:lang w:val="zh-CN" w:eastAsia="zh-CN"/>
              </w:rPr>
              <w:tab/>
              <w:t>30</w:t>
            </w:r>
          </w:hyperlink>
        </w:p>
        <w:p>
          <w:pPr>
            <w:pStyle w:val="27"/>
            <w:rPr>
              <w:rFonts w:ascii="Arial" w:hAnsi="Arial" w:cs="Arial"/>
              <w:kern w:val="2"/>
              <w:sz w:val="21"/>
              <w:szCs w:val="22"/>
              <w:lang w:val="zh-CN" w:eastAsia="zh-CN"/>
            </w:rPr>
          </w:pPr>
          <w:hyperlink w:anchor="__RefHeading___Toc530042292">
            <w:r>
              <w:rPr>
                <w:rStyle w:val="Style"/>
                <w:rFonts w:ascii="Arial" w:hAnsi="Arial" w:cs="Arial" w:eastAsia="仿宋_GB2312;仿宋"/>
                <w:b/>
                <w:bCs/>
                <w:lang w:val="zh-CN" w:eastAsia="zh-CN"/>
              </w:rPr>
              <w:t>三、估价结果的确定</w:t>
            </w:r>
            <w:r>
              <w:rPr>
                <w:rStyle w:val="Style"/>
                <w:rFonts w:cs="Arial" w:ascii="Arial" w:hAnsi="Arial"/>
                <w:lang w:val="zh-CN" w:eastAsia="zh-CN"/>
              </w:rPr>
              <w:tab/>
              <w:t>69</w:t>
            </w:r>
          </w:hyperlink>
        </w:p>
        <w:p>
          <w:pPr>
            <w:pStyle w:val="12"/>
            <w:rPr>
              <w:rFonts w:ascii="Arial" w:hAnsi="Arial" w:eastAsia="宋体;SimSun" w:cs="Arial"/>
              <w:kern w:val="2"/>
              <w:sz w:val="21"/>
              <w:szCs w:val="22"/>
            </w:rPr>
          </w:pPr>
          <w:hyperlink w:anchor="__RefHeading___Toc530042315">
            <w:r>
              <w:rPr>
                <w:rStyle w:val="Style"/>
                <w:rFonts w:ascii="Arial" w:hAnsi="Arial" w:cs="Arial"/>
                <w:b/>
              </w:rPr>
              <w:t>第四部分</w:t>
            </w:r>
            <w:r>
              <w:rPr>
                <w:rStyle w:val="Style"/>
                <w:rFonts w:ascii="Arial" w:hAnsi="Arial" w:cs="Arial" w:eastAsia="Arial"/>
                <w:b/>
              </w:rPr>
              <w:t xml:space="preserve">  </w:t>
            </w:r>
            <w:r>
              <w:rPr>
                <w:rStyle w:val="Style"/>
                <w:rFonts w:ascii="Arial" w:hAnsi="Arial" w:cs="Arial"/>
                <w:b/>
              </w:rPr>
              <w:t>附</w:t>
            </w:r>
            <w:r>
              <w:rPr>
                <w:rStyle w:val="Style"/>
                <w:rFonts w:ascii="Arial" w:hAnsi="Arial" w:cs="Arial" w:eastAsia="Arial"/>
                <w:b/>
              </w:rPr>
              <w:t xml:space="preserve">  </w:t>
            </w:r>
            <w:r>
              <w:rPr>
                <w:rStyle w:val="Style"/>
                <w:rFonts w:ascii="Arial" w:hAnsi="Arial" w:cs="Arial"/>
                <w:b/>
              </w:rPr>
              <w:t>件</w:t>
            </w:r>
            <w:r>
              <w:rPr>
                <w:rStyle w:val="Style"/>
                <w:rFonts w:cs="Arial" w:ascii="Arial" w:hAnsi="Arial"/>
              </w:rPr>
              <w:tab/>
              <w:t>71</w:t>
            </w:r>
          </w:hyperlink>
          <w:r>
            <w:rPr>
              <w:rStyle w:val="Style"/>
              <w:rFonts w:ascii="Arial" w:hAnsi="Arial" w:cs="Arial"/>
            </w:rPr>
            <w:fldChar w:fldCharType="end"/>
          </w:r>
        </w:p>
      </w:sdtContent>
    </w:sdt>
    <w:p>
      <w:pPr>
        <w:sectPr>
          <w:headerReference w:type="default" r:id="rId44"/>
          <w:headerReference w:type="first" r:id="rId45"/>
          <w:footerReference w:type="default" r:id="rId46"/>
          <w:footerReference w:type="first" r:id="rId47"/>
          <w:type w:val="nextPage"/>
          <w:pgSz w:w="11906" w:h="16838"/>
          <w:pgMar w:left="1474" w:right="1134" w:header="1134" w:top="1843" w:footer="907" w:bottom="1134" w:gutter="0"/>
          <w:pgNumType w:start="0" w:fmt="decimal"/>
          <w:formProt w:val="false"/>
          <w:titlePg/>
          <w:textDirection w:val="lrTb"/>
          <w:docGrid w:type="default" w:linePitch="326" w:charSpace="0"/>
        </w:sectPr>
        <w:pStyle w:val="27"/>
        <w:numPr>
          <w:ilvl w:val="0"/>
          <w:numId w:val="0"/>
        </w:numPr>
        <w:ind w:left="480" w:hanging="0"/>
        <w:rPr>
          <w:rFonts w:ascii="Arial" w:hAnsi="Arial" w:eastAsia="楷体" w:cs="Arial"/>
          <w:kern w:val="2"/>
          <w:sz w:val="32"/>
          <w:szCs w:val="22"/>
        </w:rPr>
      </w:pPr>
      <w:r>
        <w:rPr>
          <w:rFonts w:eastAsia="楷体" w:cs="Arial" w:ascii="Arial" w:hAnsi="Arial"/>
          <w:kern w:val="2"/>
          <w:sz w:val="32"/>
          <w:szCs w:val="22"/>
        </w:rPr>
      </w:r>
    </w:p>
    <w:p>
      <w:pPr>
        <w:pStyle w:val="Normal"/>
        <w:spacing w:lineRule="auto" w:line="360"/>
        <w:jc w:val="center"/>
        <w:rPr>
          <w:rFonts w:ascii="Arial" w:hAnsi="Arial" w:cs="Arial"/>
          <w:sz w:val="32"/>
        </w:rPr>
      </w:pPr>
      <w:r>
        <w:rPr>
          <w:rFonts w:ascii="Arial" w:hAnsi="Arial" w:cs="Arial"/>
          <w:b/>
          <w:sz w:val="32"/>
        </w:rPr>
        <w:t>土</w:t>
      </w:r>
      <w:r>
        <w:rPr>
          <w:rFonts w:ascii="Arial" w:hAnsi="Arial" w:cs="Arial" w:eastAsia="Arial"/>
          <w:b/>
          <w:sz w:val="32"/>
        </w:rPr>
        <w:t xml:space="preserve"> </w:t>
      </w:r>
      <w:r>
        <w:rPr>
          <w:rFonts w:ascii="Arial" w:hAnsi="Arial" w:cs="Arial"/>
          <w:b/>
          <w:sz w:val="32"/>
        </w:rPr>
        <w:t>地</w:t>
      </w:r>
      <w:r>
        <w:rPr>
          <w:rFonts w:ascii="Arial" w:hAnsi="Arial" w:cs="Arial" w:eastAsia="Arial"/>
          <w:b/>
          <w:sz w:val="32"/>
        </w:rPr>
        <w:t xml:space="preserve"> </w:t>
      </w:r>
      <w:r>
        <w:rPr>
          <w:rFonts w:ascii="Arial" w:hAnsi="Arial" w:cs="Arial"/>
          <w:b/>
          <w:sz w:val="32"/>
        </w:rPr>
        <w:t>评</w:t>
      </w:r>
      <w:r>
        <w:rPr>
          <w:rFonts w:ascii="Arial" w:hAnsi="Arial" w:cs="Arial" w:eastAsia="Arial"/>
          <w:b/>
          <w:sz w:val="32"/>
        </w:rPr>
        <w:t xml:space="preserve"> </w:t>
      </w:r>
      <w:r>
        <w:rPr>
          <w:rFonts w:ascii="Arial" w:hAnsi="Arial" w:cs="Arial"/>
          <w:b/>
          <w:sz w:val="32"/>
        </w:rPr>
        <w:t>估</w:t>
      </w:r>
      <w:r>
        <w:rPr>
          <w:rFonts w:ascii="Arial" w:hAnsi="Arial" w:cs="Arial" w:eastAsia="Arial"/>
          <w:b/>
          <w:sz w:val="32"/>
        </w:rPr>
        <w:t xml:space="preserve"> </w:t>
      </w:r>
      <w:r>
        <w:rPr>
          <w:rFonts w:ascii="Arial" w:hAnsi="Arial" w:cs="Arial"/>
          <w:b/>
          <w:sz w:val="32"/>
        </w:rPr>
        <w:t>技</w:t>
      </w:r>
      <w:r>
        <w:rPr>
          <w:rFonts w:ascii="Arial" w:hAnsi="Arial" w:cs="Arial" w:eastAsia="Arial"/>
          <w:b/>
          <w:sz w:val="32"/>
        </w:rPr>
        <w:t xml:space="preserve"> </w:t>
      </w:r>
      <w:r>
        <w:rPr>
          <w:rFonts w:ascii="Arial" w:hAnsi="Arial" w:cs="Arial"/>
          <w:b/>
          <w:sz w:val="32"/>
        </w:rPr>
        <w:t>术</w:t>
      </w:r>
      <w:r>
        <w:rPr>
          <w:rFonts w:ascii="Arial" w:hAnsi="Arial" w:cs="Arial" w:eastAsia="Arial"/>
          <w:b/>
          <w:sz w:val="32"/>
        </w:rPr>
        <w:t xml:space="preserve"> </w:t>
      </w:r>
      <w:r>
        <w:rPr>
          <w:rFonts w:ascii="Arial" w:hAnsi="Arial" w:cs="Arial"/>
          <w:b/>
          <w:sz w:val="32"/>
        </w:rPr>
        <w:t>报</w:t>
      </w:r>
      <w:r>
        <w:rPr>
          <w:rFonts w:ascii="Arial" w:hAnsi="Arial" w:cs="Arial" w:eastAsia="Arial"/>
          <w:b/>
          <w:sz w:val="32"/>
        </w:rPr>
        <w:t xml:space="preserve"> </w:t>
      </w:r>
      <w:r>
        <w:rPr>
          <w:rFonts w:ascii="Arial" w:hAnsi="Arial" w:cs="Arial"/>
          <w:b/>
          <w:sz w:val="32"/>
        </w:rPr>
        <w:t>告</w:t>
      </w:r>
    </w:p>
    <w:p>
      <w:pPr>
        <w:pStyle w:val="Normal"/>
        <w:spacing w:lineRule="auto" w:line="360"/>
        <w:jc w:val="center"/>
        <w:rPr>
          <w:rFonts w:ascii="Arial" w:hAnsi="Arial" w:cs="Arial"/>
          <w:sz w:val="32"/>
        </w:rPr>
      </w:pPr>
      <w:r>
        <w:rPr>
          <w:rFonts w:cs="Arial" w:ascii="Arial" w:hAnsi="Arial"/>
          <w:sz w:val="32"/>
        </w:rPr>
      </w:r>
    </w:p>
    <w:p>
      <w:pPr>
        <w:pStyle w:val="Normal"/>
        <w:numPr>
          <w:ilvl w:val="0"/>
          <w:numId w:val="0"/>
        </w:numPr>
        <w:spacing w:lineRule="auto" w:line="360"/>
        <w:jc w:val="center"/>
        <w:outlineLvl w:val="0"/>
        <w:rPr>
          <w:rFonts w:ascii="Arial" w:hAnsi="Arial" w:cs="Arial"/>
          <w:sz w:val="32"/>
        </w:rPr>
      </w:pPr>
      <w:bookmarkStart w:id="28" w:name="__RefHeading___Toc530042239"/>
      <w:bookmarkEnd w:id="28"/>
      <w:r>
        <w:rPr>
          <w:rFonts w:ascii="Arial" w:hAnsi="Arial" w:cs="Arial"/>
          <w:b/>
          <w:sz w:val="32"/>
        </w:rPr>
        <w:t>第一部分</w:t>
      </w:r>
      <w:r>
        <w:rPr>
          <w:rFonts w:ascii="Arial" w:hAnsi="Arial" w:cs="Arial" w:eastAsia="Arial"/>
          <w:b/>
          <w:sz w:val="32"/>
        </w:rPr>
        <w:t xml:space="preserve">  </w:t>
      </w:r>
      <w:r>
        <w:rPr>
          <w:rFonts w:ascii="Arial" w:hAnsi="Arial" w:cs="Arial"/>
          <w:b/>
          <w:sz w:val="32"/>
        </w:rPr>
        <w:t>总</w:t>
      </w:r>
      <w:r>
        <w:rPr>
          <w:rFonts w:ascii="Arial" w:hAnsi="Arial" w:cs="Arial" w:eastAsia="Arial"/>
          <w:b/>
          <w:sz w:val="32"/>
        </w:rPr>
        <w:t xml:space="preserve">  </w:t>
      </w:r>
      <w:r>
        <w:rPr>
          <w:rFonts w:ascii="Arial" w:hAnsi="Arial" w:cs="Arial"/>
          <w:b/>
          <w:sz w:val="32"/>
        </w:rPr>
        <w:t>述</w:t>
      </w:r>
    </w:p>
    <w:p>
      <w:pPr>
        <w:pStyle w:val="Normal"/>
        <w:spacing w:lineRule="auto" w:line="360"/>
        <w:jc w:val="center"/>
        <w:rPr>
          <w:rFonts w:ascii="Arial" w:hAnsi="Arial" w:eastAsia="仿宋_GB2312;仿宋" w:cs="Arial"/>
          <w:sz w:val="28"/>
        </w:rPr>
      </w:pPr>
      <w:r>
        <w:rPr>
          <w:rFonts w:eastAsia="仿宋_GB2312;仿宋" w:cs="Arial" w:ascii="Arial" w:hAnsi="Arial"/>
          <w:sz w:val="28"/>
        </w:rPr>
      </w:r>
    </w:p>
    <w:p>
      <w:pPr>
        <w:pStyle w:val="Normal"/>
        <w:numPr>
          <w:ilvl w:val="0"/>
          <w:numId w:val="0"/>
        </w:numPr>
        <w:spacing w:lineRule="auto" w:line="360"/>
        <w:jc w:val="both"/>
        <w:outlineLvl w:val="1"/>
        <w:rPr/>
      </w:pPr>
      <w:bookmarkStart w:id="29" w:name="__RefHeading___Toc530042240"/>
      <w:bookmarkEnd w:id="29"/>
      <w:r>
        <w:rPr>
          <w:rFonts w:ascii="Arial" w:hAnsi="Arial" w:cs="Arial" w:eastAsia="仿宋_GB2312;仿宋"/>
          <w:b/>
          <w:bCs/>
          <w:sz w:val="28"/>
        </w:rPr>
        <w:t>一、估价项目名称</w:t>
      </w:r>
    </w:p>
    <w:p>
      <w:pPr>
        <w:pStyle w:val="Normal"/>
        <w:spacing w:lineRule="auto" w:line="360"/>
        <w:ind w:firstLine="557"/>
        <w:jc w:val="both"/>
        <w:rPr>
          <w:rFonts w:ascii="Arial" w:hAnsi="Arial" w:eastAsia="仿宋_GB2312;仿宋" w:cs="Arial"/>
          <w:sz w:val="28"/>
        </w:rPr>
      </w:pPr>
      <w:r>
        <w:rPr>
          <w:rFonts w:ascii="Arial" w:hAnsi="Arial" w:cs="Arial" w:eastAsia="仿宋_GB2312;仿宋"/>
          <w:sz w:val="28"/>
        </w:rPr>
        <w:t>北京市海淀区建材城中路</w:t>
      </w:r>
      <w:r>
        <w:rPr>
          <w:rFonts w:eastAsia="仿宋_GB2312;仿宋" w:cs="Arial" w:ascii="Arial" w:hAnsi="Arial"/>
          <w:sz w:val="28"/>
        </w:rPr>
        <w:t>2</w:t>
      </w:r>
      <w:r>
        <w:rPr>
          <w:rFonts w:ascii="Arial" w:hAnsi="Arial" w:cs="Arial" w:eastAsia="仿宋_GB2312;仿宋"/>
          <w:sz w:val="28"/>
        </w:rPr>
        <w:t>号国有建设用地使用权收购补偿价格评估</w:t>
      </w:r>
    </w:p>
    <w:p>
      <w:pPr>
        <w:pStyle w:val="Normal"/>
        <w:spacing w:lineRule="auto" w:line="360"/>
        <w:jc w:val="both"/>
        <w:rPr>
          <w:rFonts w:ascii="Arial" w:hAnsi="Arial" w:eastAsia="仿宋_GB2312;仿宋" w:cs="Arial"/>
          <w:b/>
          <w:b/>
          <w:bCs/>
          <w:sz w:val="28"/>
        </w:rPr>
      </w:pPr>
      <w:r>
        <w:rPr>
          <w:rFonts w:eastAsia="仿宋_GB2312;仿宋" w:cs="Arial" w:ascii="Arial" w:hAnsi="Arial"/>
          <w:b/>
          <w:bCs/>
          <w:sz w:val="28"/>
        </w:rPr>
      </w:r>
    </w:p>
    <w:p>
      <w:pPr>
        <w:pStyle w:val="Normal"/>
        <w:numPr>
          <w:ilvl w:val="0"/>
          <w:numId w:val="0"/>
        </w:numPr>
        <w:spacing w:lineRule="auto" w:line="360"/>
        <w:jc w:val="both"/>
        <w:outlineLvl w:val="1"/>
        <w:rPr>
          <w:rFonts w:ascii="Arial" w:hAnsi="Arial" w:eastAsia="仿宋_GB2312;仿宋" w:cs="Arial"/>
          <w:b/>
          <w:b/>
          <w:bCs/>
          <w:sz w:val="28"/>
        </w:rPr>
      </w:pPr>
      <w:bookmarkStart w:id="30" w:name="__RefHeading___Toc530042241"/>
      <w:r>
        <w:rPr>
          <w:rFonts w:ascii="Arial" w:hAnsi="Arial" w:cs="Arial" w:eastAsia="仿宋_GB2312;仿宋"/>
          <w:b/>
          <w:bCs/>
          <w:sz w:val="28"/>
        </w:rPr>
        <w:t>二、</w:t>
      </w:r>
      <w:bookmarkEnd w:id="30"/>
      <w:r>
        <w:rPr>
          <w:rFonts w:ascii="Arial" w:hAnsi="Arial" w:cs="Arial" w:eastAsia="仿宋_GB2312;仿宋"/>
          <w:b/>
          <w:bCs/>
          <w:sz w:val="28"/>
        </w:rPr>
        <w:t>委托估价方</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委托估价方：北京市海淀区规划和自然资源综合事务中心</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联系人：</w:t>
      </w:r>
      <w:r>
        <w:rPr>
          <w:rFonts w:ascii="Arial" w:hAnsi="Arial" w:cs="Arial" w:eastAsia="仿宋_GB2312;仿宋"/>
          <w:sz w:val="28"/>
        </w:rPr>
        <w:t>刘争艳</w:t>
      </w:r>
    </w:p>
    <w:p>
      <w:pPr>
        <w:pStyle w:val="Normal"/>
        <w:spacing w:lineRule="auto" w:line="360"/>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bookmarkStart w:id="31" w:name="__RefHeading___Toc530042242"/>
      <w:bookmarkEnd w:id="31"/>
      <w:r>
        <w:rPr>
          <w:rFonts w:ascii="Arial" w:hAnsi="Arial" w:cs="Arial" w:eastAsia="仿宋_GB2312;仿宋"/>
          <w:b/>
          <w:sz w:val="28"/>
        </w:rPr>
        <w:t>三、受托估价方</w:t>
      </w:r>
    </w:p>
    <w:p>
      <w:pPr>
        <w:pStyle w:val="Normal"/>
        <w:spacing w:lineRule="auto" w:line="360"/>
        <w:ind w:firstLine="570"/>
        <w:jc w:val="both"/>
        <w:rPr>
          <w:rFonts w:ascii="Arial" w:hAnsi="Arial" w:eastAsia="仿宋_GB2312;仿宋" w:cs="Arial"/>
          <w:sz w:val="28"/>
        </w:rPr>
      </w:pPr>
      <w:r>
        <w:rPr>
          <w:rFonts w:ascii="Arial" w:hAnsi="Arial" w:cs="Arial" w:eastAsia="仿宋_GB2312;仿宋"/>
          <w:sz w:val="28"/>
        </w:rPr>
        <w:t>受托机构：北京康正宏基房地产评估有限公司</w:t>
      </w:r>
    </w:p>
    <w:p>
      <w:pPr>
        <w:pStyle w:val="Normal"/>
        <w:spacing w:lineRule="auto" w:line="360"/>
        <w:ind w:left="1960" w:hanging="1960"/>
        <w:rPr>
          <w:rFonts w:ascii="Arial" w:hAnsi="Arial" w:cs="Arial"/>
          <w:sz w:val="28"/>
        </w:rPr>
      </w:pPr>
      <w:r>
        <w:rPr>
          <w:rFonts w:ascii="Arial" w:hAnsi="Arial" w:cs="Arial" w:eastAsia="Arial"/>
          <w:sz w:val="28"/>
        </w:rPr>
        <w:t xml:space="preserve">    </w:t>
      </w:r>
      <w:r>
        <w:rPr>
          <w:rFonts w:ascii="Arial" w:hAnsi="Arial" w:cs="Arial" w:eastAsia="仿宋_GB2312;仿宋"/>
          <w:sz w:val="28"/>
        </w:rPr>
        <w:t>地</w:t>
      </w:r>
      <w:r>
        <w:rPr>
          <w:rFonts w:ascii="Arial" w:hAnsi="Arial" w:cs="Arial" w:eastAsia="Arial"/>
          <w:sz w:val="28"/>
        </w:rPr>
        <w:t xml:space="preserve">    </w:t>
      </w:r>
      <w:r>
        <w:rPr>
          <w:rFonts w:ascii="Arial" w:hAnsi="Arial" w:cs="Arial" w:eastAsia="仿宋_GB2312;仿宋"/>
          <w:sz w:val="28"/>
        </w:rPr>
        <w:t>址：北京市朝阳区裕民路</w:t>
      </w:r>
      <w:r>
        <w:rPr>
          <w:rFonts w:eastAsia="仿宋_GB2312;仿宋" w:cs="Arial" w:ascii="Arial" w:hAnsi="Arial"/>
          <w:sz w:val="28"/>
        </w:rPr>
        <w:t>12</w:t>
      </w:r>
      <w:r>
        <w:rPr>
          <w:rFonts w:ascii="Arial" w:hAnsi="Arial" w:cs="Arial" w:eastAsia="仿宋_GB2312;仿宋"/>
          <w:sz w:val="28"/>
        </w:rPr>
        <w:t>号中国国际科技会展中心</w:t>
      </w:r>
      <w:r>
        <w:rPr>
          <w:rFonts w:eastAsia="仿宋_GB2312;仿宋" w:cs="Arial" w:ascii="Arial" w:hAnsi="Arial"/>
          <w:sz w:val="28"/>
        </w:rPr>
        <w:t xml:space="preserve">B </w:t>
      </w:r>
      <w:r>
        <w:rPr>
          <w:rFonts w:ascii="Arial" w:hAnsi="Arial" w:cs="Arial" w:eastAsia="仿宋_GB2312;仿宋"/>
          <w:sz w:val="28"/>
        </w:rPr>
        <w:t>座</w:t>
      </w:r>
      <w:r>
        <w:rPr>
          <w:rFonts w:eastAsia="仿宋_GB2312;仿宋" w:cs="Arial" w:ascii="Arial" w:hAnsi="Arial"/>
          <w:sz w:val="28"/>
        </w:rPr>
        <w:t>10</w:t>
      </w:r>
      <w:r>
        <w:rPr>
          <w:rFonts w:ascii="Arial" w:hAnsi="Arial" w:cs="Arial" w:eastAsia="仿宋_GB2312;仿宋"/>
          <w:sz w:val="28"/>
        </w:rPr>
        <w:t>层</w:t>
      </w:r>
      <w:r>
        <w:rPr>
          <w:rFonts w:eastAsia="仿宋_GB2312;仿宋" w:cs="Arial" w:ascii="Arial" w:hAnsi="Arial"/>
          <w:sz w:val="28"/>
        </w:rPr>
        <w:t>1003</w:t>
      </w:r>
      <w:r>
        <w:rPr>
          <w:rFonts w:ascii="Arial" w:hAnsi="Arial" w:cs="Arial" w:eastAsia="仿宋_GB2312;仿宋"/>
          <w:sz w:val="28"/>
        </w:rPr>
        <w:t>室</w:t>
      </w:r>
    </w:p>
    <w:p>
      <w:pPr>
        <w:pStyle w:val="Normal"/>
        <w:spacing w:lineRule="auto" w:line="360"/>
        <w:rPr>
          <w:rFonts w:ascii="Arial" w:hAnsi="Arial" w:cs="Arial"/>
          <w:sz w:val="28"/>
        </w:rPr>
      </w:pPr>
      <w:r>
        <w:rPr>
          <w:rFonts w:ascii="Arial" w:hAnsi="Arial" w:cs="Arial" w:eastAsia="Arial"/>
          <w:sz w:val="28"/>
        </w:rPr>
        <w:t xml:space="preserve">    </w:t>
      </w:r>
      <w:r>
        <w:rPr>
          <w:rFonts w:ascii="Arial" w:hAnsi="Arial" w:cs="Arial" w:eastAsia="仿宋_GB2312;仿宋"/>
          <w:sz w:val="28"/>
        </w:rPr>
        <w:t>资质级别：在全国范围内从事土地估价业务</w:t>
      </w:r>
    </w:p>
    <w:p>
      <w:pPr>
        <w:pStyle w:val="Normal"/>
        <w:spacing w:lineRule="auto" w:line="360"/>
        <w:rPr>
          <w:rFonts w:ascii="Arial" w:hAnsi="Arial" w:eastAsia="仿宋_GB2312;仿宋" w:cs="Arial"/>
          <w:sz w:val="28"/>
        </w:rPr>
      </w:pPr>
      <w:r>
        <w:rPr>
          <w:rFonts w:ascii="Arial" w:hAnsi="Arial" w:cs="Arial" w:eastAsia="Arial"/>
          <w:sz w:val="28"/>
        </w:rPr>
        <w:t xml:space="preserve">    </w:t>
      </w:r>
      <w:r>
        <w:rPr>
          <w:rFonts w:ascii="Arial" w:hAnsi="Arial" w:cs="Arial" w:eastAsia="仿宋_GB2312;仿宋"/>
          <w:sz w:val="28"/>
        </w:rPr>
        <w:t>备案编号</w:t>
      </w:r>
      <w:r>
        <w:rPr>
          <w:rFonts w:ascii="Arial" w:hAnsi="Arial" w:cs="Arial" w:eastAsia="仿宋_GB2312;仿宋"/>
          <w:sz w:val="28"/>
        </w:rPr>
        <w:t>：</w:t>
      </w:r>
      <w:r>
        <w:rPr>
          <w:rFonts w:eastAsia="仿宋_GB2312;仿宋" w:cs="Arial" w:ascii="Arial" w:hAnsi="Arial"/>
          <w:sz w:val="28"/>
        </w:rPr>
        <w:t>2</w:t>
      </w:r>
      <w:r>
        <w:rPr>
          <w:rFonts w:eastAsia="仿宋_GB2312;仿宋" w:cs="Arial" w:ascii="Arial" w:hAnsi="Arial"/>
          <w:sz w:val="28"/>
        </w:rPr>
        <w:t>020110057</w:t>
      </w:r>
    </w:p>
    <w:p>
      <w:pPr>
        <w:pStyle w:val="Normal"/>
        <w:spacing w:lineRule="auto" w:line="360"/>
        <w:rPr>
          <w:rFonts w:ascii="Arial" w:hAnsi="Arial" w:cs="Arial"/>
          <w:sz w:val="28"/>
        </w:rPr>
      </w:pPr>
      <w:r>
        <w:rPr>
          <w:rFonts w:ascii="Arial" w:hAnsi="Arial" w:cs="Arial" w:eastAsia="Arial"/>
          <w:sz w:val="28"/>
        </w:rPr>
        <w:t xml:space="preserve">    </w:t>
      </w:r>
      <w:r>
        <w:rPr>
          <w:rFonts w:ascii="Arial" w:hAnsi="Arial" w:cs="Arial" w:eastAsia="仿宋_GB2312;仿宋"/>
          <w:sz w:val="28"/>
        </w:rPr>
        <w:t>法人代表：齐</w:t>
      </w:r>
      <w:r>
        <w:rPr>
          <w:rFonts w:ascii="Arial" w:hAnsi="Arial" w:cs="Arial" w:eastAsia="Arial"/>
          <w:sz w:val="28"/>
        </w:rPr>
        <w:t xml:space="preserve">  </w:t>
      </w:r>
      <w:r>
        <w:rPr>
          <w:rFonts w:ascii="Arial" w:hAnsi="Arial" w:cs="Arial" w:eastAsia="仿宋_GB2312;仿宋"/>
          <w:sz w:val="28"/>
        </w:rPr>
        <w:t>宏</w:t>
      </w:r>
    </w:p>
    <w:p>
      <w:pPr>
        <w:pStyle w:val="Normal"/>
        <w:spacing w:lineRule="auto" w:line="360"/>
        <w:rPr>
          <w:rFonts w:ascii="Arial" w:hAnsi="Arial" w:eastAsia="仿宋_GB2312;仿宋" w:cs="Arial"/>
          <w:sz w:val="28"/>
        </w:rPr>
      </w:pPr>
      <w:r>
        <w:rPr>
          <w:rFonts w:ascii="Arial" w:hAnsi="Arial" w:cs="Arial" w:eastAsia="Arial"/>
          <w:sz w:val="28"/>
        </w:rPr>
        <w:t xml:space="preserve">    </w:t>
      </w:r>
      <w:r>
        <w:rPr>
          <w:rFonts w:ascii="Arial" w:hAnsi="Arial" w:cs="Arial" w:eastAsia="仿宋_GB2312;仿宋"/>
          <w:spacing w:val="38"/>
          <w:sz w:val="28"/>
        </w:rPr>
        <w:t>联系人：</w:t>
      </w:r>
      <w:r>
        <w:rPr>
          <w:rFonts w:ascii="Arial" w:hAnsi="Arial" w:cs="Arial" w:eastAsia="仿宋_GB2312;仿宋"/>
          <w:sz w:val="28"/>
        </w:rPr>
        <w:t>常</w:t>
      </w:r>
      <w:r>
        <w:rPr>
          <w:rFonts w:ascii="Arial" w:hAnsi="Arial" w:cs="Arial" w:eastAsia="Arial"/>
          <w:sz w:val="28"/>
        </w:rPr>
        <w:t xml:space="preserve">  </w:t>
      </w:r>
      <w:r>
        <w:rPr>
          <w:rFonts w:ascii="Arial" w:hAnsi="Arial" w:cs="Arial" w:eastAsia="仿宋_GB2312;仿宋"/>
          <w:sz w:val="28"/>
        </w:rPr>
        <w:t>畅</w:t>
      </w:r>
    </w:p>
    <w:p>
      <w:pPr>
        <w:pStyle w:val="Normal"/>
        <w:spacing w:lineRule="auto" w:line="360"/>
        <w:ind w:firstLine="600"/>
        <w:jc w:val="both"/>
        <w:rPr>
          <w:rFonts w:ascii="Arial" w:hAnsi="Arial" w:eastAsia="仿宋_GB2312;仿宋" w:cs="Arial"/>
          <w:sz w:val="28"/>
        </w:rPr>
      </w:pPr>
      <w:r>
        <w:rPr>
          <w:rFonts w:ascii="Arial" w:hAnsi="Arial" w:cs="Arial" w:eastAsia="仿宋_GB2312;仿宋"/>
          <w:sz w:val="28"/>
        </w:rPr>
        <w:t>联系电话：</w:t>
      </w:r>
      <w:r>
        <w:rPr>
          <w:rFonts w:eastAsia="仿宋_GB2312;仿宋" w:cs="Arial" w:ascii="Arial" w:hAnsi="Arial"/>
          <w:sz w:val="28"/>
        </w:rPr>
        <w:t>010-82253558-</w:t>
      </w:r>
      <w:r>
        <w:rPr>
          <w:rFonts w:eastAsia="仿宋_GB2312;仿宋" w:cs="Arial" w:ascii="Arial" w:hAnsi="Arial"/>
          <w:sz w:val="28"/>
        </w:rPr>
        <w:t>237</w:t>
      </w:r>
    </w:p>
    <w:p>
      <w:pPr>
        <w:pStyle w:val="Normal"/>
        <w:spacing w:lineRule="auto" w:line="360"/>
        <w:ind w:firstLine="600"/>
        <w:jc w:val="both"/>
        <w:rPr>
          <w:rFonts w:ascii="Arial" w:hAnsi="Arial" w:eastAsia="仿宋_GB2312;仿宋" w:cs="Arial"/>
          <w:sz w:val="28"/>
        </w:rPr>
      </w:pPr>
      <w:r>
        <w:rPr>
          <w:rFonts w:eastAsia="仿宋_GB2312;仿宋" w:cs="Arial" w:ascii="Arial" w:hAnsi="Arial"/>
          <w:sz w:val="28"/>
        </w:rPr>
      </w:r>
    </w:p>
    <w:p>
      <w:pPr>
        <w:pStyle w:val="Normal"/>
        <w:numPr>
          <w:ilvl w:val="0"/>
          <w:numId w:val="0"/>
        </w:numPr>
        <w:spacing w:lineRule="auto" w:line="360"/>
        <w:outlineLvl w:val="1"/>
        <w:rPr>
          <w:rFonts w:ascii="Arial" w:hAnsi="Arial" w:eastAsia="仿宋_GB2312;仿宋" w:cs="Arial"/>
          <w:b/>
          <w:b/>
          <w:sz w:val="28"/>
        </w:rPr>
      </w:pPr>
      <w:bookmarkStart w:id="32" w:name="__RefHeading___Toc530042243"/>
      <w:bookmarkEnd w:id="32"/>
      <w:r>
        <w:rPr>
          <w:rFonts w:ascii="Arial" w:hAnsi="Arial" w:cs="Arial" w:eastAsia="仿宋_GB2312;仿宋"/>
          <w:b/>
          <w:sz w:val="28"/>
        </w:rPr>
        <w:t>四、估价目的</w:t>
      </w:r>
    </w:p>
    <w:p>
      <w:pPr>
        <w:pStyle w:val="Normal"/>
        <w:spacing w:lineRule="auto" w:line="360"/>
        <w:ind w:firstLine="557"/>
        <w:rPr>
          <w:rFonts w:ascii="Arial" w:hAnsi="Arial" w:eastAsia="仿宋_GB2312;仿宋" w:cs="Arial"/>
          <w:sz w:val="28"/>
        </w:rPr>
      </w:pPr>
      <w:r>
        <w:rPr>
          <w:rFonts w:ascii="Arial" w:hAnsi="Arial" w:cs="Arial" w:eastAsia="仿宋_GB2312;仿宋"/>
          <w:sz w:val="28"/>
        </w:rPr>
        <w:t>本报告估价目的是</w:t>
      </w:r>
      <w:r>
        <w:rPr>
          <w:rFonts w:ascii="Arial" w:hAnsi="Arial" w:cs="Arial" w:eastAsia="仿宋_GB2312;仿宋"/>
          <w:sz w:val="28"/>
        </w:rPr>
        <w:t>为北京市海淀区规划和自然资源综合事务中心收购的国有建设用地使用权的补偿提供依据，评估被收购国有建设用地使用权的收购补偿价格</w:t>
      </w:r>
      <w:r>
        <w:rPr>
          <w:rFonts w:ascii="Arial" w:hAnsi="Arial" w:cs="Arial" w:eastAsia="仿宋_GB2312;仿宋"/>
          <w:sz w:val="28"/>
        </w:rPr>
        <w:t>。</w:t>
      </w:r>
    </w:p>
    <w:p>
      <w:pPr>
        <w:pStyle w:val="Normal"/>
        <w:spacing w:lineRule="auto" w:line="360"/>
        <w:ind w:firstLine="557"/>
        <w:rPr>
          <w:rFonts w:ascii="Arial" w:hAnsi="Arial" w:eastAsia="仿宋_GB2312;仿宋" w:cs="Arial"/>
          <w:sz w:val="28"/>
        </w:rPr>
      </w:pPr>
      <w:r>
        <w:rPr>
          <w:rFonts w:eastAsia="仿宋_GB2312;仿宋" w:cs="Arial" w:ascii="Arial" w:hAnsi="Arial"/>
          <w:sz w:val="28"/>
        </w:rPr>
      </w:r>
    </w:p>
    <w:p>
      <w:pPr>
        <w:pStyle w:val="Normal"/>
        <w:numPr>
          <w:ilvl w:val="0"/>
          <w:numId w:val="0"/>
        </w:numPr>
        <w:spacing w:lineRule="auto" w:line="360"/>
        <w:outlineLvl w:val="1"/>
        <w:rPr>
          <w:rFonts w:ascii="Arial" w:hAnsi="Arial" w:eastAsia="仿宋_GB2312;仿宋" w:cs="Arial"/>
          <w:b/>
          <w:b/>
          <w:sz w:val="28"/>
        </w:rPr>
      </w:pPr>
      <w:bookmarkStart w:id="33" w:name="__RefHeading___Toc530042244"/>
      <w:bookmarkEnd w:id="33"/>
      <w:r>
        <w:rPr>
          <w:rFonts w:ascii="Arial" w:hAnsi="Arial" w:cs="Arial" w:eastAsia="仿宋_GB2312;仿宋"/>
          <w:b/>
          <w:sz w:val="28"/>
        </w:rPr>
        <w:t>五、估价依据</w:t>
      </w:r>
    </w:p>
    <w:p>
      <w:pPr>
        <w:pStyle w:val="Normal"/>
        <w:spacing w:lineRule="auto" w:line="360"/>
        <w:jc w:val="both"/>
        <w:rPr/>
      </w:pPr>
      <w:r>
        <w:rPr>
          <w:rFonts w:ascii="Arial" w:hAnsi="Arial" w:cs="Arial" w:eastAsia="仿宋_GB2312;仿宋"/>
          <w:sz w:val="28"/>
        </w:rPr>
        <w:t>（一）有关的法律、法规、行政规章及估价对象所在省市的有关法律法规和政策</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w:t>
      </w:r>
      <w:r>
        <w:rPr>
          <w:rFonts w:ascii="Arial" w:hAnsi="Arial" w:cs="Arial" w:eastAsia="仿宋_GB2312;仿宋"/>
          <w:sz w:val="28"/>
        </w:rPr>
        <w:t>《中华人民共和国土地管理法》（</w:t>
      </w:r>
      <w:r>
        <w:rPr>
          <w:rFonts w:eastAsia="仿宋_GB2312;仿宋" w:cs="Arial" w:ascii="Arial" w:hAnsi="Arial"/>
          <w:sz w:val="28"/>
        </w:rPr>
        <w:t>1986</w:t>
      </w:r>
      <w:r>
        <w:rPr>
          <w:rFonts w:ascii="Arial" w:hAnsi="Arial" w:cs="Arial" w:eastAsia="仿宋_GB2312;仿宋"/>
          <w:sz w:val="28"/>
        </w:rPr>
        <w:t>年</w:t>
      </w:r>
      <w:r>
        <w:rPr>
          <w:rFonts w:eastAsia="仿宋_GB2312;仿宋" w:cs="Arial" w:ascii="Arial" w:hAnsi="Arial"/>
          <w:sz w:val="28"/>
        </w:rPr>
        <w:t>6</w:t>
      </w:r>
      <w:r>
        <w:rPr>
          <w:rFonts w:ascii="Arial" w:hAnsi="Arial" w:cs="Arial" w:eastAsia="仿宋_GB2312;仿宋"/>
          <w:sz w:val="28"/>
        </w:rPr>
        <w:t>月</w:t>
      </w:r>
      <w:r>
        <w:rPr>
          <w:rFonts w:eastAsia="仿宋_GB2312;仿宋" w:cs="Arial" w:ascii="Arial" w:hAnsi="Arial"/>
          <w:sz w:val="28"/>
        </w:rPr>
        <w:t>25</w:t>
      </w:r>
      <w:r>
        <w:rPr>
          <w:rFonts w:ascii="Arial" w:hAnsi="Arial" w:cs="Arial" w:eastAsia="仿宋_GB2312;仿宋"/>
          <w:sz w:val="28"/>
        </w:rPr>
        <w:t>日第六届全国人民代表大会常务委员会第十六次会议通过，中华人民共和国主席令第</w:t>
      </w:r>
      <w:r>
        <w:rPr>
          <w:rFonts w:eastAsia="仿宋_GB2312;仿宋" w:cs="Arial" w:ascii="Arial" w:hAnsi="Arial"/>
          <w:sz w:val="28"/>
        </w:rPr>
        <w:t>41</w:t>
      </w:r>
      <w:r>
        <w:rPr>
          <w:rFonts w:ascii="Arial" w:hAnsi="Arial" w:cs="Arial" w:eastAsia="仿宋_GB2312;仿宋"/>
          <w:sz w:val="28"/>
        </w:rPr>
        <w:t>号公布，</w:t>
      </w:r>
      <w:r>
        <w:rPr>
          <w:rFonts w:eastAsia="仿宋_GB2312;仿宋" w:cs="Arial" w:ascii="Arial" w:hAnsi="Arial"/>
          <w:sz w:val="28"/>
        </w:rPr>
        <w:t>1987</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r>
        <w:rPr>
          <w:rFonts w:eastAsia="仿宋_GB2312;仿宋" w:cs="Arial" w:ascii="Arial" w:hAnsi="Arial"/>
          <w:sz w:val="28"/>
        </w:rPr>
        <w:t>1988</w:t>
      </w:r>
      <w:r>
        <w:rPr>
          <w:rFonts w:ascii="Arial" w:hAnsi="Arial" w:cs="Arial" w:eastAsia="仿宋_GB2312;仿宋"/>
          <w:sz w:val="28"/>
        </w:rPr>
        <w:t>年</w:t>
      </w:r>
      <w:r>
        <w:rPr>
          <w:rFonts w:eastAsia="仿宋_GB2312;仿宋" w:cs="Arial" w:ascii="Arial" w:hAnsi="Arial"/>
          <w:sz w:val="28"/>
        </w:rPr>
        <w:t>12</w:t>
      </w:r>
      <w:r>
        <w:rPr>
          <w:rFonts w:ascii="Arial" w:hAnsi="Arial" w:cs="Arial" w:eastAsia="仿宋_GB2312;仿宋"/>
          <w:sz w:val="28"/>
        </w:rPr>
        <w:t>月</w:t>
      </w:r>
      <w:r>
        <w:rPr>
          <w:rFonts w:eastAsia="仿宋_GB2312;仿宋" w:cs="Arial" w:ascii="Arial" w:hAnsi="Arial"/>
          <w:sz w:val="28"/>
        </w:rPr>
        <w:t>29</w:t>
      </w:r>
      <w:r>
        <w:rPr>
          <w:rFonts w:ascii="Arial" w:hAnsi="Arial" w:cs="Arial" w:eastAsia="仿宋_GB2312;仿宋"/>
          <w:sz w:val="28"/>
        </w:rPr>
        <w:t>日第七届全国人民代表大会常务委员会第五次会议第一次修正通过，自</w:t>
      </w:r>
      <w:r>
        <w:rPr>
          <w:rFonts w:eastAsia="仿宋_GB2312;仿宋" w:cs="Arial" w:ascii="Arial" w:hAnsi="Arial"/>
          <w:sz w:val="28"/>
        </w:rPr>
        <w:t>1988</w:t>
      </w:r>
      <w:r>
        <w:rPr>
          <w:rFonts w:ascii="Arial" w:hAnsi="Arial" w:cs="Arial" w:eastAsia="仿宋_GB2312;仿宋"/>
          <w:sz w:val="28"/>
        </w:rPr>
        <w:t>年</w:t>
      </w:r>
      <w:r>
        <w:rPr>
          <w:rFonts w:eastAsia="仿宋_GB2312;仿宋" w:cs="Arial" w:ascii="Arial" w:hAnsi="Arial"/>
          <w:sz w:val="28"/>
        </w:rPr>
        <w:t>12</w:t>
      </w:r>
      <w:r>
        <w:rPr>
          <w:rFonts w:ascii="Arial" w:hAnsi="Arial" w:cs="Arial" w:eastAsia="仿宋_GB2312;仿宋"/>
          <w:sz w:val="28"/>
        </w:rPr>
        <w:t>月</w:t>
      </w:r>
      <w:r>
        <w:rPr>
          <w:rFonts w:eastAsia="仿宋_GB2312;仿宋" w:cs="Arial" w:ascii="Arial" w:hAnsi="Arial"/>
          <w:sz w:val="28"/>
        </w:rPr>
        <w:t>29</w:t>
      </w:r>
      <w:r>
        <w:rPr>
          <w:rFonts w:ascii="Arial" w:hAnsi="Arial" w:cs="Arial" w:eastAsia="仿宋_GB2312;仿宋"/>
          <w:sz w:val="28"/>
        </w:rPr>
        <w:t>日起施行；</w:t>
      </w:r>
      <w:r>
        <w:rPr>
          <w:rFonts w:eastAsia="仿宋_GB2312;仿宋" w:cs="Arial" w:ascii="Arial" w:hAnsi="Arial"/>
          <w:sz w:val="28"/>
        </w:rPr>
        <w:t>1998</w:t>
      </w:r>
      <w:r>
        <w:rPr>
          <w:rFonts w:ascii="Arial" w:hAnsi="Arial" w:cs="Arial" w:eastAsia="仿宋_GB2312;仿宋"/>
          <w:sz w:val="28"/>
        </w:rPr>
        <w:t>年</w:t>
      </w:r>
      <w:r>
        <w:rPr>
          <w:rFonts w:eastAsia="仿宋_GB2312;仿宋" w:cs="Arial" w:ascii="Arial" w:hAnsi="Arial"/>
          <w:sz w:val="28"/>
        </w:rPr>
        <w:t>8</w:t>
      </w:r>
      <w:r>
        <w:rPr>
          <w:rFonts w:ascii="Arial" w:hAnsi="Arial" w:cs="Arial" w:eastAsia="仿宋_GB2312;仿宋"/>
          <w:sz w:val="28"/>
        </w:rPr>
        <w:t>月</w:t>
      </w:r>
      <w:r>
        <w:rPr>
          <w:rFonts w:eastAsia="仿宋_GB2312;仿宋" w:cs="Arial" w:ascii="Arial" w:hAnsi="Arial"/>
          <w:sz w:val="28"/>
        </w:rPr>
        <w:t>29</w:t>
      </w:r>
      <w:r>
        <w:rPr>
          <w:rFonts w:ascii="Arial" w:hAnsi="Arial" w:cs="Arial" w:eastAsia="仿宋_GB2312;仿宋"/>
          <w:sz w:val="28"/>
        </w:rPr>
        <w:t>日第九届全国人民代表大会常务委员会第四次会议修订通过，中华人民共和国主席令第</w:t>
      </w:r>
      <w:r>
        <w:rPr>
          <w:rFonts w:eastAsia="仿宋_GB2312;仿宋" w:cs="Arial" w:ascii="Arial" w:hAnsi="Arial"/>
          <w:sz w:val="28"/>
        </w:rPr>
        <w:t>8</w:t>
      </w:r>
      <w:r>
        <w:rPr>
          <w:rFonts w:ascii="Arial" w:hAnsi="Arial" w:cs="Arial" w:eastAsia="仿宋_GB2312;仿宋"/>
          <w:sz w:val="28"/>
        </w:rPr>
        <w:t>号公布，自</w:t>
      </w:r>
      <w:r>
        <w:rPr>
          <w:rFonts w:eastAsia="仿宋_GB2312;仿宋" w:cs="Arial" w:ascii="Arial" w:hAnsi="Arial"/>
          <w:sz w:val="28"/>
        </w:rPr>
        <w:t>1999</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r>
        <w:rPr>
          <w:rFonts w:eastAsia="仿宋_GB2312;仿宋" w:cs="Arial" w:ascii="Arial" w:hAnsi="Arial"/>
          <w:sz w:val="28"/>
        </w:rPr>
        <w:t>2004</w:t>
      </w:r>
      <w:r>
        <w:rPr>
          <w:rFonts w:ascii="Arial" w:hAnsi="Arial" w:cs="Arial" w:eastAsia="仿宋_GB2312;仿宋"/>
          <w:sz w:val="28"/>
        </w:rPr>
        <w:t>年</w:t>
      </w:r>
      <w:r>
        <w:rPr>
          <w:rFonts w:eastAsia="仿宋_GB2312;仿宋" w:cs="Arial" w:ascii="Arial" w:hAnsi="Arial"/>
          <w:sz w:val="28"/>
        </w:rPr>
        <w:t>8</w:t>
      </w:r>
      <w:r>
        <w:rPr>
          <w:rFonts w:ascii="Arial" w:hAnsi="Arial" w:cs="Arial" w:eastAsia="仿宋_GB2312;仿宋"/>
          <w:sz w:val="28"/>
        </w:rPr>
        <w:t>月</w:t>
      </w:r>
      <w:r>
        <w:rPr>
          <w:rFonts w:eastAsia="仿宋_GB2312;仿宋" w:cs="Arial" w:ascii="Arial" w:hAnsi="Arial"/>
          <w:sz w:val="28"/>
        </w:rPr>
        <w:t>28</w:t>
      </w:r>
      <w:r>
        <w:rPr>
          <w:rFonts w:ascii="Arial" w:hAnsi="Arial" w:cs="Arial" w:eastAsia="仿宋_GB2312;仿宋"/>
          <w:sz w:val="28"/>
        </w:rPr>
        <w:t>日第十届全国人民代表大会常务委员会第十一次会议第二次修正通过，中华人民共和国主席令第</w:t>
      </w:r>
      <w:r>
        <w:rPr>
          <w:rFonts w:eastAsia="仿宋_GB2312;仿宋" w:cs="Arial" w:ascii="Arial" w:hAnsi="Arial"/>
          <w:sz w:val="28"/>
        </w:rPr>
        <w:t>28</w:t>
      </w:r>
      <w:r>
        <w:rPr>
          <w:rFonts w:ascii="Arial" w:hAnsi="Arial" w:cs="Arial" w:eastAsia="仿宋_GB2312;仿宋"/>
          <w:sz w:val="28"/>
        </w:rPr>
        <w:t>号公布，自公布起日起施行；</w:t>
      </w:r>
      <w:r>
        <w:rPr>
          <w:rFonts w:eastAsia="仿宋_GB2312;仿宋" w:cs="Arial" w:ascii="Arial" w:hAnsi="Arial"/>
          <w:sz w:val="28"/>
        </w:rPr>
        <w:t>2019</w:t>
      </w:r>
      <w:r>
        <w:rPr>
          <w:rFonts w:ascii="Arial" w:hAnsi="Arial" w:cs="Arial" w:eastAsia="仿宋_GB2312;仿宋"/>
          <w:sz w:val="28"/>
        </w:rPr>
        <w:t>年</w:t>
      </w:r>
      <w:r>
        <w:rPr>
          <w:rFonts w:eastAsia="仿宋_GB2312;仿宋" w:cs="Arial" w:ascii="Arial" w:hAnsi="Arial"/>
          <w:sz w:val="28"/>
        </w:rPr>
        <w:t>8</w:t>
      </w:r>
      <w:r>
        <w:rPr>
          <w:rFonts w:ascii="Arial" w:hAnsi="Arial" w:cs="Arial" w:eastAsia="仿宋_GB2312;仿宋"/>
          <w:sz w:val="28"/>
        </w:rPr>
        <w:t>月</w:t>
      </w:r>
      <w:r>
        <w:rPr>
          <w:rFonts w:eastAsia="仿宋_GB2312;仿宋" w:cs="Arial" w:ascii="Arial" w:hAnsi="Arial"/>
          <w:sz w:val="28"/>
        </w:rPr>
        <w:t>26</w:t>
      </w:r>
      <w:r>
        <w:rPr>
          <w:rFonts w:ascii="Arial" w:hAnsi="Arial" w:cs="Arial" w:eastAsia="仿宋_GB2312;仿宋"/>
          <w:sz w:val="28"/>
        </w:rPr>
        <w:t>日第十三届全国人民代表大会常务委员会第十二次会议第三次修正通过，自</w:t>
      </w:r>
      <w:r>
        <w:rPr>
          <w:rFonts w:eastAsia="仿宋_GB2312;仿宋" w:cs="Arial" w:ascii="Arial" w:hAnsi="Arial"/>
          <w:sz w:val="28"/>
        </w:rPr>
        <w:t>2020</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2.</w:t>
      </w:r>
      <w:r>
        <w:rPr>
          <w:rFonts w:ascii="Arial" w:hAnsi="Arial" w:cs="Arial" w:eastAsia="仿宋_GB2312;仿宋"/>
          <w:sz w:val="28"/>
        </w:rPr>
        <w:t>《中华人民共和国城市房地产管理法》（</w:t>
      </w:r>
      <w:r>
        <w:rPr>
          <w:rFonts w:eastAsia="仿宋_GB2312;仿宋" w:cs="Arial" w:ascii="Arial" w:hAnsi="Arial"/>
          <w:sz w:val="28"/>
        </w:rPr>
        <w:t>1994</w:t>
      </w:r>
      <w:r>
        <w:rPr>
          <w:rFonts w:ascii="Arial" w:hAnsi="Arial" w:cs="Arial" w:eastAsia="仿宋_GB2312;仿宋"/>
          <w:sz w:val="28"/>
        </w:rPr>
        <w:t>年</w:t>
      </w:r>
      <w:r>
        <w:rPr>
          <w:rFonts w:eastAsia="仿宋_GB2312;仿宋" w:cs="Arial" w:ascii="Arial" w:hAnsi="Arial"/>
          <w:sz w:val="28"/>
        </w:rPr>
        <w:t>7</w:t>
      </w:r>
      <w:r>
        <w:rPr>
          <w:rFonts w:ascii="Arial" w:hAnsi="Arial" w:cs="Arial" w:eastAsia="仿宋_GB2312;仿宋"/>
          <w:sz w:val="28"/>
        </w:rPr>
        <w:t>月</w:t>
      </w:r>
      <w:r>
        <w:rPr>
          <w:rFonts w:eastAsia="仿宋_GB2312;仿宋" w:cs="Arial" w:ascii="Arial" w:hAnsi="Arial"/>
          <w:sz w:val="28"/>
        </w:rPr>
        <w:t>5</w:t>
      </w:r>
      <w:r>
        <w:rPr>
          <w:rFonts w:ascii="Arial" w:hAnsi="Arial" w:cs="Arial" w:eastAsia="仿宋_GB2312;仿宋"/>
          <w:sz w:val="28"/>
        </w:rPr>
        <w:t>日第八届全国人民代表大会常务委员会第八次会议通过，中华人民共和国主席令第</w:t>
      </w:r>
      <w:r>
        <w:rPr>
          <w:rFonts w:eastAsia="仿宋_GB2312;仿宋" w:cs="Arial" w:ascii="Arial" w:hAnsi="Arial"/>
          <w:sz w:val="28"/>
        </w:rPr>
        <w:t>29</w:t>
      </w:r>
      <w:r>
        <w:rPr>
          <w:rFonts w:ascii="Arial" w:hAnsi="Arial" w:cs="Arial" w:eastAsia="仿宋_GB2312;仿宋"/>
          <w:sz w:val="28"/>
        </w:rPr>
        <w:t>号公布，自</w:t>
      </w:r>
      <w:r>
        <w:rPr>
          <w:rFonts w:eastAsia="仿宋_GB2312;仿宋" w:cs="Arial" w:ascii="Arial" w:hAnsi="Arial"/>
          <w:sz w:val="28"/>
        </w:rPr>
        <w:t>1995</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r>
        <w:rPr>
          <w:rFonts w:eastAsia="仿宋_GB2312;仿宋" w:cs="Arial" w:ascii="Arial" w:hAnsi="Arial"/>
          <w:sz w:val="28"/>
        </w:rPr>
        <w:t>2007</w:t>
      </w:r>
      <w:r>
        <w:rPr>
          <w:rFonts w:ascii="Arial" w:hAnsi="Arial" w:cs="Arial" w:eastAsia="仿宋_GB2312;仿宋"/>
          <w:sz w:val="28"/>
        </w:rPr>
        <w:t>年</w:t>
      </w:r>
      <w:r>
        <w:rPr>
          <w:rFonts w:eastAsia="仿宋_GB2312;仿宋" w:cs="Arial" w:ascii="Arial" w:hAnsi="Arial"/>
          <w:sz w:val="28"/>
        </w:rPr>
        <w:t>8</w:t>
      </w:r>
      <w:r>
        <w:rPr>
          <w:rFonts w:ascii="Arial" w:hAnsi="Arial" w:cs="Arial" w:eastAsia="仿宋_GB2312;仿宋"/>
          <w:sz w:val="28"/>
        </w:rPr>
        <w:t>月</w:t>
      </w:r>
      <w:r>
        <w:rPr>
          <w:rFonts w:eastAsia="仿宋_GB2312;仿宋" w:cs="Arial" w:ascii="Arial" w:hAnsi="Arial"/>
          <w:sz w:val="28"/>
        </w:rPr>
        <w:t>30</w:t>
      </w:r>
      <w:r>
        <w:rPr>
          <w:rFonts w:ascii="Arial" w:hAnsi="Arial" w:cs="Arial" w:eastAsia="仿宋_GB2312;仿宋"/>
          <w:sz w:val="28"/>
        </w:rPr>
        <w:t>日第十届全国人民代表大会常务委员会第二十九次会议通过第一次修正通过，中华人民共和国主席令第</w:t>
      </w:r>
      <w:r>
        <w:rPr>
          <w:rFonts w:eastAsia="仿宋_GB2312;仿宋" w:cs="Arial" w:ascii="Arial" w:hAnsi="Arial"/>
          <w:sz w:val="28"/>
        </w:rPr>
        <w:t>72</w:t>
      </w:r>
      <w:r>
        <w:rPr>
          <w:rFonts w:ascii="Arial" w:hAnsi="Arial" w:cs="Arial" w:eastAsia="仿宋_GB2312;仿宋"/>
          <w:sz w:val="28"/>
        </w:rPr>
        <w:t>号公布，自公布之日起施行；</w:t>
      </w:r>
      <w:r>
        <w:rPr>
          <w:rFonts w:eastAsia="仿宋_GB2312;仿宋" w:cs="Arial" w:ascii="Arial" w:hAnsi="Arial"/>
          <w:sz w:val="28"/>
        </w:rPr>
        <w:t>2009</w:t>
      </w:r>
      <w:r>
        <w:rPr>
          <w:rFonts w:ascii="Arial" w:hAnsi="Arial" w:cs="Arial" w:eastAsia="仿宋_GB2312;仿宋"/>
          <w:sz w:val="28"/>
        </w:rPr>
        <w:t>年</w:t>
      </w:r>
      <w:r>
        <w:rPr>
          <w:rFonts w:eastAsia="仿宋_GB2312;仿宋" w:cs="Arial" w:ascii="Arial" w:hAnsi="Arial"/>
          <w:sz w:val="28"/>
        </w:rPr>
        <w:t>8</w:t>
      </w:r>
      <w:r>
        <w:rPr>
          <w:rFonts w:ascii="Arial" w:hAnsi="Arial" w:cs="Arial" w:eastAsia="仿宋_GB2312;仿宋"/>
          <w:sz w:val="28"/>
        </w:rPr>
        <w:t>月</w:t>
      </w:r>
      <w:r>
        <w:rPr>
          <w:rFonts w:eastAsia="仿宋_GB2312;仿宋" w:cs="Arial" w:ascii="Arial" w:hAnsi="Arial"/>
          <w:sz w:val="28"/>
        </w:rPr>
        <w:t>27</w:t>
      </w:r>
      <w:r>
        <w:rPr>
          <w:rFonts w:ascii="Arial" w:hAnsi="Arial" w:cs="Arial" w:eastAsia="仿宋_GB2312;仿宋"/>
          <w:sz w:val="28"/>
        </w:rPr>
        <w:t>日第十一届全国人民代表大会常务委员会第十次会议第二次修正通过，中华人民共和国主席令第</w:t>
      </w:r>
      <w:r>
        <w:rPr>
          <w:rFonts w:eastAsia="仿宋_GB2312;仿宋" w:cs="Arial" w:ascii="Arial" w:hAnsi="Arial"/>
          <w:sz w:val="28"/>
        </w:rPr>
        <w:t>18</w:t>
      </w:r>
      <w:r>
        <w:rPr>
          <w:rFonts w:ascii="Arial" w:hAnsi="Arial" w:cs="Arial" w:eastAsia="仿宋_GB2312;仿宋"/>
          <w:sz w:val="28"/>
        </w:rPr>
        <w:t>号公布，自公布之日起施行；</w:t>
      </w:r>
      <w:r>
        <w:rPr>
          <w:rFonts w:eastAsia="仿宋_GB2312;仿宋" w:cs="Arial" w:ascii="Arial" w:hAnsi="Arial"/>
          <w:sz w:val="28"/>
        </w:rPr>
        <w:t>2019</w:t>
      </w:r>
      <w:r>
        <w:rPr>
          <w:rFonts w:ascii="Arial" w:hAnsi="Arial" w:cs="Arial" w:eastAsia="仿宋_GB2312;仿宋"/>
          <w:sz w:val="28"/>
        </w:rPr>
        <w:t>年</w:t>
      </w:r>
      <w:r>
        <w:rPr>
          <w:rFonts w:eastAsia="仿宋_GB2312;仿宋" w:cs="Arial" w:ascii="Arial" w:hAnsi="Arial"/>
          <w:sz w:val="28"/>
        </w:rPr>
        <w:t>8</w:t>
      </w:r>
      <w:r>
        <w:rPr>
          <w:rFonts w:ascii="Arial" w:hAnsi="Arial" w:cs="Arial" w:eastAsia="仿宋_GB2312;仿宋"/>
          <w:sz w:val="28"/>
        </w:rPr>
        <w:t>月</w:t>
      </w:r>
      <w:r>
        <w:rPr>
          <w:rFonts w:eastAsia="仿宋_GB2312;仿宋" w:cs="Arial" w:ascii="Arial" w:hAnsi="Arial"/>
          <w:sz w:val="28"/>
        </w:rPr>
        <w:t>26</w:t>
      </w:r>
      <w:r>
        <w:rPr>
          <w:rFonts w:ascii="Arial" w:hAnsi="Arial" w:cs="Arial" w:eastAsia="仿宋_GB2312;仿宋"/>
          <w:sz w:val="28"/>
        </w:rPr>
        <w:t>日第十三届全国人大常委会第十二次会议通过第三次修正，自</w:t>
      </w:r>
      <w:r>
        <w:rPr>
          <w:rFonts w:eastAsia="仿宋_GB2312;仿宋" w:cs="Arial" w:ascii="Arial" w:hAnsi="Arial"/>
          <w:sz w:val="28"/>
        </w:rPr>
        <w:t>2020</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p>
    <w:p>
      <w:pPr>
        <w:pStyle w:val="Normal"/>
        <w:spacing w:lineRule="auto" w:line="360"/>
        <w:ind w:firstLine="560"/>
        <w:jc w:val="both"/>
        <w:rPr/>
      </w:pPr>
      <w:r>
        <w:rPr>
          <w:rFonts w:eastAsia="仿宋_GB2312;仿宋" w:cs="Arial" w:ascii="Arial" w:hAnsi="Arial"/>
          <w:sz w:val="28"/>
        </w:rPr>
        <w:t>3</w:t>
      </w:r>
      <w:r>
        <w:rPr>
          <w:rFonts w:eastAsia="仿宋_GB2312;仿宋" w:cs="Arial" w:ascii="Arial" w:hAnsi="Arial"/>
          <w:sz w:val="28"/>
        </w:rPr>
        <w:t>.</w:t>
      </w:r>
      <w:r>
        <w:rPr>
          <w:rFonts w:ascii="Arial" w:hAnsi="Arial" w:cs="Arial" w:eastAsia="仿宋_GB2312;仿宋"/>
          <w:sz w:val="28"/>
        </w:rPr>
        <w:t>《中华人民共和国城乡规划法》（</w:t>
      </w:r>
      <w:r>
        <w:rPr>
          <w:rFonts w:eastAsia="仿宋_GB2312;仿宋" w:cs="Arial" w:ascii="Arial" w:hAnsi="Arial"/>
          <w:sz w:val="28"/>
        </w:rPr>
        <w:t xml:space="preserve">2007 </w:t>
      </w:r>
      <w:r>
        <w:rPr>
          <w:rFonts w:ascii="Arial" w:hAnsi="Arial" w:cs="Arial" w:eastAsia="仿宋_GB2312;仿宋"/>
          <w:sz w:val="28"/>
        </w:rPr>
        <w:t>年</w:t>
      </w:r>
      <w:r>
        <w:rPr>
          <w:rFonts w:ascii="Arial" w:hAnsi="Arial" w:cs="Arial" w:eastAsia="Arial"/>
          <w:sz w:val="28"/>
        </w:rPr>
        <w:t xml:space="preserve"> </w:t>
      </w:r>
      <w:r>
        <w:rPr>
          <w:rFonts w:eastAsia="仿宋_GB2312;仿宋" w:cs="Arial" w:ascii="Arial" w:hAnsi="Arial"/>
          <w:sz w:val="28"/>
        </w:rPr>
        <w:t xml:space="preserve">10 </w:t>
      </w:r>
      <w:r>
        <w:rPr>
          <w:rFonts w:ascii="Arial" w:hAnsi="Arial" w:cs="Arial" w:eastAsia="仿宋_GB2312;仿宋"/>
          <w:sz w:val="28"/>
        </w:rPr>
        <w:t>月</w:t>
      </w:r>
      <w:r>
        <w:rPr>
          <w:rFonts w:ascii="Arial" w:hAnsi="Arial" w:cs="Arial" w:eastAsia="Arial"/>
          <w:sz w:val="28"/>
        </w:rPr>
        <w:t xml:space="preserve"> </w:t>
      </w:r>
      <w:r>
        <w:rPr>
          <w:rFonts w:eastAsia="仿宋_GB2312;仿宋" w:cs="Arial" w:ascii="Arial" w:hAnsi="Arial"/>
          <w:sz w:val="28"/>
        </w:rPr>
        <w:t xml:space="preserve">28 </w:t>
      </w:r>
      <w:r>
        <w:rPr>
          <w:rFonts w:ascii="Arial" w:hAnsi="Arial" w:cs="Arial" w:eastAsia="仿宋_GB2312;仿宋"/>
          <w:sz w:val="28"/>
        </w:rPr>
        <w:t>日第十届全国人民代表大会常务委员会第三十次会议通过，中华人民共和国主席令第</w:t>
      </w:r>
      <w:r>
        <w:rPr>
          <w:rFonts w:eastAsia="仿宋_GB2312;仿宋" w:cs="Arial" w:ascii="Arial" w:hAnsi="Arial"/>
          <w:sz w:val="28"/>
        </w:rPr>
        <w:t>74</w:t>
      </w:r>
      <w:r>
        <w:rPr>
          <w:rFonts w:ascii="Arial" w:hAnsi="Arial" w:cs="Arial" w:eastAsia="仿宋_GB2312;仿宋"/>
          <w:sz w:val="28"/>
        </w:rPr>
        <w:t>号，自公布之日起施行；根据</w:t>
      </w:r>
      <w:r>
        <w:rPr>
          <w:rFonts w:ascii="Arial" w:hAnsi="Arial" w:cs="Arial" w:eastAsia="Arial"/>
          <w:sz w:val="28"/>
        </w:rPr>
        <w:t xml:space="preserve"> </w:t>
      </w:r>
      <w:r>
        <w:rPr>
          <w:rFonts w:eastAsia="仿宋_GB2312;仿宋" w:cs="Arial" w:ascii="Arial" w:hAnsi="Arial"/>
          <w:sz w:val="28"/>
        </w:rPr>
        <w:t xml:space="preserve">2015 </w:t>
      </w:r>
      <w:r>
        <w:rPr>
          <w:rFonts w:ascii="Arial" w:hAnsi="Arial" w:cs="Arial" w:eastAsia="仿宋_GB2312;仿宋"/>
          <w:sz w:val="28"/>
        </w:rPr>
        <w:t>年</w:t>
      </w:r>
      <w:r>
        <w:rPr>
          <w:rFonts w:ascii="Arial" w:hAnsi="Arial" w:cs="Arial" w:eastAsia="Arial"/>
          <w:sz w:val="28"/>
        </w:rPr>
        <w:t xml:space="preserve"> </w:t>
      </w:r>
      <w:r>
        <w:rPr>
          <w:rFonts w:eastAsia="仿宋_GB2312;仿宋" w:cs="Arial" w:ascii="Arial" w:hAnsi="Arial"/>
          <w:sz w:val="28"/>
        </w:rPr>
        <w:t xml:space="preserve">4 </w:t>
      </w:r>
      <w:r>
        <w:rPr>
          <w:rFonts w:ascii="Arial" w:hAnsi="Arial" w:cs="Arial" w:eastAsia="仿宋_GB2312;仿宋"/>
          <w:sz w:val="28"/>
        </w:rPr>
        <w:t>月</w:t>
      </w:r>
      <w:r>
        <w:rPr>
          <w:rFonts w:ascii="Arial" w:hAnsi="Arial" w:cs="Arial" w:eastAsia="Arial"/>
          <w:sz w:val="28"/>
        </w:rPr>
        <w:t xml:space="preserve"> </w:t>
      </w:r>
      <w:r>
        <w:rPr>
          <w:rFonts w:eastAsia="仿宋_GB2312;仿宋" w:cs="Arial" w:ascii="Arial" w:hAnsi="Arial"/>
          <w:sz w:val="28"/>
        </w:rPr>
        <w:t xml:space="preserve">24 </w:t>
      </w:r>
      <w:r>
        <w:rPr>
          <w:rFonts w:ascii="Arial" w:hAnsi="Arial" w:cs="Arial" w:eastAsia="仿宋_GB2312;仿宋"/>
          <w:sz w:val="28"/>
        </w:rPr>
        <w:t>日第十二届全国人民代表大会常务委员会第十四次会议通过第一次修正，中华人民共和国主席令第</w:t>
      </w:r>
      <w:r>
        <w:rPr>
          <w:rFonts w:eastAsia="仿宋_GB2312;仿宋" w:cs="Arial" w:ascii="Arial" w:hAnsi="Arial"/>
          <w:sz w:val="28"/>
        </w:rPr>
        <w:t>23</w:t>
      </w:r>
      <w:r>
        <w:rPr>
          <w:rFonts w:ascii="Arial" w:hAnsi="Arial" w:cs="Arial" w:eastAsia="仿宋_GB2312;仿宋"/>
          <w:sz w:val="28"/>
        </w:rPr>
        <w:t>号公布，自公布之日起施行；根据</w:t>
      </w:r>
      <w:r>
        <w:rPr>
          <w:rFonts w:eastAsia="仿宋_GB2312;仿宋" w:cs="Arial" w:ascii="Arial" w:hAnsi="Arial"/>
          <w:sz w:val="28"/>
        </w:rPr>
        <w:t>2019</w:t>
      </w:r>
      <w:r>
        <w:rPr>
          <w:rFonts w:ascii="Arial" w:hAnsi="Arial" w:cs="Arial" w:eastAsia="仿宋_GB2312;仿宋"/>
          <w:sz w:val="28"/>
        </w:rPr>
        <w:t>年</w:t>
      </w:r>
      <w:r>
        <w:rPr>
          <w:rFonts w:eastAsia="仿宋_GB2312;仿宋" w:cs="Arial" w:ascii="Arial" w:hAnsi="Arial"/>
          <w:sz w:val="28"/>
        </w:rPr>
        <w:t>4</w:t>
      </w:r>
      <w:r>
        <w:rPr>
          <w:rFonts w:ascii="Arial" w:hAnsi="Arial" w:cs="Arial" w:eastAsia="仿宋_GB2312;仿宋"/>
          <w:sz w:val="28"/>
        </w:rPr>
        <w:t>月</w:t>
      </w:r>
      <w:r>
        <w:rPr>
          <w:rFonts w:eastAsia="仿宋_GB2312;仿宋" w:cs="Arial" w:ascii="Arial" w:hAnsi="Arial"/>
          <w:sz w:val="28"/>
        </w:rPr>
        <w:t>23</w:t>
      </w:r>
      <w:r>
        <w:rPr>
          <w:rFonts w:ascii="Arial" w:hAnsi="Arial" w:cs="Arial" w:eastAsia="仿宋_GB2312;仿宋"/>
          <w:sz w:val="28"/>
        </w:rPr>
        <w:t>日第十三届全国人民代表大会常务委员会第十次会议通过第二次修正，自公布之日起施行）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4.</w:t>
      </w:r>
      <w:r>
        <w:rPr>
          <w:rFonts w:ascii="Arial" w:hAnsi="Arial" w:cs="Arial" w:eastAsia="仿宋_GB2312;仿宋"/>
          <w:sz w:val="28"/>
        </w:rPr>
        <w:t>《不动产登记暂行条例》（</w:t>
      </w:r>
      <w:r>
        <w:rPr>
          <w:rFonts w:eastAsia="仿宋_GB2312;仿宋" w:cs="Arial" w:ascii="Arial" w:hAnsi="Arial"/>
          <w:sz w:val="28"/>
        </w:rPr>
        <w:t>2014</w:t>
      </w:r>
      <w:r>
        <w:rPr>
          <w:rFonts w:ascii="Arial" w:hAnsi="Arial" w:cs="Arial" w:eastAsia="仿宋_GB2312;仿宋"/>
          <w:sz w:val="28"/>
        </w:rPr>
        <w:t>年</w:t>
      </w:r>
      <w:r>
        <w:rPr>
          <w:rFonts w:eastAsia="仿宋_GB2312;仿宋" w:cs="Arial" w:ascii="Arial" w:hAnsi="Arial"/>
          <w:sz w:val="28"/>
        </w:rPr>
        <w:t>11</w:t>
      </w:r>
      <w:r>
        <w:rPr>
          <w:rFonts w:ascii="Arial" w:hAnsi="Arial" w:cs="Arial" w:eastAsia="仿宋_GB2312;仿宋"/>
          <w:sz w:val="28"/>
        </w:rPr>
        <w:t>月</w:t>
      </w:r>
      <w:r>
        <w:rPr>
          <w:rFonts w:eastAsia="仿宋_GB2312;仿宋" w:cs="Arial" w:ascii="Arial" w:hAnsi="Arial"/>
          <w:sz w:val="28"/>
        </w:rPr>
        <w:t>24</w:t>
      </w:r>
      <w:r>
        <w:rPr>
          <w:rFonts w:ascii="Arial" w:hAnsi="Arial" w:cs="Arial" w:eastAsia="仿宋_GB2312;仿宋"/>
          <w:sz w:val="28"/>
        </w:rPr>
        <w:t>日中华人民共和国国务院令第</w:t>
      </w:r>
      <w:r>
        <w:rPr>
          <w:rFonts w:eastAsia="仿宋_GB2312;仿宋" w:cs="Arial" w:ascii="Arial" w:hAnsi="Arial"/>
          <w:sz w:val="28"/>
        </w:rPr>
        <w:t>656</w:t>
      </w:r>
      <w:r>
        <w:rPr>
          <w:rFonts w:ascii="Arial" w:hAnsi="Arial" w:cs="Arial" w:eastAsia="仿宋_GB2312;仿宋"/>
          <w:sz w:val="28"/>
        </w:rPr>
        <w:t>号公布，自</w:t>
      </w:r>
      <w:r>
        <w:rPr>
          <w:rFonts w:eastAsia="仿宋_GB2312;仿宋" w:cs="Arial" w:ascii="Arial" w:hAnsi="Arial"/>
          <w:sz w:val="28"/>
        </w:rPr>
        <w:t>2015</w:t>
      </w:r>
      <w:r>
        <w:rPr>
          <w:rFonts w:ascii="Arial" w:hAnsi="Arial" w:cs="Arial" w:eastAsia="仿宋_GB2312;仿宋"/>
          <w:sz w:val="28"/>
        </w:rPr>
        <w:t>年</w:t>
      </w:r>
      <w:r>
        <w:rPr>
          <w:rFonts w:eastAsia="仿宋_GB2312;仿宋" w:cs="Arial" w:ascii="Arial" w:hAnsi="Arial"/>
          <w:sz w:val="28"/>
        </w:rPr>
        <w:t>3</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日起施行；根据</w:t>
      </w:r>
      <w:r>
        <w:rPr>
          <w:rFonts w:eastAsia="仿宋_GB2312;仿宋" w:cs="Arial" w:ascii="Arial" w:hAnsi="Arial"/>
          <w:sz w:val="28"/>
        </w:rPr>
        <w:t>2019</w:t>
      </w:r>
      <w:r>
        <w:rPr>
          <w:rFonts w:ascii="Arial" w:hAnsi="Arial" w:cs="Arial" w:eastAsia="仿宋_GB2312;仿宋"/>
          <w:sz w:val="28"/>
        </w:rPr>
        <w:t>年</w:t>
      </w:r>
      <w:r>
        <w:rPr>
          <w:rFonts w:eastAsia="仿宋_GB2312;仿宋" w:cs="Arial" w:ascii="Arial" w:hAnsi="Arial"/>
          <w:sz w:val="28"/>
        </w:rPr>
        <w:t>3</w:t>
      </w:r>
      <w:r>
        <w:rPr>
          <w:rFonts w:ascii="Arial" w:hAnsi="Arial" w:cs="Arial" w:eastAsia="仿宋_GB2312;仿宋"/>
          <w:sz w:val="28"/>
        </w:rPr>
        <w:t>月</w:t>
      </w:r>
      <w:r>
        <w:rPr>
          <w:rFonts w:eastAsia="仿宋_GB2312;仿宋" w:cs="Arial" w:ascii="Arial" w:hAnsi="Arial"/>
          <w:sz w:val="28"/>
        </w:rPr>
        <w:t>24</w:t>
      </w:r>
      <w:r>
        <w:rPr>
          <w:rFonts w:ascii="Arial" w:hAnsi="Arial" w:cs="Arial" w:eastAsia="仿宋_GB2312;仿宋"/>
          <w:sz w:val="28"/>
        </w:rPr>
        <w:t>日公布的《国务院关于修改部分行政法规的决定》</w:t>
      </w:r>
      <w:r>
        <w:rPr>
          <w:rFonts w:eastAsia="仿宋_GB2312;仿宋" w:cs="Arial" w:ascii="Arial" w:hAnsi="Arial"/>
          <w:sz w:val="28"/>
        </w:rPr>
        <w:t>[</w:t>
      </w:r>
      <w:r>
        <w:rPr>
          <w:rFonts w:ascii="Arial" w:hAnsi="Arial" w:cs="Arial" w:eastAsia="仿宋_GB2312;仿宋"/>
          <w:sz w:val="28"/>
        </w:rPr>
        <w:t>中华人民共和国国务院令第</w:t>
      </w:r>
      <w:r>
        <w:rPr>
          <w:rFonts w:eastAsia="仿宋_GB2312;仿宋" w:cs="Arial" w:ascii="Arial" w:hAnsi="Arial"/>
          <w:sz w:val="28"/>
        </w:rPr>
        <w:t>710</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修订，自公布之日起施行）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5.</w:t>
      </w:r>
      <w:r>
        <w:rPr>
          <w:rFonts w:ascii="Arial" w:hAnsi="Arial" w:cs="Arial" w:eastAsia="仿宋_GB2312;仿宋"/>
          <w:sz w:val="28"/>
        </w:rPr>
        <w:t>《不动产登记暂行条例实施细则》（</w:t>
      </w:r>
      <w:r>
        <w:rPr>
          <w:rFonts w:eastAsia="仿宋_GB2312;仿宋" w:cs="Arial" w:ascii="Arial" w:hAnsi="Arial"/>
          <w:sz w:val="28"/>
        </w:rPr>
        <w:t>2015</w:t>
      </w:r>
      <w:r>
        <w:rPr>
          <w:rFonts w:ascii="Arial" w:hAnsi="Arial" w:cs="Arial" w:eastAsia="仿宋_GB2312;仿宋"/>
          <w:sz w:val="28"/>
        </w:rPr>
        <w:t>年</w:t>
      </w:r>
      <w:r>
        <w:rPr>
          <w:rFonts w:eastAsia="仿宋_GB2312;仿宋" w:cs="Arial" w:ascii="Arial" w:hAnsi="Arial"/>
          <w:sz w:val="28"/>
        </w:rPr>
        <w:t>6</w:t>
      </w:r>
      <w:r>
        <w:rPr>
          <w:rFonts w:ascii="Arial" w:hAnsi="Arial" w:cs="Arial" w:eastAsia="仿宋_GB2312;仿宋"/>
          <w:sz w:val="28"/>
        </w:rPr>
        <w:t>月</w:t>
      </w:r>
      <w:r>
        <w:rPr>
          <w:rFonts w:eastAsia="仿宋_GB2312;仿宋" w:cs="Arial" w:ascii="Arial" w:hAnsi="Arial"/>
          <w:sz w:val="28"/>
        </w:rPr>
        <w:t>29</w:t>
      </w:r>
      <w:r>
        <w:rPr>
          <w:rFonts w:ascii="Arial" w:hAnsi="Arial" w:cs="Arial" w:eastAsia="仿宋_GB2312;仿宋"/>
          <w:sz w:val="28"/>
        </w:rPr>
        <w:t>日国土资源部第</w:t>
      </w:r>
      <w:r>
        <w:rPr>
          <w:rFonts w:eastAsia="仿宋_GB2312;仿宋" w:cs="Arial" w:ascii="Arial" w:hAnsi="Arial"/>
          <w:sz w:val="28"/>
        </w:rPr>
        <w:t>3</w:t>
      </w:r>
      <w:r>
        <w:rPr>
          <w:rFonts w:ascii="Arial" w:hAnsi="Arial" w:cs="Arial" w:eastAsia="仿宋_GB2312;仿宋"/>
          <w:sz w:val="28"/>
        </w:rPr>
        <w:t>次部务会议通过，自</w:t>
      </w:r>
      <w:r>
        <w:rPr>
          <w:rFonts w:eastAsia="仿宋_GB2312;仿宋" w:cs="Arial" w:ascii="Arial" w:hAnsi="Arial"/>
          <w:sz w:val="28"/>
        </w:rPr>
        <w:t>2016</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日起施行；根据</w:t>
      </w:r>
      <w:r>
        <w:rPr>
          <w:rFonts w:eastAsia="仿宋_GB2312;仿宋" w:cs="Arial" w:ascii="Arial" w:hAnsi="Arial"/>
          <w:sz w:val="28"/>
        </w:rPr>
        <w:t>2019</w:t>
      </w:r>
      <w:r>
        <w:rPr>
          <w:rFonts w:ascii="Arial" w:hAnsi="Arial" w:cs="Arial" w:eastAsia="仿宋_GB2312;仿宋"/>
          <w:sz w:val="28"/>
        </w:rPr>
        <w:t>年</w:t>
      </w:r>
      <w:r>
        <w:rPr>
          <w:rFonts w:eastAsia="仿宋_GB2312;仿宋" w:cs="Arial" w:ascii="Arial" w:hAnsi="Arial"/>
          <w:sz w:val="28"/>
        </w:rPr>
        <w:t>7</w:t>
      </w:r>
      <w:r>
        <w:rPr>
          <w:rFonts w:ascii="Arial" w:hAnsi="Arial" w:cs="Arial" w:eastAsia="仿宋_GB2312;仿宋"/>
          <w:sz w:val="28"/>
        </w:rPr>
        <w:t>月</w:t>
      </w:r>
      <w:r>
        <w:rPr>
          <w:rFonts w:eastAsia="仿宋_GB2312;仿宋" w:cs="Arial" w:ascii="Arial" w:hAnsi="Arial"/>
          <w:sz w:val="28"/>
        </w:rPr>
        <w:t>16</w:t>
      </w:r>
      <w:r>
        <w:rPr>
          <w:rFonts w:ascii="Arial" w:hAnsi="Arial" w:cs="Arial" w:eastAsia="仿宋_GB2312;仿宋"/>
          <w:sz w:val="28"/>
        </w:rPr>
        <w:t>日自然资源部第</w:t>
      </w:r>
      <w:r>
        <w:rPr>
          <w:rFonts w:eastAsia="仿宋_GB2312;仿宋" w:cs="Arial" w:ascii="Arial" w:hAnsi="Arial"/>
          <w:sz w:val="28"/>
        </w:rPr>
        <w:t>2</w:t>
      </w:r>
      <w:r>
        <w:rPr>
          <w:rFonts w:ascii="Arial" w:hAnsi="Arial" w:cs="Arial" w:eastAsia="仿宋_GB2312;仿宋"/>
          <w:sz w:val="28"/>
        </w:rPr>
        <w:t>次部务会议审议通过《自然资源部关于第一批废止和修改的部门规章的决定》</w:t>
      </w:r>
      <w:r>
        <w:rPr>
          <w:rFonts w:eastAsia="仿宋_GB2312;仿宋" w:cs="Arial" w:ascii="Arial" w:hAnsi="Arial"/>
          <w:sz w:val="28"/>
        </w:rPr>
        <w:t>[</w:t>
      </w:r>
      <w:r>
        <w:rPr>
          <w:rFonts w:ascii="Arial" w:hAnsi="Arial" w:cs="Arial" w:eastAsia="仿宋_GB2312;仿宋"/>
          <w:sz w:val="28"/>
        </w:rPr>
        <w:t>中华人民共和国自然资源部令第</w:t>
      </w:r>
      <w:r>
        <w:rPr>
          <w:rFonts w:eastAsia="仿宋_GB2312;仿宋" w:cs="Arial" w:ascii="Arial" w:hAnsi="Arial"/>
          <w:sz w:val="28"/>
        </w:rPr>
        <w:t>5</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修订，自公布之日起施行）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6.</w:t>
      </w:r>
      <w:r>
        <w:rPr>
          <w:rFonts w:ascii="Arial" w:hAnsi="Arial" w:cs="Arial" w:eastAsia="仿宋_GB2312;仿宋"/>
          <w:sz w:val="28"/>
        </w:rPr>
        <w:t>《中华人民共和国资产评估法》（</w:t>
      </w:r>
      <w:r>
        <w:rPr>
          <w:rFonts w:eastAsia="仿宋_GB2312;仿宋" w:cs="Arial" w:ascii="Arial" w:hAnsi="Arial"/>
          <w:sz w:val="28"/>
        </w:rPr>
        <w:t>2016</w:t>
      </w:r>
      <w:r>
        <w:rPr>
          <w:rFonts w:ascii="Arial" w:hAnsi="Arial" w:cs="Arial" w:eastAsia="仿宋_GB2312;仿宋"/>
          <w:sz w:val="28"/>
        </w:rPr>
        <w:t>年</w:t>
      </w:r>
      <w:r>
        <w:rPr>
          <w:rFonts w:eastAsia="仿宋_GB2312;仿宋" w:cs="Arial" w:ascii="Arial" w:hAnsi="Arial"/>
          <w:sz w:val="28"/>
        </w:rPr>
        <w:t>7</w:t>
      </w:r>
      <w:r>
        <w:rPr>
          <w:rFonts w:ascii="Arial" w:hAnsi="Arial" w:cs="Arial" w:eastAsia="仿宋_GB2312;仿宋"/>
          <w:sz w:val="28"/>
        </w:rPr>
        <w:t>月</w:t>
      </w:r>
      <w:r>
        <w:rPr>
          <w:rFonts w:eastAsia="仿宋_GB2312;仿宋" w:cs="Arial" w:ascii="Arial" w:hAnsi="Arial"/>
          <w:sz w:val="28"/>
        </w:rPr>
        <w:t>2</w:t>
      </w:r>
      <w:r>
        <w:rPr>
          <w:rFonts w:ascii="Arial" w:hAnsi="Arial" w:cs="Arial" w:eastAsia="仿宋_GB2312;仿宋"/>
          <w:sz w:val="28"/>
        </w:rPr>
        <w:t>日第十二届全国人民代表大会常务委员会第二十一次会议通过，</w:t>
      </w:r>
      <w:r>
        <w:rPr>
          <w:rFonts w:eastAsia="仿宋_GB2312;仿宋" w:cs="Arial" w:ascii="Arial" w:hAnsi="Arial"/>
          <w:sz w:val="28"/>
        </w:rPr>
        <w:t>2016</w:t>
      </w:r>
      <w:r>
        <w:rPr>
          <w:rFonts w:ascii="Arial" w:hAnsi="Arial" w:cs="Arial" w:eastAsia="仿宋_GB2312;仿宋"/>
          <w:sz w:val="28"/>
        </w:rPr>
        <w:t>年</w:t>
      </w:r>
      <w:r>
        <w:rPr>
          <w:rFonts w:eastAsia="仿宋_GB2312;仿宋" w:cs="Arial" w:ascii="Arial" w:hAnsi="Arial"/>
          <w:sz w:val="28"/>
        </w:rPr>
        <w:t>3</w:t>
      </w:r>
      <w:r>
        <w:rPr>
          <w:rFonts w:ascii="Arial" w:hAnsi="Arial" w:cs="Arial" w:eastAsia="仿宋_GB2312;仿宋"/>
          <w:sz w:val="28"/>
        </w:rPr>
        <w:t>月</w:t>
      </w:r>
      <w:r>
        <w:rPr>
          <w:rFonts w:eastAsia="仿宋_GB2312;仿宋" w:cs="Arial" w:ascii="Arial" w:hAnsi="Arial"/>
          <w:sz w:val="28"/>
        </w:rPr>
        <w:t>16</w:t>
      </w:r>
      <w:r>
        <w:rPr>
          <w:rFonts w:ascii="Arial" w:hAnsi="Arial" w:cs="Arial" w:eastAsia="仿宋_GB2312;仿宋"/>
          <w:sz w:val="28"/>
        </w:rPr>
        <w:t>日中华人民共和国主席令第</w:t>
      </w:r>
      <w:r>
        <w:rPr>
          <w:rFonts w:eastAsia="仿宋_GB2312;仿宋" w:cs="Arial" w:ascii="Arial" w:hAnsi="Arial"/>
          <w:sz w:val="28"/>
        </w:rPr>
        <w:t>46</w:t>
      </w:r>
      <w:r>
        <w:rPr>
          <w:rFonts w:ascii="Arial" w:hAnsi="Arial" w:cs="Arial" w:eastAsia="仿宋_GB2312;仿宋"/>
          <w:sz w:val="28"/>
        </w:rPr>
        <w:t>号公布，自</w:t>
      </w:r>
      <w:r>
        <w:rPr>
          <w:rFonts w:eastAsia="仿宋_GB2312;仿宋" w:cs="Arial" w:ascii="Arial" w:hAnsi="Arial"/>
          <w:sz w:val="28"/>
        </w:rPr>
        <w:t>2016</w:t>
      </w:r>
      <w:r>
        <w:rPr>
          <w:rFonts w:ascii="Arial" w:hAnsi="Arial" w:cs="Arial" w:eastAsia="仿宋_GB2312;仿宋"/>
          <w:sz w:val="28"/>
        </w:rPr>
        <w:t>年</w:t>
      </w:r>
      <w:r>
        <w:rPr>
          <w:rFonts w:eastAsia="仿宋_GB2312;仿宋" w:cs="Arial" w:ascii="Arial" w:hAnsi="Arial"/>
          <w:sz w:val="28"/>
        </w:rPr>
        <w:t>12</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7.</w:t>
      </w:r>
      <w:r>
        <w:rPr>
          <w:rFonts w:ascii="Arial" w:hAnsi="Arial" w:cs="Arial" w:eastAsia="仿宋_GB2312;仿宋"/>
          <w:sz w:val="28"/>
        </w:rPr>
        <w:t>《中华人民共和国民法典》（</w:t>
      </w:r>
      <w:r>
        <w:rPr>
          <w:rFonts w:eastAsia="仿宋_GB2312;仿宋" w:cs="Arial" w:ascii="Arial" w:hAnsi="Arial"/>
          <w:sz w:val="28"/>
        </w:rPr>
        <w:t>2020</w:t>
      </w:r>
      <w:r>
        <w:rPr>
          <w:rFonts w:ascii="Arial" w:hAnsi="Arial" w:cs="Arial" w:eastAsia="仿宋_GB2312;仿宋"/>
          <w:sz w:val="28"/>
        </w:rPr>
        <w:t>年</w:t>
      </w:r>
      <w:r>
        <w:rPr>
          <w:rFonts w:eastAsia="仿宋_GB2312;仿宋" w:cs="Arial" w:ascii="Arial" w:hAnsi="Arial"/>
          <w:sz w:val="28"/>
        </w:rPr>
        <w:t>5</w:t>
      </w:r>
      <w:r>
        <w:rPr>
          <w:rFonts w:ascii="Arial" w:hAnsi="Arial" w:cs="Arial" w:eastAsia="仿宋_GB2312;仿宋"/>
          <w:sz w:val="28"/>
        </w:rPr>
        <w:t>月</w:t>
      </w:r>
      <w:r>
        <w:rPr>
          <w:rFonts w:eastAsia="仿宋_GB2312;仿宋" w:cs="Arial" w:ascii="Arial" w:hAnsi="Arial"/>
          <w:sz w:val="28"/>
        </w:rPr>
        <w:t>28</w:t>
      </w:r>
      <w:r>
        <w:rPr>
          <w:rFonts w:ascii="Arial" w:hAnsi="Arial" w:cs="Arial" w:eastAsia="仿宋_GB2312;仿宋"/>
          <w:sz w:val="28"/>
        </w:rPr>
        <w:t>日第十三届全国人大三次会议表决通过，自</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8.</w:t>
      </w:r>
      <w:r>
        <w:rPr>
          <w:rFonts w:ascii="Arial" w:hAnsi="Arial" w:cs="Arial" w:eastAsia="仿宋_GB2312;仿宋"/>
          <w:sz w:val="28"/>
        </w:rPr>
        <w:t>《中华人民共和国城镇国有土地使用权出让和转让暂行条例》（</w:t>
      </w:r>
      <w:r>
        <w:rPr>
          <w:rFonts w:eastAsia="仿宋_GB2312;仿宋" w:cs="Arial" w:ascii="Arial" w:hAnsi="Arial"/>
          <w:sz w:val="28"/>
        </w:rPr>
        <w:t>1990</w:t>
      </w:r>
      <w:r>
        <w:rPr>
          <w:rFonts w:ascii="Arial" w:hAnsi="Arial" w:cs="Arial" w:eastAsia="仿宋_GB2312;仿宋"/>
          <w:sz w:val="28"/>
        </w:rPr>
        <w:t>年</w:t>
      </w:r>
      <w:r>
        <w:rPr>
          <w:rFonts w:eastAsia="仿宋_GB2312;仿宋" w:cs="Arial" w:ascii="Arial" w:hAnsi="Arial"/>
          <w:sz w:val="28"/>
        </w:rPr>
        <w:t>5</w:t>
      </w:r>
      <w:r>
        <w:rPr>
          <w:rFonts w:ascii="Arial" w:hAnsi="Arial" w:cs="Arial" w:eastAsia="仿宋_GB2312;仿宋"/>
          <w:sz w:val="28"/>
        </w:rPr>
        <w:t>月</w:t>
      </w:r>
      <w:r>
        <w:rPr>
          <w:rFonts w:eastAsia="仿宋_GB2312;仿宋" w:cs="Arial" w:ascii="Arial" w:hAnsi="Arial"/>
          <w:sz w:val="28"/>
        </w:rPr>
        <w:t>19</w:t>
      </w:r>
      <w:r>
        <w:rPr>
          <w:rFonts w:ascii="Arial" w:hAnsi="Arial" w:cs="Arial" w:eastAsia="仿宋_GB2312;仿宋"/>
          <w:sz w:val="28"/>
        </w:rPr>
        <w:t>日中华人民共和国国务院令第</w:t>
      </w:r>
      <w:r>
        <w:rPr>
          <w:rFonts w:eastAsia="仿宋_GB2312;仿宋" w:cs="Arial" w:ascii="Arial" w:hAnsi="Arial"/>
          <w:sz w:val="28"/>
        </w:rPr>
        <w:t>55</w:t>
      </w:r>
      <w:r>
        <w:rPr>
          <w:rFonts w:ascii="Arial" w:hAnsi="Arial" w:cs="Arial" w:eastAsia="仿宋_GB2312;仿宋"/>
          <w:sz w:val="28"/>
        </w:rPr>
        <w:t>号发布，自发布之日起施行）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9.</w:t>
      </w:r>
      <w:r>
        <w:rPr>
          <w:rFonts w:ascii="Arial" w:hAnsi="Arial" w:cs="Arial" w:eastAsia="仿宋_GB2312;仿宋"/>
          <w:sz w:val="28"/>
        </w:rPr>
        <w:t>《中华人民共和国土地管理法实施条例》（</w:t>
      </w:r>
      <w:r>
        <w:rPr>
          <w:rFonts w:eastAsia="仿宋_GB2312;仿宋" w:cs="Arial" w:ascii="Arial" w:hAnsi="Arial"/>
          <w:sz w:val="28"/>
        </w:rPr>
        <w:t>1998</w:t>
      </w:r>
      <w:r>
        <w:rPr>
          <w:rFonts w:ascii="Arial" w:hAnsi="Arial" w:cs="Arial" w:eastAsia="仿宋_GB2312;仿宋"/>
          <w:sz w:val="28"/>
        </w:rPr>
        <w:t>年</w:t>
      </w:r>
      <w:r>
        <w:rPr>
          <w:rFonts w:eastAsia="仿宋_GB2312;仿宋" w:cs="Arial" w:ascii="Arial" w:hAnsi="Arial"/>
          <w:sz w:val="28"/>
        </w:rPr>
        <w:t>12</w:t>
      </w:r>
      <w:r>
        <w:rPr>
          <w:rFonts w:ascii="Arial" w:hAnsi="Arial" w:cs="Arial" w:eastAsia="仿宋_GB2312;仿宋"/>
          <w:sz w:val="28"/>
        </w:rPr>
        <w:t>月</w:t>
      </w:r>
      <w:r>
        <w:rPr>
          <w:rFonts w:eastAsia="仿宋_GB2312;仿宋" w:cs="Arial" w:ascii="Arial" w:hAnsi="Arial"/>
          <w:sz w:val="28"/>
        </w:rPr>
        <w:t>24</w:t>
      </w:r>
      <w:r>
        <w:rPr>
          <w:rFonts w:ascii="Arial" w:hAnsi="Arial" w:cs="Arial" w:eastAsia="仿宋_GB2312;仿宋"/>
          <w:sz w:val="28"/>
        </w:rPr>
        <w:t>日国务院第</w:t>
      </w:r>
      <w:r>
        <w:rPr>
          <w:rFonts w:eastAsia="仿宋_GB2312;仿宋" w:cs="Arial" w:ascii="Arial" w:hAnsi="Arial"/>
          <w:sz w:val="28"/>
        </w:rPr>
        <w:t>12</w:t>
      </w:r>
      <w:r>
        <w:rPr>
          <w:rFonts w:ascii="Arial" w:hAnsi="Arial" w:cs="Arial" w:eastAsia="仿宋_GB2312;仿宋"/>
          <w:sz w:val="28"/>
        </w:rPr>
        <w:t>次常务会议通过</w:t>
      </w:r>
      <w:r>
        <w:rPr>
          <w:rFonts w:ascii="Arial" w:hAnsi="Arial" w:cs="Arial" w:eastAsia="Arial"/>
          <w:sz w:val="28"/>
        </w:rPr>
        <w:t xml:space="preserve"> </w:t>
      </w:r>
      <w:r>
        <w:rPr>
          <w:rFonts w:ascii="Arial" w:hAnsi="Arial" w:cs="Arial" w:eastAsia="仿宋_GB2312;仿宋"/>
          <w:sz w:val="28"/>
        </w:rPr>
        <w:t>，</w:t>
      </w:r>
      <w:r>
        <w:rPr>
          <w:rFonts w:eastAsia="仿宋_GB2312;仿宋" w:cs="Arial" w:ascii="Arial" w:hAnsi="Arial"/>
          <w:sz w:val="28"/>
        </w:rPr>
        <w:t>1998</w:t>
      </w:r>
      <w:r>
        <w:rPr>
          <w:rFonts w:ascii="Arial" w:hAnsi="Arial" w:cs="Arial" w:eastAsia="仿宋_GB2312;仿宋"/>
          <w:sz w:val="28"/>
        </w:rPr>
        <w:t>年</w:t>
      </w:r>
      <w:r>
        <w:rPr>
          <w:rFonts w:eastAsia="仿宋_GB2312;仿宋" w:cs="Arial" w:ascii="Arial" w:hAnsi="Arial"/>
          <w:sz w:val="28"/>
        </w:rPr>
        <w:t>12</w:t>
      </w:r>
      <w:r>
        <w:rPr>
          <w:rFonts w:ascii="Arial" w:hAnsi="Arial" w:cs="Arial" w:eastAsia="仿宋_GB2312;仿宋"/>
          <w:sz w:val="28"/>
        </w:rPr>
        <w:t>月</w:t>
      </w:r>
      <w:r>
        <w:rPr>
          <w:rFonts w:eastAsia="仿宋_GB2312;仿宋" w:cs="Arial" w:ascii="Arial" w:hAnsi="Arial"/>
          <w:sz w:val="28"/>
        </w:rPr>
        <w:t>27</w:t>
      </w:r>
      <w:r>
        <w:rPr>
          <w:rFonts w:ascii="Arial" w:hAnsi="Arial" w:cs="Arial" w:eastAsia="仿宋_GB2312;仿宋"/>
          <w:sz w:val="28"/>
        </w:rPr>
        <w:t>日中华人民共和国国务院令第</w:t>
      </w:r>
      <w:r>
        <w:rPr>
          <w:rFonts w:eastAsia="仿宋_GB2312;仿宋" w:cs="Arial" w:ascii="Arial" w:hAnsi="Arial"/>
          <w:sz w:val="28"/>
        </w:rPr>
        <w:t>256</w:t>
      </w:r>
      <w:r>
        <w:rPr>
          <w:rFonts w:ascii="Arial" w:hAnsi="Arial" w:cs="Arial" w:eastAsia="仿宋_GB2312;仿宋"/>
          <w:sz w:val="28"/>
        </w:rPr>
        <w:t>号发布，自</w:t>
      </w:r>
      <w:r>
        <w:rPr>
          <w:rFonts w:eastAsia="仿宋_GB2312;仿宋" w:cs="Arial" w:ascii="Arial" w:hAnsi="Arial"/>
          <w:sz w:val="28"/>
        </w:rPr>
        <w:t>1999</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r>
        <w:rPr>
          <w:rFonts w:eastAsia="仿宋_GB2312;仿宋" w:cs="Arial" w:ascii="Arial" w:hAnsi="Arial"/>
          <w:sz w:val="28"/>
        </w:rPr>
        <w:t>2010</w:t>
      </w:r>
      <w:r>
        <w:rPr>
          <w:rFonts w:ascii="Arial" w:hAnsi="Arial" w:cs="Arial" w:eastAsia="仿宋_GB2312;仿宋"/>
          <w:sz w:val="28"/>
        </w:rPr>
        <w:t>年</w:t>
      </w:r>
      <w:r>
        <w:rPr>
          <w:rFonts w:eastAsia="仿宋_GB2312;仿宋" w:cs="Arial" w:ascii="Arial" w:hAnsi="Arial"/>
          <w:sz w:val="28"/>
        </w:rPr>
        <w:t>12</w:t>
      </w:r>
      <w:r>
        <w:rPr>
          <w:rFonts w:ascii="Arial" w:hAnsi="Arial" w:cs="Arial" w:eastAsia="仿宋_GB2312;仿宋"/>
          <w:sz w:val="28"/>
        </w:rPr>
        <w:t>月</w:t>
      </w:r>
      <w:r>
        <w:rPr>
          <w:rFonts w:eastAsia="仿宋_GB2312;仿宋" w:cs="Arial" w:ascii="Arial" w:hAnsi="Arial"/>
          <w:sz w:val="28"/>
        </w:rPr>
        <w:t>29</w:t>
      </w:r>
      <w:r>
        <w:rPr>
          <w:rFonts w:ascii="Arial" w:hAnsi="Arial" w:cs="Arial" w:eastAsia="仿宋_GB2312;仿宋"/>
          <w:sz w:val="28"/>
        </w:rPr>
        <w:t>日国务院第</w:t>
      </w:r>
      <w:r>
        <w:rPr>
          <w:rFonts w:eastAsia="仿宋_GB2312;仿宋" w:cs="Arial" w:ascii="Arial" w:hAnsi="Arial"/>
          <w:sz w:val="28"/>
        </w:rPr>
        <w:t>138</w:t>
      </w:r>
      <w:r>
        <w:rPr>
          <w:rFonts w:ascii="Arial" w:hAnsi="Arial" w:cs="Arial" w:eastAsia="仿宋_GB2312;仿宋"/>
          <w:sz w:val="28"/>
        </w:rPr>
        <w:t>次常务会议第一次修正通过，</w:t>
      </w:r>
      <w:r>
        <w:rPr>
          <w:rFonts w:eastAsia="仿宋_GB2312;仿宋" w:cs="Arial" w:ascii="Arial" w:hAnsi="Arial"/>
          <w:sz w:val="28"/>
        </w:rPr>
        <w:t>2011</w:t>
      </w:r>
      <w:r>
        <w:rPr>
          <w:rFonts w:ascii="Arial" w:hAnsi="Arial" w:cs="Arial" w:eastAsia="仿宋_GB2312;仿宋"/>
          <w:sz w:val="28"/>
        </w:rPr>
        <w:t>年</w:t>
      </w:r>
      <w:r>
        <w:rPr>
          <w:rFonts w:eastAsia="仿宋_GB2312;仿宋" w:cs="Arial" w:ascii="Arial" w:hAnsi="Arial"/>
          <w:sz w:val="28"/>
        </w:rPr>
        <w:t>1</w:t>
      </w:r>
      <w:r>
        <w:rPr>
          <w:rFonts w:ascii="Arial" w:hAnsi="Arial" w:cs="Arial" w:eastAsia="仿宋_GB2312;仿宋"/>
          <w:sz w:val="28"/>
        </w:rPr>
        <w:t>月</w:t>
      </w:r>
      <w:r>
        <w:rPr>
          <w:rFonts w:eastAsia="仿宋_GB2312;仿宋" w:cs="Arial" w:ascii="Arial" w:hAnsi="Arial"/>
          <w:sz w:val="28"/>
        </w:rPr>
        <w:t>8</w:t>
      </w:r>
      <w:r>
        <w:rPr>
          <w:rFonts w:ascii="Arial" w:hAnsi="Arial" w:cs="Arial" w:eastAsia="仿宋_GB2312;仿宋"/>
          <w:sz w:val="28"/>
        </w:rPr>
        <w:t>日中华人民共和国国务院令第</w:t>
      </w:r>
      <w:r>
        <w:rPr>
          <w:rFonts w:eastAsia="仿宋_GB2312;仿宋" w:cs="Arial" w:ascii="Arial" w:hAnsi="Arial"/>
          <w:sz w:val="28"/>
        </w:rPr>
        <w:t>588</w:t>
      </w:r>
      <w:r>
        <w:rPr>
          <w:rFonts w:ascii="Arial" w:hAnsi="Arial" w:cs="Arial" w:eastAsia="仿宋_GB2312;仿宋"/>
          <w:sz w:val="28"/>
        </w:rPr>
        <w:t>号发布，自发布之日起施行；</w:t>
      </w:r>
      <w:r>
        <w:rPr>
          <w:rFonts w:eastAsia="仿宋_GB2312;仿宋" w:cs="Arial" w:ascii="Arial" w:hAnsi="Arial"/>
          <w:sz w:val="28"/>
        </w:rPr>
        <w:t>2014</w:t>
      </w:r>
      <w:r>
        <w:rPr>
          <w:rFonts w:ascii="Arial" w:hAnsi="Arial" w:cs="Arial" w:eastAsia="仿宋_GB2312;仿宋"/>
          <w:sz w:val="28"/>
        </w:rPr>
        <w:t>年</w:t>
      </w:r>
      <w:r>
        <w:rPr>
          <w:rFonts w:eastAsia="仿宋_GB2312;仿宋" w:cs="Arial" w:ascii="Arial" w:hAnsi="Arial"/>
          <w:sz w:val="28"/>
        </w:rPr>
        <w:t>7</w:t>
      </w:r>
      <w:r>
        <w:rPr>
          <w:rFonts w:ascii="Arial" w:hAnsi="Arial" w:cs="Arial" w:eastAsia="仿宋_GB2312;仿宋"/>
          <w:sz w:val="28"/>
        </w:rPr>
        <w:t>月</w:t>
      </w:r>
      <w:r>
        <w:rPr>
          <w:rFonts w:eastAsia="仿宋_GB2312;仿宋" w:cs="Arial" w:ascii="Arial" w:hAnsi="Arial"/>
          <w:sz w:val="28"/>
        </w:rPr>
        <w:t>9</w:t>
      </w:r>
      <w:r>
        <w:rPr>
          <w:rFonts w:ascii="Arial" w:hAnsi="Arial" w:cs="Arial" w:eastAsia="仿宋_GB2312;仿宋"/>
          <w:sz w:val="28"/>
        </w:rPr>
        <w:t>日国务院第</w:t>
      </w:r>
      <w:r>
        <w:rPr>
          <w:rFonts w:eastAsia="仿宋_GB2312;仿宋" w:cs="Arial" w:ascii="Arial" w:hAnsi="Arial"/>
          <w:sz w:val="28"/>
        </w:rPr>
        <w:t>54</w:t>
      </w:r>
      <w:r>
        <w:rPr>
          <w:rFonts w:ascii="Arial" w:hAnsi="Arial" w:cs="Arial" w:eastAsia="仿宋_GB2312;仿宋"/>
          <w:sz w:val="28"/>
        </w:rPr>
        <w:t>次常务会议第二次修正通过，</w:t>
      </w:r>
      <w:r>
        <w:rPr>
          <w:rFonts w:eastAsia="仿宋_GB2312;仿宋" w:cs="Arial" w:ascii="Arial" w:hAnsi="Arial"/>
          <w:sz w:val="28"/>
        </w:rPr>
        <w:t>2014</w:t>
      </w:r>
      <w:r>
        <w:rPr>
          <w:rFonts w:ascii="Arial" w:hAnsi="Arial" w:cs="Arial" w:eastAsia="仿宋_GB2312;仿宋"/>
          <w:sz w:val="28"/>
        </w:rPr>
        <w:t>年</w:t>
      </w:r>
      <w:r>
        <w:rPr>
          <w:rFonts w:eastAsia="仿宋_GB2312;仿宋" w:cs="Arial" w:ascii="Arial" w:hAnsi="Arial"/>
          <w:sz w:val="28"/>
        </w:rPr>
        <w:t>7</w:t>
      </w:r>
      <w:r>
        <w:rPr>
          <w:rFonts w:ascii="Arial" w:hAnsi="Arial" w:cs="Arial" w:eastAsia="仿宋_GB2312;仿宋"/>
          <w:sz w:val="28"/>
        </w:rPr>
        <w:t>月</w:t>
      </w:r>
      <w:r>
        <w:rPr>
          <w:rFonts w:eastAsia="仿宋_GB2312;仿宋" w:cs="Arial" w:ascii="Arial" w:hAnsi="Arial"/>
          <w:sz w:val="28"/>
        </w:rPr>
        <w:t>29</w:t>
      </w:r>
      <w:r>
        <w:rPr>
          <w:rFonts w:ascii="Arial" w:hAnsi="Arial" w:cs="Arial" w:eastAsia="仿宋_GB2312;仿宋"/>
          <w:sz w:val="28"/>
        </w:rPr>
        <w:t>日中华人民共和国国务院令第</w:t>
      </w:r>
      <w:r>
        <w:rPr>
          <w:rFonts w:eastAsia="仿宋_GB2312;仿宋" w:cs="Arial" w:ascii="Arial" w:hAnsi="Arial"/>
          <w:sz w:val="28"/>
        </w:rPr>
        <w:t>653</w:t>
      </w:r>
      <w:r>
        <w:rPr>
          <w:rFonts w:ascii="Arial" w:hAnsi="Arial" w:cs="Arial" w:eastAsia="仿宋_GB2312;仿宋"/>
          <w:sz w:val="28"/>
        </w:rPr>
        <w:t>号公布，自公布之日起施行；</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4</w:t>
      </w:r>
      <w:r>
        <w:rPr>
          <w:rFonts w:ascii="Arial" w:hAnsi="Arial" w:cs="Arial" w:eastAsia="仿宋_GB2312;仿宋"/>
          <w:sz w:val="28"/>
        </w:rPr>
        <w:t>月</w:t>
      </w:r>
      <w:r>
        <w:rPr>
          <w:rFonts w:eastAsia="仿宋_GB2312;仿宋" w:cs="Arial" w:ascii="Arial" w:hAnsi="Arial"/>
          <w:sz w:val="28"/>
        </w:rPr>
        <w:t>21</w:t>
      </w:r>
      <w:r>
        <w:rPr>
          <w:rFonts w:ascii="Arial" w:hAnsi="Arial" w:cs="Arial" w:eastAsia="仿宋_GB2312;仿宋"/>
          <w:sz w:val="28"/>
        </w:rPr>
        <w:t>日国务院第</w:t>
      </w:r>
      <w:r>
        <w:rPr>
          <w:rFonts w:eastAsia="仿宋_GB2312;仿宋" w:cs="Arial" w:ascii="Arial" w:hAnsi="Arial"/>
          <w:sz w:val="28"/>
        </w:rPr>
        <w:t>132</w:t>
      </w:r>
      <w:r>
        <w:rPr>
          <w:rFonts w:ascii="Arial" w:hAnsi="Arial" w:cs="Arial" w:eastAsia="仿宋_GB2312;仿宋"/>
          <w:sz w:val="28"/>
        </w:rPr>
        <w:t>次会议第三次修订通过，</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7</w:t>
      </w:r>
      <w:r>
        <w:rPr>
          <w:rFonts w:ascii="Arial" w:hAnsi="Arial" w:cs="Arial" w:eastAsia="仿宋_GB2312;仿宋"/>
          <w:sz w:val="28"/>
        </w:rPr>
        <w:t>月</w:t>
      </w:r>
      <w:r>
        <w:rPr>
          <w:rFonts w:eastAsia="仿宋_GB2312;仿宋" w:cs="Arial" w:ascii="Arial" w:hAnsi="Arial"/>
          <w:sz w:val="28"/>
        </w:rPr>
        <w:t>2</w:t>
      </w:r>
      <w:r>
        <w:rPr>
          <w:rFonts w:ascii="Arial" w:hAnsi="Arial" w:cs="Arial" w:eastAsia="仿宋_GB2312;仿宋"/>
          <w:sz w:val="28"/>
        </w:rPr>
        <w:t>日中华人民共和国国务院令第</w:t>
      </w:r>
      <w:r>
        <w:rPr>
          <w:rFonts w:eastAsia="仿宋_GB2312;仿宋" w:cs="Arial" w:ascii="Arial" w:hAnsi="Arial"/>
          <w:sz w:val="28"/>
        </w:rPr>
        <w:t>743</w:t>
      </w:r>
      <w:r>
        <w:rPr>
          <w:rFonts w:ascii="Arial" w:hAnsi="Arial" w:cs="Arial" w:eastAsia="仿宋_GB2312;仿宋"/>
          <w:sz w:val="28"/>
        </w:rPr>
        <w:t>号公布，自</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1</w:t>
      </w:r>
      <w:r>
        <w:rPr>
          <w:rFonts w:ascii="Arial" w:hAnsi="Arial" w:cs="Arial" w:eastAsia="仿宋_GB2312;仿宋"/>
          <w:sz w:val="28"/>
        </w:rPr>
        <w:t>日起施行）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10.</w:t>
      </w:r>
      <w:bookmarkStart w:id="34" w:name="_Hlk144732994"/>
      <w:r>
        <w:rPr>
          <w:rFonts w:ascii="Arial" w:hAnsi="Arial" w:cs="Arial" w:eastAsia="仿宋_GB2312;仿宋"/>
          <w:sz w:val="28"/>
        </w:rPr>
        <w:t>《北京市人民政府关于更新出让国有建设用地使用权基准地价的通知》</w:t>
      </w:r>
      <w:r>
        <w:rPr>
          <w:rFonts w:eastAsia="仿宋_GB2312;仿宋" w:cs="Arial" w:ascii="Arial" w:hAnsi="Arial"/>
          <w:sz w:val="28"/>
        </w:rPr>
        <w:t>[</w:t>
      </w:r>
      <w:r>
        <w:rPr>
          <w:rFonts w:ascii="Arial" w:hAnsi="Arial" w:cs="Arial" w:eastAsia="仿宋_GB2312;仿宋"/>
          <w:sz w:val="28"/>
        </w:rPr>
        <w:t>京政发（</w:t>
      </w:r>
      <w:r>
        <w:rPr>
          <w:rFonts w:eastAsia="仿宋_GB2312;仿宋" w:cs="Arial" w:ascii="Arial" w:hAnsi="Arial"/>
          <w:sz w:val="28"/>
        </w:rPr>
        <w:t>2022</w:t>
      </w:r>
      <w:r>
        <w:rPr>
          <w:rFonts w:ascii="Arial" w:hAnsi="Arial" w:cs="Arial" w:eastAsia="仿宋_GB2312;仿宋"/>
          <w:sz w:val="28"/>
        </w:rPr>
        <w:t>）</w:t>
      </w:r>
      <w:r>
        <w:rPr>
          <w:rFonts w:eastAsia="仿宋_GB2312;仿宋" w:cs="Arial" w:ascii="Arial" w:hAnsi="Arial"/>
          <w:sz w:val="28"/>
        </w:rPr>
        <w:t>12</w:t>
      </w:r>
      <w:r>
        <w:rPr>
          <w:rFonts w:ascii="Arial" w:hAnsi="Arial" w:cs="Arial" w:eastAsia="仿宋_GB2312;仿宋"/>
          <w:sz w:val="28"/>
        </w:rPr>
        <w:t>号</w:t>
      </w:r>
      <w:r>
        <w:rPr>
          <w:rFonts w:eastAsia="仿宋_GB2312;仿宋" w:cs="Arial" w:ascii="Arial" w:hAnsi="Arial"/>
          <w:sz w:val="28"/>
        </w:rPr>
        <w:t>]</w:t>
      </w:r>
      <w:bookmarkEnd w:id="34"/>
    </w:p>
    <w:p>
      <w:pPr>
        <w:pStyle w:val="Normal"/>
        <w:spacing w:lineRule="auto" w:line="360"/>
        <w:ind w:firstLine="560"/>
        <w:jc w:val="both"/>
        <w:rPr/>
      </w:pPr>
      <w:r>
        <w:rPr>
          <w:rFonts w:eastAsia="仿宋_GB2312;仿宋" w:cs="Arial" w:ascii="Arial" w:hAnsi="Arial"/>
          <w:sz w:val="28"/>
        </w:rPr>
        <w:t>11.</w:t>
      </w:r>
      <w:r>
        <w:rPr>
          <w:rFonts w:ascii="Arial" w:hAnsi="Arial" w:cs="Arial" w:eastAsia="仿宋_GB2312;仿宋"/>
          <w:sz w:val="28"/>
        </w:rPr>
        <w:t>《关于进一步规范土地一级开发项目管理费和利润管理的通知》</w:t>
      </w:r>
      <w:r>
        <w:rPr>
          <w:rFonts w:eastAsia="仿宋_GB2312;仿宋" w:cs="Arial" w:ascii="Arial" w:hAnsi="Arial"/>
          <w:sz w:val="28"/>
        </w:rPr>
        <w:t>[</w:t>
      </w:r>
      <w:r>
        <w:rPr>
          <w:rFonts w:ascii="Arial" w:hAnsi="Arial" w:cs="Arial" w:eastAsia="仿宋_GB2312;仿宋"/>
          <w:sz w:val="28"/>
        </w:rPr>
        <w:t>京规自发（</w:t>
      </w:r>
      <w:r>
        <w:rPr>
          <w:rFonts w:eastAsia="仿宋_GB2312;仿宋" w:cs="Arial" w:ascii="Arial" w:hAnsi="Arial"/>
          <w:sz w:val="28"/>
        </w:rPr>
        <w:t>2021</w:t>
      </w:r>
      <w:r>
        <w:rPr>
          <w:rFonts w:ascii="Arial" w:hAnsi="Arial" w:cs="Arial" w:eastAsia="仿宋_GB2312;仿宋"/>
          <w:sz w:val="28"/>
        </w:rPr>
        <w:t>）</w:t>
      </w:r>
      <w:r>
        <w:rPr>
          <w:rFonts w:eastAsia="仿宋_GB2312;仿宋" w:cs="Arial" w:ascii="Arial" w:hAnsi="Arial"/>
          <w:sz w:val="28"/>
        </w:rPr>
        <w:t>303</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rFonts w:ascii="Arial" w:hAnsi="Arial" w:cs="Arial"/>
          <w:sz w:val="28"/>
          <w:szCs w:val="28"/>
        </w:rPr>
      </w:pPr>
      <w:r>
        <w:rPr>
          <w:rFonts w:eastAsia="仿宋_GB2312;仿宋" w:cs="Arial" w:ascii="Arial" w:hAnsi="Arial"/>
          <w:sz w:val="28"/>
        </w:rPr>
        <w:t>12.</w:t>
      </w:r>
      <w:r>
        <w:rPr>
          <w:rFonts w:ascii="Arial" w:hAnsi="Arial" w:cs="Arial" w:eastAsia="仿宋_GB2312;仿宋"/>
          <w:sz w:val="28"/>
        </w:rPr>
        <w:t>《国有土地上房屋征收与补偿条例》</w:t>
      </w:r>
      <w:r>
        <w:rPr>
          <w:rFonts w:eastAsia="仿宋_GB2312;仿宋" w:cs="Arial" w:ascii="Arial" w:hAnsi="Arial"/>
          <w:sz w:val="28"/>
        </w:rPr>
        <w:t>[</w:t>
      </w:r>
      <w:r>
        <w:rPr>
          <w:rFonts w:ascii="Arial" w:hAnsi="Arial" w:cs="Arial" w:eastAsia="仿宋_GB2312;仿宋"/>
          <w:sz w:val="28"/>
        </w:rPr>
        <w:t>中华人民共和国国务院令第</w:t>
      </w:r>
      <w:r>
        <w:rPr>
          <w:rFonts w:eastAsia="仿宋_GB2312;仿宋" w:cs="Arial" w:ascii="Arial" w:hAnsi="Arial"/>
          <w:sz w:val="28"/>
        </w:rPr>
        <w:t>590</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pPr>
      <w:r>
        <w:rPr>
          <w:rFonts w:eastAsia="仿宋_GB2312;仿宋" w:cs="Arial" w:ascii="Arial" w:hAnsi="Arial"/>
          <w:sz w:val="28"/>
        </w:rPr>
        <w:t>13.</w:t>
      </w:r>
      <w:r>
        <w:rPr>
          <w:rFonts w:ascii="Arial" w:hAnsi="Arial" w:cs="Arial" w:eastAsia="仿宋_GB2312;仿宋"/>
          <w:sz w:val="28"/>
        </w:rPr>
        <w:t>关于印发《北京市国有土地上房屋征收停产停业损失补偿暂行办法》的通知</w:t>
      </w:r>
      <w:r>
        <w:rPr>
          <w:rFonts w:eastAsia="仿宋_GB2312;仿宋" w:cs="Arial" w:ascii="Arial" w:hAnsi="Arial"/>
          <w:sz w:val="28"/>
        </w:rPr>
        <w:t>[</w:t>
      </w:r>
      <w:r>
        <w:rPr>
          <w:rFonts w:ascii="Arial" w:hAnsi="Arial" w:cs="Arial" w:eastAsia="仿宋_GB2312;仿宋"/>
          <w:sz w:val="28"/>
        </w:rPr>
        <w:t>京建法（</w:t>
      </w:r>
      <w:r>
        <w:rPr>
          <w:rFonts w:eastAsia="仿宋_GB2312;仿宋" w:cs="Arial" w:ascii="Arial" w:hAnsi="Arial"/>
          <w:sz w:val="28"/>
        </w:rPr>
        <w:t>2011</w:t>
      </w:r>
      <w:r>
        <w:rPr>
          <w:rFonts w:ascii="Arial" w:hAnsi="Arial" w:cs="Arial" w:eastAsia="仿宋_GB2312;仿宋"/>
          <w:sz w:val="28"/>
        </w:rPr>
        <w:t>）</w:t>
      </w:r>
      <w:r>
        <w:rPr>
          <w:rFonts w:eastAsia="仿宋_GB2312;仿宋" w:cs="Arial" w:ascii="Arial" w:hAnsi="Arial"/>
          <w:sz w:val="28"/>
        </w:rPr>
        <w:t>18</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14.</w:t>
      </w:r>
      <w:r>
        <w:rPr>
          <w:rFonts w:ascii="Arial" w:hAnsi="Arial" w:cs="Arial" w:eastAsia="仿宋_GB2312;仿宋"/>
          <w:sz w:val="28"/>
        </w:rPr>
        <w:t>《关于国有土地上房屋征收与补偿中有关事项的通知》</w:t>
      </w:r>
      <w:r>
        <w:rPr>
          <w:rFonts w:eastAsia="仿宋_GB2312;仿宋" w:cs="Arial" w:ascii="Arial" w:hAnsi="Arial"/>
          <w:sz w:val="28"/>
        </w:rPr>
        <w:t>[</w:t>
      </w:r>
      <w:r>
        <w:rPr>
          <w:rFonts w:ascii="Arial" w:hAnsi="Arial" w:cs="Arial" w:eastAsia="仿宋_GB2312;仿宋"/>
          <w:sz w:val="28"/>
        </w:rPr>
        <w:t>京建法﹝</w:t>
      </w:r>
      <w:r>
        <w:rPr>
          <w:rFonts w:eastAsia="仿宋_GB2312;仿宋" w:cs="Arial" w:ascii="Arial" w:hAnsi="Arial"/>
          <w:sz w:val="28"/>
        </w:rPr>
        <w:t>2012﹞19</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rFonts w:ascii="Arial" w:hAnsi="Arial" w:eastAsia="仿宋_GB2312;仿宋" w:cs="Arial"/>
          <w:color w:val="E36C0A"/>
          <w:sz w:val="28"/>
        </w:rPr>
      </w:pPr>
      <w:r>
        <w:rPr>
          <w:rFonts w:eastAsia="仿宋_GB2312;仿宋" w:cs="Arial" w:ascii="Arial" w:hAnsi="Arial"/>
          <w:sz w:val="28"/>
        </w:rPr>
        <w:t>15</w:t>
      </w:r>
      <w:r>
        <w:rPr>
          <w:rFonts w:eastAsia="仿宋_GB2312;仿宋" w:cs="Arial" w:ascii="Arial" w:hAnsi="Arial"/>
          <w:sz w:val="28"/>
        </w:rPr>
        <w:t>.</w:t>
      </w:r>
      <w:r>
        <w:rPr>
          <w:rFonts w:ascii="Arial" w:hAnsi="Arial" w:cs="Arial" w:eastAsia="仿宋_GB2312;仿宋"/>
          <w:sz w:val="28"/>
        </w:rPr>
        <w:t>《自然资源部办公厅关于印发</w:t>
      </w:r>
      <w:r>
        <w:rPr>
          <w:rFonts w:ascii="仿宋" w:hAnsi="仿宋" w:cs="Arial" w:eastAsia="仿宋"/>
          <w:sz w:val="28"/>
        </w:rPr>
        <w:t>〈</w:t>
      </w:r>
      <w:r>
        <w:rPr>
          <w:rFonts w:ascii="Arial" w:hAnsi="Arial" w:cs="Arial" w:eastAsia="仿宋_GB2312;仿宋"/>
          <w:sz w:val="28"/>
        </w:rPr>
        <w:t>国土空间调查、规划、用途管制用地用海分类指南（试行）</w:t>
      </w:r>
      <w:r>
        <w:rPr>
          <w:rFonts w:ascii="仿宋" w:hAnsi="仿宋" w:cs="Arial" w:eastAsia="仿宋"/>
          <w:sz w:val="28"/>
        </w:rPr>
        <w:t>〉</w:t>
      </w:r>
      <w:r>
        <w:rPr>
          <w:rFonts w:ascii="Arial" w:hAnsi="Arial" w:cs="Arial" w:eastAsia="仿宋_GB2312;仿宋"/>
          <w:sz w:val="28"/>
        </w:rPr>
        <w:t>的通知》</w:t>
      </w:r>
      <w:r>
        <w:rPr>
          <w:rFonts w:eastAsia="仿宋_GB2312;仿宋" w:cs="Arial" w:ascii="Arial" w:hAnsi="Arial"/>
          <w:sz w:val="28"/>
        </w:rPr>
        <w:t>[</w:t>
      </w:r>
      <w:r>
        <w:rPr>
          <w:rFonts w:ascii="Arial" w:hAnsi="Arial" w:cs="Arial" w:eastAsia="仿宋_GB2312;仿宋"/>
          <w:sz w:val="28"/>
        </w:rPr>
        <w:t>自然资办发〔</w:t>
      </w:r>
      <w:r>
        <w:rPr>
          <w:rFonts w:eastAsia="仿宋_GB2312;仿宋" w:cs="Arial" w:ascii="Arial" w:hAnsi="Arial"/>
          <w:sz w:val="28"/>
        </w:rPr>
        <w:t>2020</w:t>
      </w:r>
      <w:r>
        <w:rPr>
          <w:rFonts w:ascii="Arial" w:hAnsi="Arial" w:cs="Arial" w:eastAsia="仿宋_GB2312;仿宋"/>
          <w:sz w:val="28"/>
        </w:rPr>
        <w:t>〕</w:t>
      </w:r>
      <w:r>
        <w:rPr>
          <w:rFonts w:eastAsia="仿宋_GB2312;仿宋" w:cs="Arial" w:ascii="Arial" w:hAnsi="Arial"/>
          <w:sz w:val="28"/>
        </w:rPr>
        <w:t>51</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pPr>
      <w:r>
        <w:rPr>
          <w:rFonts w:eastAsia="仿宋_GB2312;仿宋" w:cs="Arial" w:ascii="Arial" w:hAnsi="Arial"/>
          <w:sz w:val="28"/>
        </w:rPr>
        <w:t>16</w:t>
      </w:r>
      <w:r>
        <w:rPr>
          <w:rFonts w:eastAsia="仿宋_GB2312;仿宋" w:cs="Arial" w:ascii="Arial" w:hAnsi="Arial"/>
          <w:sz w:val="28"/>
        </w:rPr>
        <w:t>.</w:t>
      </w:r>
      <w:r>
        <w:rPr>
          <w:rFonts w:ascii="Arial" w:hAnsi="Arial" w:cs="Arial" w:eastAsia="仿宋_GB2312;仿宋"/>
          <w:sz w:val="28"/>
        </w:rPr>
        <w:t>《北京市国土空间调查、规划、用途管制用地分类指南（试行）》</w:t>
      </w:r>
    </w:p>
    <w:p>
      <w:pPr>
        <w:pStyle w:val="Normal"/>
        <w:spacing w:lineRule="auto" w:line="360"/>
        <w:ind w:firstLine="560"/>
        <w:jc w:val="both"/>
        <w:rPr/>
      </w:pPr>
      <w:r>
        <w:rPr>
          <w:rFonts w:ascii="Arial" w:hAnsi="Arial" w:cs="Arial" w:eastAsia="仿宋_GB2312;仿宋"/>
          <w:sz w:val="28"/>
        </w:rPr>
        <w:t xml:space="preserve"> </w:t>
      </w:r>
      <w:commentRangeStart w:id="6"/>
      <w:r>
        <w:rPr>
          <w:rFonts w:eastAsia="仿宋_GB2312;仿宋" w:cs="Arial" w:ascii="Arial" w:hAnsi="Arial"/>
          <w:sz w:val="28"/>
        </w:rPr>
        <w:t>17</w:t>
      </w:r>
      <w:r>
        <w:rPr>
          <w:rFonts w:eastAsia="仿宋_GB2312;仿宋" w:cs="Arial" w:ascii="Arial" w:hAnsi="Arial"/>
          <w:sz w:val="28"/>
        </w:rPr>
        <w:t xml:space="preserve"> </w:t>
      </w:r>
      <w:commentRangeEnd w:id="6"/>
      <w:r>
        <w:commentReference w:id="6"/>
      </w:r>
      <w:r>
        <w:rPr>
          <w:rFonts w:eastAsia="仿宋_GB2312;仿宋" w:cs="Arial" w:ascii="Arial" w:hAnsi="Arial"/>
          <w:sz w:val="28"/>
        </w:rPr>
      </w:r>
    </w:p>
    <w:p>
      <w:pPr>
        <w:pStyle w:val="Normal"/>
        <w:spacing w:lineRule="auto" w:line="360"/>
        <w:jc w:val="both"/>
        <w:rPr>
          <w:rFonts w:ascii="Arial" w:hAnsi="Arial" w:eastAsia="仿宋_GB2312;仿宋" w:cs="Arial"/>
          <w:sz w:val="28"/>
        </w:rPr>
      </w:pPr>
      <w:r>
        <w:rPr>
          <w:rFonts w:ascii="Arial" w:hAnsi="Arial" w:cs="Arial" w:eastAsia="仿宋_GB2312;仿宋"/>
          <w:sz w:val="28"/>
        </w:rPr>
        <w:t>（二）采用的技术标准</w:t>
      </w:r>
    </w:p>
    <w:p>
      <w:pPr>
        <w:pStyle w:val="Normal"/>
        <w:spacing w:lineRule="auto" w:line="360"/>
        <w:ind w:firstLine="560"/>
        <w:jc w:val="both"/>
        <w:rPr/>
      </w:pPr>
      <w:r>
        <w:rPr>
          <w:rFonts w:eastAsia="仿宋_GB2312;仿宋" w:cs="Arial" w:ascii="Arial" w:hAnsi="Arial"/>
          <w:sz w:val="28"/>
        </w:rPr>
        <w:t>1.</w:t>
      </w:r>
      <w:r>
        <w:rPr>
          <w:rFonts w:ascii="Arial" w:hAnsi="Arial" w:cs="Arial" w:eastAsia="仿宋_GB2312;仿宋"/>
          <w:sz w:val="28"/>
        </w:rPr>
        <w:t>《城镇土地</w:t>
      </w:r>
      <w:r>
        <w:rPr>
          <w:rFonts w:ascii="Arial" w:hAnsi="Arial" w:cs="Arial" w:eastAsia="仿宋_GB2312;仿宋"/>
          <w:sz w:val="28"/>
        </w:rPr>
        <w:t>估价</w:t>
      </w:r>
      <w:r>
        <w:rPr>
          <w:rFonts w:ascii="Arial" w:hAnsi="Arial" w:cs="Arial" w:eastAsia="仿宋_GB2312;仿宋"/>
          <w:sz w:val="28"/>
        </w:rPr>
        <w:t>规程》</w:t>
      </w:r>
      <w:r>
        <w:rPr>
          <w:rFonts w:eastAsia="仿宋_GB2312;仿宋" w:cs="Arial" w:ascii="Arial" w:hAnsi="Arial"/>
          <w:sz w:val="28"/>
        </w:rPr>
        <w:t>[GB/T 18508-2014]</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2.</w:t>
      </w:r>
      <w:r>
        <w:rPr>
          <w:rFonts w:ascii="Arial" w:hAnsi="Arial" w:cs="Arial" w:eastAsia="仿宋_GB2312;仿宋"/>
          <w:sz w:val="28"/>
        </w:rPr>
        <w:t>《城镇土地分等定级规程》</w:t>
      </w:r>
      <w:hyperlink r:id="rId48" w:tgtFrame="_blank">
        <w:r>
          <w:rPr>
            <w:rStyle w:val="Internet"/>
            <w:rFonts w:eastAsia="仿宋_GB2312;仿宋" w:cs="Arial" w:ascii="Arial" w:hAnsi="Arial"/>
            <w:sz w:val="28"/>
          </w:rPr>
          <w:t>[GB/T 18507-2014]</w:t>
        </w:r>
      </w:hyperlink>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3.</w:t>
      </w:r>
      <w:r>
        <w:rPr>
          <w:rFonts w:ascii="Arial" w:hAnsi="Arial" w:cs="Arial" w:eastAsia="仿宋_GB2312;仿宋"/>
          <w:sz w:val="28"/>
        </w:rPr>
        <w:t>《土地利用现状分类》</w:t>
      </w:r>
      <w:r>
        <w:rPr>
          <w:rFonts w:eastAsia="仿宋_GB2312;仿宋" w:cs="Arial" w:ascii="Arial" w:hAnsi="Arial"/>
          <w:sz w:val="28"/>
        </w:rPr>
        <w:t>[GB/T 21010-2017]</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4.</w:t>
      </w:r>
      <w:r>
        <w:rPr>
          <w:rFonts w:ascii="Arial" w:hAnsi="Arial" w:cs="Arial" w:eastAsia="仿宋_GB2312;仿宋"/>
          <w:sz w:val="28"/>
        </w:rPr>
        <w:t>《城市用地分类与规划建设用地标准》</w:t>
      </w:r>
      <w:r>
        <w:rPr>
          <w:rFonts w:eastAsia="仿宋_GB2312;仿宋" w:cs="Arial" w:ascii="Arial" w:hAnsi="Arial"/>
          <w:sz w:val="28"/>
        </w:rPr>
        <w:t>[GB50137-2011]</w:t>
      </w:r>
    </w:p>
    <w:p>
      <w:pPr>
        <w:pStyle w:val="Normal"/>
        <w:spacing w:lineRule="auto" w:line="360"/>
        <w:ind w:firstLine="560"/>
        <w:jc w:val="both"/>
        <w:rPr/>
      </w:pPr>
      <w:r>
        <w:rPr>
          <w:rFonts w:eastAsia="仿宋_GB2312;仿宋" w:cs="Arial" w:ascii="Arial" w:hAnsi="Arial"/>
          <w:sz w:val="28"/>
        </w:rPr>
        <w:t>5.</w:t>
      </w:r>
      <w:r>
        <w:rPr>
          <w:rFonts w:ascii="Arial" w:hAnsi="Arial" w:cs="Arial" w:eastAsia="仿宋_GB2312;仿宋"/>
          <w:sz w:val="28"/>
        </w:rPr>
        <w:t>《自然资源分等定级通则》（</w:t>
      </w:r>
      <w:r>
        <w:rPr>
          <w:rFonts w:eastAsia="仿宋_GB2312;仿宋" w:cs="Arial" w:ascii="Arial" w:hAnsi="Arial"/>
          <w:sz w:val="28"/>
        </w:rPr>
        <w:t>TD/T 1060-2021</w:t>
      </w:r>
      <w:r>
        <w:rPr>
          <w:rFonts w:ascii="Arial" w:hAnsi="Arial" w:cs="Arial" w:eastAsia="仿宋_GB2312;仿宋"/>
          <w:sz w:val="28"/>
        </w:rPr>
        <w:t>）</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6.</w:t>
      </w:r>
      <w:r>
        <w:rPr>
          <w:rFonts w:ascii="Arial" w:hAnsi="Arial" w:cs="Arial" w:eastAsia="仿宋_GB2312;仿宋"/>
          <w:sz w:val="28"/>
        </w:rPr>
        <w:t>《自然资源价格评估通则》（</w:t>
      </w:r>
      <w:r>
        <w:rPr>
          <w:rFonts w:eastAsia="仿宋_GB2312;仿宋" w:cs="Arial" w:ascii="Arial" w:hAnsi="Arial"/>
          <w:sz w:val="28"/>
        </w:rPr>
        <w:t>TD/T 1061-2021</w:t>
      </w:r>
      <w:r>
        <w:rPr>
          <w:rFonts w:ascii="Arial" w:hAnsi="Arial" w:cs="Arial" w:eastAsia="仿宋_GB2312;仿宋"/>
          <w:sz w:val="28"/>
        </w:rPr>
        <w:t>）</w:t>
      </w:r>
    </w:p>
    <w:p>
      <w:pPr>
        <w:pStyle w:val="Normal"/>
        <w:spacing w:lineRule="auto" w:line="360"/>
        <w:ind w:firstLine="560"/>
        <w:jc w:val="both"/>
        <w:rPr/>
      </w:pPr>
      <w:r>
        <w:rPr>
          <w:rFonts w:eastAsia="仿宋_GB2312;仿宋" w:cs="Arial" w:ascii="Arial" w:hAnsi="Arial"/>
          <w:sz w:val="28"/>
        </w:rPr>
        <w:t>7</w:t>
      </w:r>
      <w:r>
        <w:rPr>
          <w:rFonts w:eastAsia="仿宋_GB2312;仿宋" w:cs="Arial" w:ascii="Arial" w:hAnsi="Arial"/>
          <w:sz w:val="28"/>
        </w:rPr>
        <w:t>.</w:t>
      </w:r>
      <w:r>
        <w:rPr>
          <w:rFonts w:ascii="Arial" w:hAnsi="Arial" w:cs="Arial" w:eastAsia="仿宋_GB2312;仿宋"/>
          <w:sz w:val="28"/>
        </w:rPr>
        <w:t>《房地产估价规范》</w:t>
      </w:r>
      <w:r>
        <w:rPr>
          <w:rFonts w:eastAsia="仿宋_GB2312;仿宋" w:cs="Arial" w:ascii="Arial" w:hAnsi="Arial"/>
          <w:sz w:val="28"/>
        </w:rPr>
        <w:t>[GB/T 50291-2015]</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8.</w:t>
      </w:r>
      <w:r>
        <w:rPr>
          <w:rFonts w:ascii="Arial" w:hAnsi="Arial" w:cs="Arial" w:eastAsia="仿宋_GB2312;仿宋"/>
          <w:sz w:val="28"/>
        </w:rPr>
        <w:t>《关于发布</w:t>
      </w:r>
      <w:r>
        <w:rPr>
          <w:rFonts w:eastAsia="仿宋_GB2312;仿宋" w:cs="Arial" w:ascii="Arial" w:hAnsi="Arial"/>
          <w:sz w:val="28"/>
        </w:rPr>
        <w:t>&lt;</w:t>
      </w:r>
      <w:r>
        <w:rPr>
          <w:rFonts w:ascii="Arial" w:hAnsi="Arial" w:cs="Arial" w:eastAsia="仿宋_GB2312;仿宋"/>
          <w:sz w:val="28"/>
        </w:rPr>
        <w:t>北京市企业国有建设用地使用权收购补偿价格评估技术指引</w:t>
      </w:r>
      <w:r>
        <w:rPr>
          <w:rFonts w:eastAsia="仿宋_GB2312;仿宋" w:cs="Arial" w:ascii="Arial" w:hAnsi="Arial"/>
          <w:sz w:val="28"/>
        </w:rPr>
        <w:t>&gt;</w:t>
      </w:r>
      <w:r>
        <w:rPr>
          <w:rFonts w:ascii="Arial" w:hAnsi="Arial" w:cs="Arial" w:eastAsia="仿宋_GB2312;仿宋"/>
          <w:sz w:val="28"/>
        </w:rPr>
        <w:t>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2018</w:t>
      </w:r>
      <w:r>
        <w:rPr>
          <w:rFonts w:ascii="Arial" w:hAnsi="Arial" w:cs="Arial" w:eastAsia="仿宋_GB2312;仿宋"/>
          <w:sz w:val="28"/>
        </w:rPr>
        <w:t>）</w:t>
      </w:r>
      <w:r>
        <w:rPr>
          <w:rFonts w:eastAsia="仿宋_GB2312;仿宋" w:cs="Arial" w:ascii="Arial" w:hAnsi="Arial"/>
          <w:sz w:val="28"/>
        </w:rPr>
        <w:t>004</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9.</w:t>
      </w:r>
      <w:r>
        <w:rPr>
          <w:rFonts w:ascii="Arial" w:hAnsi="Arial" w:cs="Arial" w:eastAsia="仿宋_GB2312;仿宋"/>
          <w:sz w:val="28"/>
        </w:rPr>
        <w:t>《北京市企业国有建设用地使用权收购补偿价格评估技术指引》应用有关说明的通知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2021</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pPr>
      <w:r>
        <w:rPr>
          <w:rFonts w:eastAsia="仿宋_GB2312;仿宋" w:cs="Arial" w:ascii="Arial" w:hAnsi="Arial"/>
          <w:sz w:val="28"/>
        </w:rPr>
        <w:t>10.</w:t>
      </w:r>
      <w:r>
        <w:rPr>
          <w:rFonts w:ascii="Arial" w:hAnsi="Arial" w:cs="Arial" w:eastAsia="仿宋_GB2312;仿宋"/>
          <w:sz w:val="28"/>
        </w:rPr>
        <w:t>《北京市房屋重置成新价评估技术标准》</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2016</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11.</w:t>
      </w:r>
      <w:r>
        <w:rPr>
          <w:rFonts w:ascii="Arial" w:hAnsi="Arial" w:cs="Arial" w:eastAsia="仿宋_GB2312;仿宋"/>
          <w:sz w:val="28"/>
        </w:rPr>
        <w:t>《关于调整</w:t>
      </w:r>
      <w:r>
        <w:rPr>
          <w:rFonts w:ascii="仿宋" w:hAnsi="仿宋" w:cs="Arial" w:eastAsia="仿宋"/>
          <w:sz w:val="28"/>
        </w:rPr>
        <w:t>〈</w:t>
      </w:r>
      <w:r>
        <w:rPr>
          <w:rFonts w:ascii="Arial" w:hAnsi="Arial" w:cs="Arial" w:eastAsia="仿宋_GB2312;仿宋"/>
          <w:sz w:val="28"/>
        </w:rPr>
        <w:t>北京市房屋重置成新价评估技术标准</w:t>
      </w:r>
      <w:r>
        <w:rPr>
          <w:rFonts w:ascii="仿宋" w:hAnsi="仿宋" w:cs="Arial" w:eastAsia="仿宋"/>
          <w:sz w:val="28"/>
        </w:rPr>
        <w:t>〉</w:t>
      </w:r>
      <w:r>
        <w:rPr>
          <w:rFonts w:ascii="Arial" w:hAnsi="Arial" w:cs="Arial" w:eastAsia="仿宋_GB2312;仿宋"/>
          <w:sz w:val="28"/>
        </w:rPr>
        <w:t>相关系数的通知》（</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10</w:t>
      </w:r>
      <w:r>
        <w:rPr>
          <w:rFonts w:ascii="Arial" w:hAnsi="Arial" w:cs="Arial" w:eastAsia="仿宋_GB2312;仿宋"/>
          <w:sz w:val="28"/>
        </w:rPr>
        <w:t>日发布）</w:t>
      </w:r>
    </w:p>
    <w:p>
      <w:pPr>
        <w:pStyle w:val="Normal"/>
        <w:spacing w:lineRule="auto" w:line="360"/>
        <w:ind w:firstLine="560"/>
        <w:jc w:val="both"/>
        <w:rPr>
          <w:rFonts w:ascii="Arial" w:hAnsi="Arial" w:eastAsia="仿宋_GB2312;仿宋" w:cs="Arial"/>
          <w:sz w:val="28"/>
        </w:rPr>
      </w:pPr>
      <w:r>
        <w:rPr>
          <w:rFonts w:cs="Arial" w:ascii="Arial" w:hAnsi="Arial"/>
          <w:sz w:val="28"/>
        </w:rPr>
        <w:t>12.</w:t>
      </w:r>
      <w:r>
        <w:rPr>
          <w:rFonts w:ascii="Arial" w:hAnsi="Arial" w:cs="Arial" w:eastAsia="仿宋_GB2312;仿宋"/>
          <w:sz w:val="28"/>
        </w:rPr>
        <w:t>自然资源部办公厅关于印发《划拨国有建设用地使用权地价评估指导意见（试行）》的通知</w:t>
      </w:r>
      <w:r>
        <w:rPr>
          <w:rFonts w:eastAsia="仿宋_GB2312;仿宋" w:cs="Arial" w:ascii="Arial" w:hAnsi="Arial"/>
          <w:sz w:val="28"/>
        </w:rPr>
        <w:t>[</w:t>
      </w:r>
      <w:r>
        <w:rPr>
          <w:rFonts w:ascii="Arial" w:hAnsi="Arial" w:cs="Arial" w:eastAsia="仿宋_GB2312;仿宋"/>
          <w:sz w:val="28"/>
        </w:rPr>
        <w:t>自然资办函〔</w:t>
      </w:r>
      <w:r>
        <w:rPr>
          <w:rFonts w:eastAsia="仿宋_GB2312;仿宋" w:cs="Arial" w:ascii="Arial" w:hAnsi="Arial"/>
          <w:sz w:val="28"/>
        </w:rPr>
        <w:t>2019</w:t>
      </w:r>
      <w:r>
        <w:rPr>
          <w:rFonts w:ascii="Arial" w:hAnsi="Arial" w:cs="Arial" w:eastAsia="仿宋_GB2312;仿宋"/>
          <w:sz w:val="28"/>
        </w:rPr>
        <w:t>〕</w:t>
      </w:r>
      <w:r>
        <w:rPr>
          <w:rFonts w:eastAsia="仿宋_GB2312;仿宋" w:cs="Arial" w:ascii="Arial" w:hAnsi="Arial"/>
          <w:sz w:val="28"/>
        </w:rPr>
        <w:t>922</w:t>
      </w:r>
      <w:r>
        <w:rPr>
          <w:rFonts w:ascii="Arial" w:hAnsi="Arial" w:cs="Arial" w:eastAsia="仿宋_GB2312;仿宋"/>
          <w:sz w:val="28"/>
        </w:rPr>
        <w:t>号</w:t>
      </w:r>
      <w:r>
        <w:rPr>
          <w:rFonts w:eastAsia="仿宋_GB2312;仿宋" w:cs="Arial" w:ascii="Arial" w:hAnsi="Arial"/>
          <w:sz w:val="28"/>
        </w:rPr>
        <w:t>]</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w:t>
      </w:r>
      <w:r>
        <w:rPr>
          <w:rFonts w:eastAsia="仿宋_GB2312;仿宋" w:cs="Arial" w:ascii="Arial" w:hAnsi="Arial"/>
          <w:sz w:val="28"/>
        </w:rPr>
        <w:t>3.</w:t>
      </w:r>
      <w:r>
        <w:rPr>
          <w:rFonts w:ascii="Arial" w:hAnsi="Arial" w:cs="Arial" w:eastAsia="仿宋_GB2312;仿宋"/>
          <w:sz w:val="28"/>
        </w:rPr>
        <w:t>《北京市国有建设用地使用权出让地价评估技术导则（试行）》</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w:t>
      </w:r>
      <w:r>
        <w:rPr>
          <w:rFonts w:eastAsia="仿宋_GB2312;仿宋" w:cs="Arial" w:ascii="Arial" w:hAnsi="Arial"/>
          <w:sz w:val="28"/>
        </w:rPr>
        <w:t>4.</w:t>
      </w:r>
      <w:r>
        <w:rPr>
          <w:rFonts w:ascii="Arial" w:hAnsi="Arial" w:cs="Arial" w:eastAsia="仿宋_GB2312;仿宋"/>
          <w:sz w:val="28"/>
        </w:rPr>
        <w:t>《北京市协议出让涉及的划拨地价评估技术指引（试行）》的通知（北估秘</w:t>
      </w:r>
      <w:r>
        <w:rPr>
          <w:rFonts w:eastAsia="仿宋_GB2312;仿宋" w:cs="Arial" w:ascii="Arial" w:hAnsi="Arial"/>
          <w:sz w:val="28"/>
        </w:rPr>
        <w:t>[2022]002</w:t>
      </w:r>
      <w:r>
        <w:rPr>
          <w:rFonts w:ascii="Arial" w:hAnsi="Arial" w:cs="Arial" w:eastAsia="仿宋_GB2312;仿宋"/>
          <w:sz w:val="28"/>
        </w:rPr>
        <w:t>号）</w:t>
      </w:r>
    </w:p>
    <w:p>
      <w:pPr>
        <w:pStyle w:val="Normal"/>
        <w:spacing w:lineRule="auto" w:line="360"/>
        <w:jc w:val="both"/>
        <w:rPr/>
      </w:pPr>
      <w:r>
        <w:rPr>
          <w:rFonts w:ascii="Arial" w:hAnsi="Arial" w:cs="Arial" w:eastAsia="仿宋_GB2312;仿宋"/>
          <w:sz w:val="28"/>
          <w:szCs w:val="18"/>
        </w:rPr>
        <w:t>（三）</w:t>
      </w:r>
      <w:r>
        <w:rPr>
          <w:rFonts w:ascii="Arial" w:hAnsi="Arial" w:cs="Arial" w:eastAsia="Arial"/>
          <w:sz w:val="28"/>
          <w:szCs w:val="18"/>
        </w:rPr>
        <w:t xml:space="preserve"> </w:t>
      </w:r>
      <w:r>
        <w:rPr>
          <w:rFonts w:ascii="Arial" w:hAnsi="Arial" w:cs="Arial" w:eastAsia="仿宋_GB2312;仿宋"/>
          <w:sz w:val="28"/>
          <w:szCs w:val="18"/>
        </w:rPr>
        <w:t>委托估价方提供的资料</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w:t>
      </w:r>
      <w:r>
        <w:rPr>
          <w:rFonts w:eastAsia="仿宋_GB2312;仿宋" w:cs="Arial" w:ascii="Arial" w:hAnsi="Arial"/>
          <w:sz w:val="28"/>
        </w:rPr>
        <w:t>.</w:t>
      </w:r>
      <w:r>
        <w:rPr>
          <w:rFonts w:ascii="Arial" w:hAnsi="Arial" w:cs="Arial" w:eastAsia="仿宋_GB2312;仿宋"/>
          <w:sz w:val="28"/>
        </w:rPr>
        <w:t>《国有建设用地使用权收购补偿价格委托估价函》复印件</w:t>
      </w:r>
    </w:p>
    <w:p>
      <w:pPr>
        <w:pStyle w:val="Normal"/>
        <w:spacing w:lineRule="auto" w:line="360"/>
        <w:ind w:firstLine="560"/>
        <w:jc w:val="both"/>
        <w:rPr/>
      </w:pPr>
      <w:r>
        <w:rPr>
          <w:rFonts w:eastAsia="仿宋_GB2312;仿宋" w:cs="Arial" w:ascii="Arial" w:hAnsi="Arial"/>
          <w:sz w:val="28"/>
        </w:rPr>
        <w:t>2.</w:t>
      </w:r>
      <w:r>
        <w:rPr>
          <w:rFonts w:ascii="Arial" w:hAnsi="Arial" w:cs="Arial" w:eastAsia="仿宋_GB2312;仿宋"/>
          <w:sz w:val="28"/>
        </w:rPr>
        <w:t>《国有土地使用证》</w:t>
      </w:r>
      <w:r>
        <w:rPr>
          <w:rFonts w:eastAsia="仿宋_GB2312;仿宋" w:cs="Arial" w:ascii="Arial" w:hAnsi="Arial"/>
          <w:sz w:val="28"/>
        </w:rPr>
        <w:t>[</w:t>
      </w:r>
      <w:r>
        <w:rPr>
          <w:rFonts w:ascii="Arial" w:hAnsi="Arial" w:cs="Arial" w:eastAsia="仿宋_GB2312;仿宋"/>
          <w:sz w:val="28"/>
        </w:rPr>
        <w:t>京海国用（</w:t>
      </w:r>
      <w:r>
        <w:rPr>
          <w:rFonts w:eastAsia="仿宋_GB2312;仿宋" w:cs="Arial" w:ascii="Arial" w:hAnsi="Arial"/>
          <w:sz w:val="28"/>
        </w:rPr>
        <w:t>2004</w:t>
      </w:r>
      <w:r>
        <w:rPr>
          <w:rFonts w:ascii="Arial" w:hAnsi="Arial" w:cs="Arial" w:eastAsia="仿宋_GB2312;仿宋"/>
          <w:sz w:val="28"/>
        </w:rPr>
        <w:t>划）字第</w:t>
      </w:r>
      <w:r>
        <w:rPr>
          <w:rFonts w:eastAsia="仿宋_GB2312;仿宋" w:cs="Arial" w:ascii="Arial" w:hAnsi="Arial"/>
          <w:sz w:val="28"/>
        </w:rPr>
        <w:t>2880</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3.</w:t>
      </w:r>
      <w:r>
        <w:rPr>
          <w:rFonts w:ascii="Arial" w:hAnsi="Arial" w:cs="Arial" w:eastAsia="仿宋_GB2312;仿宋"/>
          <w:sz w:val="28"/>
        </w:rPr>
        <w:t>《房屋所有权证》</w:t>
      </w:r>
      <w:r>
        <w:rPr>
          <w:rFonts w:eastAsia="仿宋_GB2312;仿宋" w:cs="Arial" w:ascii="Arial" w:hAnsi="Arial"/>
          <w:sz w:val="28"/>
        </w:rPr>
        <w:t>[</w:t>
      </w:r>
      <w:r>
        <w:rPr>
          <w:rFonts w:ascii="Arial" w:hAnsi="Arial" w:cs="Arial" w:eastAsia="仿宋_GB2312;仿宋"/>
          <w:sz w:val="28"/>
        </w:rPr>
        <w:t>海全字第</w:t>
      </w:r>
      <w:r>
        <w:rPr>
          <w:rFonts w:eastAsia="仿宋_GB2312;仿宋" w:cs="Arial" w:ascii="Arial" w:hAnsi="Arial"/>
          <w:sz w:val="28"/>
        </w:rPr>
        <w:t>01614</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4.</w:t>
      </w:r>
      <w:r>
        <w:rPr>
          <w:rFonts w:ascii="Arial" w:hAnsi="Arial" w:cs="Arial" w:eastAsia="仿宋_GB2312;仿宋"/>
          <w:sz w:val="28"/>
        </w:rPr>
        <w:t>《土地权属审查告知书》</w:t>
      </w:r>
      <w:r>
        <w:rPr>
          <w:rFonts w:eastAsia="仿宋_GB2312;仿宋" w:cs="Arial" w:ascii="Arial" w:hAnsi="Arial"/>
          <w:sz w:val="28"/>
        </w:rPr>
        <w:t>[</w:t>
      </w:r>
      <w:r>
        <w:rPr>
          <w:rFonts w:ascii="Arial" w:hAnsi="Arial" w:cs="Arial" w:eastAsia="仿宋_GB2312;仿宋"/>
          <w:sz w:val="28"/>
        </w:rPr>
        <w:t>编号：海权属审（</w:t>
      </w:r>
      <w:r>
        <w:rPr>
          <w:rFonts w:eastAsia="仿宋_GB2312;仿宋" w:cs="Arial" w:ascii="Arial" w:hAnsi="Arial"/>
          <w:sz w:val="28"/>
        </w:rPr>
        <w:t>2020</w:t>
      </w:r>
      <w:r>
        <w:rPr>
          <w:rFonts w:ascii="Arial" w:hAnsi="Arial" w:cs="Arial" w:eastAsia="仿宋_GB2312;仿宋"/>
          <w:sz w:val="28"/>
        </w:rPr>
        <w:t>）字第</w:t>
      </w:r>
      <w:r>
        <w:rPr>
          <w:rFonts w:eastAsia="仿宋_GB2312;仿宋" w:cs="Arial" w:ascii="Arial" w:hAnsi="Arial"/>
          <w:sz w:val="28"/>
        </w:rPr>
        <w:t>1172</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5.</w:t>
      </w:r>
      <w:r>
        <w:rPr>
          <w:rFonts w:ascii="Arial" w:hAnsi="Arial" w:cs="Arial" w:eastAsia="仿宋_GB2312;仿宋"/>
          <w:sz w:val="28"/>
        </w:rPr>
        <w:t>《关于西三旗建材城中路</w:t>
      </w:r>
      <w:r>
        <w:rPr>
          <w:rFonts w:eastAsia="仿宋_GB2312;仿宋" w:cs="Arial" w:ascii="Arial" w:hAnsi="Arial"/>
          <w:sz w:val="28"/>
        </w:rPr>
        <w:t>2</w:t>
      </w:r>
      <w:r>
        <w:rPr>
          <w:rFonts w:ascii="Arial" w:hAnsi="Arial" w:cs="Arial" w:eastAsia="仿宋_GB2312;仿宋"/>
          <w:sz w:val="28"/>
        </w:rPr>
        <w:t>号地块收储情况说明》</w:t>
      </w:r>
      <w:r>
        <w:rPr>
          <w:rFonts w:ascii="Arial" w:hAnsi="Arial" w:cs="Arial" w:eastAsia="仿宋_GB2312;仿宋"/>
          <w:sz w:val="28"/>
        </w:rPr>
        <w:t>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6</w:t>
      </w:r>
      <w:r>
        <w:rPr>
          <w:rFonts w:eastAsia="仿宋_GB2312;仿宋" w:cs="Arial" w:ascii="Arial" w:hAnsi="Arial"/>
          <w:sz w:val="28"/>
        </w:rPr>
        <w:t>.</w:t>
      </w:r>
      <w:r>
        <w:rPr>
          <w:rFonts w:ascii="Arial" w:hAnsi="Arial" w:cs="Arial" w:eastAsia="仿宋_GB2312;仿宋"/>
          <w:sz w:val="28"/>
        </w:rPr>
        <w:t>《海淀区北京五星青岛啤酒有限公司用地项目地形及地上物测绘技术报告书》</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7</w:t>
      </w:r>
      <w:r>
        <w:rPr>
          <w:rFonts w:eastAsia="仿宋_GB2312;仿宋" w:cs="Arial" w:ascii="Arial" w:hAnsi="Arial"/>
          <w:sz w:val="28"/>
        </w:rPr>
        <w:t>.</w:t>
      </w:r>
      <w:r>
        <w:rPr>
          <w:rFonts w:ascii="Arial" w:hAnsi="Arial" w:cs="Arial" w:eastAsia="仿宋_GB2312;仿宋"/>
          <w:sz w:val="28"/>
        </w:rPr>
        <w:t>《名称变更通知》</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8.</w:t>
      </w:r>
      <w:r>
        <w:rPr>
          <w:rFonts w:ascii="Arial" w:hAnsi="Arial" w:cs="Arial" w:eastAsia="仿宋_GB2312;仿宋"/>
          <w:sz w:val="28"/>
        </w:rPr>
        <w:t>不动产权利人《营业执照（副本）》复印件</w:t>
      </w:r>
    </w:p>
    <w:p>
      <w:pPr>
        <w:pStyle w:val="Normal"/>
        <w:spacing w:lineRule="auto" w:line="360"/>
        <w:jc w:val="both"/>
        <w:rPr/>
      </w:pPr>
      <w:r>
        <w:rPr>
          <w:rFonts w:ascii="Arial" w:hAnsi="Arial" w:cs="Arial" w:eastAsia="仿宋_GB2312;仿宋"/>
          <w:sz w:val="28"/>
          <w:szCs w:val="18"/>
        </w:rPr>
        <w:t>（四）受托估价方掌握的有关资料和评估专业人员实地勘察、调查所获取的资料实地勘查</w:t>
      </w:r>
      <w:r>
        <w:rPr>
          <w:rFonts w:ascii="Arial" w:hAnsi="Arial" w:cs="Arial" w:eastAsia="仿宋_GB2312;仿宋"/>
          <w:sz w:val="28"/>
        </w:rPr>
        <w:t>的有关资料</w:t>
      </w:r>
    </w:p>
    <w:p>
      <w:pPr>
        <w:pStyle w:val="Normal"/>
        <w:spacing w:lineRule="auto" w:line="360"/>
        <w:jc w:val="both"/>
        <w:rPr>
          <w:rFonts w:ascii="Arial" w:hAnsi="Arial" w:eastAsia="仿宋_GB2312;仿宋" w:cs="Arial"/>
          <w:sz w:val="28"/>
        </w:rPr>
      </w:pPr>
      <w:r>
        <w:rPr>
          <w:rFonts w:eastAsia="仿宋_GB2312;仿宋" w:cs="Arial" w:ascii="Arial" w:hAnsi="Arial"/>
          <w:sz w:val="28"/>
        </w:rPr>
      </w:r>
    </w:p>
    <w:p>
      <w:pPr>
        <w:pStyle w:val="Normal"/>
        <w:numPr>
          <w:ilvl w:val="0"/>
          <w:numId w:val="0"/>
        </w:numPr>
        <w:spacing w:lineRule="auto" w:line="360"/>
        <w:outlineLvl w:val="1"/>
        <w:rPr>
          <w:rFonts w:ascii="Arial" w:hAnsi="Arial" w:eastAsia="仿宋_GB2312;仿宋" w:cs="Arial"/>
          <w:b/>
          <w:b/>
          <w:sz w:val="28"/>
        </w:rPr>
      </w:pPr>
      <w:bookmarkStart w:id="35" w:name="__RefHeading___Toc530042245"/>
      <w:bookmarkEnd w:id="35"/>
      <w:r>
        <w:rPr>
          <w:rFonts w:ascii="Arial" w:hAnsi="Arial" w:cs="Arial" w:eastAsia="仿宋_GB2312;仿宋"/>
          <w:b/>
          <w:sz w:val="28"/>
        </w:rPr>
        <w:t>六、估价期日</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2023</w:t>
      </w:r>
      <w:r>
        <w:rPr>
          <w:rFonts w:ascii="Arial" w:hAnsi="Arial" w:cs="Arial" w:eastAsia="仿宋_GB2312;仿宋"/>
          <w:sz w:val="28"/>
        </w:rPr>
        <w:t>年</w:t>
      </w:r>
      <w:r>
        <w:rPr>
          <w:rFonts w:eastAsia="仿宋_GB2312;仿宋" w:cs="Arial" w:ascii="Arial" w:hAnsi="Arial"/>
          <w:sz w:val="28"/>
        </w:rPr>
        <w:t>11</w:t>
      </w:r>
      <w:r>
        <w:rPr>
          <w:rFonts w:ascii="Arial" w:hAnsi="Arial" w:cs="Arial" w:eastAsia="仿宋_GB2312;仿宋"/>
          <w:sz w:val="28"/>
        </w:rPr>
        <w:t>月</w:t>
      </w:r>
      <w:r>
        <w:rPr>
          <w:rFonts w:eastAsia="仿宋_GB2312;仿宋" w:cs="Arial" w:ascii="Arial" w:hAnsi="Arial"/>
          <w:sz w:val="28"/>
        </w:rPr>
        <w:t>18</w:t>
      </w:r>
      <w:r>
        <w:rPr>
          <w:rFonts w:ascii="Arial" w:hAnsi="Arial" w:cs="Arial" w:eastAsia="仿宋_GB2312;仿宋"/>
          <w:sz w:val="28"/>
        </w:rPr>
        <w:t>日（</w:t>
      </w:r>
      <w:r>
        <w:rPr>
          <w:rFonts w:ascii="Arial" w:hAnsi="Arial" w:cs="Arial" w:eastAsia="仿宋_GB2312;仿宋"/>
          <w:sz w:val="28"/>
        </w:rPr>
        <w:t>根据《委托估价函》</w:t>
      </w:r>
      <w:r>
        <w:rPr>
          <w:rFonts w:ascii="Arial" w:hAnsi="Arial" w:cs="Arial" w:eastAsia="仿宋_GB2312;仿宋"/>
          <w:sz w:val="28"/>
        </w:rPr>
        <w:t>）</w:t>
      </w:r>
    </w:p>
    <w:p>
      <w:pPr>
        <w:pStyle w:val="Normal"/>
        <w:spacing w:lineRule="auto" w:line="360"/>
        <w:rPr>
          <w:rFonts w:ascii="Arial" w:hAnsi="Arial" w:eastAsia="仿宋_GB2312;仿宋" w:cs="Arial"/>
          <w:b/>
          <w:b/>
          <w:bCs/>
          <w:sz w:val="28"/>
        </w:rPr>
      </w:pPr>
      <w:r>
        <w:rPr>
          <w:rFonts w:eastAsia="仿宋_GB2312;仿宋" w:cs="Arial" w:ascii="Arial" w:hAnsi="Arial"/>
          <w:b/>
          <w:bCs/>
          <w:sz w:val="28"/>
        </w:rPr>
      </w:r>
    </w:p>
    <w:p>
      <w:pPr>
        <w:pStyle w:val="Normal"/>
        <w:numPr>
          <w:ilvl w:val="0"/>
          <w:numId w:val="0"/>
        </w:numPr>
        <w:spacing w:lineRule="auto" w:line="360"/>
        <w:outlineLvl w:val="1"/>
        <w:rPr>
          <w:rFonts w:ascii="Arial" w:hAnsi="Arial" w:eastAsia="仿宋_GB2312;仿宋" w:cs="Arial"/>
          <w:b/>
          <w:b/>
          <w:bCs/>
          <w:sz w:val="28"/>
        </w:rPr>
      </w:pPr>
      <w:bookmarkStart w:id="36" w:name="__RefHeading___Toc530042246"/>
      <w:r>
        <w:rPr>
          <w:rFonts w:ascii="Arial" w:hAnsi="Arial" w:cs="Arial" w:eastAsia="仿宋_GB2312;仿宋"/>
          <w:b/>
          <w:bCs/>
          <w:sz w:val="28"/>
        </w:rPr>
        <w:t>七、</w:t>
      </w:r>
      <w:bookmarkEnd w:id="36"/>
      <w:r>
        <w:rPr>
          <w:rFonts w:ascii="Arial" w:hAnsi="Arial" w:cs="Arial" w:eastAsia="仿宋_GB2312;仿宋"/>
          <w:b/>
          <w:bCs/>
          <w:sz w:val="28"/>
        </w:rPr>
        <w:t>估价日期</w:t>
      </w:r>
    </w:p>
    <w:p>
      <w:pPr>
        <w:pStyle w:val="Normal"/>
        <w:spacing w:lineRule="auto" w:line="360"/>
        <w:ind w:firstLine="560"/>
        <w:rPr>
          <w:rFonts w:ascii="Arial" w:hAnsi="Arial" w:eastAsia="仿宋_GB2312;仿宋" w:cs="Arial"/>
          <w:sz w:val="28"/>
        </w:rPr>
      </w:pPr>
      <w:r>
        <w:rPr>
          <w:rFonts w:eastAsia="仿宋_GB2312;仿宋" w:cs="Arial" w:ascii="Arial" w:hAnsi="Arial"/>
          <w:sz w:val="28"/>
        </w:rPr>
        <w:t>2022</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2</w:t>
      </w:r>
      <w:r>
        <w:rPr>
          <w:rFonts w:ascii="Arial" w:hAnsi="Arial" w:cs="Arial" w:eastAsia="仿宋_GB2312;仿宋"/>
          <w:sz w:val="28"/>
        </w:rPr>
        <w:t>日至</w:t>
      </w:r>
      <w:r>
        <w:rPr>
          <w:rFonts w:eastAsia="仿宋_GB2312;仿宋" w:cs="Arial" w:ascii="Arial" w:hAnsi="Arial"/>
          <w:sz w:val="28"/>
        </w:rPr>
        <w:t>2024</w:t>
      </w:r>
      <w:r>
        <w:rPr>
          <w:rFonts w:ascii="Arial" w:hAnsi="Arial" w:cs="Arial" w:eastAsia="仿宋_GB2312;仿宋"/>
          <w:sz w:val="28"/>
        </w:rPr>
        <w:t>年</w:t>
      </w:r>
      <w:r>
        <w:rPr>
          <w:rFonts w:eastAsia="仿宋_GB2312;仿宋" w:cs="Arial" w:ascii="Arial" w:hAnsi="Arial"/>
          <w:sz w:val="28"/>
        </w:rPr>
        <w:t>5</w:t>
      </w:r>
      <w:r>
        <w:rPr>
          <w:rFonts w:ascii="Arial" w:hAnsi="Arial" w:cs="Arial" w:eastAsia="仿宋_GB2312;仿宋"/>
          <w:sz w:val="28"/>
        </w:rPr>
        <w:t>月</w:t>
      </w:r>
      <w:r>
        <w:rPr>
          <w:rFonts w:eastAsia="仿宋_GB2312;仿宋" w:cs="Arial" w:ascii="Arial" w:hAnsi="Arial"/>
          <w:sz w:val="28"/>
        </w:rPr>
        <w:t>30</w:t>
      </w:r>
      <w:r>
        <w:rPr>
          <w:rFonts w:ascii="Arial" w:hAnsi="Arial" w:cs="Arial" w:eastAsia="仿宋_GB2312;仿宋"/>
          <w:sz w:val="28"/>
        </w:rPr>
        <w:t>日</w:t>
      </w:r>
    </w:p>
    <w:p>
      <w:pPr>
        <w:pStyle w:val="35"/>
        <w:spacing w:lineRule="auto" w:line="360"/>
        <w:ind w:left="1405" w:hanging="1405"/>
        <w:jc w:val="left"/>
        <w:rPr>
          <w:rFonts w:ascii="Arial" w:hAnsi="Arial" w:eastAsia="仿宋_GB2312;仿宋" w:cs="Arial"/>
          <w:b/>
          <w:b/>
          <w:bCs/>
          <w:sz w:val="28"/>
        </w:rPr>
      </w:pPr>
      <w:r>
        <w:rPr>
          <w:rFonts w:eastAsia="仿宋_GB2312;仿宋" w:cs="Arial" w:ascii="Arial" w:hAnsi="Arial"/>
          <w:b/>
          <w:bCs/>
          <w:sz w:val="28"/>
        </w:rPr>
      </w:r>
    </w:p>
    <w:p>
      <w:pPr>
        <w:pStyle w:val="35"/>
        <w:numPr>
          <w:ilvl w:val="0"/>
          <w:numId w:val="0"/>
        </w:numPr>
        <w:spacing w:lineRule="auto" w:line="360"/>
        <w:ind w:left="1405" w:hanging="1405"/>
        <w:jc w:val="left"/>
        <w:outlineLvl w:val="1"/>
        <w:rPr/>
      </w:pPr>
      <w:bookmarkStart w:id="37" w:name="__RefHeading___Toc530042247"/>
      <w:bookmarkEnd w:id="37"/>
      <w:r>
        <w:rPr>
          <w:rFonts w:ascii="Arial" w:hAnsi="Arial" w:cs="Arial" w:eastAsia="仿宋_GB2312;仿宋"/>
          <w:b/>
          <w:bCs/>
          <w:sz w:val="28"/>
        </w:rPr>
        <w:t>八</w:t>
      </w:r>
      <w:r>
        <w:rPr>
          <w:rFonts w:ascii="Arial" w:hAnsi="Arial" w:cs="Arial" w:eastAsia="仿宋_GB2312;仿宋"/>
          <w:b/>
          <w:bCs/>
          <w:sz w:val="28"/>
          <w:lang w:eastAsia="zh-CN"/>
        </w:rPr>
        <w:t>、</w:t>
      </w:r>
      <w:r>
        <w:rPr>
          <w:rFonts w:ascii="Arial" w:hAnsi="Arial" w:cs="Arial" w:eastAsia="仿宋_GB2312;仿宋"/>
          <w:b/>
          <w:bCs/>
          <w:sz w:val="28"/>
        </w:rPr>
        <w:t>地价定义</w:t>
      </w:r>
    </w:p>
    <w:p>
      <w:pPr>
        <w:pStyle w:val="Normal"/>
        <w:spacing w:lineRule="auto" w:line="360"/>
        <w:ind w:firstLine="560"/>
        <w:jc w:val="both"/>
        <w:rPr>
          <w:rFonts w:ascii="Arial" w:hAnsi="Arial" w:eastAsia="仿宋_GB2312;仿宋" w:cs="Arial"/>
          <w:sz w:val="28"/>
        </w:rPr>
      </w:pPr>
      <w:bookmarkStart w:id="38" w:name="__RefHeading___Toc530042248"/>
      <w:r>
        <w:rPr>
          <w:rFonts w:ascii="Arial" w:hAnsi="Arial" w:cs="Arial" w:eastAsia="仿宋_GB2312;仿宋"/>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其中：</w:t>
      </w:r>
      <w:r>
        <w:rPr>
          <w:rFonts w:ascii="Arial" w:hAnsi="Arial" w:cs="Arial" w:eastAsia="Arial"/>
          <w:sz w:val="28"/>
        </w:rPr>
        <w:t xml:space="preserve"> </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（一）土地使用权价格</w:t>
      </w:r>
    </w:p>
    <w:p>
      <w:pPr>
        <w:pStyle w:val="Normal"/>
        <w:spacing w:lineRule="auto" w:line="360"/>
        <w:ind w:firstLine="560"/>
        <w:jc w:val="both"/>
        <w:rPr/>
      </w:pPr>
      <w:r>
        <w:rPr>
          <w:rFonts w:ascii="Arial" w:hAnsi="Arial" w:cs="Arial" w:eastAsia="仿宋_GB2312;仿宋"/>
          <w:sz w:val="28"/>
        </w:rPr>
        <w:t>估价对象位于海淀区建材城中路</w:t>
      </w:r>
      <w:r>
        <w:rPr>
          <w:rFonts w:eastAsia="仿宋_GB2312;仿宋" w:cs="Arial" w:ascii="Arial" w:hAnsi="Arial"/>
          <w:sz w:val="28"/>
        </w:rPr>
        <w:t>2</w:t>
      </w:r>
      <w:r>
        <w:rPr>
          <w:rFonts w:ascii="Arial" w:hAnsi="Arial" w:cs="Arial" w:eastAsia="仿宋_GB2312;仿宋"/>
          <w:sz w:val="28"/>
        </w:rPr>
        <w:t>号，根据估价目的及</w:t>
      </w:r>
      <w:r>
        <w:rPr>
          <w:rFonts w:ascii="Arial" w:hAnsi="Arial" w:cs="Arial" w:eastAsia="仿宋_GB2312;仿宋"/>
          <w:sz w:val="28"/>
        </w:rPr>
        <w:t>估价依据</w:t>
      </w:r>
      <w:r>
        <w:rPr>
          <w:rFonts w:ascii="Arial" w:hAnsi="Arial" w:cs="Arial" w:eastAsia="仿宋_GB2312;仿宋"/>
          <w:sz w:val="28"/>
        </w:rPr>
        <w:t>，</w:t>
      </w:r>
      <w:r>
        <w:rPr>
          <w:rFonts w:ascii="Arial" w:hAnsi="Arial" w:cs="Arial" w:eastAsia="仿宋_GB2312;仿宋"/>
          <w:sz w:val="28"/>
        </w:rPr>
        <w:t>地价评估的技术规程、方法和项目的具体要求，参照正常收购价格水平，评估国有建设用地使用权价格。</w:t>
      </w:r>
      <w:r>
        <w:rPr>
          <w:rFonts w:ascii="Arial" w:hAnsi="Arial" w:cs="Arial" w:eastAsia="仿宋_GB2312;仿宋"/>
          <w:sz w:val="28"/>
        </w:rPr>
        <w:t>结合委托估价方提供的资料及</w:t>
      </w:r>
      <w:r>
        <w:rPr>
          <w:rFonts w:ascii="Arial" w:hAnsi="Arial" w:cs="Arial" w:eastAsia="仿宋_GB2312;仿宋"/>
          <w:sz w:val="28"/>
        </w:rPr>
        <w:t>专业</w:t>
      </w:r>
      <w:r>
        <w:rPr>
          <w:rFonts w:ascii="Arial" w:hAnsi="Arial" w:cs="Arial" w:eastAsia="仿宋_GB2312;仿宋"/>
          <w:sz w:val="28"/>
        </w:rPr>
        <w:t>人员现场勘查，在估价期日的地价定义如下。</w:t>
      </w:r>
    </w:p>
    <w:p>
      <w:pPr>
        <w:pStyle w:val="Normal"/>
        <w:numPr>
          <w:ilvl w:val="0"/>
          <w:numId w:val="3"/>
        </w:numPr>
        <w:spacing w:lineRule="auto" w:line="360"/>
        <w:jc w:val="both"/>
        <w:rPr/>
      </w:pPr>
      <w:r>
        <w:rPr>
          <w:rFonts w:ascii="Arial" w:hAnsi="Arial" w:cs="Arial" w:eastAsia="仿宋_GB2312;仿宋"/>
          <w:sz w:val="28"/>
        </w:rPr>
        <w:t>估价期日：</w:t>
      </w:r>
    </w:p>
    <w:p>
      <w:pPr>
        <w:pStyle w:val="Normal"/>
        <w:spacing w:lineRule="auto" w:line="360"/>
        <w:ind w:firstLine="560"/>
        <w:jc w:val="both"/>
        <w:rPr/>
      </w:pPr>
      <w:r>
        <w:rPr>
          <w:rFonts w:ascii="Arial" w:hAnsi="Arial" w:cs="Arial" w:eastAsia="仿宋_GB2312;仿宋"/>
          <w:sz w:val="28"/>
          <w:highlight w:val="yellow"/>
        </w:rPr>
        <w:t>评估专业人员于</w:t>
      </w:r>
      <w:r>
        <w:rPr>
          <w:rFonts w:eastAsia="仿宋_GB2312;仿宋" w:cs="Arial" w:ascii="Arial" w:hAnsi="Arial"/>
          <w:sz w:val="28"/>
          <w:highlight w:val="yellow"/>
        </w:rPr>
        <w:t>2023</w:t>
      </w:r>
      <w:r>
        <w:rPr>
          <w:rFonts w:ascii="Arial" w:hAnsi="Arial" w:cs="Arial" w:eastAsia="仿宋_GB2312;仿宋"/>
          <w:sz w:val="28"/>
          <w:highlight w:val="yellow"/>
        </w:rPr>
        <w:t>年</w:t>
      </w:r>
      <w:r>
        <w:rPr>
          <w:rFonts w:eastAsia="仿宋_GB2312;仿宋" w:cs="Arial" w:ascii="Arial" w:hAnsi="Arial"/>
          <w:sz w:val="28"/>
          <w:highlight w:val="yellow"/>
        </w:rPr>
        <w:t>11</w:t>
      </w:r>
      <w:r>
        <w:rPr>
          <w:rFonts w:ascii="Arial" w:hAnsi="Arial" w:cs="Arial" w:eastAsia="仿宋_GB2312;仿宋"/>
          <w:sz w:val="28"/>
          <w:highlight w:val="yellow"/>
        </w:rPr>
        <w:t>月</w:t>
      </w:r>
      <w:r>
        <w:rPr>
          <w:rFonts w:eastAsia="仿宋_GB2312;仿宋" w:cs="Arial" w:ascii="Arial" w:hAnsi="Arial"/>
          <w:sz w:val="28"/>
          <w:highlight w:val="yellow"/>
        </w:rPr>
        <w:t>18</w:t>
      </w:r>
      <w:r>
        <w:rPr>
          <w:rFonts w:ascii="Arial" w:hAnsi="Arial" w:cs="Arial" w:eastAsia="仿宋_GB2312;仿宋"/>
          <w:sz w:val="28"/>
          <w:highlight w:val="yellow"/>
        </w:rPr>
        <w:t>日对估价对象进行实地查勘</w:t>
      </w:r>
      <w:r>
        <w:rPr>
          <w:rFonts w:ascii="Arial" w:hAnsi="Arial" w:cs="Arial" w:eastAsia="仿宋_GB2312;仿宋"/>
          <w:sz w:val="28"/>
        </w:rPr>
        <w:t>，本次评估设定估价期日即为</w:t>
      </w:r>
      <w:r>
        <w:rPr>
          <w:rFonts w:eastAsia="仿宋_GB2312;仿宋" w:cs="Arial" w:ascii="Arial" w:hAnsi="Arial"/>
          <w:sz w:val="28"/>
        </w:rPr>
        <w:t>2023</w:t>
      </w:r>
      <w:r>
        <w:rPr>
          <w:rFonts w:ascii="Arial" w:hAnsi="Arial" w:cs="Arial" w:eastAsia="仿宋_GB2312;仿宋"/>
          <w:sz w:val="28"/>
        </w:rPr>
        <w:t>年</w:t>
      </w:r>
      <w:r>
        <w:rPr>
          <w:rFonts w:eastAsia="仿宋_GB2312;仿宋" w:cs="Arial" w:ascii="Arial" w:hAnsi="Arial"/>
          <w:sz w:val="28"/>
        </w:rPr>
        <w:t>11</w:t>
      </w:r>
      <w:r>
        <w:rPr>
          <w:rFonts w:ascii="Arial" w:hAnsi="Arial" w:cs="Arial" w:eastAsia="仿宋_GB2312;仿宋"/>
          <w:sz w:val="28"/>
        </w:rPr>
        <w:t>月</w:t>
      </w:r>
      <w:r>
        <w:rPr>
          <w:rFonts w:eastAsia="仿宋_GB2312;仿宋" w:cs="Arial" w:ascii="Arial" w:hAnsi="Arial"/>
          <w:sz w:val="28"/>
        </w:rPr>
        <w:t>18</w:t>
      </w:r>
      <w:r>
        <w:rPr>
          <w:rFonts w:ascii="Arial" w:hAnsi="Arial" w:cs="Arial" w:eastAsia="仿宋_GB2312;仿宋"/>
          <w:sz w:val="28"/>
        </w:rPr>
        <w:t>日。</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2.</w:t>
      </w:r>
      <w:r>
        <w:rPr>
          <w:rFonts w:ascii="Arial" w:hAnsi="Arial" w:cs="Arial" w:eastAsia="仿宋_GB2312;仿宋"/>
          <w:sz w:val="28"/>
        </w:rPr>
        <w:t>土地用途设定：</w:t>
      </w:r>
    </w:p>
    <w:p>
      <w:pPr>
        <w:pStyle w:val="Normal"/>
        <w:spacing w:lineRule="auto" w:line="360"/>
        <w:ind w:firstLine="560"/>
        <w:jc w:val="both"/>
        <w:rPr/>
      </w:pPr>
      <w:r>
        <w:rPr>
          <w:rFonts w:ascii="Arial" w:hAnsi="Arial" w:cs="Arial" w:eastAsia="仿宋_GB2312;仿宋"/>
          <w:sz w:val="28"/>
        </w:rPr>
        <w:t>根据《国有土地使用证》</w:t>
      </w:r>
      <w:r>
        <w:rPr>
          <w:rFonts w:eastAsia="仿宋_GB2312;仿宋" w:cs="Arial" w:ascii="Arial" w:hAnsi="Arial"/>
          <w:sz w:val="28"/>
        </w:rPr>
        <w:t>[</w:t>
      </w:r>
      <w:r>
        <w:rPr>
          <w:rFonts w:ascii="Arial" w:hAnsi="Arial" w:cs="Arial" w:eastAsia="仿宋_GB2312;仿宋"/>
          <w:sz w:val="28"/>
        </w:rPr>
        <w:t>京海国用（</w:t>
      </w:r>
      <w:r>
        <w:rPr>
          <w:rFonts w:eastAsia="仿宋_GB2312;仿宋" w:cs="Arial" w:ascii="Arial" w:hAnsi="Arial"/>
          <w:sz w:val="28"/>
        </w:rPr>
        <w:t>2004</w:t>
      </w:r>
      <w:r>
        <w:rPr>
          <w:rFonts w:ascii="Arial" w:hAnsi="Arial" w:cs="Arial" w:eastAsia="仿宋_GB2312;仿宋"/>
          <w:sz w:val="28"/>
        </w:rPr>
        <w:t>划）字第</w:t>
      </w:r>
      <w:r>
        <w:rPr>
          <w:rFonts w:eastAsia="仿宋_GB2312;仿宋" w:cs="Arial" w:ascii="Arial" w:hAnsi="Arial"/>
          <w:sz w:val="28"/>
        </w:rPr>
        <w:t>2880</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复印件，本次评估估价对象证载地类（用途）为工业用地。本次评估设定用途即为证载用途工业用地。</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3.</w:t>
      </w:r>
      <w:r>
        <w:rPr>
          <w:rFonts w:ascii="Arial" w:hAnsi="Arial" w:cs="Arial" w:eastAsia="仿宋_GB2312;仿宋"/>
          <w:sz w:val="28"/>
        </w:rPr>
        <w:t>土地使用权类型：</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依据《国有土地使用证》</w:t>
      </w:r>
      <w:r>
        <w:rPr>
          <w:rFonts w:eastAsia="仿宋_GB2312;仿宋" w:cs="Arial" w:ascii="Arial" w:hAnsi="Arial"/>
          <w:sz w:val="28"/>
        </w:rPr>
        <w:t>[</w:t>
      </w:r>
      <w:r>
        <w:rPr>
          <w:rFonts w:ascii="Arial" w:hAnsi="Arial" w:cs="Arial" w:eastAsia="仿宋_GB2312;仿宋"/>
          <w:sz w:val="28"/>
        </w:rPr>
        <w:t>京海国用（</w:t>
      </w:r>
      <w:r>
        <w:rPr>
          <w:rFonts w:eastAsia="仿宋_GB2312;仿宋" w:cs="Arial" w:ascii="Arial" w:hAnsi="Arial"/>
          <w:sz w:val="28"/>
        </w:rPr>
        <w:t>2004</w:t>
      </w:r>
      <w:r>
        <w:rPr>
          <w:rFonts w:ascii="Arial" w:hAnsi="Arial" w:cs="Arial" w:eastAsia="仿宋_GB2312;仿宋"/>
          <w:sz w:val="28"/>
        </w:rPr>
        <w:t>划）字第</w:t>
      </w:r>
      <w:r>
        <w:rPr>
          <w:rFonts w:eastAsia="仿宋_GB2312;仿宋" w:cs="Arial" w:ascii="Arial" w:hAnsi="Arial"/>
          <w:sz w:val="28"/>
        </w:rPr>
        <w:t>2880</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复印件记载，估价对象土地使用权类型为划拨。</w:t>
      </w:r>
      <w:r>
        <w:rPr>
          <w:rFonts w:ascii="Arial" w:hAnsi="Arial" w:cs="Arial" w:eastAsia="仿宋_GB2312;仿宋"/>
          <w:sz w:val="28"/>
        </w:rPr>
        <w:t>故本次评估的是其划拨国有建设用地使用权价格。</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4.</w:t>
      </w:r>
      <w:r>
        <w:rPr>
          <w:rFonts w:ascii="Arial" w:hAnsi="Arial" w:cs="Arial" w:eastAsia="仿宋_GB2312;仿宋"/>
          <w:sz w:val="28"/>
        </w:rPr>
        <w:t>土地开发程度设定：</w:t>
      </w:r>
    </w:p>
    <w:p>
      <w:pPr>
        <w:pStyle w:val="Normal"/>
        <w:spacing w:lineRule="auto" w:line="360"/>
        <w:ind w:firstLine="560"/>
        <w:jc w:val="both"/>
        <w:rPr>
          <w:rFonts w:ascii="仿宋_GB2312;仿宋" w:hAnsi="仿宋_GB2312;仿宋" w:eastAsia="仿宋_GB2312;仿宋" w:cs="Arial"/>
          <w:sz w:val="28"/>
        </w:rPr>
      </w:pPr>
      <w:r>
        <w:rPr>
          <w:rFonts w:ascii="仿宋_GB2312;仿宋" w:hAnsi="仿宋_GB2312;仿宋" w:cs="Arial" w:eastAsia="仿宋_GB2312;仿宋"/>
          <w:sz w:val="28"/>
        </w:rPr>
        <w:t>根据委托估价方介绍及评估专业人员现场勘查，估价对象于估价期日的实际开发程度为宗地红线内、外“七通”（即通路、通上水、通下水、通燃气、通电、通讯、通热），宗地红线内有现状房屋。结合估价目的，评估设定宗地外“七通”（即通路、通上水、通下水、通燃气、通电、通讯、通热），宗地内场地自然平整。</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5.</w:t>
      </w:r>
      <w:r>
        <w:rPr>
          <w:rFonts w:ascii="Arial" w:hAnsi="Arial" w:cs="Arial" w:eastAsia="仿宋_GB2312;仿宋"/>
          <w:sz w:val="28"/>
        </w:rPr>
        <w:t>土地使用权年限设定：</w:t>
      </w:r>
    </w:p>
    <w:p>
      <w:pPr>
        <w:pStyle w:val="Normal"/>
        <w:spacing w:lineRule="auto" w:line="360"/>
        <w:ind w:firstLine="560"/>
        <w:jc w:val="both"/>
        <w:rPr/>
      </w:pPr>
      <w:r>
        <w:rPr>
          <w:rFonts w:ascii="Arial" w:hAnsi="Arial" w:cs="Arial" w:eastAsia="仿宋_GB2312;仿宋"/>
          <w:sz w:val="28"/>
        </w:rPr>
        <w:t>本次估价对象为划拨国有建设用地使用权，</w:t>
      </w:r>
      <w:r>
        <w:rPr>
          <w:rFonts w:ascii="Arial" w:hAnsi="Arial" w:cs="Arial" w:eastAsia="仿宋_GB2312;仿宋"/>
          <w:sz w:val="28"/>
        </w:rPr>
        <w:t>无年期限制，</w:t>
      </w:r>
      <w:r>
        <w:rPr>
          <w:rFonts w:ascii="Arial" w:hAnsi="Arial" w:cs="Arial" w:eastAsia="仿宋_GB2312;仿宋"/>
          <w:sz w:val="28"/>
        </w:rPr>
        <w:t>故设定剩余土地使用权无年期限制。</w:t>
      </w:r>
    </w:p>
    <w:p>
      <w:pPr>
        <w:pStyle w:val="Normal"/>
        <w:spacing w:lineRule="auto" w:line="360"/>
        <w:ind w:firstLine="560"/>
        <w:jc w:val="both"/>
        <w:rPr>
          <w:rFonts w:eastAsia="仿宋_GB2312;仿宋"/>
        </w:rPr>
      </w:pPr>
      <w:r>
        <w:rPr>
          <w:rFonts w:eastAsia="仿宋_GB2312;仿宋" w:cs="Arial" w:ascii="Arial" w:hAnsi="Arial"/>
          <w:sz w:val="28"/>
        </w:rPr>
        <w:t>6</w:t>
      </w:r>
      <w:r>
        <w:rPr>
          <w:rFonts w:eastAsia="仿宋_GB2312;仿宋" w:cs="Arial" w:ascii="Arial" w:hAnsi="Arial"/>
          <w:sz w:val="28"/>
        </w:rPr>
        <w:t>.</w:t>
      </w:r>
      <w:r>
        <w:rPr>
          <w:rFonts w:ascii="Arial" w:hAnsi="Arial" w:cs="Arial" w:eastAsia="仿宋_GB2312;仿宋"/>
          <w:sz w:val="28"/>
        </w:rPr>
        <w:t>利用条件及容积率的设定：</w:t>
      </w:r>
      <w:r>
        <w:rPr>
          <w:rFonts w:ascii="Arial" w:hAnsi="Arial" w:cs="Arial" w:eastAsia="Arial"/>
          <w:sz w:val="28"/>
        </w:rPr>
        <w:t xml:space="preserve"> </w:t>
      </w:r>
    </w:p>
    <w:p>
      <w:pPr>
        <w:pStyle w:val="Normal"/>
        <w:spacing w:lineRule="auto" w:line="360"/>
        <w:ind w:firstLine="560"/>
        <w:jc w:val="both"/>
        <w:rPr>
          <w:rFonts w:cs="Arial"/>
        </w:rPr>
      </w:pPr>
      <w:r>
        <w:rPr>
          <w:rFonts w:ascii="Arial" w:hAnsi="Arial" w:cs="Arial" w:eastAsia="仿宋_GB2312;仿宋"/>
          <w:sz w:val="28"/>
        </w:rPr>
        <w:t>根据《国有土地使用证》</w:t>
      </w:r>
      <w:r>
        <w:rPr>
          <w:rFonts w:eastAsia="仿宋_GB2312;仿宋" w:cs="Arial" w:ascii="Arial" w:hAnsi="Arial"/>
          <w:sz w:val="28"/>
        </w:rPr>
        <w:t>[</w:t>
      </w:r>
      <w:r>
        <w:rPr>
          <w:rFonts w:ascii="Arial" w:hAnsi="Arial" w:cs="Arial" w:eastAsia="仿宋_GB2312;仿宋"/>
          <w:sz w:val="28"/>
        </w:rPr>
        <w:t>京海国用（</w:t>
      </w:r>
      <w:r>
        <w:rPr>
          <w:rFonts w:eastAsia="仿宋_GB2312;仿宋" w:cs="Arial" w:ascii="Arial" w:hAnsi="Arial"/>
          <w:sz w:val="28"/>
        </w:rPr>
        <w:t>2004</w:t>
      </w:r>
      <w:r>
        <w:rPr>
          <w:rFonts w:ascii="Arial" w:hAnsi="Arial" w:cs="Arial" w:eastAsia="仿宋_GB2312;仿宋"/>
          <w:sz w:val="28"/>
        </w:rPr>
        <w:t>划）字第</w:t>
      </w:r>
      <w:r>
        <w:rPr>
          <w:rFonts w:eastAsia="仿宋_GB2312;仿宋" w:cs="Arial" w:ascii="Arial" w:hAnsi="Arial"/>
          <w:sz w:val="28"/>
        </w:rPr>
        <w:t>2880</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、《土地权属审查告知书》</w:t>
      </w:r>
      <w:r>
        <w:rPr>
          <w:rFonts w:eastAsia="仿宋_GB2312;仿宋" w:cs="Arial" w:ascii="Arial" w:hAnsi="Arial"/>
          <w:sz w:val="28"/>
        </w:rPr>
        <w:t>[</w:t>
      </w:r>
      <w:r>
        <w:rPr>
          <w:rFonts w:ascii="Arial" w:hAnsi="Arial" w:cs="Arial" w:eastAsia="仿宋_GB2312;仿宋"/>
          <w:sz w:val="28"/>
        </w:rPr>
        <w:t>编号：海权属审（</w:t>
      </w:r>
      <w:r>
        <w:rPr>
          <w:rFonts w:eastAsia="仿宋_GB2312;仿宋" w:cs="Arial" w:ascii="Arial" w:hAnsi="Arial"/>
          <w:sz w:val="28"/>
        </w:rPr>
        <w:t>2020</w:t>
      </w:r>
      <w:r>
        <w:rPr>
          <w:rFonts w:ascii="Arial" w:hAnsi="Arial" w:cs="Arial" w:eastAsia="仿宋_GB2312;仿宋"/>
          <w:sz w:val="28"/>
        </w:rPr>
        <w:t>）字第</w:t>
      </w:r>
      <w:r>
        <w:rPr>
          <w:rFonts w:eastAsia="仿宋_GB2312;仿宋" w:cs="Arial" w:ascii="Arial" w:hAnsi="Arial"/>
          <w:sz w:val="28"/>
        </w:rPr>
        <w:t>1172</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，估价对象土地面积</w:t>
      </w:r>
      <w:r>
        <w:rPr>
          <w:rFonts w:eastAsia="仿宋_GB2312;仿宋" w:cs="Arial" w:ascii="Arial" w:hAnsi="Arial"/>
          <w:sz w:val="28"/>
        </w:rPr>
        <w:t>10738.85</w:t>
      </w:r>
      <w:r>
        <w:rPr>
          <w:rFonts w:ascii="Arial" w:hAnsi="Arial" w:cs="Arial" w:eastAsia="仿宋_GB2312;仿宋"/>
          <w:sz w:val="28"/>
        </w:rPr>
        <w:t>平方米；根据《房屋所有权证》</w:t>
      </w:r>
      <w:r>
        <w:rPr>
          <w:rFonts w:eastAsia="仿宋_GB2312;仿宋" w:cs="Arial" w:ascii="Arial" w:hAnsi="Arial"/>
          <w:sz w:val="28"/>
        </w:rPr>
        <w:t>[</w:t>
      </w:r>
      <w:r>
        <w:rPr>
          <w:rFonts w:ascii="Arial" w:hAnsi="Arial" w:cs="Arial" w:eastAsia="仿宋_GB2312;仿宋"/>
          <w:sz w:val="28"/>
        </w:rPr>
        <w:t>海全字第</w:t>
      </w:r>
      <w:r>
        <w:rPr>
          <w:rFonts w:eastAsia="仿宋_GB2312;仿宋" w:cs="Arial" w:ascii="Arial" w:hAnsi="Arial"/>
          <w:sz w:val="28"/>
        </w:rPr>
        <w:t>01614</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、《关于西三旗建材城中路</w:t>
      </w:r>
      <w:r>
        <w:rPr>
          <w:rFonts w:eastAsia="仿宋_GB2312;仿宋" w:cs="Arial" w:ascii="Arial" w:hAnsi="Arial"/>
          <w:sz w:val="28"/>
        </w:rPr>
        <w:t>2</w:t>
      </w:r>
      <w:r>
        <w:rPr>
          <w:rFonts w:ascii="Arial" w:hAnsi="Arial" w:cs="Arial" w:eastAsia="仿宋_GB2312;仿宋"/>
          <w:sz w:val="28"/>
        </w:rPr>
        <w:t>号地块收储情况说明》</w:t>
      </w:r>
      <w:r>
        <w:rPr>
          <w:rFonts w:ascii="Arial" w:hAnsi="Arial" w:cs="Arial" w:eastAsia="仿宋_GB2312;仿宋"/>
          <w:sz w:val="28"/>
          <w:lang w:val="zh-CN"/>
        </w:rPr>
        <w:t>，</w:t>
      </w:r>
      <w:r>
        <w:rPr>
          <w:rFonts w:ascii="Arial" w:hAnsi="Arial" w:cs="Arial" w:eastAsia="仿宋_GB2312;仿宋"/>
          <w:sz w:val="28"/>
        </w:rPr>
        <w:t>宗地内房屋建筑面积为</w:t>
      </w:r>
      <w:r>
        <w:rPr>
          <w:rFonts w:eastAsia="仿宋_GB2312;仿宋" w:cs="Arial" w:ascii="Arial" w:hAnsi="Arial"/>
          <w:sz w:val="28"/>
        </w:rPr>
        <w:t>677.9</w:t>
      </w:r>
      <w:r>
        <w:rPr>
          <w:rFonts w:ascii="Arial" w:hAnsi="Arial" w:cs="Arial" w:eastAsia="仿宋_GB2312;仿宋"/>
          <w:sz w:val="28"/>
        </w:rPr>
        <w:t>平方米，实际容积率为</w:t>
      </w:r>
      <w:r>
        <w:rPr>
          <w:rFonts w:eastAsia="仿宋_GB2312;仿宋" w:cs="Arial" w:ascii="Arial" w:hAnsi="Arial"/>
          <w:sz w:val="28"/>
        </w:rPr>
        <w:t>0.06</w:t>
      </w:r>
      <w:r>
        <w:rPr>
          <w:rFonts w:ascii="Arial" w:hAnsi="Arial" w:cs="Arial" w:eastAsia="仿宋_GB2312;仿宋"/>
          <w:sz w:val="28"/>
        </w:rPr>
        <w:t>。估价对象房屋情况如下表：</w:t>
      </w:r>
    </w:p>
    <w:tbl>
      <w:tblPr>
        <w:tblW w:w="5770" w:type="dxa"/>
        <w:jc w:val="center"/>
        <w:tblInd w:w="0" w:type="dxa"/>
        <w:tblCellMar>
          <w:top w:w="0" w:type="dxa"/>
          <w:left w:w="108" w:type="dxa"/>
          <w:bottom w:w="0" w:type="dxa"/>
          <w:right w:w="108" w:type="dxa"/>
        </w:tblCellMar>
      </w:tblPr>
      <w:tblGrid>
        <w:gridCol w:w="1080"/>
        <w:gridCol w:w="1080"/>
        <w:gridCol w:w="1316"/>
        <w:gridCol w:w="2294"/>
      </w:tblGrid>
      <w:tr>
        <w:trPr>
          <w:trHeight w:val="315" w:hRule="atLeast"/>
        </w:trPr>
        <w:tc>
          <w:tcPr>
            <w:tcW w:w="1080"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rPr>
            </w:pPr>
            <w:r>
              <w:rPr>
                <w:rFonts w:ascii="Arial" w:hAnsi="Arial" w:cs="Arial" w:eastAsia="仿宋_GB2312;仿宋"/>
                <w:b/>
              </w:rPr>
              <w:t>楼号</w:t>
            </w:r>
          </w:p>
        </w:tc>
        <w:tc>
          <w:tcPr>
            <w:tcW w:w="1080"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rPr>
            </w:pPr>
            <w:r>
              <w:rPr>
                <w:rFonts w:ascii="Arial" w:hAnsi="Arial" w:cs="Arial" w:eastAsia="仿宋_GB2312;仿宋"/>
                <w:b/>
              </w:rPr>
              <w:t>结构</w:t>
            </w:r>
          </w:p>
        </w:tc>
        <w:tc>
          <w:tcPr>
            <w:tcW w:w="1316"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rPr>
            </w:pPr>
            <w:r>
              <w:rPr>
                <w:rFonts w:ascii="Arial" w:hAnsi="Arial" w:cs="Arial" w:eastAsia="仿宋_GB2312;仿宋"/>
                <w:b/>
              </w:rPr>
              <w:t>建成年份</w:t>
            </w:r>
          </w:p>
        </w:tc>
        <w:tc>
          <w:tcPr>
            <w:tcW w:w="22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rPr>
            </w:pPr>
            <w:r>
              <w:rPr>
                <w:rFonts w:ascii="Arial" w:hAnsi="Arial" w:cs="Arial" w:eastAsia="仿宋_GB2312;仿宋"/>
                <w:b/>
              </w:rPr>
              <w:t>建筑面积（㎡）</w:t>
            </w:r>
          </w:p>
        </w:tc>
      </w:tr>
      <w:tr>
        <w:trPr>
          <w:trHeight w:val="300" w:hRule="atLeast"/>
        </w:trPr>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25</w:t>
            </w:r>
          </w:p>
        </w:tc>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混合</w:t>
            </w:r>
          </w:p>
        </w:tc>
        <w:tc>
          <w:tcPr>
            <w:tcW w:w="131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八八</w:t>
            </w:r>
          </w:p>
        </w:tc>
        <w:tc>
          <w:tcPr>
            <w:tcW w:w="2294"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349.6</w:t>
            </w:r>
          </w:p>
        </w:tc>
      </w:tr>
      <w:tr>
        <w:trPr>
          <w:trHeight w:val="300" w:hRule="atLeast"/>
        </w:trPr>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26</w:t>
            </w:r>
          </w:p>
        </w:tc>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混合</w:t>
            </w:r>
          </w:p>
        </w:tc>
        <w:tc>
          <w:tcPr>
            <w:tcW w:w="131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八九</w:t>
            </w:r>
          </w:p>
        </w:tc>
        <w:tc>
          <w:tcPr>
            <w:tcW w:w="2294"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204.4</w:t>
            </w:r>
          </w:p>
        </w:tc>
      </w:tr>
      <w:tr>
        <w:trPr>
          <w:trHeight w:val="300" w:hRule="atLeast"/>
        </w:trPr>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39</w:t>
            </w:r>
          </w:p>
        </w:tc>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混合</w:t>
            </w:r>
          </w:p>
        </w:tc>
        <w:tc>
          <w:tcPr>
            <w:tcW w:w="131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六九</w:t>
            </w:r>
          </w:p>
        </w:tc>
        <w:tc>
          <w:tcPr>
            <w:tcW w:w="2294"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123.9</w:t>
            </w:r>
          </w:p>
        </w:tc>
      </w:tr>
      <w:tr>
        <w:trPr>
          <w:trHeight w:val="315" w:hRule="atLeast"/>
        </w:trPr>
        <w:tc>
          <w:tcPr>
            <w:tcW w:w="3476" w:type="dxa"/>
            <w:gridSpan w:val="3"/>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合计</w:t>
            </w:r>
          </w:p>
        </w:tc>
        <w:tc>
          <w:tcPr>
            <w:tcW w:w="2294"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677.9</w:t>
            </w:r>
          </w:p>
        </w:tc>
      </w:tr>
    </w:tbl>
    <w:p>
      <w:pPr>
        <w:pStyle w:val="Normal"/>
        <w:spacing w:lineRule="auto" w:line="360" w:before="120" w:after="0"/>
        <w:ind w:firstLine="560"/>
        <w:jc w:val="both"/>
        <w:rPr/>
      </w:pPr>
      <w:r>
        <w:rPr>
          <w:rFonts w:ascii="Arial" w:hAnsi="Arial" w:cs="Arial" w:eastAsia="仿宋_GB2312;仿宋"/>
          <w:sz w:val="28"/>
        </w:rPr>
        <w:t>国有建设用地使用权的收购补偿价格评估中，参照《北京市企业国有建设用地使用权收购补偿价格评估技术指引》</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2018</w:t>
      </w:r>
      <w:r>
        <w:rPr>
          <w:rFonts w:ascii="Arial" w:hAnsi="Arial" w:cs="Arial" w:eastAsia="仿宋_GB2312;仿宋"/>
          <w:sz w:val="28"/>
        </w:rPr>
        <w:t>）</w:t>
      </w:r>
      <w:r>
        <w:rPr>
          <w:rFonts w:eastAsia="仿宋_GB2312;仿宋" w:cs="Arial" w:ascii="Arial" w:hAnsi="Arial"/>
          <w:sz w:val="28"/>
        </w:rPr>
        <w:t>004</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、《关于发布</w:t>
      </w:r>
      <w:r>
        <w:rPr>
          <w:rFonts w:ascii="仿宋" w:hAnsi="仿宋" w:cs="Arial" w:eastAsia="仿宋"/>
          <w:sz w:val="28"/>
        </w:rPr>
        <w:t>〈</w:t>
      </w:r>
      <w:r>
        <w:rPr>
          <w:rFonts w:ascii="Arial" w:hAnsi="Arial" w:cs="Arial" w:eastAsia="仿宋_GB2312;仿宋"/>
          <w:sz w:val="28"/>
        </w:rPr>
        <w:t>北京市企业国有建设用地使用权收购补偿价格评估技术指引</w:t>
      </w:r>
      <w:r>
        <w:rPr>
          <w:rFonts w:ascii="仿宋" w:hAnsi="仿宋" w:cs="Arial" w:eastAsia="仿宋"/>
          <w:sz w:val="28"/>
        </w:rPr>
        <w:t>〉</w:t>
      </w:r>
      <w:r>
        <w:rPr>
          <w:rFonts w:ascii="Arial" w:hAnsi="Arial" w:cs="Arial" w:eastAsia="仿宋_GB2312;仿宋"/>
          <w:sz w:val="28"/>
        </w:rPr>
        <w:t>应用有关说明的通知》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2021</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r>
        <w:rPr>
          <w:rFonts w:eastAsia="仿宋_GB2312;仿宋" w:cs="Arial" w:ascii="Arial" w:hAnsi="Arial"/>
          <w:sz w:val="28"/>
        </w:rPr>
        <w:t xml:space="preserve"> </w:t>
      </w:r>
      <w:r>
        <w:rPr>
          <w:rFonts w:ascii="Arial" w:hAnsi="Arial" w:cs="Arial" w:eastAsia="仿宋_GB2312;仿宋"/>
          <w:sz w:val="28"/>
        </w:rPr>
        <w:t>（以下简称《指引》），当采用房地分开评估时，实际容积率小于</w:t>
      </w:r>
      <w:r>
        <w:rPr>
          <w:rFonts w:eastAsia="仿宋_GB2312;仿宋" w:cs="Arial" w:ascii="Arial" w:hAnsi="Arial"/>
          <w:sz w:val="28"/>
        </w:rPr>
        <w:t>1.0</w:t>
      </w:r>
      <w:r>
        <w:rPr>
          <w:rFonts w:ascii="Arial" w:hAnsi="Arial" w:cs="Arial" w:eastAsia="仿宋_GB2312;仿宋"/>
          <w:sz w:val="28"/>
        </w:rPr>
        <w:t>的，设定容积率为</w:t>
      </w:r>
      <w:r>
        <w:rPr>
          <w:rFonts w:eastAsia="仿宋_GB2312;仿宋" w:cs="Arial" w:ascii="Arial" w:hAnsi="Arial"/>
          <w:sz w:val="28"/>
        </w:rPr>
        <w:t>1.0</w:t>
      </w:r>
      <w:r>
        <w:rPr>
          <w:rFonts w:ascii="Arial" w:hAnsi="Arial" w:cs="Arial" w:eastAsia="仿宋_GB2312;仿宋"/>
          <w:sz w:val="28"/>
        </w:rPr>
        <w:t>进行土地使用权价格评估。故本次评估设定容积率为</w:t>
      </w:r>
      <w:r>
        <w:rPr>
          <w:rFonts w:eastAsia="仿宋_GB2312;仿宋" w:cs="Arial" w:ascii="Arial" w:hAnsi="Arial"/>
          <w:sz w:val="28"/>
        </w:rPr>
        <w:t>1.0</w:t>
      </w:r>
      <w:r>
        <w:rPr>
          <w:rFonts w:ascii="Arial" w:hAnsi="Arial" w:cs="Arial" w:eastAsia="仿宋_GB2312;仿宋"/>
          <w:sz w:val="28"/>
        </w:rPr>
        <w:t>。</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7.</w:t>
      </w:r>
      <w:r>
        <w:rPr>
          <w:rFonts w:ascii="Arial" w:hAnsi="Arial" w:cs="Arial" w:eastAsia="仿宋_GB2312;仿宋"/>
          <w:sz w:val="28"/>
        </w:rPr>
        <w:t>价值类型：</w:t>
      </w:r>
    </w:p>
    <w:p>
      <w:pPr>
        <w:pStyle w:val="Normal"/>
        <w:spacing w:lineRule="auto" w:line="360"/>
        <w:ind w:firstLine="560"/>
        <w:jc w:val="both"/>
        <w:rPr/>
      </w:pPr>
      <w:r>
        <w:rPr>
          <w:rFonts w:ascii="Arial" w:hAnsi="Arial" w:cs="Arial" w:eastAsia="仿宋_GB2312;仿宋"/>
          <w:sz w:val="28"/>
        </w:rPr>
        <w:t>本次评估估价目的</w:t>
      </w:r>
      <w:r>
        <w:rPr>
          <w:rFonts w:ascii="Arial" w:hAnsi="Arial" w:cs="Arial" w:eastAsia="仿宋_GB2312;仿宋"/>
          <w:sz w:val="28"/>
        </w:rPr>
        <w:t>：为北京市海淀区规划和自然资源综合事务中心收购的国有建设用地使用权的补偿提供依据，评估被收购国有建设用地使用权的收购补偿价格</w:t>
      </w:r>
      <w:r>
        <w:rPr>
          <w:rFonts w:ascii="Arial" w:hAnsi="Arial" w:cs="Arial" w:eastAsia="仿宋_GB2312;仿宋"/>
          <w:sz w:val="28"/>
        </w:rPr>
        <w:t>。故本次</w:t>
      </w:r>
      <w:r>
        <w:rPr>
          <w:rFonts w:ascii="Arial" w:hAnsi="Arial" w:cs="Arial" w:eastAsia="仿宋_GB2312;仿宋"/>
          <w:sz w:val="28"/>
        </w:rPr>
        <w:t>估算</w:t>
      </w:r>
      <w:r>
        <w:rPr>
          <w:rFonts w:ascii="Arial" w:hAnsi="Arial" w:cs="Arial" w:eastAsia="仿宋_GB2312;仿宋"/>
          <w:sz w:val="28"/>
        </w:rPr>
        <w:t>估价结果为特定条件下土地使用权收购补偿价格。</w:t>
      </w:r>
    </w:p>
    <w:p>
      <w:pPr>
        <w:pStyle w:val="Normal"/>
        <w:spacing w:lineRule="auto" w:line="360"/>
        <w:ind w:firstLine="560"/>
        <w:jc w:val="both"/>
        <w:rPr>
          <w:rFonts w:eastAsia="仿宋_GB2312;仿宋"/>
        </w:rPr>
      </w:pPr>
      <w:r>
        <w:rPr>
          <w:rFonts w:ascii="Arial" w:hAnsi="Arial" w:cs="Arial" w:eastAsia="仿宋_GB2312;仿宋"/>
          <w:sz w:val="28"/>
        </w:rPr>
        <w:t>综上所述，本报告所</w:t>
      </w:r>
      <w:r>
        <w:rPr>
          <w:rFonts w:ascii="Arial" w:hAnsi="Arial" w:cs="Arial" w:eastAsia="仿宋_GB2312;仿宋"/>
          <w:sz w:val="28"/>
        </w:rPr>
        <w:t>估算</w:t>
      </w:r>
      <w:r>
        <w:rPr>
          <w:rFonts w:ascii="Arial" w:hAnsi="Arial" w:cs="Arial" w:eastAsia="仿宋_GB2312;仿宋"/>
          <w:sz w:val="28"/>
        </w:rPr>
        <w:t>的土地价格为：估价对象在估价期日</w:t>
      </w:r>
      <w:r>
        <w:rPr>
          <w:rFonts w:eastAsia="仿宋_GB2312;仿宋" w:cs="Arial" w:ascii="Arial" w:hAnsi="Arial"/>
          <w:sz w:val="28"/>
        </w:rPr>
        <w:t>2023</w:t>
      </w:r>
      <w:r>
        <w:rPr>
          <w:rFonts w:ascii="Arial" w:hAnsi="Arial" w:cs="Arial" w:eastAsia="仿宋_GB2312;仿宋"/>
          <w:sz w:val="28"/>
        </w:rPr>
        <w:t>年</w:t>
      </w:r>
      <w:r>
        <w:rPr>
          <w:rFonts w:eastAsia="仿宋_GB2312;仿宋" w:cs="Arial" w:ascii="Arial" w:hAnsi="Arial"/>
          <w:sz w:val="28"/>
        </w:rPr>
        <w:t>11</w:t>
      </w:r>
      <w:r>
        <w:rPr>
          <w:rFonts w:ascii="Arial" w:hAnsi="Arial" w:cs="Arial" w:eastAsia="仿宋_GB2312;仿宋"/>
          <w:sz w:val="28"/>
        </w:rPr>
        <w:t>月</w:t>
      </w:r>
      <w:r>
        <w:rPr>
          <w:rFonts w:eastAsia="仿宋_GB2312;仿宋" w:cs="Arial" w:ascii="Arial" w:hAnsi="Arial"/>
          <w:sz w:val="28"/>
        </w:rPr>
        <w:t>18</w:t>
      </w:r>
      <w:r>
        <w:rPr>
          <w:rFonts w:ascii="Arial" w:hAnsi="Arial" w:cs="Arial" w:eastAsia="仿宋_GB2312;仿宋"/>
          <w:sz w:val="28"/>
        </w:rPr>
        <w:t>日，设定土地用途为工业、土地使用权类型为划拨、土地使用权无年期限制、土地开发程度为宗地红线外”七通”（即通路、通上水、通下水、通燃气、通电、通讯、通热）、宗地内场地平整、容积率为</w:t>
      </w:r>
      <w:r>
        <w:rPr>
          <w:rFonts w:eastAsia="仿宋_GB2312;仿宋" w:cs="Arial" w:ascii="Arial" w:hAnsi="Arial"/>
          <w:sz w:val="28"/>
        </w:rPr>
        <w:t>1.0</w:t>
      </w:r>
      <w:r>
        <w:rPr>
          <w:rFonts w:ascii="Arial" w:hAnsi="Arial" w:cs="Arial" w:eastAsia="仿宋_GB2312;仿宋"/>
          <w:sz w:val="28"/>
        </w:rPr>
        <w:t>，于上述设定条件下的收购价格。</w:t>
      </w:r>
      <w:r>
        <w:rPr>
          <w:rFonts w:ascii="Arial" w:hAnsi="Arial" w:cs="Arial" w:eastAsia="Arial"/>
          <w:sz w:val="28"/>
        </w:rPr>
        <w:t xml:space="preserve"> </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（二）建（构）筑物价格</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按照《指引》，房地分开评估时，建（构）筑物价格的</w:t>
      </w:r>
      <w:r>
        <w:rPr>
          <w:rFonts w:ascii="Arial" w:hAnsi="Arial" w:cs="Arial" w:eastAsia="仿宋_GB2312;仿宋"/>
          <w:sz w:val="28"/>
        </w:rPr>
        <w:t>估算</w:t>
      </w:r>
      <w:r>
        <w:rPr>
          <w:rFonts w:ascii="Arial" w:hAnsi="Arial" w:cs="Arial" w:eastAsia="仿宋_GB2312;仿宋"/>
          <w:sz w:val="28"/>
        </w:rPr>
        <w:t>采用北京市相应的房屋重置成新价评估技术标准。补偿价格参考《北京市房屋重置成新价评估技术标准》</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2016</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、《关于调整</w:t>
      </w:r>
      <w:r>
        <w:rPr>
          <w:rFonts w:ascii="仿宋" w:hAnsi="仿宋" w:cs="Arial" w:eastAsia="仿宋"/>
          <w:sz w:val="28"/>
        </w:rPr>
        <w:t>〈</w:t>
      </w:r>
      <w:r>
        <w:rPr>
          <w:rFonts w:ascii="Arial" w:hAnsi="Arial" w:cs="Arial" w:eastAsia="仿宋_GB2312;仿宋"/>
          <w:sz w:val="28"/>
        </w:rPr>
        <w:t>北京市房屋重置成新价评估技术标准</w:t>
      </w:r>
      <w:r>
        <w:rPr>
          <w:rFonts w:ascii="仿宋" w:hAnsi="仿宋" w:cs="Arial" w:eastAsia="仿宋"/>
          <w:sz w:val="28"/>
        </w:rPr>
        <w:t>〉</w:t>
      </w:r>
      <w:r>
        <w:rPr>
          <w:rFonts w:ascii="Arial" w:hAnsi="Arial" w:cs="Arial" w:eastAsia="仿宋_GB2312;仿宋"/>
          <w:sz w:val="28"/>
        </w:rPr>
        <w:t>相关系数的通知》（</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10</w:t>
      </w:r>
      <w:r>
        <w:rPr>
          <w:rFonts w:ascii="Arial" w:hAnsi="Arial" w:cs="Arial" w:eastAsia="仿宋_GB2312;仿宋"/>
          <w:sz w:val="28"/>
        </w:rPr>
        <w:t>日发布）</w:t>
      </w:r>
      <w:r>
        <w:rPr>
          <w:rFonts w:ascii="Arial" w:hAnsi="Arial" w:cs="Arial" w:eastAsia="仿宋_GB2312;仿宋"/>
          <w:sz w:val="28"/>
        </w:rPr>
        <w:t>进行评估。</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（三）附属物价格</w:t>
      </w:r>
    </w:p>
    <w:p>
      <w:pPr>
        <w:pStyle w:val="Normal"/>
        <w:spacing w:lineRule="auto" w:line="360"/>
        <w:ind w:firstLine="560"/>
        <w:jc w:val="both"/>
        <w:rPr/>
      </w:pPr>
      <w:r>
        <w:rPr>
          <w:rFonts w:ascii="Arial" w:hAnsi="Arial" w:cs="Arial" w:eastAsia="仿宋_GB2312;仿宋"/>
          <w:sz w:val="28"/>
        </w:rPr>
        <w:t>附属物包括树木及院地，补偿价格参照《北京市房屋重置成新价评估技术标准》</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2016</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、《关于调整〈北京市房屋重置成新价评估技术标准〉相关系数的通知》（</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10</w:t>
      </w:r>
      <w:r>
        <w:rPr>
          <w:rFonts w:ascii="Arial" w:hAnsi="Arial" w:cs="Arial" w:eastAsia="仿宋_GB2312;仿宋"/>
          <w:sz w:val="28"/>
        </w:rPr>
        <w:t>日发布）</w:t>
      </w:r>
      <w:r>
        <w:rPr>
          <w:rFonts w:ascii="Arial" w:hAnsi="Arial" w:cs="Arial" w:eastAsia="仿宋_GB2312;仿宋"/>
          <w:sz w:val="28"/>
        </w:rPr>
        <w:t>进行评估。</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（四）无法恢复使用的设施设备补偿价格</w:t>
      </w:r>
    </w:p>
    <w:p>
      <w:pPr>
        <w:pStyle w:val="Normal"/>
        <w:spacing w:lineRule="auto" w:line="360"/>
        <w:ind w:firstLine="560"/>
        <w:jc w:val="both"/>
        <w:rPr/>
      </w:pPr>
      <w:r>
        <w:rPr>
          <w:rFonts w:ascii="Arial" w:hAnsi="Arial" w:cs="Arial" w:eastAsia="仿宋_GB2312;仿宋"/>
          <w:sz w:val="28"/>
        </w:rPr>
        <w:t>由于估价对象宗地并未进行生产</w:t>
      </w:r>
      <w:r>
        <w:rPr>
          <w:rFonts w:ascii="Arial" w:hAnsi="Arial" w:cs="Arial" w:eastAsia="仿宋_GB2312;仿宋"/>
          <w:sz w:val="28"/>
        </w:rPr>
        <w:t>使用</w:t>
      </w:r>
      <w:r>
        <w:rPr>
          <w:rFonts w:ascii="Arial" w:hAnsi="Arial" w:cs="Arial" w:eastAsia="仿宋_GB2312;仿宋"/>
          <w:sz w:val="28"/>
        </w:rPr>
        <w:t>，现状实际大部分土地闲置空地，经评估专业人员现场勘察，不存在因土地收购造成的无法恢复使用的设施设备情况。</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（五）因土地收购造成的停产停业损失补偿费用</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停产停业损失补偿包括房屋停产停业期间租金、净利润损失、员工生活补助费，参照《北京市国有土地上房屋征收停产停业损失补偿暂行办法》</w:t>
      </w:r>
      <w:r>
        <w:rPr>
          <w:rFonts w:eastAsia="仿宋_GB2312;仿宋" w:cs="Arial" w:ascii="Arial" w:hAnsi="Arial"/>
          <w:sz w:val="28"/>
        </w:rPr>
        <w:t>[</w:t>
      </w:r>
      <w:r>
        <w:rPr>
          <w:rFonts w:ascii="Arial" w:hAnsi="Arial" w:cs="Arial" w:eastAsia="仿宋_GB2312;仿宋"/>
          <w:sz w:val="28"/>
        </w:rPr>
        <w:t>京建法（</w:t>
      </w:r>
      <w:r>
        <w:rPr>
          <w:rFonts w:eastAsia="仿宋_GB2312;仿宋" w:cs="Arial" w:ascii="Arial" w:hAnsi="Arial"/>
          <w:sz w:val="28"/>
        </w:rPr>
        <w:t>2011</w:t>
      </w:r>
      <w:r>
        <w:rPr>
          <w:rFonts w:ascii="Arial" w:hAnsi="Arial" w:cs="Arial" w:eastAsia="仿宋_GB2312;仿宋"/>
          <w:sz w:val="28"/>
        </w:rPr>
        <w:t>）</w:t>
      </w:r>
      <w:r>
        <w:rPr>
          <w:rFonts w:eastAsia="仿宋_GB2312;仿宋" w:cs="Arial" w:ascii="Arial" w:hAnsi="Arial"/>
          <w:sz w:val="28"/>
        </w:rPr>
        <w:t>18</w:t>
      </w:r>
      <w:r>
        <w:rPr>
          <w:rFonts w:ascii="Arial" w:hAnsi="Arial" w:cs="Arial" w:eastAsia="仿宋_GB2312;仿宋"/>
          <w:sz w:val="28"/>
        </w:rPr>
        <w:t>号</w:t>
      </w:r>
      <w:r>
        <w:rPr>
          <w:rFonts w:eastAsia="仿宋_GB2312;仿宋" w:cs="Arial" w:ascii="Arial" w:hAnsi="Arial"/>
          <w:sz w:val="28"/>
        </w:rPr>
        <w:t xml:space="preserve">] </w:t>
      </w:r>
      <w:r>
        <w:rPr>
          <w:rFonts w:ascii="Arial" w:hAnsi="Arial" w:cs="Arial" w:eastAsia="仿宋_GB2312;仿宋"/>
          <w:sz w:val="28"/>
        </w:rPr>
        <w:t>、《关于发布</w:t>
      </w:r>
      <w:r>
        <w:rPr>
          <w:rFonts w:eastAsia="仿宋_GB2312;仿宋" w:cs="Arial" w:ascii="Arial" w:hAnsi="Arial"/>
          <w:sz w:val="28"/>
        </w:rPr>
        <w:t>&lt;</w:t>
      </w:r>
      <w:r>
        <w:rPr>
          <w:rFonts w:ascii="Arial" w:hAnsi="Arial" w:cs="Arial" w:eastAsia="仿宋_GB2312;仿宋"/>
          <w:sz w:val="28"/>
        </w:rPr>
        <w:t>北京市企业国有建设用地使用权收购补偿价格评估技术指引</w:t>
      </w:r>
      <w:r>
        <w:rPr>
          <w:rFonts w:eastAsia="仿宋_GB2312;仿宋" w:cs="Arial" w:ascii="Arial" w:hAnsi="Arial"/>
          <w:sz w:val="28"/>
        </w:rPr>
        <w:t>&gt;</w:t>
      </w:r>
      <w:r>
        <w:rPr>
          <w:rFonts w:ascii="Arial" w:hAnsi="Arial" w:cs="Arial" w:eastAsia="仿宋_GB2312;仿宋"/>
          <w:sz w:val="28"/>
        </w:rPr>
        <w:t>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2018</w:t>
      </w:r>
      <w:r>
        <w:rPr>
          <w:rFonts w:ascii="Arial" w:hAnsi="Arial" w:cs="Arial" w:eastAsia="仿宋_GB2312;仿宋"/>
          <w:sz w:val="28"/>
        </w:rPr>
        <w:t>）</w:t>
      </w:r>
      <w:r>
        <w:rPr>
          <w:rFonts w:eastAsia="仿宋_GB2312;仿宋" w:cs="Arial" w:ascii="Arial" w:hAnsi="Arial"/>
          <w:sz w:val="28"/>
        </w:rPr>
        <w:t>004</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确定。</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由于</w:t>
      </w:r>
      <w:r>
        <w:rPr>
          <w:rFonts w:ascii="Arial" w:hAnsi="Arial" w:cs="Arial" w:eastAsia="仿宋_GB2312;仿宋"/>
          <w:sz w:val="28"/>
        </w:rPr>
        <w:t>估价对象宗地未进行生产</w:t>
      </w:r>
      <w:r>
        <w:rPr>
          <w:rFonts w:ascii="Arial" w:hAnsi="Arial" w:cs="Arial" w:eastAsia="仿宋_GB2312;仿宋"/>
          <w:sz w:val="28"/>
        </w:rPr>
        <w:t>使用</w:t>
      </w:r>
      <w:r>
        <w:rPr>
          <w:rFonts w:ascii="Arial" w:hAnsi="Arial" w:cs="Arial" w:eastAsia="仿宋_GB2312;仿宋"/>
          <w:sz w:val="28"/>
        </w:rPr>
        <w:t>，现状实际大部分土地闲置空地，经评估专业人员现场勘察，不存在</w:t>
      </w:r>
      <w:r>
        <w:rPr>
          <w:rFonts w:ascii="仿宋_GB2312;仿宋" w:hAnsi="仿宋_GB2312;仿宋" w:cs="Arial" w:eastAsia="仿宋_GB2312;仿宋"/>
          <w:sz w:val="28"/>
        </w:rPr>
        <w:t>因土地收购造成的停产停业损失补偿</w:t>
      </w:r>
      <w:r>
        <w:rPr>
          <w:rFonts w:ascii="Arial" w:hAnsi="Arial" w:cs="Arial" w:eastAsia="仿宋_GB2312;仿宋"/>
          <w:sz w:val="28"/>
        </w:rPr>
        <w:t>情况。</w:t>
      </w:r>
    </w:p>
    <w:p>
      <w:pPr>
        <w:pStyle w:val="Normal"/>
        <w:snapToGrid w:val="false"/>
        <w:spacing w:lineRule="auto" w:line="360"/>
        <w:ind w:left="560" w:hanging="0"/>
        <w:jc w:val="both"/>
        <w:rPr>
          <w:rFonts w:ascii="Arial" w:hAnsi="Arial" w:eastAsia="仿宋_GB2312;仿宋" w:cs="Arial"/>
          <w:sz w:val="28"/>
        </w:rPr>
      </w:pPr>
      <w:r>
        <w:rPr>
          <w:rFonts w:ascii="Arial" w:hAnsi="Arial" w:cs="Arial" w:eastAsia="仿宋_GB2312;仿宋"/>
          <w:sz w:val="28"/>
        </w:rPr>
        <w:t>（六）搬迁、临时安置补助费</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补偿费用参照《关于国有土地上房屋征收与补偿中有关事项的通知》</w:t>
      </w:r>
      <w:r>
        <w:rPr>
          <w:rFonts w:eastAsia="仿宋_GB2312;仿宋" w:cs="Arial" w:ascii="Arial" w:hAnsi="Arial"/>
          <w:sz w:val="28"/>
        </w:rPr>
        <w:t>[</w:t>
      </w:r>
      <w:r>
        <w:rPr>
          <w:rFonts w:ascii="Arial" w:hAnsi="Arial" w:cs="Arial" w:eastAsia="仿宋_GB2312;仿宋"/>
          <w:sz w:val="28"/>
        </w:rPr>
        <w:t>京建法</w:t>
      </w:r>
      <w:r>
        <w:rPr>
          <w:rFonts w:ascii="Arial" w:hAnsi="Arial" w:cs="Arial"/>
          <w:sz w:val="28"/>
        </w:rPr>
        <w:t>（</w:t>
      </w:r>
      <w:r>
        <w:rPr>
          <w:rFonts w:eastAsia="仿宋_GB2312;仿宋" w:cs="Arial" w:ascii="Arial" w:hAnsi="Arial"/>
          <w:sz w:val="28"/>
        </w:rPr>
        <w:t>2012</w:t>
      </w:r>
      <w:r>
        <w:rPr>
          <w:rFonts w:ascii="Arial" w:hAnsi="Arial" w:cs="Arial"/>
          <w:sz w:val="28"/>
        </w:rPr>
        <w:t>）</w:t>
      </w:r>
      <w:r>
        <w:rPr>
          <w:rFonts w:eastAsia="仿宋_GB2312;仿宋" w:cs="Arial" w:ascii="Arial" w:hAnsi="Arial"/>
          <w:sz w:val="28"/>
        </w:rPr>
        <w:t>19</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确定。非住宅按</w:t>
      </w:r>
      <w:r>
        <w:rPr>
          <w:rFonts w:eastAsia="仿宋_GB2312;仿宋" w:cs="Arial" w:ascii="Arial" w:hAnsi="Arial"/>
          <w:sz w:val="28"/>
        </w:rPr>
        <w:t>50</w:t>
      </w:r>
      <w:r>
        <w:rPr>
          <w:rFonts w:ascii="Arial" w:hAnsi="Arial" w:cs="Arial" w:eastAsia="仿宋_GB2312;仿宋"/>
          <w:sz w:val="28"/>
        </w:rPr>
        <w:t>元</w:t>
      </w:r>
      <w:r>
        <w:rPr>
          <w:rFonts w:eastAsia="仿宋_GB2312;仿宋" w:cs="Arial" w:ascii="Arial" w:hAnsi="Arial"/>
          <w:sz w:val="28"/>
        </w:rPr>
        <w:t>/</w:t>
      </w:r>
      <w:r>
        <w:rPr>
          <w:rFonts w:ascii="Arial" w:hAnsi="Arial" w:cs="Arial" w:eastAsia="仿宋_GB2312;仿宋"/>
          <w:sz w:val="28"/>
        </w:rPr>
        <w:t>建筑平方米搬迁、临时安置补偿费确定。</w:t>
      </w:r>
    </w:p>
    <w:p>
      <w:pPr>
        <w:pStyle w:val="Normal"/>
        <w:spacing w:lineRule="auto" w:line="360"/>
        <w:ind w:firstLine="562"/>
        <w:jc w:val="both"/>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jc w:val="both"/>
        <w:outlineLvl w:val="1"/>
        <w:rPr>
          <w:rFonts w:ascii="Arial" w:hAnsi="Arial" w:eastAsia="仿宋_GB2312;仿宋" w:cs="Arial"/>
          <w:sz w:val="28"/>
        </w:rPr>
      </w:pPr>
      <w:bookmarkStart w:id="39" w:name="__RefHeading___Toc530042248"/>
      <w:r>
        <w:rPr>
          <w:rFonts w:ascii="Arial" w:hAnsi="Arial" w:cs="Arial" w:eastAsia="仿宋_GB2312;仿宋"/>
          <w:b/>
          <w:sz w:val="28"/>
        </w:rPr>
        <w:t>九、估价结果</w:t>
      </w:r>
      <w:bookmarkEnd w:id="39"/>
    </w:p>
    <w:p>
      <w:pPr>
        <w:pStyle w:val="Normal"/>
        <w:spacing w:lineRule="auto" w:line="360"/>
        <w:ind w:firstLine="560"/>
        <w:jc w:val="both"/>
        <w:rPr>
          <w:rFonts w:ascii="Arial" w:hAnsi="Arial" w:eastAsia="仿宋_GB2312;仿宋" w:cs="Arial"/>
          <w:kern w:val="2"/>
          <w:sz w:val="28"/>
        </w:rPr>
      </w:pPr>
      <w:r>
        <w:rPr>
          <w:rFonts w:ascii="Arial" w:hAnsi="Arial" w:cs="Arial" w:eastAsia="仿宋_GB2312;仿宋"/>
          <w:kern w:val="2"/>
          <w:sz w:val="28"/>
        </w:rPr>
        <w:t>评估专业人员根据估价的目的，按照</w:t>
      </w:r>
      <w:r>
        <w:rPr>
          <w:rFonts w:ascii="Arial" w:hAnsi="Arial" w:cs="Arial" w:eastAsia="仿宋_GB2312;仿宋"/>
          <w:kern w:val="2"/>
          <w:sz w:val="28"/>
        </w:rPr>
        <w:t>估算</w:t>
      </w:r>
      <w:r>
        <w:rPr>
          <w:rFonts w:ascii="Arial" w:hAnsi="Arial" w:cs="Arial" w:eastAsia="仿宋_GB2312;仿宋"/>
          <w:kern w:val="2"/>
          <w:sz w:val="28"/>
        </w:rPr>
        <w:t>的程序，采用科学的</w:t>
      </w:r>
      <w:r>
        <w:rPr>
          <w:rFonts w:ascii="Arial" w:hAnsi="Arial" w:cs="Arial" w:eastAsia="仿宋_GB2312;仿宋"/>
          <w:kern w:val="2"/>
          <w:sz w:val="28"/>
        </w:rPr>
        <w:t>估价方法</w:t>
      </w:r>
      <w:r>
        <w:rPr>
          <w:rFonts w:ascii="Arial" w:hAnsi="Arial" w:cs="Arial" w:eastAsia="仿宋_GB2312;仿宋"/>
          <w:kern w:val="2"/>
          <w:sz w:val="28"/>
        </w:rPr>
        <w:t>（市场比较法和成本逼近法</w:t>
      </w:r>
      <w:r>
        <w:rPr>
          <w:rFonts w:ascii="Arial" w:hAnsi="Arial" w:cs="Arial" w:eastAsia="仿宋_GB2312;仿宋"/>
          <w:kern w:val="2"/>
          <w:sz w:val="28"/>
        </w:rPr>
        <w:t>、重置成本法</w:t>
      </w:r>
      <w:r>
        <w:rPr>
          <w:rFonts w:ascii="Arial" w:hAnsi="Arial" w:cs="Arial" w:eastAsia="仿宋_GB2312;仿宋"/>
          <w:kern w:val="2"/>
          <w:sz w:val="28"/>
        </w:rPr>
        <w:t>），在认真分析现有资料的基础上，通过仔细测算和认真分析各种影响</w:t>
      </w:r>
      <w:r>
        <w:rPr>
          <w:rFonts w:ascii="Arial" w:hAnsi="Arial" w:cs="Arial" w:eastAsia="仿宋_GB2312;仿宋"/>
          <w:sz w:val="28"/>
        </w:rPr>
        <w:t>土地</w:t>
      </w:r>
      <w:r>
        <w:rPr>
          <w:rFonts w:ascii="Arial" w:hAnsi="Arial" w:cs="Arial" w:eastAsia="仿宋_GB2312;仿宋"/>
          <w:kern w:val="2"/>
          <w:sz w:val="28"/>
        </w:rPr>
        <w:t>价格的因素，</w:t>
      </w:r>
      <w:r>
        <w:rPr>
          <w:rFonts w:ascii="Arial" w:hAnsi="Arial" w:cs="Arial" w:eastAsia="仿宋_GB2312;仿宋"/>
          <w:sz w:val="28"/>
          <w:szCs w:val="28"/>
        </w:rPr>
        <w:t>确定估价对象</w:t>
      </w:r>
      <w:r>
        <w:rPr>
          <w:rFonts w:ascii="Arial" w:hAnsi="Arial" w:cs="Arial" w:eastAsia="仿宋_GB2312;仿宋"/>
          <w:kern w:val="2"/>
          <w:sz w:val="28"/>
        </w:rPr>
        <w:t>在估价期日</w:t>
      </w:r>
      <w:r>
        <w:rPr>
          <w:rFonts w:eastAsia="仿宋_GB2312;仿宋" w:cs="Arial" w:ascii="Arial" w:hAnsi="Arial"/>
          <w:kern w:val="2"/>
          <w:sz w:val="28"/>
        </w:rPr>
        <w:t>2023</w:t>
      </w:r>
      <w:r>
        <w:rPr>
          <w:rFonts w:ascii="Arial" w:hAnsi="Arial" w:cs="Arial" w:eastAsia="仿宋_GB2312;仿宋"/>
          <w:kern w:val="2"/>
          <w:sz w:val="28"/>
        </w:rPr>
        <w:t>年</w:t>
      </w:r>
      <w:r>
        <w:rPr>
          <w:rFonts w:eastAsia="仿宋_GB2312;仿宋" w:cs="Arial" w:ascii="Arial" w:hAnsi="Arial"/>
          <w:kern w:val="2"/>
          <w:sz w:val="28"/>
        </w:rPr>
        <w:t>11</w:t>
      </w:r>
      <w:r>
        <w:rPr>
          <w:rFonts w:ascii="Arial" w:hAnsi="Arial" w:cs="Arial" w:eastAsia="仿宋_GB2312;仿宋"/>
          <w:kern w:val="2"/>
          <w:sz w:val="28"/>
        </w:rPr>
        <w:t>月</w:t>
      </w:r>
      <w:r>
        <w:rPr>
          <w:rFonts w:eastAsia="仿宋_GB2312;仿宋" w:cs="Arial" w:ascii="Arial" w:hAnsi="Arial"/>
          <w:kern w:val="2"/>
          <w:sz w:val="28"/>
        </w:rPr>
        <w:t>18</w:t>
      </w:r>
      <w:r>
        <w:rPr>
          <w:rFonts w:ascii="Arial" w:hAnsi="Arial" w:cs="Arial" w:eastAsia="仿宋_GB2312;仿宋"/>
          <w:kern w:val="2"/>
          <w:sz w:val="28"/>
        </w:rPr>
        <w:t>日的土地使用权收购补偿价格为</w:t>
      </w:r>
      <w:r>
        <w:rPr>
          <w:rFonts w:ascii="Arial" w:hAnsi="Arial" w:cs="Arial" w:eastAsia="仿宋_GB2312;仿宋"/>
          <w:b/>
          <w:kern w:val="2"/>
          <w:sz w:val="28"/>
        </w:rPr>
        <w:t>人民币</w:t>
      </w:r>
      <w:r>
        <w:rPr>
          <w:rFonts w:eastAsia="仿宋_GB2312;仿宋" w:cs="Arial" w:ascii="Arial" w:hAnsi="Arial"/>
          <w:b/>
          <w:kern w:val="2"/>
          <w:sz w:val="28"/>
        </w:rPr>
        <w:t>9373.4213</w:t>
      </w:r>
      <w:r>
        <w:rPr>
          <w:rFonts w:ascii="Arial" w:hAnsi="Arial" w:cs="Arial" w:eastAsia="仿宋_GB2312;仿宋"/>
          <w:b/>
          <w:kern w:val="2"/>
          <w:sz w:val="28"/>
        </w:rPr>
        <w:t>万元，大写玖仟叁佰柒拾叁万肆仟贰佰壹拾叁元整</w:t>
      </w:r>
      <w:r>
        <w:rPr>
          <w:rFonts w:ascii="Arial" w:hAnsi="Arial" w:cs="Arial" w:eastAsia="仿宋_GB2312;仿宋"/>
          <w:kern w:val="2"/>
          <w:sz w:val="28"/>
        </w:rPr>
        <w:t>。</w:t>
      </w:r>
      <w:r>
        <w:rPr>
          <w:rFonts w:ascii="Arial" w:hAnsi="Arial" w:cs="Arial" w:eastAsia="仿宋_GB2312;仿宋"/>
          <w:sz w:val="28"/>
        </w:rPr>
        <w:t>估价结果明细如下：</w:t>
      </w:r>
    </w:p>
    <w:p>
      <w:pPr>
        <w:pStyle w:val="Normal"/>
        <w:spacing w:lineRule="auto" w:line="360"/>
        <w:ind w:firstLine="560"/>
        <w:jc w:val="both"/>
        <w:rPr>
          <w:rFonts w:ascii="Arial" w:hAnsi="Arial" w:eastAsia="仿宋_GB2312;仿宋" w:cs="Arial"/>
          <w:sz w:val="28"/>
          <w:szCs w:val="28"/>
        </w:rPr>
      </w:pPr>
      <w:r>
        <w:rPr>
          <w:rFonts w:ascii="Arial" w:hAnsi="Arial" w:cs="Arial" w:eastAsia="仿宋_GB2312;仿宋"/>
          <w:sz w:val="28"/>
          <w:szCs w:val="28"/>
        </w:rPr>
        <w:t>（转下页）</w:t>
      </w:r>
      <w:r>
        <w:br w:type="page"/>
      </w:r>
    </w:p>
    <w:p>
      <w:pPr>
        <w:pStyle w:val="Normal"/>
        <w:spacing w:lineRule="auto" w:line="360"/>
        <w:jc w:val="center"/>
        <w:rPr>
          <w:rFonts w:cs="Arial"/>
        </w:rPr>
      </w:pPr>
      <w:r>
        <w:rPr>
          <w:rFonts w:ascii="Arial" w:hAnsi="Arial" w:cs="Arial" w:eastAsia="仿宋_GB2312;仿宋"/>
          <w:b/>
          <w:bCs/>
          <w:sz w:val="28"/>
          <w:szCs w:val="28"/>
        </w:rPr>
        <w:t>收购补偿价格评估结果</w:t>
      </w:r>
    </w:p>
    <w:tbl>
      <w:tblPr>
        <w:tblW w:w="5000" w:type="pct"/>
        <w:jc w:val="center"/>
        <w:tblInd w:w="0" w:type="dxa"/>
        <w:tblCellMar>
          <w:top w:w="0" w:type="dxa"/>
          <w:left w:w="108" w:type="dxa"/>
          <w:bottom w:w="0" w:type="dxa"/>
          <w:right w:w="108" w:type="dxa"/>
        </w:tblCellMar>
      </w:tblPr>
      <w:tblGrid>
        <w:gridCol w:w="890"/>
        <w:gridCol w:w="3074"/>
        <w:gridCol w:w="2108"/>
        <w:gridCol w:w="3226"/>
      </w:tblGrid>
      <w:tr>
        <w:trPr>
          <w:trHeight w:val="454" w:hRule="atLeast"/>
        </w:trPr>
        <w:tc>
          <w:tcPr>
            <w:tcW w:w="890"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序号</w:t>
            </w:r>
          </w:p>
        </w:tc>
        <w:tc>
          <w:tcPr>
            <w:tcW w:w="3074"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项目</w:t>
            </w:r>
          </w:p>
        </w:tc>
        <w:tc>
          <w:tcPr>
            <w:tcW w:w="210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评估价格</w:t>
            </w:r>
          </w:p>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备注</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1</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土地使用权价格</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highlight w:val="yellow"/>
              </w:rPr>
              <w:t>9452.3358</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采用市场比较法、成本逼近法评估测算</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2</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建（构）筑物价格</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46.8404</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采用重置成本法测算</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3</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附属物（树木）价格</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11.5346</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采用重置成本法测算</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4</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无法恢复使用的设施设备补偿价</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0</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仿宋_GB2312;仿宋" w:hAnsi="仿宋_GB2312;仿宋" w:cs="仿宋_GB2312;仿宋" w:eastAsia="仿宋_GB2312;仿宋"/>
                <w:sz w:val="28"/>
                <w:szCs w:val="28"/>
              </w:rPr>
              <w:t>——</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5</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停产停业损失补偿费用</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0</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6</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搬迁、临时安置补偿费用</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3.3895</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参照《关于国有土地上房屋征收与补偿中有关事项的通知》</w:t>
            </w:r>
            <w:r>
              <w:rPr>
                <w:rFonts w:eastAsia="仿宋_GB2312;仿宋" w:cs="Arial" w:ascii="Arial" w:hAnsi="Arial"/>
                <w:sz w:val="28"/>
                <w:szCs w:val="28"/>
              </w:rPr>
              <w:t>[</w:t>
            </w:r>
            <w:r>
              <w:rPr>
                <w:rFonts w:ascii="Arial" w:hAnsi="Arial" w:cs="Arial" w:eastAsia="仿宋_GB2312;仿宋"/>
                <w:sz w:val="28"/>
                <w:szCs w:val="28"/>
              </w:rPr>
              <w:t>京建法（</w:t>
            </w:r>
            <w:r>
              <w:rPr>
                <w:rFonts w:eastAsia="仿宋_GB2312;仿宋" w:cs="Arial" w:ascii="Arial" w:hAnsi="Arial"/>
                <w:sz w:val="28"/>
                <w:szCs w:val="28"/>
              </w:rPr>
              <w:t>2012</w:t>
            </w:r>
            <w:r>
              <w:rPr>
                <w:rFonts w:ascii="Arial" w:hAnsi="Arial" w:cs="Arial" w:eastAsia="仿宋_GB2312;仿宋"/>
                <w:sz w:val="28"/>
                <w:szCs w:val="28"/>
              </w:rPr>
              <w:t>）</w:t>
            </w:r>
            <w:r>
              <w:rPr>
                <w:rFonts w:eastAsia="仿宋_GB2312;仿宋" w:cs="Arial" w:ascii="Arial" w:hAnsi="Arial"/>
                <w:sz w:val="28"/>
                <w:szCs w:val="28"/>
              </w:rPr>
              <w:t>19</w:t>
            </w:r>
            <w:r>
              <w:rPr>
                <w:rFonts w:ascii="Arial" w:hAnsi="Arial" w:cs="Arial" w:eastAsia="仿宋_GB2312;仿宋"/>
                <w:sz w:val="28"/>
                <w:szCs w:val="28"/>
              </w:rPr>
              <w:t>号</w:t>
            </w:r>
            <w:r>
              <w:rPr>
                <w:rFonts w:eastAsia="仿宋_GB2312;仿宋" w:cs="Arial" w:ascii="Arial" w:hAnsi="Arial"/>
                <w:sz w:val="28"/>
                <w:szCs w:val="28"/>
              </w:rPr>
              <w:t>]</w:t>
            </w:r>
          </w:p>
        </w:tc>
      </w:tr>
      <w:tr>
        <w:trPr>
          <w:trHeight w:val="454" w:hRule="atLeast"/>
        </w:trPr>
        <w:tc>
          <w:tcPr>
            <w:tcW w:w="8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7</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土地收购补偿价格</w:t>
            </w:r>
          </w:p>
        </w:tc>
        <w:tc>
          <w:tcPr>
            <w:tcW w:w="2108"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highlight w:val="yellow"/>
              </w:rPr>
              <w:t>9373.4213</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eastAsia="仿宋_GB2312;仿宋" w:cs="Arial" w:ascii="Arial" w:hAnsi="Arial"/>
                <w:sz w:val="28"/>
                <w:szCs w:val="28"/>
              </w:rPr>
              <w:t>=1+2+3+4+5+6</w:t>
            </w:r>
          </w:p>
        </w:tc>
      </w:tr>
    </w:tbl>
    <w:p>
      <w:pPr>
        <w:pStyle w:val="Normal"/>
        <w:spacing w:lineRule="auto" w:line="360" w:before="120" w:after="0"/>
        <w:ind w:firstLine="700"/>
        <w:jc w:val="both"/>
        <w:rPr>
          <w:rFonts w:ascii="Arial" w:hAnsi="Arial" w:eastAsia="仿宋_GB2312;仿宋" w:cs="Arial"/>
          <w:sz w:val="28"/>
        </w:rPr>
      </w:pPr>
      <w:r>
        <w:rPr>
          <w:rFonts w:ascii="Arial" w:hAnsi="Arial" w:cs="Arial" w:eastAsia="仿宋_GB2312;仿宋"/>
          <w:kern w:val="2"/>
          <w:sz w:val="28"/>
        </w:rPr>
        <w:t>详见《土地估价结果一览表》</w:t>
      </w:r>
    </w:p>
    <w:p>
      <w:pPr>
        <w:sectPr>
          <w:headerReference w:type="default" r:id="rId49"/>
          <w:headerReference w:type="first" r:id="rId50"/>
          <w:footerReference w:type="default" r:id="rId51"/>
          <w:footerReference w:type="first" r:id="rId52"/>
          <w:type w:val="nextPage"/>
          <w:pgSz w:w="11906" w:h="16838"/>
          <w:pgMar w:left="1474" w:right="1134" w:header="1134" w:top="1843" w:footer="907" w:bottom="1134" w:gutter="0"/>
          <w:pgNumType w:fmt="decimal"/>
          <w:formProt w:val="false"/>
          <w:titlePg/>
          <w:textDirection w:val="lrTb"/>
          <w:docGrid w:type="default" w:linePitch="326" w:charSpace="0"/>
        </w:sectPr>
        <w:pStyle w:val="Normal"/>
        <w:spacing w:lineRule="auto" w:line="360"/>
        <w:ind w:firstLine="560"/>
        <w:jc w:val="both"/>
        <w:rPr>
          <w:rFonts w:ascii="Arial" w:hAnsi="Arial" w:eastAsia="仿宋_GB2312;仿宋" w:cs="Arial"/>
          <w:sz w:val="28"/>
        </w:rPr>
      </w:pPr>
      <w:r>
        <w:rPr>
          <w:rFonts w:ascii="Arial" w:hAnsi="Arial" w:cs="Arial" w:eastAsia="仿宋_GB2312;仿宋"/>
          <w:sz w:val="28"/>
        </w:rPr>
        <w:t>注：其中土地使用权价格测算各方法权重的确定详见《土地估价技术报告》中估价方法与估价过程一节。</w:t>
      </w:r>
    </w:p>
    <w:p>
      <w:pPr>
        <w:pStyle w:val="Normal"/>
        <w:numPr>
          <w:ilvl w:val="0"/>
          <w:numId w:val="0"/>
        </w:numPr>
        <w:spacing w:lineRule="auto" w:line="240"/>
        <w:outlineLvl w:val="1"/>
        <w:rPr/>
      </w:pPr>
      <w:bookmarkStart w:id="40" w:name="__RefHeading___Toc530042249"/>
      <w:bookmarkEnd w:id="40"/>
      <w:r>
        <w:rPr>
          <w:rFonts w:ascii="Arial" w:hAnsi="Arial" w:cs="Arial" w:eastAsia="仿宋_GB2312;仿宋"/>
          <w:bCs/>
          <w:sz w:val="28"/>
        </w:rPr>
        <w:t>附</w:t>
      </w:r>
      <w:r>
        <w:rPr>
          <w:rFonts w:ascii="Arial" w:hAnsi="Arial" w:cs="Arial" w:eastAsia="Arial"/>
          <w:b/>
          <w:sz w:val="28"/>
        </w:rPr>
        <w:t xml:space="preserve">                                           </w:t>
      </w:r>
      <w:r>
        <w:rPr>
          <w:rFonts w:ascii="Arial" w:hAnsi="Arial" w:cs="Arial" w:eastAsia="仿宋_GB2312;仿宋"/>
          <w:b/>
          <w:sz w:val="28"/>
        </w:rPr>
        <w:t>估价结果一览表</w:t>
      </w:r>
    </w:p>
    <w:p>
      <w:pPr>
        <w:pStyle w:val="Normal"/>
        <w:spacing w:lineRule="auto" w:line="240"/>
        <w:rPr/>
      </w:pPr>
      <w:r>
        <w:rPr>
          <w:rFonts w:ascii="Arial" w:hAnsi="Arial" w:cs="Arial" w:eastAsia="仿宋_GB2312;仿宋"/>
          <w:bCs/>
          <w:sz w:val="18"/>
        </w:rPr>
        <w:t>受托单位：北京康正宏基房地产评估有限公司   估价报告编号：康正评字</w:t>
      </w:r>
      <w:r>
        <w:rPr>
          <w:rFonts w:eastAsia="仿宋_GB2312;仿宋" w:cs="Arial" w:ascii="Arial" w:hAnsi="Arial"/>
          <w:bCs/>
          <w:sz w:val="18"/>
        </w:rPr>
        <w:t>2022-1-0543-F02SGCB6</w:t>
      </w:r>
      <w:r>
        <w:rPr>
          <w:rFonts w:ascii="Arial" w:hAnsi="Arial" w:cs="Arial" w:eastAsia="仿宋_GB2312;仿宋"/>
          <w:bCs/>
          <w:sz w:val="18"/>
        </w:rPr>
        <w:t>号   估价期日：</w:t>
      </w:r>
      <w:r>
        <w:rPr>
          <w:rFonts w:eastAsia="仿宋_GB2312;仿宋" w:cs="Arial" w:ascii="Arial" w:hAnsi="Arial"/>
          <w:bCs/>
          <w:sz w:val="18"/>
        </w:rPr>
        <w:t>2023</w:t>
      </w:r>
      <w:r>
        <w:rPr>
          <w:rFonts w:ascii="Arial" w:hAnsi="Arial" w:cs="Arial" w:eastAsia="仿宋_GB2312;仿宋"/>
          <w:bCs/>
          <w:sz w:val="18"/>
        </w:rPr>
        <w:t>年</w:t>
      </w:r>
      <w:r>
        <w:rPr>
          <w:rFonts w:eastAsia="仿宋_GB2312;仿宋" w:cs="Arial" w:ascii="Arial" w:hAnsi="Arial"/>
          <w:bCs/>
          <w:sz w:val="18"/>
        </w:rPr>
        <w:t>11</w:t>
      </w:r>
      <w:r>
        <w:rPr>
          <w:rFonts w:ascii="Arial" w:hAnsi="Arial" w:cs="Arial" w:eastAsia="仿宋_GB2312;仿宋"/>
          <w:bCs/>
          <w:sz w:val="18"/>
        </w:rPr>
        <w:t>月</w:t>
      </w:r>
      <w:r>
        <w:rPr>
          <w:rFonts w:eastAsia="仿宋_GB2312;仿宋" w:cs="Arial" w:ascii="Arial" w:hAnsi="Arial"/>
          <w:bCs/>
          <w:sz w:val="18"/>
        </w:rPr>
        <w:t>18</w:t>
      </w:r>
      <w:r>
        <w:rPr>
          <w:rFonts w:ascii="Arial" w:hAnsi="Arial" w:cs="Arial" w:eastAsia="仿宋_GB2312;仿宋"/>
          <w:bCs/>
          <w:sz w:val="18"/>
        </w:rPr>
        <w:t>日   估价期日</w:t>
      </w:r>
      <w:r>
        <w:rPr/>
        <w:t>的国有建设用地使用权性质：划拨</w:t>
      </w:r>
    </w:p>
    <w:tbl>
      <w:tblPr>
        <w:tblW w:w="14479" w:type="dxa"/>
        <w:jc w:val="left"/>
        <w:tblInd w:w="0" w:type="dxa"/>
        <w:tblCellMar>
          <w:top w:w="0" w:type="dxa"/>
          <w:left w:w="108" w:type="dxa"/>
          <w:bottom w:w="0" w:type="dxa"/>
          <w:right w:w="108" w:type="dxa"/>
        </w:tblCellMar>
      </w:tblPr>
      <w:tblGrid>
        <w:gridCol w:w="709"/>
        <w:gridCol w:w="567"/>
        <w:gridCol w:w="709"/>
        <w:gridCol w:w="567"/>
        <w:gridCol w:w="425"/>
        <w:gridCol w:w="425"/>
        <w:gridCol w:w="426"/>
        <w:gridCol w:w="425"/>
        <w:gridCol w:w="567"/>
        <w:gridCol w:w="425"/>
        <w:gridCol w:w="1843"/>
        <w:gridCol w:w="1843"/>
        <w:gridCol w:w="1275"/>
        <w:gridCol w:w="993"/>
        <w:gridCol w:w="1275"/>
        <w:gridCol w:w="2005"/>
      </w:tblGrid>
      <w:tr>
        <w:trPr>
          <w:trHeight w:val="255" w:hRule="atLeast"/>
        </w:trPr>
        <w:tc>
          <w:tcPr>
            <w:tcW w:w="709" w:type="dxa"/>
            <w:vMerge w:val="restart"/>
            <w:tcBorders>
              <w:top w:val="single" w:sz="8" w:space="0" w:color="000000"/>
              <w:left w:val="single" w:sz="8" w:space="0" w:color="000000"/>
              <w:bottom w:val="single" w:sz="6" w:space="0" w:color="000000"/>
            </w:tcBorders>
            <w:shd w:fill="auto" w:val="clear"/>
            <w:vAlign w:val="center"/>
          </w:tcPr>
          <w:p>
            <w:pPr>
              <w:pStyle w:val="Normal"/>
              <w:spacing w:lineRule="auto" w:line="240"/>
              <w:jc w:val="center"/>
              <w:rPr/>
            </w:pPr>
            <w:r>
              <w:rPr>
                <w:rFonts w:ascii="Arial" w:hAnsi="Arial" w:cs="Arial" w:eastAsia="仿宋_GB2312;仿宋"/>
                <w:sz w:val="18"/>
                <w:szCs w:val="18"/>
              </w:rPr>
              <w:t>估价期日的土地使用者</w:t>
            </w:r>
          </w:p>
        </w:tc>
        <w:tc>
          <w:tcPr>
            <w:tcW w:w="567" w:type="dxa"/>
            <w:vMerge w:val="restart"/>
            <w:tcBorders>
              <w:top w:val="single" w:sz="8"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宗地编号</w:t>
            </w:r>
          </w:p>
        </w:tc>
        <w:tc>
          <w:tcPr>
            <w:tcW w:w="709" w:type="dxa"/>
            <w:vMerge w:val="restart"/>
            <w:tcBorders>
              <w:top w:val="single" w:sz="8"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宗地名称</w:t>
            </w:r>
          </w:p>
        </w:tc>
        <w:tc>
          <w:tcPr>
            <w:tcW w:w="567" w:type="dxa"/>
            <w:vMerge w:val="restart"/>
            <w:tcBorders>
              <w:top w:val="single" w:sz="8"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土地使用证编号</w:t>
            </w:r>
          </w:p>
        </w:tc>
        <w:tc>
          <w:tcPr>
            <w:tcW w:w="1276" w:type="dxa"/>
            <w:gridSpan w:val="3"/>
            <w:tcBorders>
              <w:top w:val="single" w:sz="8" w:space="0" w:color="000000"/>
              <w:left w:val="single" w:sz="6" w:space="0" w:color="000000"/>
              <w:bottom w:val="single" w:sz="6" w:space="0" w:color="000000"/>
            </w:tcBorders>
            <w:shd w:fill="auto" w:val="clear"/>
            <w:vAlign w:val="center"/>
          </w:tcPr>
          <w:p>
            <w:pPr>
              <w:pStyle w:val="Normal"/>
              <w:widowControl/>
              <w:spacing w:lineRule="auto" w:line="240"/>
              <w:jc w:val="center"/>
              <w:rPr/>
            </w:pPr>
            <w:r>
              <w:rPr>
                <w:rFonts w:ascii="Arial" w:hAnsi="Arial" w:cs="Arial" w:eastAsia="仿宋_GB2312;仿宋"/>
                <w:sz w:val="18"/>
                <w:szCs w:val="18"/>
              </w:rPr>
              <w:t>估价期日的用途</w:t>
            </w:r>
          </w:p>
        </w:tc>
        <w:tc>
          <w:tcPr>
            <w:tcW w:w="1417" w:type="dxa"/>
            <w:gridSpan w:val="3"/>
            <w:tcBorders>
              <w:top w:val="single" w:sz="8"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容积率</w:t>
            </w:r>
          </w:p>
        </w:tc>
        <w:tc>
          <w:tcPr>
            <w:tcW w:w="1843" w:type="dxa"/>
            <w:vMerge w:val="restart"/>
            <w:tcBorders>
              <w:top w:val="single" w:sz="8" w:space="0" w:color="000000"/>
              <w:left w:val="single" w:sz="6" w:space="0" w:color="000000"/>
              <w:bottom w:val="single" w:sz="6" w:space="0" w:color="000000"/>
            </w:tcBorders>
            <w:shd w:fill="auto" w:val="clear"/>
            <w:vAlign w:val="center"/>
          </w:tcPr>
          <w:p>
            <w:pPr>
              <w:pStyle w:val="Normal"/>
              <w:spacing w:lineRule="auto" w:line="240"/>
              <w:jc w:val="center"/>
              <w:rPr/>
            </w:pPr>
            <w:r>
              <w:rPr>
                <w:rFonts w:ascii="Arial" w:hAnsi="Arial" w:cs="Arial" w:eastAsia="仿宋_GB2312;仿宋"/>
                <w:sz w:val="18"/>
                <w:szCs w:val="18"/>
              </w:rPr>
              <w:t>估价期日实际土地开发程度</w:t>
            </w:r>
          </w:p>
        </w:tc>
        <w:tc>
          <w:tcPr>
            <w:tcW w:w="1843" w:type="dxa"/>
            <w:vMerge w:val="restart"/>
            <w:tcBorders>
              <w:top w:val="single" w:sz="8" w:space="0" w:color="000000"/>
              <w:left w:val="single" w:sz="6" w:space="0" w:color="000000"/>
              <w:bottom w:val="single" w:sz="6" w:space="0" w:color="000000"/>
            </w:tcBorders>
            <w:shd w:fill="auto" w:val="clear"/>
            <w:vAlign w:val="center"/>
          </w:tcPr>
          <w:p>
            <w:pPr>
              <w:pStyle w:val="Normal"/>
              <w:spacing w:lineRule="auto" w:line="240"/>
              <w:jc w:val="center"/>
              <w:rPr/>
            </w:pPr>
            <w:r>
              <w:rPr>
                <w:rFonts w:ascii="Arial" w:hAnsi="Arial" w:cs="Arial" w:eastAsia="仿宋_GB2312;仿宋"/>
                <w:sz w:val="18"/>
                <w:szCs w:val="18"/>
              </w:rPr>
              <w:t>估价设定土地开发程度</w:t>
            </w:r>
          </w:p>
        </w:tc>
        <w:tc>
          <w:tcPr>
            <w:tcW w:w="1275" w:type="dxa"/>
            <w:vMerge w:val="restart"/>
            <w:tcBorders>
              <w:top w:val="single" w:sz="8" w:space="0" w:color="000000"/>
              <w:left w:val="single" w:sz="6" w:space="0" w:color="000000"/>
              <w:bottom w:val="single" w:sz="6" w:space="0" w:color="000000"/>
            </w:tcBorders>
            <w:shd w:fill="auto" w:val="clear"/>
            <w:vAlign w:val="center"/>
          </w:tcPr>
          <w:p>
            <w:pPr>
              <w:pStyle w:val="Normal"/>
              <w:spacing w:lineRule="auto" w:line="240"/>
              <w:jc w:val="center"/>
              <w:rPr/>
            </w:pPr>
            <w:r>
              <w:rPr>
                <w:rFonts w:ascii="Arial" w:hAnsi="Arial" w:cs="Arial" w:eastAsia="仿宋_GB2312;仿宋"/>
                <w:sz w:val="18"/>
                <w:szCs w:val="18"/>
              </w:rPr>
              <w:t>土地补偿面积或房屋建筑面积（</w:t>
            </w:r>
            <w:r>
              <w:rPr>
                <w:rFonts w:ascii="Arial" w:hAnsi="Arial" w:cs="Arial"/>
                <w:sz w:val="18"/>
                <w:szCs w:val="18"/>
              </w:rPr>
              <w:t>㎡</w:t>
            </w:r>
            <w:r>
              <w:rPr>
                <w:rFonts w:ascii="Arial" w:hAnsi="Arial" w:cs="Arial" w:eastAsia="仿宋_GB2312;仿宋"/>
                <w:sz w:val="18"/>
                <w:szCs w:val="18"/>
              </w:rPr>
              <w:t>）</w:t>
            </w:r>
          </w:p>
        </w:tc>
        <w:tc>
          <w:tcPr>
            <w:tcW w:w="993" w:type="dxa"/>
            <w:vMerge w:val="restart"/>
            <w:tcBorders>
              <w:top w:val="single" w:sz="8"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土地单位面积地价</w:t>
            </w:r>
          </w:p>
          <w:p>
            <w:pPr>
              <w:pStyle w:val="Normal"/>
              <w:spacing w:lineRule="auto" w:line="240"/>
              <w:jc w:val="center"/>
              <w:rPr/>
            </w:pPr>
            <w:r>
              <w:rPr>
                <w:rFonts w:ascii="Arial" w:hAnsi="Arial" w:cs="Arial" w:eastAsia="仿宋_GB2312;仿宋"/>
                <w:sz w:val="18"/>
                <w:szCs w:val="18"/>
              </w:rPr>
              <w:t>（元</w:t>
            </w:r>
            <w:r>
              <w:rPr>
                <w:rFonts w:eastAsia="仿宋_GB2312;仿宋" w:cs="Arial" w:ascii="Arial" w:hAnsi="Arial"/>
                <w:sz w:val="18"/>
                <w:szCs w:val="18"/>
              </w:rPr>
              <w:t>/</w:t>
            </w:r>
            <w:r>
              <w:rPr>
                <w:rFonts w:ascii="Arial" w:hAnsi="Arial" w:cs="Arial"/>
                <w:sz w:val="18"/>
                <w:szCs w:val="18"/>
              </w:rPr>
              <w:t>㎡</w:t>
            </w:r>
            <w:r>
              <w:rPr>
                <w:rFonts w:ascii="Arial" w:hAnsi="Arial" w:cs="Arial" w:eastAsia="仿宋_GB2312;仿宋"/>
                <w:sz w:val="18"/>
                <w:szCs w:val="18"/>
              </w:rPr>
              <w:t>）</w:t>
            </w:r>
          </w:p>
        </w:tc>
        <w:tc>
          <w:tcPr>
            <w:tcW w:w="1275" w:type="dxa"/>
            <w:vMerge w:val="restart"/>
            <w:tcBorders>
              <w:top w:val="single" w:sz="8" w:space="0" w:color="000000"/>
              <w:left w:val="single" w:sz="6" w:space="0" w:color="000000"/>
              <w:bottom w:val="single" w:sz="6" w:space="0" w:color="000000"/>
            </w:tcBorders>
            <w:shd w:fill="auto" w:val="clear"/>
            <w:vAlign w:val="center"/>
          </w:tcPr>
          <w:p>
            <w:pPr>
              <w:pStyle w:val="Normal"/>
              <w:spacing w:lineRule="auto" w:line="240"/>
              <w:jc w:val="center"/>
              <w:rPr/>
            </w:pPr>
            <w:r>
              <w:rPr>
                <w:rFonts w:ascii="Arial" w:hAnsi="Arial" w:cs="Arial" w:eastAsia="仿宋_GB2312;仿宋"/>
                <w:sz w:val="18"/>
                <w:szCs w:val="18"/>
              </w:rPr>
              <w:t>评估价格（万元）</w:t>
            </w:r>
          </w:p>
        </w:tc>
        <w:tc>
          <w:tcPr>
            <w:tcW w:w="2005" w:type="dxa"/>
            <w:vMerge w:val="restart"/>
            <w:tcBorders>
              <w:top w:val="single" w:sz="8" w:space="0" w:color="000000"/>
              <w:left w:val="single" w:sz="6" w:space="0" w:color="000000"/>
              <w:bottom w:val="single" w:sz="6" w:space="0" w:color="000000"/>
              <w:right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备注</w:t>
            </w:r>
          </w:p>
        </w:tc>
      </w:tr>
      <w:tr>
        <w:trPr>
          <w:trHeight w:val="814" w:hRule="atLeast"/>
        </w:trPr>
        <w:tc>
          <w:tcPr>
            <w:tcW w:w="709" w:type="dxa"/>
            <w:vMerge w:val="continue"/>
            <w:tcBorders>
              <w:top w:val="single" w:sz="8" w:space="0" w:color="000000"/>
              <w:left w:val="single" w:sz="8"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8"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709" w:type="dxa"/>
            <w:vMerge w:val="continue"/>
            <w:tcBorders>
              <w:top w:val="single" w:sz="8"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8"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证载</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实际</w:t>
            </w:r>
          </w:p>
        </w:tc>
        <w:tc>
          <w:tcPr>
            <w:tcW w:w="426"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设定</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规划</w:t>
            </w:r>
          </w:p>
        </w:tc>
        <w:tc>
          <w:tcPr>
            <w:tcW w:w="567"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实际</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设定</w:t>
            </w:r>
          </w:p>
        </w:tc>
        <w:tc>
          <w:tcPr>
            <w:tcW w:w="1843" w:type="dxa"/>
            <w:vMerge w:val="continue"/>
            <w:tcBorders>
              <w:top w:val="single" w:sz="8"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1843" w:type="dxa"/>
            <w:vMerge w:val="continue"/>
            <w:tcBorders>
              <w:top w:val="single" w:sz="8"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1275" w:type="dxa"/>
            <w:vMerge w:val="continue"/>
            <w:tcBorders>
              <w:top w:val="single" w:sz="8"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993" w:type="dxa"/>
            <w:vMerge w:val="continue"/>
            <w:tcBorders>
              <w:top w:val="single" w:sz="8"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1275" w:type="dxa"/>
            <w:vMerge w:val="continue"/>
            <w:tcBorders>
              <w:top w:val="single" w:sz="8"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2005" w:type="dxa"/>
            <w:vMerge w:val="continue"/>
            <w:tcBorders>
              <w:top w:val="single" w:sz="8" w:space="0" w:color="000000"/>
              <w:left w:val="single" w:sz="6" w:space="0" w:color="000000"/>
              <w:bottom w:val="single" w:sz="6" w:space="0" w:color="000000"/>
              <w:right w:val="single" w:sz="8"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r>
      <w:tr>
        <w:trPr>
          <w:trHeight w:val="255" w:hRule="atLeast"/>
        </w:trPr>
        <w:tc>
          <w:tcPr>
            <w:tcW w:w="709" w:type="dxa"/>
            <w:vMerge w:val="restart"/>
            <w:tcBorders>
              <w:top w:val="single" w:sz="6" w:space="0" w:color="000000"/>
              <w:left w:val="single" w:sz="8"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北京双合盛五星啤酒有限公司（原北京双合盛五星啤酒集团公司）</w:t>
            </w:r>
          </w:p>
        </w:tc>
        <w:tc>
          <w:tcPr>
            <w:tcW w:w="567" w:type="dxa"/>
            <w:vMerge w:val="restart"/>
            <w:tcBorders>
              <w:top w:val="single" w:sz="6" w:space="0" w:color="000000"/>
              <w:left w:val="single" w:sz="6" w:space="0" w:color="000000"/>
              <w:bottom w:val="single" w:sz="6" w:space="0" w:color="000000"/>
            </w:tcBorders>
            <w:shd w:fill="auto" w:val="clear"/>
            <w:vAlign w:val="center"/>
          </w:tcPr>
          <w:p>
            <w:pPr>
              <w:pStyle w:val="Normal"/>
              <w:widowControl/>
              <w:spacing w:lineRule="auto" w:line="240"/>
              <w:rPr>
                <w:rFonts w:ascii="Arial" w:hAnsi="Arial" w:eastAsia="仿宋_GB2312;仿宋" w:cs="Arial"/>
                <w:sz w:val="18"/>
                <w:szCs w:val="18"/>
              </w:rPr>
            </w:pPr>
            <w:r>
              <w:rPr>
                <w:rFonts w:eastAsia="仿宋_GB2312;仿宋" w:cs="Arial" w:ascii="Arial" w:hAnsi="Arial"/>
                <w:sz w:val="18"/>
                <w:szCs w:val="18"/>
              </w:rPr>
              <w:t>-</w:t>
            </w:r>
          </w:p>
        </w:tc>
        <w:tc>
          <w:tcPr>
            <w:tcW w:w="709" w:type="dxa"/>
            <w:vMerge w:val="restart"/>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海淀区建材城中路</w:t>
            </w:r>
            <w:r>
              <w:rPr>
                <w:rFonts w:eastAsia="仿宋_GB2312;仿宋" w:cs="Arial" w:ascii="Arial" w:hAnsi="Arial"/>
                <w:sz w:val="18"/>
                <w:szCs w:val="18"/>
              </w:rPr>
              <w:t>2</w:t>
            </w:r>
            <w:r>
              <w:rPr>
                <w:rFonts w:ascii="Arial" w:hAnsi="Arial" w:cs="Arial" w:eastAsia="仿宋_GB2312;仿宋"/>
                <w:sz w:val="18"/>
                <w:szCs w:val="18"/>
              </w:rPr>
              <w:t>号</w:t>
            </w:r>
          </w:p>
        </w:tc>
        <w:tc>
          <w:tcPr>
            <w:tcW w:w="567" w:type="dxa"/>
            <w:vMerge w:val="restart"/>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京海国用（</w:t>
            </w:r>
            <w:r>
              <w:rPr>
                <w:rFonts w:eastAsia="仿宋_GB2312;仿宋" w:cs="Arial" w:ascii="Arial" w:hAnsi="Arial"/>
                <w:sz w:val="18"/>
                <w:szCs w:val="18"/>
              </w:rPr>
              <w:t>2004</w:t>
            </w:r>
            <w:r>
              <w:rPr>
                <w:rFonts w:ascii="Arial" w:hAnsi="Arial" w:cs="Arial" w:eastAsia="仿宋_GB2312;仿宋"/>
                <w:sz w:val="18"/>
                <w:szCs w:val="18"/>
              </w:rPr>
              <w:t>划）字第</w:t>
            </w:r>
            <w:r>
              <w:rPr>
                <w:rFonts w:eastAsia="仿宋_GB2312;仿宋" w:cs="Arial" w:ascii="Arial" w:hAnsi="Arial"/>
                <w:sz w:val="18"/>
                <w:szCs w:val="18"/>
              </w:rPr>
              <w:t>2880</w:t>
            </w:r>
            <w:r>
              <w:rPr>
                <w:rFonts w:ascii="Arial" w:hAnsi="Arial" w:cs="Arial" w:eastAsia="仿宋_GB2312;仿宋"/>
                <w:sz w:val="18"/>
                <w:szCs w:val="18"/>
              </w:rPr>
              <w:t>号</w:t>
            </w:r>
          </w:p>
        </w:tc>
        <w:tc>
          <w:tcPr>
            <w:tcW w:w="425" w:type="dxa"/>
            <w:vMerge w:val="restart"/>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工业</w:t>
            </w:r>
          </w:p>
        </w:tc>
        <w:tc>
          <w:tcPr>
            <w:tcW w:w="425" w:type="dxa"/>
            <w:vMerge w:val="restart"/>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工业</w:t>
            </w:r>
          </w:p>
        </w:tc>
        <w:tc>
          <w:tcPr>
            <w:tcW w:w="426" w:type="dxa"/>
            <w:vMerge w:val="restart"/>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ascii="Arial" w:hAnsi="Arial" w:cs="Arial" w:eastAsia="仿宋_GB2312;仿宋"/>
                <w:sz w:val="18"/>
                <w:szCs w:val="18"/>
              </w:rPr>
              <w:t>工业</w:t>
            </w:r>
          </w:p>
        </w:tc>
        <w:tc>
          <w:tcPr>
            <w:tcW w:w="425" w:type="dxa"/>
            <w:vMerge w:val="restart"/>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567"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0.06</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1</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pPr>
            <w:r>
              <w:rPr>
                <w:rFonts w:ascii="Arial" w:hAnsi="Arial" w:cs="Arial" w:eastAsia="仿宋_GB2312;仿宋"/>
                <w:sz w:val="18"/>
                <w:szCs w:val="18"/>
              </w:rPr>
              <w:t>宗地红线外”</w:t>
            </w:r>
            <w:r>
              <w:rPr>
                <w:rFonts w:ascii="Arial" w:hAnsi="Arial" w:cs="Arial" w:eastAsia="仿宋_GB2312;仿宋"/>
                <w:sz w:val="18"/>
                <w:szCs w:val="18"/>
              </w:rPr>
              <w:t>七通</w:t>
            </w:r>
            <w:r>
              <w:rPr>
                <w:rFonts w:ascii="Arial" w:hAnsi="Arial" w:cs="Arial" w:eastAsia="仿宋_GB2312;仿宋"/>
                <w:sz w:val="18"/>
                <w:szCs w:val="18"/>
              </w:rPr>
              <w:t>”</w:t>
            </w:r>
            <w:r>
              <w:rPr>
                <w:rFonts w:ascii="Arial" w:hAnsi="Arial" w:cs="Arial" w:eastAsia="仿宋_GB2312;仿宋"/>
                <w:sz w:val="18"/>
                <w:szCs w:val="18"/>
              </w:rPr>
              <w:t>上水、通下水、通燃气、通电、通讯、通热</w:t>
            </w:r>
            <w:r>
              <w:rPr>
                <w:rFonts w:ascii="Arial" w:hAnsi="Arial" w:cs="Arial" w:eastAsia="仿宋_GB2312;仿宋"/>
                <w:sz w:val="18"/>
                <w:szCs w:val="18"/>
              </w:rPr>
              <w:t>），宗地红线内有现状房屋</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pPr>
            <w:r>
              <w:rPr>
                <w:rFonts w:ascii="Arial" w:hAnsi="Arial" w:cs="Arial" w:eastAsia="仿宋_GB2312;仿宋"/>
                <w:sz w:val="18"/>
                <w:szCs w:val="18"/>
              </w:rPr>
              <w:t>宗地红线外”</w:t>
            </w:r>
            <w:r>
              <w:rPr>
                <w:rFonts w:ascii="Arial" w:hAnsi="Arial" w:cs="Arial" w:eastAsia="仿宋_GB2312;仿宋"/>
                <w:sz w:val="18"/>
                <w:szCs w:val="18"/>
              </w:rPr>
              <w:t>七通</w:t>
            </w:r>
            <w:r>
              <w:rPr>
                <w:rFonts w:ascii="Arial" w:hAnsi="Arial" w:cs="Arial" w:eastAsia="仿宋_GB2312;仿宋"/>
                <w:sz w:val="18"/>
                <w:szCs w:val="18"/>
              </w:rPr>
              <w:t>”</w:t>
            </w:r>
            <w:r>
              <w:rPr>
                <w:rFonts w:ascii="Arial" w:hAnsi="Arial" w:cs="Arial" w:eastAsia="仿宋_GB2312;仿宋"/>
                <w:sz w:val="18"/>
                <w:szCs w:val="18"/>
              </w:rPr>
              <w:t>上水、通下水、通燃气、通电、通讯、通热</w:t>
            </w:r>
            <w:r>
              <w:rPr>
                <w:rFonts w:ascii="Arial" w:hAnsi="Arial" w:cs="Arial" w:eastAsia="仿宋_GB2312;仿宋"/>
                <w:sz w:val="18"/>
                <w:szCs w:val="18"/>
              </w:rPr>
              <w:t>），宗地红线内“场地平整”</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10738.85</w:t>
            </w:r>
          </w:p>
        </w:tc>
        <w:tc>
          <w:tcPr>
            <w:tcW w:w="993"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8671</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commentRangeStart w:id="7"/>
            <w:r>
              <w:rPr>
                <w:rFonts w:eastAsia="仿宋_GB2312;仿宋" w:cs="Arial" w:ascii="Arial" w:hAnsi="Arial"/>
                <w:sz w:val="18"/>
                <w:szCs w:val="18"/>
              </w:rPr>
              <w:t>9452.3358</w:t>
            </w:r>
          </w:p>
        </w:tc>
        <w:tc>
          <w:tcPr>
            <w:tcW w:w="2005" w:type="dxa"/>
            <w:tcBorders>
              <w:top w:val="single" w:sz="6" w:space="0" w:color="000000"/>
              <w:left w:val="single" w:sz="6" w:space="0" w:color="000000"/>
              <w:bottom w:val="single" w:sz="6" w:space="0" w:color="000000"/>
              <w:right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土地使用权价格</w:t>
            </w:r>
          </w:p>
        </w:tc>
      </w:tr>
      <w:tr>
        <w:trPr>
          <w:trHeight w:val="369" w:hRule="atLeast"/>
        </w:trPr>
        <w:tc>
          <w:tcPr>
            <w:tcW w:w="709" w:type="dxa"/>
            <w:vMerge w:val="continue"/>
            <w:tcBorders>
              <w:top w:val="single" w:sz="6" w:space="0" w:color="000000"/>
              <w:left w:val="single" w:sz="8" w:space="0" w:color="000000"/>
              <w:bottom w:val="single" w:sz="6" w:space="0" w:color="000000"/>
            </w:tcBorders>
            <w:shd w:fill="auto" w:val="clear"/>
            <w:vAlign w:val="center"/>
          </w:tcPr>
          <w:p>
            <w:pPr>
              <w:pStyle w:val="Norma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709"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6"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677.9</w:t>
            </w:r>
          </w:p>
        </w:tc>
        <w:tc>
          <w:tcPr>
            <w:tcW w:w="993"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46.8404</w:t>
            </w:r>
          </w:p>
        </w:tc>
        <w:tc>
          <w:tcPr>
            <w:tcW w:w="2005" w:type="dxa"/>
            <w:tcBorders>
              <w:top w:val="single" w:sz="6" w:space="0" w:color="000000"/>
              <w:left w:val="single" w:sz="6" w:space="0" w:color="000000"/>
              <w:bottom w:val="single" w:sz="6" w:space="0" w:color="000000"/>
              <w:right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建（构）筑物价格</w:t>
            </w:r>
          </w:p>
        </w:tc>
      </w:tr>
      <w:tr>
        <w:trPr>
          <w:trHeight w:val="369" w:hRule="atLeast"/>
        </w:trPr>
        <w:tc>
          <w:tcPr>
            <w:tcW w:w="709" w:type="dxa"/>
            <w:vMerge w:val="continue"/>
            <w:tcBorders>
              <w:top w:val="single" w:sz="6" w:space="0" w:color="000000"/>
              <w:left w:val="single" w:sz="8" w:space="0" w:color="000000"/>
              <w:bottom w:val="single" w:sz="6" w:space="0" w:color="000000"/>
            </w:tcBorders>
            <w:shd w:fill="auto" w:val="clear"/>
            <w:vAlign w:val="center"/>
          </w:tcPr>
          <w:p>
            <w:pPr>
              <w:pStyle w:val="Norma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709"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6"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993"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11.5346</w:t>
            </w:r>
          </w:p>
        </w:tc>
        <w:tc>
          <w:tcPr>
            <w:tcW w:w="2005" w:type="dxa"/>
            <w:tcBorders>
              <w:top w:val="single" w:sz="6" w:space="0" w:color="000000"/>
              <w:left w:val="single" w:sz="6" w:space="0" w:color="000000"/>
              <w:bottom w:val="single" w:sz="6" w:space="0" w:color="000000"/>
              <w:right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附属物价格</w:t>
            </w:r>
          </w:p>
        </w:tc>
      </w:tr>
      <w:tr>
        <w:trPr>
          <w:trHeight w:val="369" w:hRule="atLeast"/>
        </w:trPr>
        <w:tc>
          <w:tcPr>
            <w:tcW w:w="709" w:type="dxa"/>
            <w:vMerge w:val="continue"/>
            <w:tcBorders>
              <w:top w:val="single" w:sz="6" w:space="0" w:color="000000"/>
              <w:left w:val="single" w:sz="8" w:space="0" w:color="000000"/>
              <w:bottom w:val="single" w:sz="6" w:space="0" w:color="000000"/>
            </w:tcBorders>
            <w:shd w:fill="auto" w:val="clear"/>
            <w:vAlign w:val="center"/>
          </w:tcPr>
          <w:p>
            <w:pPr>
              <w:pStyle w:val="Norma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709"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6"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993"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无法恢复使用的设施设备补偿价格</w:t>
            </w:r>
          </w:p>
        </w:tc>
      </w:tr>
      <w:tr>
        <w:trPr>
          <w:trHeight w:val="369" w:hRule="atLeast"/>
        </w:trPr>
        <w:tc>
          <w:tcPr>
            <w:tcW w:w="709" w:type="dxa"/>
            <w:vMerge w:val="continue"/>
            <w:tcBorders>
              <w:top w:val="single" w:sz="6" w:space="0" w:color="000000"/>
              <w:left w:val="single" w:sz="8" w:space="0" w:color="000000"/>
              <w:bottom w:val="single" w:sz="6" w:space="0" w:color="000000"/>
            </w:tcBorders>
            <w:shd w:fill="auto" w:val="clear"/>
            <w:vAlign w:val="center"/>
          </w:tcPr>
          <w:p>
            <w:pPr>
              <w:pStyle w:val="Norma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709"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6"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993"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停产停业损失补偿费用</w:t>
            </w:r>
          </w:p>
        </w:tc>
      </w:tr>
      <w:tr>
        <w:trPr>
          <w:trHeight w:val="369" w:hRule="atLeast"/>
        </w:trPr>
        <w:tc>
          <w:tcPr>
            <w:tcW w:w="709" w:type="dxa"/>
            <w:vMerge w:val="continue"/>
            <w:tcBorders>
              <w:top w:val="single" w:sz="6" w:space="0" w:color="000000"/>
              <w:left w:val="single" w:sz="8" w:space="0" w:color="000000"/>
              <w:bottom w:val="single" w:sz="6" w:space="0" w:color="000000"/>
            </w:tcBorders>
            <w:shd w:fill="auto" w:val="clear"/>
            <w:vAlign w:val="center"/>
          </w:tcPr>
          <w:p>
            <w:pPr>
              <w:pStyle w:val="Norma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709"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6"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425" w:type="dxa"/>
            <w:vMerge w:val="continue"/>
            <w:tcBorders>
              <w:top w:val="single" w:sz="6" w:space="0" w:color="000000"/>
              <w:left w:val="single" w:sz="6" w:space="0" w:color="000000"/>
              <w:bottom w:val="single" w:sz="6"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425"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6"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993"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6"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3.3895</w:t>
            </w:r>
          </w:p>
        </w:tc>
        <w:tc>
          <w:tcPr>
            <w:tcW w:w="2005" w:type="dxa"/>
            <w:tcBorders>
              <w:top w:val="single" w:sz="6" w:space="0" w:color="000000"/>
              <w:left w:val="single" w:sz="6" w:space="0" w:color="000000"/>
              <w:bottom w:val="single" w:sz="6" w:space="0" w:color="000000"/>
              <w:right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搬迁、临时安置补偿费用</w:t>
            </w:r>
          </w:p>
        </w:tc>
      </w:tr>
      <w:tr>
        <w:trPr>
          <w:trHeight w:val="369" w:hRule="atLeast"/>
        </w:trPr>
        <w:tc>
          <w:tcPr>
            <w:tcW w:w="3828" w:type="dxa"/>
            <w:gridSpan w:val="7"/>
            <w:tcBorders>
              <w:top w:val="single" w:sz="4" w:space="0" w:color="000000"/>
              <w:left w:val="single" w:sz="8" w:space="0" w:color="000000"/>
              <w:bottom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ascii="Arial" w:hAnsi="Arial" w:cs="Arial" w:eastAsia="仿宋_GB2312;仿宋"/>
                <w:sz w:val="18"/>
                <w:szCs w:val="18"/>
              </w:rPr>
              <w:t>合计</w:t>
            </w:r>
          </w:p>
        </w:tc>
        <w:tc>
          <w:tcPr>
            <w:tcW w:w="425" w:type="dxa"/>
            <w:tcBorders>
              <w:top w:val="single" w:sz="6" w:space="0" w:color="000000"/>
              <w:left w:val="single" w:sz="6" w:space="0" w:color="000000"/>
              <w:bottom w:val="single" w:sz="8" w:space="0" w:color="000000"/>
            </w:tcBorders>
            <w:shd w:fill="auto" w:val="clear"/>
            <w:vAlign w:val="center"/>
          </w:tcPr>
          <w:p>
            <w:pPr>
              <w:pStyle w:val="Normal"/>
              <w:widowControl/>
              <w:snapToGrid w:val="false"/>
              <w:spacing w:lineRule="auto" w:line="240"/>
              <w:jc w:val="center"/>
              <w:rPr>
                <w:rFonts w:ascii="Arial" w:hAnsi="Arial" w:eastAsia="仿宋_GB2312;仿宋" w:cs="Arial"/>
                <w:sz w:val="18"/>
                <w:szCs w:val="18"/>
              </w:rPr>
            </w:pPr>
            <w:r>
              <w:rPr>
                <w:rFonts w:eastAsia="仿宋_GB2312;仿宋" w:cs="Arial" w:ascii="Arial" w:hAnsi="Arial"/>
                <w:sz w:val="18"/>
                <w:szCs w:val="18"/>
              </w:rPr>
            </w:r>
          </w:p>
        </w:tc>
        <w:tc>
          <w:tcPr>
            <w:tcW w:w="567" w:type="dxa"/>
            <w:tcBorders>
              <w:top w:val="single" w:sz="6" w:space="0" w:color="000000"/>
              <w:left w:val="single" w:sz="6" w:space="0" w:color="000000"/>
              <w:bottom w:val="single" w:sz="8"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425" w:type="dxa"/>
            <w:tcBorders>
              <w:top w:val="single" w:sz="6" w:space="0" w:color="000000"/>
              <w:left w:val="single" w:sz="6" w:space="0" w:color="000000"/>
              <w:bottom w:val="single" w:sz="8"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8"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843" w:type="dxa"/>
            <w:tcBorders>
              <w:top w:val="single" w:sz="6" w:space="0" w:color="000000"/>
              <w:left w:val="single" w:sz="6" w:space="0" w:color="000000"/>
              <w:bottom w:val="single" w:sz="8"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8" w:space="0" w:color="000000"/>
            </w:tcBorders>
            <w:shd w:fill="auto" w:val="clear"/>
            <w:vAlign w:val="center"/>
          </w:tcPr>
          <w:p>
            <w:pPr>
              <w:pStyle w:val="Normal"/>
              <w:widowContro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c>
          <w:tcPr>
            <w:tcW w:w="993" w:type="dxa"/>
            <w:tcBorders>
              <w:top w:val="single" w:sz="6" w:space="0" w:color="000000"/>
              <w:left w:val="single" w:sz="6" w:space="0" w:color="000000"/>
              <w:bottom w:val="single" w:sz="8" w:space="0" w:color="000000"/>
            </w:tcBorders>
            <w:shd w:fill="auto" w:val="clear"/>
            <w:vAlign w:val="center"/>
          </w:tcPr>
          <w:p>
            <w:pPr>
              <w:pStyle w:val="Normal"/>
              <w:spacing w:lineRule="auto" w:line="240"/>
              <w:jc w:val="center"/>
              <w:rPr>
                <w:rFonts w:ascii="Arial" w:hAnsi="Arial" w:cs="Arial"/>
                <w:sz w:val="18"/>
                <w:szCs w:val="18"/>
              </w:rPr>
            </w:pPr>
            <w:r>
              <w:rPr>
                <w:rFonts w:eastAsia="仿宋_GB2312;仿宋" w:cs="Arial" w:ascii="Arial" w:hAnsi="Arial"/>
                <w:sz w:val="18"/>
                <w:szCs w:val="18"/>
              </w:rPr>
              <w:t>-</w:t>
            </w:r>
          </w:p>
        </w:tc>
        <w:tc>
          <w:tcPr>
            <w:tcW w:w="1275" w:type="dxa"/>
            <w:tcBorders>
              <w:top w:val="single" w:sz="6" w:space="0" w:color="000000"/>
              <w:left w:val="single" w:sz="6" w:space="0" w:color="000000"/>
              <w:bottom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9373.4213</w:t>
            </w:r>
            <w:commentRangeEnd w:id="7"/>
            <w:r>
              <w:commentReference w:id="7"/>
            </w:r>
            <w:r>
              <w:rPr>
                <w:rFonts w:eastAsia="仿宋_GB2312;仿宋" w:cs="Arial" w:ascii="Arial" w:hAnsi="Arial"/>
                <w:sz w:val="18"/>
                <w:szCs w:val="18"/>
              </w:rPr>
            </w:r>
          </w:p>
        </w:tc>
        <w:tc>
          <w:tcPr>
            <w:tcW w:w="2005" w:type="dxa"/>
            <w:tcBorders>
              <w:top w:val="single" w:sz="6" w:space="0" w:color="000000"/>
              <w:left w:val="single" w:sz="6" w:space="0" w:color="000000"/>
              <w:bottom w:val="single" w:sz="8" w:space="0" w:color="000000"/>
              <w:right w:val="single" w:sz="8" w:space="0" w:color="000000"/>
            </w:tcBorders>
            <w:shd w:fill="auto" w:val="clear"/>
            <w:vAlign w:val="center"/>
          </w:tcPr>
          <w:p>
            <w:pPr>
              <w:pStyle w:val="Normal"/>
              <w:spacing w:lineRule="auto" w:line="240"/>
              <w:jc w:val="center"/>
              <w:rPr>
                <w:rFonts w:ascii="Arial" w:hAnsi="Arial" w:eastAsia="仿宋_GB2312;仿宋" w:cs="Arial"/>
                <w:sz w:val="18"/>
                <w:szCs w:val="18"/>
              </w:rPr>
            </w:pPr>
            <w:r>
              <w:rPr>
                <w:rFonts w:eastAsia="仿宋_GB2312;仿宋" w:cs="Arial" w:ascii="Arial" w:hAnsi="Arial"/>
                <w:sz w:val="18"/>
                <w:szCs w:val="18"/>
              </w:rPr>
              <w:t>-</w:t>
            </w:r>
          </w:p>
        </w:tc>
      </w:tr>
    </w:tbl>
    <w:p>
      <w:pPr>
        <w:sectPr>
          <w:headerReference w:type="default" r:id="rId53"/>
          <w:headerReference w:type="first" r:id="rId54"/>
          <w:footerReference w:type="default" r:id="rId55"/>
          <w:footerReference w:type="first" r:id="rId56"/>
          <w:type w:val="nextPage"/>
          <w:pgSz w:orient="landscape" w:w="16838" w:h="11906"/>
          <w:pgMar w:left="1474" w:right="1134" w:header="1134" w:top="1508" w:footer="907" w:bottom="1134" w:gutter="0"/>
          <w:pgNumType w:fmt="decimal"/>
          <w:formProt w:val="false"/>
          <w:titlePg/>
          <w:textDirection w:val="lrTb"/>
          <w:docGrid w:type="default" w:linePitch="326" w:charSpace="0"/>
        </w:sectPr>
        <w:pStyle w:val="Normal"/>
        <w:spacing w:lineRule="auto" w:line="360"/>
        <w:rPr>
          <w:rFonts w:ascii="Arial" w:hAnsi="Arial" w:eastAsia="仿宋_GB2312;仿宋" w:cs="Arial"/>
          <w:sz w:val="18"/>
          <w:szCs w:val="18"/>
        </w:rPr>
      </w:pPr>
      <w:r>
        <w:rPr>
          <w:rFonts w:ascii="Arial" w:hAnsi="Arial" w:cs="Arial" w:eastAsia="仿宋_GB2312;仿宋"/>
          <w:sz w:val="18"/>
          <w:szCs w:val="18"/>
        </w:rPr>
        <w:t>币种：人民币</w:t>
      </w:r>
    </w:p>
    <w:p>
      <w:pPr>
        <w:pStyle w:val="Normal"/>
        <w:numPr>
          <w:ilvl w:val="0"/>
          <w:numId w:val="0"/>
        </w:numPr>
        <w:spacing w:lineRule="auto" w:line="360"/>
        <w:outlineLvl w:val="1"/>
        <w:rPr/>
      </w:pPr>
      <w:bookmarkStart w:id="41" w:name="__RefHeading___Toc530042250"/>
      <w:bookmarkEnd w:id="41"/>
      <w:r>
        <w:rPr>
          <w:rFonts w:ascii="Arial" w:hAnsi="Arial" w:cs="Arial" w:eastAsia="仿宋_GB2312;仿宋"/>
          <w:b/>
          <w:sz w:val="28"/>
        </w:rPr>
        <w:t>十、需要特殊说明的事项</w:t>
      </w:r>
    </w:p>
    <w:p>
      <w:pPr>
        <w:pStyle w:val="Normal"/>
        <w:snapToGrid w:val="false"/>
        <w:spacing w:lineRule="auto" w:line="360"/>
        <w:jc w:val="both"/>
        <w:textAlignment w:val="bottom"/>
        <w:rPr/>
      </w:pPr>
      <w:r>
        <w:rPr>
          <w:rFonts w:ascii="Arial" w:hAnsi="Arial" w:cs="Arial" w:eastAsia="仿宋_GB2312;仿宋"/>
          <w:sz w:val="28"/>
        </w:rPr>
        <w:t>（一）估价的前提条件和假设条件</w:t>
      </w:r>
    </w:p>
    <w:p>
      <w:pPr>
        <w:pStyle w:val="Normal"/>
        <w:snapToGrid w:val="false"/>
        <w:spacing w:lineRule="auto" w:line="360"/>
        <w:ind w:firstLine="555"/>
        <w:jc w:val="both"/>
        <w:textAlignment w:val="bottom"/>
        <w:rPr/>
      </w:pPr>
      <w:r>
        <w:rPr>
          <w:rFonts w:eastAsia="仿宋_GB2312;仿宋" w:cs="Arial" w:ascii="Arial" w:hAnsi="Arial"/>
          <w:sz w:val="28"/>
        </w:rPr>
        <w:t>1.</w:t>
      </w:r>
      <w:r>
        <w:rPr>
          <w:rFonts w:ascii="Arial" w:hAnsi="Arial" w:cs="Arial" w:eastAsia="仿宋_GB2312;仿宋"/>
          <w:sz w:val="28"/>
        </w:rPr>
        <w:t>委托估价方提供的资料属实，没有保留及隐瞒。</w:t>
      </w:r>
    </w:p>
    <w:p>
      <w:pPr>
        <w:pStyle w:val="Normal"/>
        <w:snapToGrid w:val="false"/>
        <w:spacing w:lineRule="auto" w:line="360"/>
        <w:jc w:val="both"/>
        <w:textAlignment w:val="bottom"/>
        <w:rPr/>
      </w:pPr>
      <w:r>
        <w:rPr>
          <w:rFonts w:ascii="Arial" w:hAnsi="Arial" w:cs="Arial" w:eastAsia="Arial"/>
          <w:sz w:val="28"/>
        </w:rPr>
        <w:t xml:space="preserve">    </w:t>
      </w:r>
      <w:r>
        <w:rPr>
          <w:rFonts w:eastAsia="仿宋_GB2312;仿宋" w:cs="Arial" w:ascii="Arial" w:hAnsi="Arial"/>
          <w:sz w:val="28"/>
        </w:rPr>
        <w:t>2.</w:t>
      </w:r>
      <w:r>
        <w:rPr>
          <w:rFonts w:ascii="Arial" w:hAnsi="Arial" w:cs="Arial" w:eastAsia="仿宋_GB2312;仿宋"/>
          <w:sz w:val="28"/>
        </w:rPr>
        <w:t>任何有关估价对象的运作方式、程序符合国家、地方的有关法律、法规。</w:t>
      </w:r>
    </w:p>
    <w:p>
      <w:pPr>
        <w:pStyle w:val="Normal"/>
        <w:spacing w:lineRule="auto" w:line="360"/>
        <w:ind w:right="17" w:firstLine="560"/>
        <w:jc w:val="both"/>
        <w:rPr>
          <w:rFonts w:ascii="Arial" w:hAnsi="Arial" w:eastAsia="仿宋_GB2312;仿宋" w:cs="Arial"/>
          <w:sz w:val="28"/>
        </w:rPr>
      </w:pPr>
      <w:r>
        <w:rPr>
          <w:rFonts w:eastAsia="仿宋_GB2312;仿宋" w:cs="Arial" w:ascii="Arial" w:hAnsi="Arial"/>
          <w:sz w:val="28"/>
        </w:rPr>
        <w:t>3.</w:t>
      </w:r>
      <w:r>
        <w:rPr>
          <w:rFonts w:ascii="Arial" w:hAnsi="Arial" w:cs="Arial" w:eastAsia="仿宋_GB2312;仿宋"/>
          <w:sz w:val="28"/>
        </w:rPr>
        <w:t>委托估价方合法取得估价对象划拨国有建设用地使用权。</w:t>
      </w:r>
    </w:p>
    <w:p>
      <w:pPr>
        <w:pStyle w:val="Normal"/>
        <w:spacing w:lineRule="auto" w:line="360"/>
        <w:ind w:firstLine="560"/>
        <w:jc w:val="both"/>
        <w:rPr/>
      </w:pPr>
      <w:r>
        <w:rPr>
          <w:rFonts w:eastAsia="仿宋_GB2312;仿宋" w:cs="Arial" w:ascii="Arial" w:hAnsi="Arial"/>
          <w:sz w:val="28"/>
        </w:rPr>
        <w:t>4.</w:t>
      </w:r>
      <w:r>
        <w:rPr>
          <w:rFonts w:ascii="Arial" w:hAnsi="Arial" w:cs="Arial" w:eastAsia="仿宋_GB2312;仿宋"/>
          <w:sz w:val="28"/>
        </w:rPr>
        <w:t>根据《国有土地使用证》</w:t>
      </w:r>
      <w:r>
        <w:rPr>
          <w:rFonts w:eastAsia="仿宋_GB2312;仿宋" w:cs="Arial" w:ascii="Arial" w:hAnsi="Arial"/>
          <w:sz w:val="28"/>
        </w:rPr>
        <w:t>[</w:t>
      </w:r>
      <w:r>
        <w:rPr>
          <w:rFonts w:ascii="Arial" w:hAnsi="Arial" w:cs="Arial" w:eastAsia="仿宋_GB2312;仿宋"/>
          <w:sz w:val="28"/>
        </w:rPr>
        <w:t>京海国用（</w:t>
      </w:r>
      <w:r>
        <w:rPr>
          <w:rFonts w:eastAsia="仿宋_GB2312;仿宋" w:cs="Arial" w:ascii="Arial" w:hAnsi="Arial"/>
          <w:sz w:val="28"/>
        </w:rPr>
        <w:t>2004</w:t>
      </w:r>
      <w:r>
        <w:rPr>
          <w:rFonts w:ascii="Arial" w:hAnsi="Arial" w:cs="Arial" w:eastAsia="仿宋_GB2312;仿宋"/>
          <w:sz w:val="28"/>
        </w:rPr>
        <w:t>划）字第</w:t>
      </w:r>
      <w:r>
        <w:rPr>
          <w:rFonts w:eastAsia="仿宋_GB2312;仿宋" w:cs="Arial" w:ascii="Arial" w:hAnsi="Arial"/>
          <w:sz w:val="28"/>
        </w:rPr>
        <w:t>2880</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复印件，本次评估估价对象证载地类（用途）为工业用地。本次评估设定用途即为证载用途工业用地。</w:t>
      </w:r>
    </w:p>
    <w:p>
      <w:pPr>
        <w:pStyle w:val="Normal"/>
        <w:spacing w:lineRule="auto" w:line="360"/>
        <w:ind w:firstLine="560"/>
        <w:jc w:val="both"/>
        <w:rPr/>
      </w:pPr>
      <w:r>
        <w:rPr>
          <w:rFonts w:eastAsia="仿宋_GB2312;仿宋" w:cs="Arial" w:ascii="Arial" w:hAnsi="Arial"/>
          <w:sz w:val="28"/>
        </w:rPr>
        <w:t>5.</w:t>
      </w:r>
      <w:r>
        <w:rPr>
          <w:rFonts w:ascii="Arial" w:hAnsi="Arial" w:cs="Arial" w:eastAsia="仿宋_GB2312;仿宋"/>
          <w:sz w:val="28"/>
        </w:rPr>
        <w:t>根据委托估价方介绍及评估专业人员现场勘查，本次评估估价对象实际土地开发程度为宗地红线外”七通”（即通路、通上水、通下水、通燃气、通电、通讯、通热）、宗地红线内有现状房屋。根据本次估价目的，本次估算设定土地开发程度即为实际开发程度红线外市政基础设施达”七通”（即通路、通上水、通下水、通燃气、通电、通讯、通热）、宗地红线内“场地平整”。</w:t>
      </w:r>
    </w:p>
    <w:p>
      <w:pPr>
        <w:pStyle w:val="Normal"/>
        <w:spacing w:lineRule="auto" w:line="360"/>
        <w:ind w:firstLine="560"/>
        <w:jc w:val="both"/>
        <w:rPr/>
      </w:pPr>
      <w:r>
        <w:rPr>
          <w:rFonts w:eastAsia="仿宋_GB2312;仿宋" w:cs="Arial" w:ascii="Arial" w:hAnsi="Arial"/>
          <w:sz w:val="28"/>
        </w:rPr>
        <w:t>6.</w:t>
      </w:r>
      <w:r>
        <w:rPr>
          <w:rFonts w:ascii="Arial" w:hAnsi="Arial" w:cs="Arial" w:eastAsia="仿宋_GB2312;仿宋"/>
          <w:sz w:val="28"/>
        </w:rPr>
        <w:t>评估专业人员根据委托估价方所提供的资料，未发现有抵押、租赁的登记信息，本次评估设定估价对象不存在抵押、租赁等他项权利。</w:t>
      </w:r>
    </w:p>
    <w:p>
      <w:pPr>
        <w:pStyle w:val="Normal"/>
        <w:snapToGrid w:val="false"/>
        <w:spacing w:lineRule="auto" w:line="360"/>
        <w:jc w:val="both"/>
        <w:textAlignment w:val="bottom"/>
        <w:rPr/>
      </w:pPr>
      <w:r>
        <w:rPr>
          <w:rFonts w:ascii="Arial" w:hAnsi="Arial" w:cs="Arial" w:eastAsia="仿宋_GB2312;仿宋"/>
          <w:sz w:val="28"/>
        </w:rPr>
        <w:t>（二）估价结果和估价报告的使用</w:t>
      </w:r>
    </w:p>
    <w:p>
      <w:pPr>
        <w:pStyle w:val="Normal"/>
        <w:snapToGrid w:val="false"/>
        <w:spacing w:lineRule="auto" w:line="360"/>
        <w:ind w:firstLine="585"/>
        <w:jc w:val="both"/>
        <w:textAlignment w:val="auto"/>
        <w:rPr/>
      </w:pPr>
      <w:r>
        <w:rPr>
          <w:rFonts w:eastAsia="仿宋_GB2312;仿宋" w:cs="Arial" w:ascii="Arial" w:hAnsi="Arial"/>
          <w:sz w:val="28"/>
        </w:rPr>
        <w:t>1.</w:t>
      </w:r>
      <w:r>
        <w:rPr>
          <w:rFonts w:ascii="Arial" w:hAnsi="Arial" w:cs="Arial" w:eastAsia="仿宋_GB2312;仿宋"/>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pPr>
        <w:pStyle w:val="Normal"/>
        <w:snapToGrid w:val="false"/>
        <w:spacing w:lineRule="auto" w:line="360"/>
        <w:ind w:firstLine="585"/>
        <w:jc w:val="both"/>
        <w:textAlignment w:val="auto"/>
        <w:rPr>
          <w:rFonts w:ascii="Arial" w:hAnsi="Arial" w:eastAsia="仿宋_GB2312;仿宋" w:cs="Arial"/>
          <w:sz w:val="28"/>
        </w:rPr>
      </w:pPr>
      <w:r>
        <w:rPr>
          <w:rFonts w:eastAsia="仿宋_GB2312;仿宋" w:cs="Arial" w:ascii="Arial" w:hAnsi="Arial"/>
          <w:sz w:val="28"/>
        </w:rPr>
        <w:t>2.</w:t>
      </w:r>
      <w:r>
        <w:rPr>
          <w:rFonts w:ascii="Arial" w:hAnsi="Arial" w:cs="Arial" w:eastAsia="仿宋_GB2312;仿宋"/>
          <w:sz w:val="28"/>
        </w:rPr>
        <w:t>委托估价方</w:t>
      </w:r>
      <w:r>
        <w:rPr>
          <w:rFonts w:ascii="Arial" w:hAnsi="Arial" w:cs="Arial" w:eastAsia="仿宋_GB2312;仿宋"/>
          <w:kern w:val="2"/>
          <w:sz w:val="28"/>
        </w:rPr>
        <w:t>应对其提供的权属证明以及其他资料的真实性、完整性和合法性负责。如因资料失实或资料提供人有所隐匿而导致估价结果失真，受托单位不承担相应的责任。</w:t>
      </w:r>
    </w:p>
    <w:p>
      <w:pPr>
        <w:pStyle w:val="Normal"/>
        <w:snapToGrid w:val="false"/>
        <w:spacing w:lineRule="auto" w:line="360"/>
        <w:ind w:firstLine="585"/>
        <w:jc w:val="both"/>
        <w:textAlignment w:val="auto"/>
        <w:rPr/>
      </w:pPr>
      <w:r>
        <w:rPr>
          <w:rFonts w:eastAsia="仿宋_GB2312;仿宋" w:cs="Arial" w:ascii="Arial" w:hAnsi="Arial"/>
          <w:sz w:val="28"/>
        </w:rPr>
        <w:t>3.</w:t>
      </w:r>
      <w:r>
        <w:rPr>
          <w:rFonts w:ascii="Arial" w:hAnsi="Arial" w:cs="Arial" w:eastAsia="仿宋_GB2312;仿宋"/>
          <w:sz w:val="28"/>
        </w:rPr>
        <w:t>本报告估价结果为估价期日下的土地收购补偿价格，随着时间的推移，该价格需要做相应的调整直至重新评估。</w:t>
      </w:r>
    </w:p>
    <w:p>
      <w:pPr>
        <w:pStyle w:val="Normal"/>
        <w:snapToGrid w:val="false"/>
        <w:spacing w:lineRule="auto" w:line="360"/>
        <w:ind w:firstLine="585"/>
        <w:jc w:val="both"/>
        <w:textAlignment w:val="auto"/>
        <w:rPr/>
      </w:pPr>
      <w:r>
        <w:rPr>
          <w:rFonts w:eastAsia="仿宋_GB2312;仿宋" w:cs="Arial" w:ascii="Arial" w:hAnsi="Arial"/>
          <w:sz w:val="28"/>
        </w:rPr>
        <w:t>4.</w:t>
      </w:r>
      <w:r>
        <w:rPr>
          <w:rFonts w:ascii="Arial" w:hAnsi="Arial" w:cs="Arial" w:eastAsia="仿宋_GB2312;仿宋"/>
          <w:sz w:val="28"/>
        </w:rPr>
        <w:t>本估价报告在受托单位盖章和土地估价师签字或签章的条件下有效。</w:t>
      </w:r>
    </w:p>
    <w:p>
      <w:pPr>
        <w:pStyle w:val="Normal"/>
        <w:snapToGrid w:val="false"/>
        <w:spacing w:lineRule="auto" w:line="360"/>
        <w:ind w:firstLine="585"/>
        <w:jc w:val="both"/>
        <w:textAlignment w:val="auto"/>
        <w:rPr/>
      </w:pPr>
      <w:r>
        <w:rPr>
          <w:rFonts w:eastAsia="仿宋_GB2312;仿宋" w:cs="Arial" w:ascii="Arial" w:hAnsi="Arial"/>
          <w:sz w:val="28"/>
        </w:rPr>
        <w:t>5.</w:t>
      </w:r>
      <w:r>
        <w:rPr>
          <w:rFonts w:ascii="Arial" w:hAnsi="Arial" w:cs="Arial" w:eastAsia="仿宋_GB2312;仿宋"/>
          <w:sz w:val="28"/>
        </w:rPr>
        <w:t>本次评估估价报告分为“土地估价报告”和“土地估价技术报告”两部分，“土地估价报告”供委托估价方使用，“土地估价技术报告”仅供受托单位存档。</w:t>
      </w:r>
    </w:p>
    <w:p>
      <w:pPr>
        <w:pStyle w:val="Normal"/>
        <w:snapToGrid w:val="false"/>
        <w:spacing w:lineRule="auto" w:line="360"/>
        <w:ind w:firstLine="570"/>
        <w:jc w:val="both"/>
        <w:rPr/>
      </w:pPr>
      <w:r>
        <w:rPr>
          <w:rFonts w:eastAsia="仿宋_GB2312;仿宋" w:cs="Arial" w:ascii="Arial" w:hAnsi="Arial"/>
          <w:sz w:val="28"/>
        </w:rPr>
        <w:t>6.</w:t>
      </w:r>
      <w:r>
        <w:rPr>
          <w:rFonts w:ascii="Arial" w:hAnsi="Arial" w:cs="Arial" w:eastAsia="仿宋_GB2312;仿宋"/>
          <w:sz w:val="28"/>
        </w:rPr>
        <w:t>本估价报告只能由估价报告载明的报告使用者使用，且只能用于本报告载明的唯一估价目的和用途。</w:t>
      </w:r>
    </w:p>
    <w:p>
      <w:pPr>
        <w:pStyle w:val="Normal"/>
        <w:snapToGrid w:val="false"/>
        <w:spacing w:lineRule="auto" w:line="360"/>
        <w:ind w:firstLine="570"/>
        <w:jc w:val="both"/>
        <w:rPr/>
      </w:pPr>
      <w:r>
        <w:rPr>
          <w:rFonts w:eastAsia="仿宋_GB2312;仿宋" w:cs="Arial" w:ascii="Arial" w:hAnsi="Arial"/>
          <w:sz w:val="28"/>
        </w:rPr>
        <w:t>7.</w:t>
      </w:r>
      <w:r>
        <w:rPr>
          <w:rFonts w:ascii="Arial" w:hAnsi="Arial" w:cs="Arial" w:eastAsia="仿宋_GB2312;仿宋"/>
          <w:sz w:val="28"/>
        </w:rPr>
        <w:t>委托估价方或者本估价报告使用人应按照法律规定和估价报告载明的使用范围使用本估价报告。委托估价方或者估价报告使用人违反前述规定使用本估价报告的，受托单位和评估专业人员不承担责任。</w:t>
      </w:r>
    </w:p>
    <w:p>
      <w:pPr>
        <w:pStyle w:val="Normal"/>
        <w:snapToGrid w:val="false"/>
        <w:spacing w:lineRule="auto" w:line="360"/>
        <w:ind w:firstLine="570"/>
        <w:jc w:val="both"/>
        <w:rPr/>
      </w:pPr>
      <w:r>
        <w:rPr>
          <w:rFonts w:eastAsia="仿宋_GB2312;仿宋" w:cs="Arial" w:ascii="Arial" w:hAnsi="Arial"/>
          <w:sz w:val="28"/>
        </w:rPr>
        <w:t>8.</w:t>
      </w:r>
      <w:r>
        <w:rPr>
          <w:rFonts w:ascii="Arial" w:hAnsi="Arial" w:cs="Arial" w:eastAsia="仿宋_GB2312;仿宋"/>
          <w:sz w:val="28"/>
        </w:rPr>
        <w:t>除委托估价方、估价委托合同中约定的其他估价报告使用人和法律、行政法规规定的估价报告使用人之外，其他任何机构和个人不能成为估价报告的使用人。</w:t>
      </w:r>
    </w:p>
    <w:p>
      <w:pPr>
        <w:pStyle w:val="Normal"/>
        <w:snapToGrid w:val="false"/>
        <w:spacing w:lineRule="auto" w:line="360"/>
        <w:ind w:firstLine="570"/>
        <w:jc w:val="both"/>
        <w:rPr/>
      </w:pPr>
      <w:r>
        <w:rPr>
          <w:rFonts w:eastAsia="仿宋_GB2312;仿宋" w:cs="Arial" w:ascii="Arial" w:hAnsi="Arial"/>
          <w:sz w:val="28"/>
        </w:rPr>
        <w:t>9.</w:t>
      </w:r>
      <w:r>
        <w:rPr>
          <w:rFonts w:ascii="Arial" w:hAnsi="Arial" w:cs="Arial" w:eastAsia="仿宋_GB2312;仿宋"/>
          <w:sz w:val="28"/>
        </w:rPr>
        <w:t>估价报告使用人应当正确理解估价结论。估价结论不等同于估价对象可实现价格，估价结论不应当被认为是对估价对象可实现价格的保证。</w:t>
      </w:r>
    </w:p>
    <w:p>
      <w:pPr>
        <w:pStyle w:val="Normal"/>
        <w:snapToGrid w:val="false"/>
        <w:spacing w:lineRule="auto" w:line="360"/>
        <w:ind w:firstLine="570"/>
        <w:jc w:val="both"/>
        <w:rPr/>
      </w:pPr>
      <w:r>
        <w:rPr>
          <w:rFonts w:eastAsia="仿宋_GB2312;仿宋" w:cs="Arial" w:ascii="Arial" w:hAnsi="Arial"/>
          <w:sz w:val="28"/>
        </w:rPr>
        <w:t>10.</w:t>
      </w:r>
      <w:r>
        <w:rPr>
          <w:rFonts w:ascii="Arial" w:hAnsi="Arial" w:cs="Arial" w:eastAsia="仿宋_GB2312;仿宋"/>
          <w:sz w:val="28"/>
        </w:rPr>
        <w:t>本报告所确定的土地价格仅为收购的国有建设用地使用权的补偿</w:t>
      </w:r>
      <w:r>
        <w:rPr>
          <w:rFonts w:ascii="Arial" w:hAnsi="Arial" w:cs="Arial" w:eastAsia="仿宋_GB2312;仿宋"/>
          <w:sz w:val="28"/>
        </w:rPr>
        <w:t>可能</w:t>
      </w:r>
      <w:r>
        <w:rPr>
          <w:rFonts w:ascii="Arial" w:hAnsi="Arial" w:cs="Arial" w:eastAsia="仿宋_GB2312;仿宋"/>
          <w:sz w:val="28"/>
        </w:rPr>
        <w:t>形成的价格，若违反特定用途使用本土地</w:t>
      </w:r>
      <w:r>
        <w:rPr>
          <w:rFonts w:ascii="Arial" w:hAnsi="Arial" w:cs="Arial" w:eastAsia="仿宋_GB2312;仿宋"/>
          <w:sz w:val="28"/>
        </w:rPr>
        <w:t>估价报告</w:t>
      </w:r>
      <w:r>
        <w:rPr>
          <w:rFonts w:ascii="Arial" w:hAnsi="Arial" w:cs="Arial" w:eastAsia="仿宋_GB2312;仿宋"/>
          <w:sz w:val="28"/>
        </w:rPr>
        <w:t>和估价结果，由此引出的一切法律责任由使用者自负。</w:t>
      </w:r>
    </w:p>
    <w:p>
      <w:pPr>
        <w:pStyle w:val="Normal"/>
        <w:snapToGrid w:val="false"/>
        <w:spacing w:lineRule="auto" w:line="360"/>
        <w:ind w:firstLine="570"/>
        <w:jc w:val="both"/>
        <w:rPr>
          <w:rFonts w:ascii="Arial" w:hAnsi="Arial" w:eastAsia="仿宋_GB2312;仿宋" w:cs="Arial"/>
          <w:sz w:val="28"/>
        </w:rPr>
      </w:pPr>
      <w:r>
        <w:rPr>
          <w:rFonts w:eastAsia="仿宋_GB2312;仿宋" w:cs="Arial" w:ascii="Arial" w:hAnsi="Arial"/>
          <w:sz w:val="28"/>
        </w:rPr>
        <w:t>11.</w:t>
      </w:r>
      <w:r>
        <w:rPr>
          <w:rFonts w:ascii="Arial" w:hAnsi="Arial" w:cs="Arial" w:eastAsia="仿宋_GB2312;仿宋"/>
          <w:sz w:val="28"/>
        </w:rPr>
        <w:t>报告有效期限为报告出具之日起壹年内有效。有效期自</w:t>
      </w:r>
      <w:r>
        <w:rPr>
          <w:rFonts w:eastAsia="仿宋_GB2312;仿宋" w:cs="Arial" w:ascii="Arial" w:hAnsi="Arial"/>
          <w:sz w:val="28"/>
        </w:rPr>
        <w:t>2024</w:t>
      </w:r>
      <w:r>
        <w:rPr>
          <w:rFonts w:ascii="Arial" w:hAnsi="Arial" w:cs="Arial" w:eastAsia="仿宋_GB2312;仿宋"/>
          <w:sz w:val="28"/>
        </w:rPr>
        <w:t>年</w:t>
      </w:r>
      <w:r>
        <w:rPr>
          <w:rFonts w:eastAsia="仿宋_GB2312;仿宋" w:cs="Arial" w:ascii="Arial" w:hAnsi="Arial"/>
          <w:sz w:val="28"/>
        </w:rPr>
        <w:t>5</w:t>
      </w:r>
      <w:r>
        <w:rPr>
          <w:rFonts w:ascii="Arial" w:hAnsi="Arial" w:cs="Arial" w:eastAsia="仿宋_GB2312;仿宋"/>
          <w:sz w:val="28"/>
        </w:rPr>
        <w:t>月</w:t>
      </w:r>
      <w:r>
        <w:rPr>
          <w:rFonts w:eastAsia="仿宋_GB2312;仿宋" w:cs="Arial" w:ascii="Arial" w:hAnsi="Arial"/>
          <w:sz w:val="28"/>
        </w:rPr>
        <w:t>30</w:t>
      </w:r>
      <w:r>
        <w:rPr>
          <w:rFonts w:ascii="Arial" w:hAnsi="Arial" w:cs="Arial" w:eastAsia="仿宋_GB2312;仿宋"/>
          <w:sz w:val="28"/>
        </w:rPr>
        <w:t>日起至</w:t>
      </w:r>
      <w:r>
        <w:rPr>
          <w:rFonts w:eastAsia="仿宋_GB2312;仿宋" w:cs="Arial" w:ascii="Arial" w:hAnsi="Arial"/>
          <w:sz w:val="28"/>
        </w:rPr>
        <w:t>2025</w:t>
      </w:r>
      <w:r>
        <w:rPr>
          <w:rFonts w:ascii="Arial" w:hAnsi="Arial" w:cs="Arial" w:eastAsia="仿宋_GB2312;仿宋"/>
          <w:sz w:val="28"/>
        </w:rPr>
        <w:t>年</w:t>
      </w:r>
      <w:r>
        <w:rPr>
          <w:rFonts w:eastAsia="仿宋_GB2312;仿宋" w:cs="Arial" w:ascii="Arial" w:hAnsi="Arial"/>
          <w:sz w:val="28"/>
        </w:rPr>
        <w:t>5</w:t>
      </w:r>
      <w:r>
        <w:rPr>
          <w:rFonts w:ascii="Arial" w:hAnsi="Arial" w:cs="Arial" w:eastAsia="仿宋_GB2312;仿宋"/>
          <w:sz w:val="28"/>
        </w:rPr>
        <w:t>月</w:t>
      </w:r>
      <w:r>
        <w:rPr>
          <w:rFonts w:eastAsia="仿宋_GB2312;仿宋" w:cs="Arial" w:ascii="Arial" w:hAnsi="Arial"/>
          <w:sz w:val="28"/>
        </w:rPr>
        <w:t>29</w:t>
      </w:r>
      <w:r>
        <w:rPr>
          <w:rFonts w:ascii="Arial" w:hAnsi="Arial" w:cs="Arial" w:eastAsia="仿宋_GB2312;仿宋"/>
          <w:sz w:val="28"/>
        </w:rPr>
        <w:t>日止</w:t>
      </w:r>
      <w:r>
        <w:rPr>
          <w:rFonts w:ascii="Arial" w:hAnsi="Arial" w:cs="Arial" w:eastAsia="仿宋_GB2312;仿宋"/>
          <w:kern w:val="2"/>
          <w:sz w:val="28"/>
        </w:rPr>
        <w:t>。</w:t>
      </w:r>
    </w:p>
    <w:p>
      <w:pPr>
        <w:pStyle w:val="Normal"/>
        <w:snapToGrid w:val="false"/>
        <w:spacing w:lineRule="auto" w:line="360"/>
        <w:ind w:firstLine="570"/>
        <w:jc w:val="both"/>
        <w:rPr/>
      </w:pPr>
      <w:r>
        <w:rPr>
          <w:rFonts w:eastAsia="楷体_GB2312;楷体" w:cs="Arial" w:ascii="Arial" w:hAnsi="Arial"/>
          <w:kern w:val="2"/>
          <w:sz w:val="28"/>
        </w:rPr>
        <w:t>12</w:t>
      </w:r>
      <w:r>
        <w:rPr>
          <w:rFonts w:eastAsia="仿宋_GB2312;仿宋" w:cs="Arial" w:ascii="Arial" w:hAnsi="Arial"/>
          <w:sz w:val="28"/>
        </w:rPr>
        <w:t>.</w:t>
      </w:r>
      <w:r>
        <w:rPr>
          <w:rFonts w:ascii="Arial" w:hAnsi="Arial" w:cs="Arial" w:eastAsia="仿宋_GB2312;仿宋"/>
          <w:sz w:val="28"/>
        </w:rPr>
        <w:t>本次土地估价报告的使用权归北京市海淀区规划和自然资源综合事务中心，土地估价报告由北京康正宏基房地产评估有限公司负责解释。</w:t>
      </w:r>
    </w:p>
    <w:p>
      <w:pPr>
        <w:pStyle w:val="Normal"/>
        <w:snapToGrid w:val="false"/>
        <w:spacing w:lineRule="auto" w:line="360"/>
        <w:jc w:val="both"/>
        <w:textAlignment w:val="bottom"/>
        <w:rPr>
          <w:rFonts w:ascii="Arial" w:hAnsi="Arial" w:eastAsia="仿宋_GB2312;仿宋" w:cs="Arial"/>
          <w:sz w:val="28"/>
        </w:rPr>
      </w:pPr>
      <w:r>
        <w:rPr>
          <w:rFonts w:ascii="Arial" w:hAnsi="Arial" w:cs="Arial" w:eastAsia="仿宋_GB2312;仿宋"/>
          <w:sz w:val="28"/>
        </w:rPr>
        <w:t>（三）需要特殊说明的事项</w:t>
      </w:r>
    </w:p>
    <w:p>
      <w:pPr>
        <w:pStyle w:val="Normal"/>
        <w:snapToGrid w:val="false"/>
        <w:spacing w:lineRule="auto" w:line="360"/>
        <w:ind w:firstLine="560"/>
        <w:jc w:val="both"/>
        <w:textAlignment w:val="bottom"/>
        <w:rPr>
          <w:rFonts w:ascii="Arial" w:hAnsi="Arial" w:eastAsia="仿宋_GB2312;仿宋" w:cs="Arial"/>
          <w:sz w:val="28"/>
        </w:rPr>
      </w:pPr>
      <w:r>
        <w:rPr>
          <w:rFonts w:eastAsia="仿宋_GB2312;仿宋" w:cs="Arial" w:ascii="Arial" w:hAnsi="Arial"/>
          <w:sz w:val="28"/>
        </w:rPr>
        <w:t>1.</w:t>
      </w:r>
      <w:r>
        <w:rPr>
          <w:rFonts w:ascii="Arial" w:hAnsi="Arial" w:cs="Arial" w:eastAsia="仿宋_GB2312;仿宋"/>
          <w:sz w:val="28"/>
        </w:rPr>
        <w:t>资料来源说明</w:t>
      </w:r>
    </w:p>
    <w:p>
      <w:pPr>
        <w:pStyle w:val="Normal"/>
        <w:snapToGrid w:val="false"/>
        <w:spacing w:lineRule="auto" w:line="360"/>
        <w:ind w:firstLine="560"/>
        <w:jc w:val="both"/>
        <w:textAlignment w:val="bottom"/>
        <w:rPr/>
      </w:pPr>
      <w:r>
        <w:rPr>
          <w:rFonts w:ascii="Arial" w:hAnsi="Arial" w:cs="Arial" w:eastAsia="仿宋_GB2312;仿宋"/>
          <w:sz w:val="28"/>
        </w:rPr>
        <w:t>（</w:t>
      </w:r>
      <w:r>
        <w:rPr>
          <w:rFonts w:eastAsia="仿宋_GB2312;仿宋" w:cs="Arial" w:ascii="Arial" w:hAnsi="Arial"/>
          <w:sz w:val="28"/>
        </w:rPr>
        <w:t>1</w:t>
      </w:r>
      <w:r>
        <w:rPr>
          <w:rFonts w:ascii="Arial" w:hAnsi="Arial" w:cs="Arial" w:eastAsia="仿宋_GB2312;仿宋"/>
          <w:sz w:val="28"/>
        </w:rPr>
        <w:t>）估价对象的土地、房屋权属资料、土地利用状况、评估项目相关资料由委托估价方提供。</w:t>
      </w:r>
    </w:p>
    <w:p>
      <w:pPr>
        <w:pStyle w:val="Normal"/>
        <w:snapToGrid w:val="false"/>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w:t>
      </w:r>
      <w:r>
        <w:rPr>
          <w:rFonts w:eastAsia="仿宋_GB2312;仿宋" w:cs="Arial" w:ascii="Arial" w:hAnsi="Arial"/>
          <w:sz w:val="28"/>
        </w:rPr>
        <w:t>2</w:t>
      </w:r>
      <w:r>
        <w:rPr>
          <w:rFonts w:ascii="Arial" w:hAnsi="Arial" w:cs="Arial" w:eastAsia="仿宋_GB2312;仿宋"/>
          <w:sz w:val="28"/>
        </w:rPr>
        <w:t>）土地区位条件、地产市场交易资料、土地利用现状照片等相关资料由评估专业人员实地调查取得。</w:t>
      </w:r>
    </w:p>
    <w:p>
      <w:pPr>
        <w:pStyle w:val="Normal"/>
        <w:snapToGrid w:val="false"/>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w:t>
      </w:r>
      <w:r>
        <w:rPr>
          <w:rFonts w:eastAsia="仿宋_GB2312;仿宋" w:cs="Arial" w:ascii="Arial" w:hAnsi="Arial"/>
          <w:sz w:val="28"/>
        </w:rPr>
        <w:t>3</w:t>
      </w:r>
      <w:r>
        <w:rPr>
          <w:rFonts w:ascii="Arial" w:hAnsi="Arial" w:cs="Arial" w:eastAsia="仿宋_GB2312;仿宋"/>
          <w:sz w:val="28"/>
        </w:rPr>
        <w:t>）区域经济发展状况、统计数据、城市规划资料、基准地价资料等由评估专业人员通过政府相关部门获取。</w:t>
      </w:r>
    </w:p>
    <w:p>
      <w:pPr>
        <w:pStyle w:val="Normal"/>
        <w:snapToGrid w:val="false"/>
        <w:spacing w:lineRule="auto" w:line="360"/>
        <w:ind w:firstLine="560"/>
        <w:jc w:val="both"/>
        <w:textAlignment w:val="bottom"/>
        <w:rPr/>
      </w:pPr>
      <w:r>
        <w:rPr>
          <w:rFonts w:ascii="Arial" w:hAnsi="Arial" w:cs="Arial" w:eastAsia="仿宋_GB2312;仿宋"/>
          <w:sz w:val="28"/>
        </w:rPr>
        <w:t>（</w:t>
      </w:r>
      <w:r>
        <w:rPr>
          <w:rFonts w:eastAsia="仿宋_GB2312;仿宋" w:cs="Arial" w:ascii="Arial" w:hAnsi="Arial"/>
          <w:sz w:val="28"/>
        </w:rPr>
        <w:t>4</w:t>
      </w:r>
      <w:r>
        <w:rPr>
          <w:rFonts w:ascii="Arial" w:hAnsi="Arial" w:cs="Arial" w:eastAsia="仿宋_GB2312;仿宋"/>
          <w:sz w:val="28"/>
        </w:rPr>
        <w:t>）估价中的相关参数资料由评估专业人员通过政府部门相关文件规定、公开媒体等多种途径获取。</w:t>
      </w:r>
    </w:p>
    <w:p>
      <w:pPr>
        <w:pStyle w:val="Normal"/>
        <w:snapToGrid w:val="false"/>
        <w:spacing w:lineRule="auto" w:line="360"/>
        <w:ind w:firstLine="560"/>
        <w:jc w:val="both"/>
        <w:textAlignment w:val="bottom"/>
        <w:rPr/>
      </w:pPr>
      <w:r>
        <w:rPr>
          <w:rFonts w:ascii="Arial" w:hAnsi="Arial" w:cs="Arial" w:eastAsia="仿宋_GB2312;仿宋"/>
          <w:sz w:val="28"/>
        </w:rPr>
        <w:t>（</w:t>
      </w:r>
      <w:r>
        <w:rPr>
          <w:rFonts w:eastAsia="仿宋_GB2312;仿宋" w:cs="Arial" w:ascii="Arial" w:hAnsi="Arial"/>
          <w:sz w:val="28"/>
        </w:rPr>
        <w:t>5</w:t>
      </w:r>
      <w:r>
        <w:rPr>
          <w:rFonts w:ascii="Arial" w:hAnsi="Arial" w:cs="Arial" w:eastAsia="仿宋_GB2312;仿宋"/>
          <w:sz w:val="28"/>
        </w:rPr>
        <w:t>）评估专业人员结合执业经验，对上述相关评估资料的真实性、合法性、有效性、适用性进行了尽职核实、专业判断。委托估价方对所提供资料的真实性负责，受托单位对所收集资料的真实性、准确性负责。</w:t>
      </w:r>
    </w:p>
    <w:p>
      <w:pPr>
        <w:pStyle w:val="Normal"/>
        <w:snapToGrid w:val="false"/>
        <w:spacing w:lineRule="auto" w:line="360"/>
        <w:ind w:firstLine="560"/>
        <w:jc w:val="both"/>
        <w:rPr/>
      </w:pPr>
      <w:r>
        <w:rPr>
          <w:rFonts w:eastAsia="仿宋_GB2312;仿宋" w:cs="Arial" w:ascii="Arial" w:hAnsi="Arial"/>
          <w:sz w:val="28"/>
          <w:szCs w:val="28"/>
        </w:rPr>
        <w:t>2.</w:t>
      </w:r>
      <w:r>
        <w:rPr>
          <w:rFonts w:ascii="Arial" w:hAnsi="Arial" w:cs="Arial" w:eastAsia="仿宋_GB2312;仿宋"/>
          <w:sz w:val="28"/>
          <w:szCs w:val="28"/>
        </w:rPr>
        <w:t>本报告估价结果是在满足地价定义所设定条件下的土地使用权价格，若估价对象的土地利用方式、估价期日、土地使用年期、土地用途、土地面积、建筑面积等影响地价的因素发生变化，该估价</w:t>
      </w:r>
      <w:r>
        <w:rPr>
          <w:rFonts w:ascii="Arial" w:hAnsi="Arial" w:cs="Arial" w:eastAsia="仿宋_GB2312;仿宋"/>
          <w:sz w:val="28"/>
          <w:szCs w:val="28"/>
        </w:rPr>
        <w:t>价</w:t>
      </w:r>
      <w:r>
        <w:rPr>
          <w:rFonts w:ascii="Arial" w:hAnsi="Arial" w:cs="Arial" w:eastAsia="仿宋_GB2312;仿宋"/>
          <w:sz w:val="28"/>
          <w:szCs w:val="28"/>
        </w:rPr>
        <w:t>格应作相应调整。</w:t>
      </w:r>
    </w:p>
    <w:p>
      <w:pPr>
        <w:pStyle w:val="Normal"/>
        <w:snapToGrid w:val="false"/>
        <w:spacing w:lineRule="auto" w:line="360"/>
        <w:ind w:firstLine="560"/>
        <w:jc w:val="both"/>
        <w:rPr/>
      </w:pPr>
      <w:r>
        <w:rPr>
          <w:rFonts w:eastAsia="仿宋_GB2312;仿宋" w:cs="Arial" w:ascii="Arial" w:hAnsi="Arial"/>
          <w:sz w:val="28"/>
          <w:szCs w:val="28"/>
        </w:rPr>
        <w:t>3.</w:t>
      </w:r>
      <w:r>
        <w:rPr>
          <w:rFonts w:ascii="Arial" w:hAnsi="Arial" w:cs="Arial" w:eastAsia="仿宋_GB2312;仿宋"/>
          <w:sz w:val="28"/>
          <w:szCs w:val="28"/>
        </w:rPr>
        <w:t>根据不动产权利人介绍和估价人员现场查勘，估价对象所在宗地内房屋存在改建的情况，部分建筑物现状与《房屋所有权证》不一致（多</w:t>
      </w:r>
      <w:r>
        <w:rPr>
          <w:rFonts w:eastAsia="仿宋_GB2312;仿宋" w:cs="Arial" w:ascii="Arial" w:hAnsi="Arial"/>
          <w:sz w:val="28"/>
          <w:szCs w:val="28"/>
        </w:rPr>
        <w:t>2</w:t>
      </w:r>
      <w:r>
        <w:rPr>
          <w:rFonts w:ascii="Arial" w:hAnsi="Arial" w:cs="Arial" w:eastAsia="仿宋_GB2312;仿宋"/>
          <w:sz w:val="28"/>
          <w:szCs w:val="28"/>
        </w:rPr>
        <w:t>栋建筑物）；本次房屋的结构以评估专业人员实地查勘并经领勘人签字确认的记载为依据。</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4.</w:t>
      </w:r>
      <w:r>
        <w:rPr>
          <w:rFonts w:ascii="Arial" w:hAnsi="Arial" w:cs="Arial" w:eastAsia="仿宋_GB2312;仿宋"/>
          <w:sz w:val="28"/>
        </w:rPr>
        <w:t>根据委托估价方提供的《名称变更通知》，“北京双合盛五星啤酒集团公司”于</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8</w:t>
      </w:r>
      <w:r>
        <w:rPr>
          <w:rFonts w:ascii="Arial" w:hAnsi="Arial" w:cs="Arial" w:eastAsia="仿宋_GB2312;仿宋"/>
          <w:sz w:val="28"/>
        </w:rPr>
        <w:t>月</w:t>
      </w:r>
      <w:r>
        <w:rPr>
          <w:rFonts w:eastAsia="仿宋_GB2312;仿宋" w:cs="Arial" w:ascii="Arial" w:hAnsi="Arial"/>
          <w:sz w:val="28"/>
        </w:rPr>
        <w:t>2</w:t>
      </w:r>
      <w:r>
        <w:rPr>
          <w:rFonts w:ascii="Arial" w:hAnsi="Arial" w:cs="Arial" w:eastAsia="仿宋_GB2312;仿宋"/>
          <w:sz w:val="28"/>
        </w:rPr>
        <w:t>日名称变更为“北京双合盛五星啤酒有限公司”，特此说明。</w:t>
      </w:r>
    </w:p>
    <w:p>
      <w:pPr>
        <w:pStyle w:val="Normal"/>
        <w:snapToGrid w:val="false"/>
        <w:spacing w:lineRule="auto" w:line="360"/>
        <w:ind w:firstLine="560"/>
        <w:jc w:val="both"/>
        <w:rPr/>
      </w:pPr>
      <w:r>
        <w:rPr>
          <w:rFonts w:eastAsia="仿宋_GB2312;仿宋" w:cs="Arial" w:ascii="Arial" w:hAnsi="Arial"/>
          <w:sz w:val="28"/>
          <w:szCs w:val="28"/>
        </w:rPr>
        <w:t>5.</w:t>
      </w:r>
      <w:r>
        <w:rPr>
          <w:rFonts w:ascii="Arial" w:hAnsi="Arial" w:cs="Arial" w:eastAsia="仿宋_GB2312;仿宋"/>
          <w:sz w:val="28"/>
          <w:szCs w:val="28"/>
        </w:rPr>
        <w:t>本机构参与本次评估的评估专业人员与委托估价方无足以影响评估报告及评估结果公正性的关系。</w:t>
      </w:r>
    </w:p>
    <w:p>
      <w:pPr>
        <w:pStyle w:val="Normal"/>
        <w:snapToGrid w:val="false"/>
        <w:spacing w:lineRule="auto" w:line="360"/>
        <w:ind w:firstLine="560"/>
        <w:jc w:val="both"/>
        <w:textAlignment w:val="bottom"/>
        <w:rPr>
          <w:rFonts w:ascii="Arial" w:hAnsi="Arial" w:eastAsia="仿宋_GB2312;仿宋" w:cs="Arial"/>
          <w:sz w:val="28"/>
        </w:rPr>
      </w:pPr>
      <w:r>
        <w:rPr>
          <w:rFonts w:eastAsia="仿宋_GB2312;仿宋" w:cs="Arial" w:ascii="Arial" w:hAnsi="Arial"/>
          <w:sz w:val="28"/>
        </w:rPr>
        <w:t>6.</w:t>
      </w:r>
      <w:r>
        <w:rPr>
          <w:rFonts w:ascii="Arial" w:hAnsi="Arial" w:cs="Arial" w:eastAsia="仿宋_GB2312;仿宋"/>
          <w:sz w:val="28"/>
          <w:szCs w:val="28"/>
        </w:rPr>
        <w:t>经国务院批准，自</w:t>
      </w:r>
      <w:r>
        <w:rPr>
          <w:rFonts w:eastAsia="仿宋_GB2312;仿宋" w:cs="Arial" w:ascii="Arial" w:hAnsi="Arial"/>
          <w:sz w:val="28"/>
          <w:szCs w:val="28"/>
        </w:rPr>
        <w:t>2016</w:t>
      </w:r>
      <w:r>
        <w:rPr>
          <w:rFonts w:ascii="Arial" w:hAnsi="Arial" w:cs="Arial" w:eastAsia="仿宋_GB2312;仿宋"/>
          <w:sz w:val="28"/>
          <w:szCs w:val="28"/>
        </w:rPr>
        <w:t>年</w:t>
      </w:r>
      <w:r>
        <w:rPr>
          <w:rFonts w:eastAsia="仿宋_GB2312;仿宋" w:cs="Arial" w:ascii="Arial" w:hAnsi="Arial"/>
          <w:sz w:val="28"/>
          <w:szCs w:val="28"/>
        </w:rPr>
        <w:t>5</w:t>
      </w:r>
      <w:r>
        <w:rPr>
          <w:rFonts w:ascii="Arial" w:hAnsi="Arial" w:cs="Arial" w:eastAsia="仿宋_GB2312;仿宋"/>
          <w:sz w:val="28"/>
          <w:szCs w:val="28"/>
        </w:rPr>
        <w:t>月</w:t>
      </w:r>
      <w:r>
        <w:rPr>
          <w:rFonts w:eastAsia="仿宋_GB2312;仿宋" w:cs="Arial" w:ascii="Arial" w:hAnsi="Arial"/>
          <w:sz w:val="28"/>
          <w:szCs w:val="28"/>
        </w:rPr>
        <w:t>1</w:t>
      </w:r>
      <w:r>
        <w:rPr>
          <w:rFonts w:ascii="Arial" w:hAnsi="Arial" w:cs="Arial" w:eastAsia="仿宋_GB2312;仿宋"/>
          <w:sz w:val="28"/>
          <w:szCs w:val="28"/>
        </w:rPr>
        <w:t>日起，在全国范围内全面推开营业税改征增值税试点，建筑业、房地产业、金融业、生活服务业等全部营业税纳税人，纳入试点范围，由缴纳营业税改为缴纳增值税。根据估价目的、报告使用用途及必要性原则要求，本报告采纳简易计税方法记取增值税进行测算。</w:t>
      </w:r>
    </w:p>
    <w:p>
      <w:pPr>
        <w:pStyle w:val="Normal"/>
        <w:snapToGrid w:val="false"/>
        <w:spacing w:lineRule="auto" w:line="360"/>
        <w:ind w:firstLine="560"/>
        <w:jc w:val="both"/>
        <w:rPr>
          <w:rFonts w:ascii="Arial" w:hAnsi="Arial" w:eastAsia="仿宋_GB2312;仿宋" w:cs="Arial"/>
          <w:sz w:val="28"/>
          <w:szCs w:val="28"/>
        </w:rPr>
      </w:pPr>
      <w:r>
        <w:rPr>
          <w:rFonts w:eastAsia="仿宋_GB2312;仿宋" w:cs="Arial" w:ascii="Arial" w:hAnsi="Arial"/>
          <w:sz w:val="28"/>
        </w:rPr>
        <w:t>7.</w:t>
      </w:r>
      <w:r>
        <w:rPr>
          <w:rFonts w:ascii="Arial" w:hAnsi="Arial" w:cs="Arial" w:eastAsia="仿宋_GB2312;仿宋"/>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pPr>
        <w:pStyle w:val="Normal"/>
        <w:snapToGrid w:val="false"/>
        <w:spacing w:lineRule="auto" w:line="360"/>
        <w:ind w:firstLine="560"/>
        <w:jc w:val="both"/>
        <w:textAlignment w:val="bottom"/>
        <w:rPr>
          <w:rFonts w:ascii="Arial" w:hAnsi="Arial" w:eastAsia="仿宋_GB2312;仿宋" w:cs="Arial"/>
          <w:sz w:val="28"/>
        </w:rPr>
      </w:pPr>
      <w:r>
        <w:rPr>
          <w:rFonts w:eastAsia="仿宋_GB2312;仿宋" w:cs="Arial" w:ascii="Arial" w:hAnsi="Arial"/>
          <w:sz w:val="28"/>
          <w:szCs w:val="28"/>
        </w:rPr>
        <w:t>8.</w:t>
      </w:r>
      <w:r>
        <w:rPr>
          <w:rFonts w:ascii="Arial" w:hAnsi="Arial" w:cs="Arial" w:eastAsia="仿宋_GB2312;仿宋"/>
          <w:sz w:val="28"/>
          <w:szCs w:val="28"/>
        </w:rPr>
        <w:t>上述事项会对</w:t>
      </w:r>
      <w:r>
        <w:rPr>
          <w:rFonts w:ascii="Arial" w:hAnsi="Arial" w:cs="Arial" w:eastAsia="仿宋_GB2312;仿宋"/>
          <w:sz w:val="28"/>
          <w:szCs w:val="28"/>
        </w:rPr>
        <w:t>估价</w:t>
      </w:r>
      <w:r>
        <w:rPr>
          <w:rFonts w:ascii="Arial" w:hAnsi="Arial" w:cs="Arial" w:eastAsia="仿宋_GB2312;仿宋"/>
          <w:sz w:val="28"/>
          <w:szCs w:val="28"/>
        </w:rPr>
        <w:t>结论及估价报告的使用产生影响，在此提请报告使用者予以关注。</w:t>
      </w:r>
    </w:p>
    <w:p>
      <w:pPr>
        <w:pStyle w:val="Normal"/>
        <w:snapToGrid w:val="false"/>
        <w:spacing w:lineRule="auto" w:line="360"/>
        <w:ind w:firstLine="560"/>
        <w:jc w:val="both"/>
        <w:textAlignment w:val="bottom"/>
        <w:rPr>
          <w:rFonts w:ascii="Arial" w:hAnsi="Arial" w:eastAsia="仿宋_GB2312;仿宋" w:cs="Arial"/>
          <w:sz w:val="28"/>
        </w:rPr>
      </w:pPr>
      <w:r>
        <w:rPr>
          <w:rFonts w:eastAsia="仿宋_GB2312;仿宋" w:cs="Arial" w:ascii="Arial" w:hAnsi="Arial"/>
          <w:sz w:val="28"/>
        </w:rPr>
      </w:r>
    </w:p>
    <w:p>
      <w:pPr>
        <w:pStyle w:val="Normal"/>
        <w:snapToGrid w:val="false"/>
        <w:spacing w:lineRule="auto" w:line="360"/>
        <w:ind w:firstLine="555"/>
        <w:jc w:val="both"/>
        <w:textAlignment w:val="bottom"/>
        <w:rPr>
          <w:rFonts w:ascii="Arial" w:hAnsi="Arial" w:eastAsia="仿宋_GB2312;仿宋" w:cs="Arial"/>
          <w:sz w:val="28"/>
          <w:szCs w:val="28"/>
        </w:rPr>
      </w:pPr>
      <w:r>
        <w:rPr>
          <w:rFonts w:eastAsia="仿宋_GB2312;仿宋" w:cs="Arial" w:ascii="Arial" w:hAnsi="Arial"/>
          <w:sz w:val="28"/>
          <w:szCs w:val="28"/>
        </w:rPr>
      </w:r>
    </w:p>
    <w:p>
      <w:pPr>
        <w:pStyle w:val="Normal"/>
        <w:numPr>
          <w:ilvl w:val="0"/>
          <w:numId w:val="0"/>
        </w:numPr>
        <w:spacing w:lineRule="auto" w:line="360"/>
        <w:outlineLvl w:val="1"/>
        <w:rPr>
          <w:rFonts w:ascii="Arial" w:hAnsi="Arial" w:eastAsia="仿宋_GB2312;仿宋" w:cs="Arial"/>
          <w:b/>
          <w:b/>
          <w:sz w:val="28"/>
          <w:szCs w:val="28"/>
        </w:rPr>
      </w:pPr>
      <w:r>
        <w:rPr>
          <w:rFonts w:eastAsia="仿宋_GB2312;仿宋" w:cs="Arial" w:ascii="Arial" w:hAnsi="Arial"/>
          <w:b/>
          <w:sz w:val="28"/>
          <w:szCs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cs="Arial"/>
        </w:rPr>
      </w:pPr>
      <w:bookmarkStart w:id="42" w:name="__RefHeading___Toc530042251"/>
      <w:bookmarkEnd w:id="42"/>
      <w:r>
        <w:rPr>
          <w:rFonts w:ascii="Arial" w:hAnsi="Arial" w:cs="Arial" w:eastAsia="仿宋_GB2312;仿宋"/>
          <w:b/>
          <w:sz w:val="28"/>
        </w:rPr>
        <w:t>十一、评估专业人员签字</w:t>
      </w:r>
    </w:p>
    <w:tbl>
      <w:tblPr>
        <w:tblW w:w="9309" w:type="dxa"/>
        <w:jc w:val="center"/>
        <w:tblInd w:w="0" w:type="dxa"/>
        <w:tblCellMar>
          <w:top w:w="28" w:type="dxa"/>
          <w:left w:w="85" w:type="dxa"/>
          <w:bottom w:w="28" w:type="dxa"/>
          <w:right w:w="85" w:type="dxa"/>
        </w:tblCellMar>
      </w:tblPr>
      <w:tblGrid>
        <w:gridCol w:w="2603"/>
        <w:gridCol w:w="4031"/>
        <w:gridCol w:w="2675"/>
      </w:tblGrid>
      <w:tr>
        <w:trPr>
          <w:trHeight w:val="70" w:hRule="atLeast"/>
        </w:trPr>
        <w:tc>
          <w:tcPr>
            <w:tcW w:w="930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b/>
                <w:b/>
                <w:bCs/>
                <w:sz w:val="28"/>
                <w:szCs w:val="28"/>
              </w:rPr>
            </w:pPr>
            <w:r>
              <w:rPr>
                <w:rFonts w:ascii="Arial" w:hAnsi="Arial" w:cs="Arial" w:eastAsia="仿宋_GB2312;仿宋"/>
                <w:b/>
                <w:bCs/>
                <w:sz w:val="28"/>
                <w:szCs w:val="28"/>
              </w:rPr>
              <w:t>土地估价师</w:t>
            </w:r>
          </w:p>
        </w:tc>
      </w:tr>
      <w:tr>
        <w:trPr>
          <w:trHeight w:val="370" w:hRule="atLeast"/>
        </w:trPr>
        <w:tc>
          <w:tcPr>
            <w:tcW w:w="260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姓名</w:t>
            </w:r>
          </w:p>
        </w:tc>
        <w:tc>
          <w:tcPr>
            <w:tcW w:w="403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资格证号</w:t>
            </w:r>
          </w:p>
        </w:tc>
        <w:tc>
          <w:tcPr>
            <w:tcW w:w="26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签名</w:t>
            </w:r>
          </w:p>
        </w:tc>
      </w:tr>
      <w:tr>
        <w:trPr>
          <w:trHeight w:val="1134" w:hRule="exact"/>
        </w:trPr>
        <w:tc>
          <w:tcPr>
            <w:tcW w:w="260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赵</w:t>
            </w:r>
            <w:r>
              <w:rPr>
                <w:rFonts w:ascii="Arial" w:hAnsi="Arial" w:cs="Arial" w:eastAsia="Arial"/>
                <w:sz w:val="28"/>
                <w:szCs w:val="28"/>
              </w:rPr>
              <w:t xml:space="preserve"> </w:t>
            </w:r>
            <w:r>
              <w:rPr>
                <w:rFonts w:ascii="Arial" w:hAnsi="Arial" w:cs="Arial" w:eastAsia="仿宋_GB2312;仿宋"/>
                <w:sz w:val="28"/>
                <w:szCs w:val="28"/>
              </w:rPr>
              <w:t>雯</w:t>
            </w:r>
          </w:p>
        </w:tc>
        <w:tc>
          <w:tcPr>
            <w:tcW w:w="403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eastAsia="仿宋_GB2312;仿宋" w:cs="Arial" w:ascii="Arial" w:hAnsi="Arial"/>
                <w:sz w:val="28"/>
                <w:szCs w:val="28"/>
              </w:rPr>
              <w:t>2011110090</w:t>
            </w:r>
          </w:p>
        </w:tc>
        <w:tc>
          <w:tcPr>
            <w:tcW w:w="26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　</w:t>
            </w:r>
          </w:p>
        </w:tc>
      </w:tr>
      <w:tr>
        <w:trPr>
          <w:trHeight w:val="1134" w:hRule="exact"/>
        </w:trPr>
        <w:tc>
          <w:tcPr>
            <w:tcW w:w="260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叶</w:t>
            </w:r>
            <w:r>
              <w:rPr>
                <w:rFonts w:ascii="Arial" w:hAnsi="Arial" w:cs="Arial" w:eastAsia="Arial"/>
                <w:sz w:val="28"/>
                <w:szCs w:val="28"/>
              </w:rPr>
              <w:t xml:space="preserve"> </w:t>
            </w:r>
            <w:r>
              <w:rPr>
                <w:rFonts w:ascii="Arial" w:hAnsi="Arial" w:cs="Arial" w:eastAsia="仿宋_GB2312;仿宋"/>
                <w:sz w:val="28"/>
                <w:szCs w:val="28"/>
              </w:rPr>
              <w:t>凌</w:t>
            </w:r>
          </w:p>
        </w:tc>
        <w:tc>
          <w:tcPr>
            <w:tcW w:w="403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eastAsia="仿宋_GB2312;仿宋" w:cs="Arial" w:ascii="Arial" w:hAnsi="Arial"/>
                <w:sz w:val="28"/>
                <w:szCs w:val="28"/>
              </w:rPr>
              <w:t>94010078</w:t>
            </w:r>
          </w:p>
        </w:tc>
        <w:tc>
          <w:tcPr>
            <w:tcW w:w="26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　</w:t>
            </w:r>
          </w:p>
        </w:tc>
      </w:tr>
      <w:tr>
        <w:trPr>
          <w:trHeight w:val="194" w:hRule="atLeast"/>
        </w:trPr>
        <w:tc>
          <w:tcPr>
            <w:tcW w:w="9309"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both"/>
              <w:textAlignment w:val="auto"/>
              <w:rPr>
                <w:rFonts w:eastAsia="仿宋_GB2312;仿宋"/>
              </w:rPr>
            </w:pPr>
            <w:r>
              <w:rPr>
                <w:rFonts w:ascii="Arial" w:hAnsi="Arial" w:cs="Arial" w:eastAsia="仿宋_GB2312;仿宋"/>
                <w:b/>
                <w:bCs/>
                <w:sz w:val="28"/>
                <w:szCs w:val="28"/>
              </w:rPr>
              <w:t>其他评估专业人员</w:t>
            </w:r>
            <w:r>
              <w:rPr>
                <w:rFonts w:ascii="Arial" w:hAnsi="Arial" w:cs="Arial" w:eastAsia="Arial"/>
                <w:b/>
                <w:bCs/>
                <w:sz w:val="28"/>
                <w:szCs w:val="28"/>
              </w:rPr>
              <w:t xml:space="preserve"> </w:t>
            </w:r>
          </w:p>
        </w:tc>
      </w:tr>
      <w:tr>
        <w:trPr>
          <w:trHeight w:val="119" w:hRule="atLeast"/>
        </w:trPr>
        <w:tc>
          <w:tcPr>
            <w:tcW w:w="260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姓名</w:t>
            </w:r>
          </w:p>
        </w:tc>
        <w:tc>
          <w:tcPr>
            <w:tcW w:w="403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相关资格或职称</w:t>
            </w:r>
          </w:p>
        </w:tc>
        <w:tc>
          <w:tcPr>
            <w:tcW w:w="26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签名</w:t>
            </w:r>
          </w:p>
        </w:tc>
      </w:tr>
      <w:tr>
        <w:trPr>
          <w:trHeight w:val="1134" w:hRule="exact"/>
        </w:trPr>
        <w:tc>
          <w:tcPr>
            <w:tcW w:w="260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常</w:t>
            </w:r>
            <w:r>
              <w:rPr>
                <w:rFonts w:ascii="Arial" w:hAnsi="Arial" w:cs="Arial" w:eastAsia="Arial"/>
                <w:sz w:val="28"/>
                <w:szCs w:val="28"/>
              </w:rPr>
              <w:t xml:space="preserve"> </w:t>
            </w:r>
            <w:r>
              <w:rPr>
                <w:rFonts w:ascii="Arial" w:hAnsi="Arial" w:cs="Arial" w:eastAsia="仿宋_GB2312;仿宋"/>
                <w:sz w:val="28"/>
                <w:szCs w:val="28"/>
              </w:rPr>
              <w:t>畅</w:t>
            </w:r>
          </w:p>
        </w:tc>
        <w:tc>
          <w:tcPr>
            <w:tcW w:w="403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w:t>
            </w:r>
          </w:p>
        </w:tc>
        <w:tc>
          <w:tcPr>
            <w:tcW w:w="26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both"/>
              <w:textAlignment w:val="auto"/>
              <w:rPr>
                <w:rFonts w:ascii="Arial" w:hAnsi="Arial" w:eastAsia="仿宋_GB2312;仿宋" w:cs="Arial"/>
                <w:sz w:val="28"/>
                <w:szCs w:val="28"/>
              </w:rPr>
            </w:pPr>
            <w:r>
              <w:rPr>
                <w:rFonts w:ascii="Arial" w:hAnsi="Arial" w:cs="Arial" w:eastAsia="仿宋_GB2312;仿宋"/>
                <w:sz w:val="28"/>
                <w:szCs w:val="28"/>
              </w:rPr>
              <w:t>　</w:t>
            </w:r>
          </w:p>
        </w:tc>
      </w:tr>
    </w:tbl>
    <w:p>
      <w:pPr>
        <w:pStyle w:val="Normal"/>
        <w:spacing w:lineRule="auto" w:line="360"/>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b/>
          <w:b/>
          <w:sz w:val="28"/>
        </w:rPr>
      </w:pPr>
      <w:bookmarkStart w:id="43" w:name="__RefHeading___Toc530042252"/>
      <w:r>
        <w:rPr>
          <w:rFonts w:ascii="Arial" w:hAnsi="Arial" w:cs="Arial" w:eastAsia="仿宋_GB2312;仿宋"/>
          <w:b/>
          <w:sz w:val="28"/>
        </w:rPr>
        <w:t>十二、</w:t>
      </w:r>
      <w:bookmarkEnd w:id="43"/>
      <w:r>
        <w:rPr>
          <w:rFonts w:ascii="Arial" w:hAnsi="Arial" w:cs="Arial" w:eastAsia="仿宋_GB2312;仿宋"/>
          <w:b/>
          <w:sz w:val="28"/>
        </w:rPr>
        <w:t>土地估价机构</w:t>
      </w:r>
    </w:p>
    <w:p>
      <w:pPr>
        <w:pStyle w:val="Normal"/>
        <w:spacing w:lineRule="auto" w:line="360"/>
        <w:rPr>
          <w:rFonts w:ascii="Arial" w:hAnsi="Arial" w:eastAsia="仿宋_GB2312;仿宋" w:cs="Arial"/>
          <w:b/>
          <w:b/>
          <w:sz w:val="28"/>
        </w:rPr>
      </w:pPr>
      <w:r>
        <w:rPr>
          <w:rFonts w:eastAsia="仿宋_GB2312;仿宋" w:cs="Arial" w:ascii="Arial" w:hAnsi="Arial"/>
          <w:b/>
          <w:sz w:val="28"/>
        </w:rPr>
      </w:r>
    </w:p>
    <w:tbl>
      <w:tblPr>
        <w:tblW w:w="4445" w:type="dxa"/>
        <w:jc w:val="right"/>
        <w:tblInd w:w="0" w:type="dxa"/>
        <w:tblCellMar>
          <w:top w:w="28" w:type="dxa"/>
          <w:left w:w="85" w:type="dxa"/>
          <w:bottom w:w="28" w:type="dxa"/>
          <w:right w:w="85" w:type="dxa"/>
        </w:tblCellMar>
      </w:tblPr>
      <w:tblGrid>
        <w:gridCol w:w="4445"/>
      </w:tblGrid>
      <w:tr>
        <w:trPr/>
        <w:tc>
          <w:tcPr>
            <w:tcW w:w="4445" w:type="dxa"/>
            <w:tcBorders/>
            <w:shd w:fill="auto" w:val="clear"/>
          </w:tcPr>
          <w:p>
            <w:pPr>
              <w:pStyle w:val="Normal"/>
              <w:spacing w:lineRule="auto" w:line="360"/>
              <w:rPr/>
            </w:pPr>
            <w:r>
              <w:rPr>
                <w:rFonts w:ascii="Arial" w:hAnsi="Arial" w:cs="Arial" w:eastAsia="Arial"/>
                <w:sz w:val="28"/>
              </w:rPr>
              <w:t xml:space="preserve">                              </w:t>
            </w:r>
            <w:r>
              <w:rPr>
                <w:rFonts w:ascii="Arial" w:hAnsi="Arial" w:cs="Arial" w:eastAsia="仿宋_GB2312;仿宋"/>
                <w:sz w:val="28"/>
                <w:szCs w:val="21"/>
              </w:rPr>
              <w:t>北京康正宏基房地产评估有限公司</w:t>
            </w:r>
          </w:p>
        </w:tc>
      </w:tr>
      <w:tr>
        <w:trPr>
          <w:trHeight w:val="1431" w:hRule="atLeast"/>
        </w:trPr>
        <w:tc>
          <w:tcPr>
            <w:tcW w:w="4445" w:type="dxa"/>
            <w:tcBorders/>
            <w:shd w:fill="auto" w:val="clear"/>
          </w:tcPr>
          <w:p>
            <w:pPr>
              <w:pStyle w:val="Normal"/>
              <w:spacing w:lineRule="auto" w:line="480"/>
              <w:rPr>
                <w:rFonts w:ascii="Arial" w:hAnsi="Arial" w:eastAsia="仿宋_GB2312;仿宋" w:cs="Arial"/>
                <w:sz w:val="28"/>
                <w:szCs w:val="21"/>
              </w:rPr>
            </w:pPr>
            <w:r>
              <w:rPr>
                <w:rFonts w:ascii="Arial" w:hAnsi="Arial" w:cs="Arial" w:eastAsia="仿宋_GB2312;仿宋"/>
                <w:sz w:val="28"/>
                <w:szCs w:val="21"/>
              </w:rPr>
              <w:t>法定代表人：</w:t>
            </w:r>
          </w:p>
        </w:tc>
      </w:tr>
      <w:tr>
        <w:trPr>
          <w:cantSplit w:val="true"/>
        </w:trPr>
        <w:tc>
          <w:tcPr>
            <w:tcW w:w="4445" w:type="dxa"/>
            <w:tcBorders/>
            <w:shd w:fill="auto" w:val="clear"/>
          </w:tcPr>
          <w:p>
            <w:pPr>
              <w:pStyle w:val="Normal"/>
              <w:spacing w:lineRule="auto" w:line="240"/>
              <w:jc w:val="right"/>
              <w:rPr>
                <w:rFonts w:ascii="Arial" w:hAnsi="Arial" w:eastAsia="仿宋_GB2312;仿宋" w:cs="Arial"/>
                <w:sz w:val="28"/>
                <w:szCs w:val="21"/>
              </w:rPr>
            </w:pPr>
            <w:r>
              <w:rPr>
                <w:rFonts w:ascii="Arial" w:hAnsi="Arial" w:cs="Arial" w:eastAsia="仿宋_GB2312;仿宋"/>
                <w:sz w:val="28"/>
                <w:szCs w:val="21"/>
              </w:rPr>
              <w:t>二〇二四年五月三十日</w:t>
            </w:r>
          </w:p>
        </w:tc>
      </w:tr>
    </w:tbl>
    <w:p>
      <w:pPr>
        <w:pStyle w:val="Normal"/>
        <w:spacing w:lineRule="auto" w:line="360"/>
        <w:rPr>
          <w:rFonts w:ascii="Arial" w:hAnsi="Arial" w:eastAsia="仿宋_GB2312;仿宋" w:cs="Arial"/>
          <w:sz w:val="28"/>
        </w:rPr>
      </w:pPr>
      <w:r>
        <w:rPr>
          <w:rFonts w:eastAsia="仿宋_GB2312;仿宋" w:cs="Arial" w:ascii="Arial" w:hAnsi="Arial"/>
          <w:sz w:val="28"/>
        </w:rPr>
      </w:r>
    </w:p>
    <w:p>
      <w:pPr>
        <w:pStyle w:val="Normal"/>
        <w:spacing w:lineRule="auto" w:line="360"/>
        <w:ind w:firstLine="4480"/>
        <w:jc w:val="right"/>
        <w:rPr>
          <w:rFonts w:ascii="Arial" w:hAnsi="Arial" w:eastAsia="仿宋_GB2312;仿宋" w:cs="Arial"/>
          <w:sz w:val="28"/>
        </w:rPr>
      </w:pPr>
      <w:r>
        <w:rPr>
          <w:rFonts w:eastAsia="仿宋_GB2312;仿宋" w:cs="Arial" w:ascii="Arial" w:hAnsi="Arial"/>
          <w:sz w:val="28"/>
        </w:rPr>
      </w:r>
      <w:r>
        <w:br w:type="page"/>
      </w:r>
    </w:p>
    <w:p>
      <w:pPr>
        <w:pStyle w:val="Normal"/>
        <w:numPr>
          <w:ilvl w:val="0"/>
          <w:numId w:val="0"/>
        </w:numPr>
        <w:spacing w:lineRule="auto" w:line="360"/>
        <w:jc w:val="center"/>
        <w:outlineLvl w:val="0"/>
        <w:rPr/>
      </w:pPr>
      <w:bookmarkStart w:id="44" w:name="__RefHeading___Toc530042253"/>
      <w:bookmarkEnd w:id="44"/>
      <w:r>
        <w:rPr>
          <w:rFonts w:ascii="Arial" w:hAnsi="Arial" w:cs="Arial"/>
          <w:b/>
          <w:sz w:val="32"/>
        </w:rPr>
        <w:t>第二部分</w:t>
      </w:r>
      <w:r>
        <w:rPr>
          <w:rFonts w:ascii="Arial" w:hAnsi="Arial" w:cs="Arial" w:eastAsia="Arial"/>
          <w:b/>
          <w:sz w:val="32"/>
        </w:rPr>
        <w:t xml:space="preserve">  </w:t>
      </w:r>
      <w:r>
        <w:rPr>
          <w:rFonts w:ascii="Arial" w:hAnsi="Arial" w:cs="Arial"/>
          <w:b/>
          <w:sz w:val="32"/>
        </w:rPr>
        <w:t>估价对象描述及土地价格影响因素分析</w:t>
      </w:r>
    </w:p>
    <w:p>
      <w:pPr>
        <w:pStyle w:val="Normal"/>
        <w:spacing w:lineRule="auto" w:line="360"/>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pPr>
      <w:bookmarkStart w:id="45" w:name="__RefHeading___Toc530042254"/>
      <w:bookmarkEnd w:id="45"/>
      <w:r>
        <w:rPr>
          <w:rFonts w:ascii="Arial" w:hAnsi="Arial" w:cs="Arial" w:eastAsia="仿宋_GB2312;仿宋"/>
          <w:b/>
          <w:sz w:val="28"/>
        </w:rPr>
        <w:t>一、估价对象描述</w:t>
      </w:r>
    </w:p>
    <w:p>
      <w:pPr>
        <w:pStyle w:val="Normal"/>
        <w:spacing w:lineRule="auto" w:line="360"/>
        <w:jc w:val="both"/>
        <w:rPr>
          <w:rFonts w:ascii="Arial" w:hAnsi="Arial" w:eastAsia="仿宋_GB2312;仿宋" w:cs="Arial"/>
          <w:sz w:val="28"/>
        </w:rPr>
      </w:pPr>
      <w:r>
        <w:rPr>
          <w:rFonts w:ascii="Arial" w:hAnsi="Arial" w:cs="Arial" w:eastAsia="仿宋_GB2312;仿宋"/>
          <w:sz w:val="28"/>
        </w:rPr>
        <w:t>（一）土地登记状况</w:t>
      </w:r>
    </w:p>
    <w:p>
      <w:pPr>
        <w:pStyle w:val="Normal"/>
        <w:spacing w:lineRule="auto" w:line="360"/>
        <w:ind w:firstLine="560"/>
        <w:jc w:val="both"/>
        <w:rPr/>
      </w:pPr>
      <w:r>
        <w:rPr>
          <w:rFonts w:ascii="Arial" w:hAnsi="Arial" w:cs="Arial" w:eastAsia="仿宋_GB2312;仿宋"/>
          <w:bCs/>
          <w:sz w:val="28"/>
        </w:rPr>
        <w:t>根据《国有土地使用证》</w:t>
      </w:r>
      <w:r>
        <w:rPr>
          <w:rFonts w:eastAsia="仿宋_GB2312;仿宋" w:cs="Arial" w:ascii="Arial" w:hAnsi="Arial"/>
          <w:bCs/>
          <w:sz w:val="28"/>
        </w:rPr>
        <w:t>[</w:t>
      </w:r>
      <w:r>
        <w:rPr>
          <w:rFonts w:ascii="Arial" w:hAnsi="Arial" w:cs="Arial" w:eastAsia="仿宋_GB2312;仿宋"/>
          <w:bCs/>
          <w:sz w:val="28"/>
        </w:rPr>
        <w:t>京海国用（</w:t>
      </w:r>
      <w:r>
        <w:rPr>
          <w:rFonts w:eastAsia="仿宋_GB2312;仿宋" w:cs="Arial" w:ascii="Arial" w:hAnsi="Arial"/>
          <w:bCs/>
          <w:sz w:val="28"/>
        </w:rPr>
        <w:t>2004</w:t>
      </w:r>
      <w:r>
        <w:rPr>
          <w:rFonts w:ascii="Arial" w:hAnsi="Arial" w:cs="Arial" w:eastAsia="仿宋_GB2312;仿宋"/>
          <w:bCs/>
          <w:sz w:val="28"/>
        </w:rPr>
        <w:t>划）字第</w:t>
      </w:r>
      <w:r>
        <w:rPr>
          <w:rFonts w:eastAsia="仿宋_GB2312;仿宋" w:cs="Arial" w:ascii="Arial" w:hAnsi="Arial"/>
          <w:bCs/>
          <w:sz w:val="28"/>
        </w:rPr>
        <w:t>2880</w:t>
      </w:r>
      <w:r>
        <w:rPr>
          <w:rFonts w:ascii="Arial" w:hAnsi="Arial" w:cs="Arial" w:eastAsia="仿宋_GB2312;仿宋"/>
          <w:bCs/>
          <w:sz w:val="28"/>
        </w:rPr>
        <w:t>号</w:t>
      </w:r>
      <w:r>
        <w:rPr>
          <w:rFonts w:eastAsia="仿宋_GB2312;仿宋" w:cs="Arial" w:ascii="Arial" w:hAnsi="Arial"/>
          <w:bCs/>
          <w:sz w:val="28"/>
        </w:rPr>
        <w:t>]</w:t>
      </w:r>
      <w:r>
        <w:rPr>
          <w:rFonts w:ascii="Arial" w:hAnsi="Arial" w:cs="Arial" w:eastAsia="仿宋_GB2312;仿宋"/>
          <w:bCs/>
          <w:sz w:val="28"/>
        </w:rPr>
        <w:t>、</w:t>
      </w:r>
      <w:r>
        <w:rPr>
          <w:rFonts w:ascii="Arial" w:hAnsi="Arial" w:cs="Arial" w:eastAsia="仿宋_GB2312;仿宋"/>
          <w:bCs/>
          <w:sz w:val="28"/>
        </w:rPr>
        <w:t>《土地权属审查告知书》</w:t>
      </w:r>
      <w:r>
        <w:rPr>
          <w:rFonts w:eastAsia="仿宋_GB2312;仿宋" w:cs="Arial" w:ascii="Arial" w:hAnsi="Arial"/>
          <w:bCs/>
          <w:sz w:val="28"/>
        </w:rPr>
        <w:t>[</w:t>
      </w:r>
      <w:r>
        <w:rPr>
          <w:rFonts w:ascii="Arial" w:hAnsi="Arial" w:cs="Arial" w:eastAsia="仿宋_GB2312;仿宋"/>
          <w:bCs/>
          <w:sz w:val="28"/>
        </w:rPr>
        <w:t>编号：海权属审（</w:t>
      </w:r>
      <w:r>
        <w:rPr>
          <w:rFonts w:eastAsia="仿宋_GB2312;仿宋" w:cs="Arial" w:ascii="Arial" w:hAnsi="Arial"/>
          <w:bCs/>
          <w:sz w:val="28"/>
        </w:rPr>
        <w:t>2020</w:t>
      </w:r>
      <w:r>
        <w:rPr>
          <w:rFonts w:ascii="Arial" w:hAnsi="Arial" w:cs="Arial" w:eastAsia="仿宋_GB2312;仿宋"/>
          <w:bCs/>
          <w:sz w:val="28"/>
        </w:rPr>
        <w:t>）字第</w:t>
      </w:r>
      <w:r>
        <w:rPr>
          <w:rFonts w:eastAsia="仿宋_GB2312;仿宋" w:cs="Arial" w:ascii="Arial" w:hAnsi="Arial"/>
          <w:bCs/>
          <w:sz w:val="28"/>
        </w:rPr>
        <w:t>1172</w:t>
      </w:r>
      <w:r>
        <w:rPr>
          <w:rFonts w:ascii="Arial" w:hAnsi="Arial" w:cs="Arial" w:eastAsia="仿宋_GB2312;仿宋"/>
          <w:bCs/>
          <w:sz w:val="28"/>
        </w:rPr>
        <w:t>号</w:t>
      </w:r>
      <w:r>
        <w:rPr>
          <w:rFonts w:eastAsia="仿宋_GB2312;仿宋" w:cs="Arial" w:ascii="Arial" w:hAnsi="Arial"/>
          <w:bCs/>
          <w:sz w:val="28"/>
        </w:rPr>
        <w:t>]</w:t>
      </w:r>
      <w:r>
        <w:rPr>
          <w:rFonts w:ascii="Arial" w:hAnsi="Arial" w:cs="Arial" w:eastAsia="仿宋_GB2312;仿宋"/>
          <w:bCs/>
          <w:sz w:val="28"/>
        </w:rPr>
        <w:t>，北京双合盛五星啤酒集团公司拥有估价对象的划拨国有建设用地使用权，估价对象土地面积为</w:t>
      </w:r>
      <w:r>
        <w:rPr>
          <w:rFonts w:eastAsia="仿宋_GB2312;仿宋" w:cs="Arial" w:ascii="Arial" w:hAnsi="Arial"/>
          <w:bCs/>
          <w:sz w:val="28"/>
        </w:rPr>
        <w:t>10738.85</w:t>
      </w:r>
      <w:r>
        <w:rPr>
          <w:rFonts w:ascii="Arial" w:hAnsi="Arial" w:cs="Arial" w:eastAsia="仿宋_GB2312;仿宋"/>
          <w:bCs/>
          <w:sz w:val="28"/>
        </w:rPr>
        <w:t>平方米。</w:t>
      </w:r>
    </w:p>
    <w:p>
      <w:pPr>
        <w:pStyle w:val="Normal"/>
        <w:spacing w:lineRule="auto" w:line="360"/>
        <w:ind w:firstLine="560"/>
        <w:jc w:val="both"/>
        <w:rPr>
          <w:rFonts w:ascii="Arial" w:hAnsi="Arial" w:eastAsia="仿宋_GB2312;仿宋" w:cs="Arial"/>
          <w:bCs/>
          <w:sz w:val="28"/>
        </w:rPr>
      </w:pPr>
      <w:r>
        <w:rPr>
          <w:rFonts w:ascii="Arial" w:hAnsi="Arial" w:cs="Arial" w:eastAsia="仿宋_GB2312;仿宋"/>
          <w:bCs/>
          <w:sz w:val="28"/>
        </w:rPr>
        <w:t>土地使用权人：北京双合盛五星啤酒集团公司</w:t>
      </w:r>
      <w:r>
        <w:rPr>
          <w:rFonts w:ascii="Arial" w:hAnsi="Arial" w:cs="Arial" w:eastAsia="Arial"/>
          <w:sz w:val="28"/>
        </w:rPr>
        <w:t xml:space="preserve"> </w:t>
      </w:r>
    </w:p>
    <w:p>
      <w:pPr>
        <w:pStyle w:val="Normal"/>
        <w:spacing w:lineRule="auto" w:line="360"/>
        <w:ind w:firstLine="560"/>
        <w:jc w:val="both"/>
        <w:rPr>
          <w:rFonts w:ascii="Arial" w:hAnsi="Arial" w:eastAsia="仿宋_GB2312;仿宋" w:cs="Arial"/>
          <w:sz w:val="28"/>
        </w:rPr>
      </w:pPr>
      <w:r>
        <w:rPr>
          <w:rFonts w:ascii="Arial" w:hAnsi="Arial" w:cs="Arial" w:eastAsia="仿宋_GB2312;仿宋"/>
          <w:bCs/>
          <w:sz w:val="28"/>
        </w:rPr>
        <w:t>坐落：海淀区建材城中路</w:t>
      </w:r>
      <w:r>
        <w:rPr>
          <w:rFonts w:eastAsia="仿宋_GB2312;仿宋" w:cs="Arial" w:ascii="Arial" w:hAnsi="Arial"/>
          <w:bCs/>
          <w:sz w:val="28"/>
        </w:rPr>
        <w:t>2</w:t>
      </w:r>
      <w:r>
        <w:rPr>
          <w:rFonts w:ascii="Arial" w:hAnsi="Arial" w:cs="Arial" w:eastAsia="仿宋_GB2312;仿宋"/>
          <w:bCs/>
          <w:sz w:val="28"/>
        </w:rPr>
        <w:t>号</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地号：</w:t>
      </w:r>
      <w:r>
        <w:rPr>
          <w:rFonts w:eastAsia="仿宋_GB2312;仿宋" w:cs="Arial" w:ascii="Arial" w:hAnsi="Arial"/>
          <w:sz w:val="28"/>
        </w:rPr>
        <w:t>-</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图号：</w:t>
      </w:r>
      <w:r>
        <w:rPr>
          <w:rFonts w:eastAsia="仿宋_GB2312;仿宋" w:cs="Arial" w:ascii="Arial" w:hAnsi="Arial"/>
          <w:sz w:val="28"/>
        </w:rPr>
        <w:t>-</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地类（用途）：工业</w:t>
      </w:r>
    </w:p>
    <w:p>
      <w:pPr>
        <w:pStyle w:val="Normal"/>
        <w:spacing w:lineRule="auto" w:line="360"/>
        <w:ind w:firstLine="560"/>
        <w:jc w:val="both"/>
        <w:rPr>
          <w:rFonts w:eastAsia="仿宋_GB2312;仿宋"/>
        </w:rPr>
      </w:pPr>
      <w:r>
        <w:rPr>
          <w:rFonts w:ascii="Arial" w:hAnsi="Arial" w:cs="Arial" w:eastAsia="仿宋_GB2312;仿宋"/>
          <w:sz w:val="28"/>
        </w:rPr>
        <w:t>土地面积：</w:t>
      </w:r>
      <w:r>
        <w:rPr>
          <w:rFonts w:eastAsia="仿宋_GB2312;仿宋" w:cs="Arial" w:ascii="Arial" w:hAnsi="Arial"/>
          <w:sz w:val="28"/>
        </w:rPr>
        <w:t>10738.85</w:t>
      </w:r>
      <w:r>
        <w:rPr>
          <w:rFonts w:ascii="Arial" w:hAnsi="Arial" w:cs="Arial" w:eastAsia="仿宋_GB2312;仿宋"/>
          <w:sz w:val="28"/>
        </w:rPr>
        <w:t>平方米</w:t>
      </w:r>
      <w:r>
        <w:rPr>
          <w:rFonts w:ascii="Arial" w:hAnsi="Arial" w:cs="Arial" w:eastAsia="Arial"/>
          <w:sz w:val="28"/>
        </w:rPr>
        <w:t xml:space="preserve"> </w:t>
      </w:r>
    </w:p>
    <w:p>
      <w:pPr>
        <w:pStyle w:val="Normal"/>
        <w:spacing w:lineRule="auto" w:line="360"/>
        <w:ind w:firstLine="560"/>
        <w:jc w:val="both"/>
        <w:rPr/>
      </w:pPr>
      <w:r>
        <w:rPr>
          <w:rFonts w:ascii="Arial" w:hAnsi="Arial" w:cs="Arial" w:eastAsia="仿宋_GB2312;仿宋"/>
          <w:sz w:val="28"/>
        </w:rPr>
        <w:t>估价对象四至：</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东至：北京市昌平区东小口镇兰各庄村股份经济合作社；</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南至：北京市昌平区东小口镇兰各庄村股份经济合作社、北京五星青岛啤酒有限公司；</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西至：北京南牧兴资产管理中心有限公司；</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北至：中国铁路北京局集团有限公司、无人申请。</w:t>
      </w:r>
    </w:p>
    <w:p>
      <w:pPr>
        <w:pStyle w:val="Normal"/>
        <w:spacing w:lineRule="auto" w:line="360"/>
        <w:ind w:firstLine="560"/>
        <w:jc w:val="both"/>
        <w:rPr/>
      </w:pPr>
      <w:r>
        <w:rPr>
          <w:rFonts w:ascii="Arial" w:hAnsi="Arial" w:cs="Arial" w:eastAsia="仿宋_GB2312;仿宋"/>
          <w:sz w:val="28"/>
        </w:rPr>
        <w:t>土地级别：根据《北京市人民政府关于更新出让国有建设用地使用权基准地价的通知》</w:t>
      </w:r>
      <w:r>
        <w:rPr>
          <w:rFonts w:eastAsia="仿宋_GB2312;仿宋" w:cs="Arial" w:ascii="Arial" w:hAnsi="Arial"/>
          <w:sz w:val="28"/>
        </w:rPr>
        <w:t>[</w:t>
      </w:r>
      <w:r>
        <w:rPr>
          <w:rFonts w:ascii="Arial" w:hAnsi="Arial" w:cs="Arial" w:eastAsia="仿宋_GB2312;仿宋"/>
          <w:sz w:val="28"/>
        </w:rPr>
        <w:t>京政发（</w:t>
      </w:r>
      <w:r>
        <w:rPr>
          <w:rFonts w:eastAsia="仿宋_GB2312;仿宋" w:cs="Arial" w:ascii="Arial" w:hAnsi="Arial"/>
          <w:sz w:val="28"/>
        </w:rPr>
        <w:t>2022</w:t>
      </w:r>
      <w:r>
        <w:rPr>
          <w:rFonts w:ascii="Arial" w:hAnsi="Arial" w:cs="Arial" w:eastAsia="仿宋_GB2312;仿宋"/>
          <w:sz w:val="28"/>
        </w:rPr>
        <w:t>）</w:t>
      </w:r>
      <w:r>
        <w:rPr>
          <w:rFonts w:eastAsia="仿宋_GB2312;仿宋" w:cs="Arial" w:ascii="Arial" w:hAnsi="Arial"/>
          <w:sz w:val="28"/>
        </w:rPr>
        <w:t>12</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的规定，估价对象属于工业类六级地价区</w:t>
      </w:r>
      <w:r>
        <w:rPr>
          <w:rFonts w:eastAsia="仿宋_GB2312;仿宋" w:cs="Arial" w:ascii="Arial" w:hAnsi="Arial"/>
          <w:sz w:val="28"/>
        </w:rPr>
        <w:t>VI-01</w:t>
      </w:r>
      <w:r>
        <w:rPr>
          <w:rFonts w:ascii="Arial" w:hAnsi="Arial" w:cs="Arial" w:eastAsia="仿宋_GB2312;仿宋"/>
          <w:sz w:val="28"/>
        </w:rPr>
        <w:t>区片。</w:t>
      </w:r>
    </w:p>
    <w:p>
      <w:pPr>
        <w:pStyle w:val="Normal"/>
        <w:spacing w:lineRule="auto" w:line="360"/>
        <w:jc w:val="both"/>
        <w:rPr>
          <w:rFonts w:ascii="Arial" w:hAnsi="Arial" w:eastAsia="仿宋_GB2312;仿宋" w:cs="Arial"/>
          <w:sz w:val="28"/>
        </w:rPr>
      </w:pPr>
      <w:r>
        <w:rPr>
          <w:rFonts w:ascii="Arial" w:hAnsi="Arial" w:cs="Arial" w:eastAsia="仿宋_GB2312;仿宋"/>
          <w:sz w:val="28"/>
        </w:rPr>
        <w:t>（二）土地权利状况</w:t>
      </w:r>
    </w:p>
    <w:p>
      <w:pPr>
        <w:pStyle w:val="Normal"/>
        <w:spacing w:lineRule="auto" w:line="360"/>
        <w:ind w:firstLine="560"/>
        <w:jc w:val="both"/>
        <w:rPr/>
      </w:pPr>
      <w:r>
        <w:rPr>
          <w:rFonts w:ascii="Arial" w:hAnsi="Arial" w:cs="Arial" w:eastAsia="仿宋_GB2312;仿宋"/>
          <w:sz w:val="28"/>
        </w:rPr>
        <w:t>估价对象为国有土地，土地所有权为国家所有，土地使用权人为北京双合盛五星啤酒集团公司，并已取得《国有土地使用证》</w:t>
      </w:r>
      <w:r>
        <w:rPr>
          <w:rFonts w:eastAsia="仿宋_GB2312;仿宋" w:cs="Arial" w:ascii="Arial" w:hAnsi="Arial"/>
          <w:sz w:val="28"/>
        </w:rPr>
        <w:t>[</w:t>
      </w:r>
      <w:r>
        <w:rPr>
          <w:rFonts w:ascii="Arial" w:hAnsi="Arial" w:cs="Arial" w:eastAsia="仿宋_GB2312;仿宋"/>
          <w:sz w:val="28"/>
        </w:rPr>
        <w:t>京海国用（</w:t>
      </w:r>
      <w:r>
        <w:rPr>
          <w:rFonts w:eastAsia="仿宋_GB2312;仿宋" w:cs="Arial" w:ascii="Arial" w:hAnsi="Arial"/>
          <w:sz w:val="28"/>
        </w:rPr>
        <w:t>2004</w:t>
      </w:r>
      <w:r>
        <w:rPr>
          <w:rFonts w:ascii="Arial" w:hAnsi="Arial" w:cs="Arial" w:eastAsia="仿宋_GB2312;仿宋"/>
          <w:sz w:val="28"/>
        </w:rPr>
        <w:t>划）字第</w:t>
      </w:r>
      <w:r>
        <w:rPr>
          <w:rFonts w:eastAsia="仿宋_GB2312;仿宋" w:cs="Arial" w:ascii="Arial" w:hAnsi="Arial"/>
          <w:sz w:val="28"/>
        </w:rPr>
        <w:t>2880</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w:t>
      </w:r>
    </w:p>
    <w:p>
      <w:pPr>
        <w:pStyle w:val="Normal"/>
        <w:spacing w:lineRule="auto" w:line="360"/>
        <w:ind w:firstLine="560"/>
        <w:jc w:val="both"/>
        <w:rPr/>
      </w:pPr>
      <w:r>
        <w:rPr>
          <w:rFonts w:ascii="Arial" w:hAnsi="Arial" w:cs="Arial" w:eastAsia="仿宋_GB2312;仿宋"/>
          <w:sz w:val="28"/>
        </w:rPr>
        <w:t>评估专业人员根据委托估价方所提供的资料，未发现有抵押、租赁的登记信息，本次评估设定估价对象不存在抵押、租赁等他项权利。</w:t>
      </w:r>
    </w:p>
    <w:p>
      <w:pPr>
        <w:pStyle w:val="Normal"/>
        <w:spacing w:lineRule="auto" w:line="360"/>
        <w:jc w:val="both"/>
        <w:rPr>
          <w:rFonts w:ascii="Arial" w:hAnsi="Arial" w:eastAsia="仿宋_GB2312;仿宋" w:cs="Arial"/>
          <w:sz w:val="28"/>
        </w:rPr>
      </w:pPr>
      <w:r>
        <w:rPr>
          <w:rFonts w:ascii="Arial" w:hAnsi="Arial" w:cs="Arial" w:eastAsia="仿宋_GB2312;仿宋"/>
          <w:sz w:val="28"/>
        </w:rPr>
        <w:t>（三）土地利用状况</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w:t>
      </w:r>
      <w:r>
        <w:rPr>
          <w:rFonts w:ascii="Arial" w:hAnsi="Arial" w:cs="Arial" w:eastAsia="仿宋_GB2312;仿宋"/>
          <w:sz w:val="28"/>
        </w:rPr>
        <w:t>土地规划设计条件</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szCs w:val="28"/>
        </w:rPr>
        <w:t>根据《国有土地使用证》</w:t>
      </w:r>
      <w:r>
        <w:rPr>
          <w:rFonts w:eastAsia="仿宋_GB2312;仿宋" w:cs="Arial" w:ascii="Arial" w:hAnsi="Arial"/>
          <w:sz w:val="28"/>
          <w:szCs w:val="28"/>
        </w:rPr>
        <w:t>[</w:t>
      </w:r>
      <w:r>
        <w:rPr>
          <w:rFonts w:ascii="Arial" w:hAnsi="Arial" w:cs="Arial" w:eastAsia="仿宋_GB2312;仿宋"/>
          <w:sz w:val="28"/>
          <w:szCs w:val="28"/>
        </w:rPr>
        <w:t>京海国用（</w:t>
      </w:r>
      <w:r>
        <w:rPr>
          <w:rFonts w:eastAsia="仿宋_GB2312;仿宋" w:cs="Arial" w:ascii="Arial" w:hAnsi="Arial"/>
          <w:sz w:val="28"/>
          <w:szCs w:val="28"/>
        </w:rPr>
        <w:t>2004</w:t>
      </w:r>
      <w:r>
        <w:rPr>
          <w:rFonts w:ascii="Arial" w:hAnsi="Arial" w:cs="Arial" w:eastAsia="仿宋_GB2312;仿宋"/>
          <w:sz w:val="28"/>
          <w:szCs w:val="28"/>
        </w:rPr>
        <w:t>划）字第</w:t>
      </w:r>
      <w:r>
        <w:rPr>
          <w:rFonts w:eastAsia="仿宋_GB2312;仿宋" w:cs="Arial" w:ascii="Arial" w:hAnsi="Arial"/>
          <w:sz w:val="28"/>
          <w:szCs w:val="28"/>
        </w:rPr>
        <w:t>2880</w:t>
      </w:r>
      <w:r>
        <w:rPr>
          <w:rFonts w:ascii="Arial" w:hAnsi="Arial" w:cs="Arial" w:eastAsia="仿宋_GB2312;仿宋"/>
          <w:sz w:val="28"/>
          <w:szCs w:val="28"/>
        </w:rPr>
        <w:t>号</w:t>
      </w:r>
      <w:r>
        <w:rPr>
          <w:rFonts w:eastAsia="仿宋_GB2312;仿宋" w:cs="Arial" w:ascii="Arial" w:hAnsi="Arial"/>
          <w:sz w:val="28"/>
          <w:szCs w:val="28"/>
        </w:rPr>
        <w:t>]</w:t>
      </w:r>
      <w:r>
        <w:rPr>
          <w:rFonts w:ascii="Arial" w:hAnsi="Arial" w:cs="Arial" w:eastAsia="仿宋_GB2312;仿宋"/>
          <w:sz w:val="28"/>
          <w:szCs w:val="28"/>
        </w:rPr>
        <w:t>、</w:t>
      </w:r>
      <w:r>
        <w:rPr>
          <w:rFonts w:ascii="Arial" w:hAnsi="Arial" w:cs="Arial" w:eastAsia="仿宋_GB2312;仿宋"/>
          <w:sz w:val="28"/>
          <w:szCs w:val="28"/>
        </w:rPr>
        <w:t>《土地权属审查告知书》</w:t>
      </w:r>
      <w:r>
        <w:rPr>
          <w:rFonts w:eastAsia="仿宋_GB2312;仿宋" w:cs="Arial" w:ascii="Arial" w:hAnsi="Arial"/>
          <w:sz w:val="28"/>
          <w:szCs w:val="28"/>
        </w:rPr>
        <w:t>[</w:t>
      </w:r>
      <w:r>
        <w:rPr>
          <w:rFonts w:ascii="Arial" w:hAnsi="Arial" w:cs="Arial" w:eastAsia="仿宋_GB2312;仿宋"/>
          <w:sz w:val="28"/>
          <w:szCs w:val="28"/>
        </w:rPr>
        <w:t>编号：海权属审（</w:t>
      </w:r>
      <w:r>
        <w:rPr>
          <w:rFonts w:eastAsia="仿宋_GB2312;仿宋" w:cs="Arial" w:ascii="Arial" w:hAnsi="Arial"/>
          <w:sz w:val="28"/>
          <w:szCs w:val="28"/>
        </w:rPr>
        <w:t>2020</w:t>
      </w:r>
      <w:r>
        <w:rPr>
          <w:rFonts w:ascii="Arial" w:hAnsi="Arial" w:cs="Arial" w:eastAsia="仿宋_GB2312;仿宋"/>
          <w:sz w:val="28"/>
          <w:szCs w:val="28"/>
        </w:rPr>
        <w:t>）字第</w:t>
      </w:r>
      <w:r>
        <w:rPr>
          <w:rFonts w:eastAsia="仿宋_GB2312;仿宋" w:cs="Arial" w:ascii="Arial" w:hAnsi="Arial"/>
          <w:sz w:val="28"/>
          <w:szCs w:val="28"/>
        </w:rPr>
        <w:t>1172</w:t>
      </w:r>
      <w:r>
        <w:rPr>
          <w:rFonts w:ascii="Arial" w:hAnsi="Arial" w:cs="Arial" w:eastAsia="仿宋_GB2312;仿宋"/>
          <w:sz w:val="28"/>
          <w:szCs w:val="28"/>
        </w:rPr>
        <w:t>号</w:t>
      </w:r>
      <w:r>
        <w:rPr>
          <w:rFonts w:eastAsia="仿宋_GB2312;仿宋" w:cs="Arial" w:ascii="Arial" w:hAnsi="Arial"/>
          <w:sz w:val="28"/>
          <w:szCs w:val="28"/>
        </w:rPr>
        <w:t>]</w:t>
      </w:r>
      <w:r>
        <w:rPr>
          <w:rFonts w:ascii="Arial" w:hAnsi="Arial" w:cs="Arial" w:eastAsia="仿宋_GB2312;仿宋"/>
          <w:sz w:val="28"/>
          <w:szCs w:val="28"/>
        </w:rPr>
        <w:t>，估价对象土地使用权类型为划拨，土地面积为</w:t>
      </w:r>
      <w:r>
        <w:rPr>
          <w:rFonts w:eastAsia="仿宋_GB2312;仿宋" w:cs="Arial" w:ascii="Arial" w:hAnsi="Arial"/>
          <w:sz w:val="28"/>
          <w:szCs w:val="28"/>
        </w:rPr>
        <w:t>10738.85</w:t>
      </w:r>
      <w:r>
        <w:rPr>
          <w:rFonts w:ascii="Arial" w:hAnsi="Arial" w:cs="Arial" w:eastAsia="仿宋_GB2312;仿宋"/>
          <w:sz w:val="28"/>
          <w:szCs w:val="28"/>
        </w:rPr>
        <w:t>平方米。另根据《房屋所有权证》</w:t>
      </w:r>
      <w:r>
        <w:rPr>
          <w:rFonts w:eastAsia="仿宋_GB2312;仿宋" w:cs="Arial" w:ascii="Arial" w:hAnsi="Arial"/>
          <w:sz w:val="28"/>
          <w:szCs w:val="28"/>
        </w:rPr>
        <w:t>[</w:t>
      </w:r>
      <w:r>
        <w:rPr>
          <w:rFonts w:ascii="Arial" w:hAnsi="Arial" w:cs="Arial" w:eastAsia="仿宋_GB2312;仿宋"/>
          <w:sz w:val="28"/>
          <w:szCs w:val="28"/>
        </w:rPr>
        <w:t>海全字第</w:t>
      </w:r>
      <w:r>
        <w:rPr>
          <w:rFonts w:eastAsia="仿宋_GB2312;仿宋" w:cs="Arial" w:ascii="Arial" w:hAnsi="Arial"/>
          <w:sz w:val="28"/>
          <w:szCs w:val="28"/>
        </w:rPr>
        <w:t>01614</w:t>
      </w:r>
      <w:r>
        <w:rPr>
          <w:rFonts w:ascii="Arial" w:hAnsi="Arial" w:cs="Arial" w:eastAsia="仿宋_GB2312;仿宋"/>
          <w:sz w:val="28"/>
          <w:szCs w:val="28"/>
        </w:rPr>
        <w:t>号</w:t>
      </w:r>
      <w:r>
        <w:rPr>
          <w:rFonts w:eastAsia="仿宋_GB2312;仿宋" w:cs="Arial" w:ascii="Arial" w:hAnsi="Arial"/>
          <w:sz w:val="28"/>
          <w:szCs w:val="28"/>
        </w:rPr>
        <w:t>]</w:t>
      </w:r>
      <w:r>
        <w:rPr>
          <w:rFonts w:ascii="Arial" w:hAnsi="Arial" w:cs="Arial" w:eastAsia="仿宋_GB2312;仿宋"/>
          <w:sz w:val="28"/>
          <w:szCs w:val="28"/>
        </w:rPr>
        <w:t>、</w:t>
      </w:r>
      <w:r>
        <w:rPr>
          <w:rFonts w:ascii="Arial" w:hAnsi="Arial" w:cs="Arial" w:eastAsia="仿宋_GB2312;仿宋"/>
          <w:sz w:val="28"/>
          <w:szCs w:val="28"/>
        </w:rPr>
        <w:t>《关于西三旗建材城中路</w:t>
      </w:r>
      <w:r>
        <w:rPr>
          <w:rFonts w:eastAsia="仿宋_GB2312;仿宋" w:cs="Arial" w:ascii="Arial" w:hAnsi="Arial"/>
          <w:sz w:val="28"/>
          <w:szCs w:val="28"/>
        </w:rPr>
        <w:t>2</w:t>
      </w:r>
      <w:r>
        <w:rPr>
          <w:rFonts w:ascii="Arial" w:hAnsi="Arial" w:cs="Arial" w:eastAsia="仿宋_GB2312;仿宋"/>
          <w:sz w:val="28"/>
          <w:szCs w:val="28"/>
        </w:rPr>
        <w:t>号地块收储情况说明》，估价对象</w:t>
      </w:r>
      <w:r>
        <w:rPr>
          <w:rFonts w:ascii="Arial" w:hAnsi="Arial" w:cs="Arial" w:eastAsia="仿宋_GB2312;仿宋"/>
          <w:sz w:val="28"/>
          <w:szCs w:val="28"/>
        </w:rPr>
        <w:t>建筑面积为</w:t>
      </w:r>
      <w:r>
        <w:rPr>
          <w:rFonts w:eastAsia="仿宋_GB2312;仿宋" w:cs="Arial" w:ascii="Arial" w:hAnsi="Arial"/>
          <w:sz w:val="28"/>
          <w:szCs w:val="28"/>
        </w:rPr>
        <w:t>677.9</w:t>
      </w:r>
      <w:r>
        <w:rPr>
          <w:rFonts w:ascii="Arial" w:hAnsi="Arial" w:cs="Arial" w:eastAsia="仿宋_GB2312;仿宋"/>
          <w:sz w:val="28"/>
          <w:szCs w:val="28"/>
        </w:rPr>
        <w:t>平方米，估价对象实际容积率为</w:t>
      </w:r>
      <w:r>
        <w:rPr>
          <w:rFonts w:eastAsia="仿宋_GB2312;仿宋" w:cs="Arial" w:ascii="Arial" w:hAnsi="Arial"/>
          <w:sz w:val="28"/>
          <w:szCs w:val="28"/>
        </w:rPr>
        <w:t>0.06</w:t>
      </w:r>
      <w:r>
        <w:rPr>
          <w:rFonts w:ascii="Arial" w:hAnsi="Arial" w:cs="Arial" w:eastAsia="仿宋_GB2312;仿宋"/>
          <w:sz w:val="28"/>
          <w:szCs w:val="28"/>
        </w:rPr>
        <w:t>。</w:t>
      </w:r>
    </w:p>
    <w:p>
      <w:pPr>
        <w:pStyle w:val="Normal"/>
        <w:spacing w:lineRule="auto" w:line="360"/>
        <w:ind w:firstLine="512"/>
        <w:jc w:val="both"/>
        <w:rPr>
          <w:rFonts w:ascii="Arial" w:hAnsi="Arial" w:eastAsia="仿宋_GB2312;仿宋" w:cs="Arial"/>
          <w:spacing w:val="-12"/>
          <w:sz w:val="28"/>
        </w:rPr>
      </w:pPr>
      <w:r>
        <w:rPr>
          <w:rFonts w:eastAsia="仿宋_GB2312;仿宋" w:cs="Arial" w:ascii="Arial" w:hAnsi="Arial"/>
          <w:spacing w:val="-12"/>
          <w:sz w:val="28"/>
        </w:rPr>
        <w:t>2.</w:t>
      </w:r>
      <w:r>
        <w:rPr>
          <w:rFonts w:ascii="Arial" w:hAnsi="Arial" w:cs="Arial" w:eastAsia="仿宋_GB2312;仿宋"/>
          <w:spacing w:val="-12"/>
          <w:sz w:val="28"/>
        </w:rPr>
        <w:t>土地利用现状</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w:t>
      </w:r>
      <w:r>
        <w:rPr>
          <w:rFonts w:eastAsia="仿宋_GB2312;仿宋" w:cs="Arial" w:ascii="Arial" w:hAnsi="Arial"/>
          <w:spacing w:val="-12"/>
          <w:sz w:val="28"/>
        </w:rPr>
        <w:t>1</w:t>
      </w:r>
      <w:r>
        <w:rPr>
          <w:rFonts w:ascii="Arial" w:hAnsi="Arial" w:cs="Arial" w:eastAsia="仿宋_GB2312;仿宋"/>
          <w:spacing w:val="-12"/>
          <w:sz w:val="28"/>
        </w:rPr>
        <w:t>）建筑物</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根据《房屋所有权证》</w:t>
      </w:r>
      <w:r>
        <w:rPr>
          <w:rFonts w:eastAsia="仿宋_GB2312;仿宋" w:cs="Arial" w:ascii="Arial" w:hAnsi="Arial"/>
          <w:sz w:val="28"/>
        </w:rPr>
        <w:t>[</w:t>
      </w:r>
      <w:r>
        <w:rPr>
          <w:rFonts w:ascii="Arial" w:hAnsi="Arial" w:cs="Arial" w:eastAsia="仿宋_GB2312;仿宋"/>
          <w:sz w:val="28"/>
        </w:rPr>
        <w:t>海全字第</w:t>
      </w:r>
      <w:r>
        <w:rPr>
          <w:rFonts w:eastAsia="仿宋_GB2312;仿宋" w:cs="Arial" w:ascii="Arial" w:hAnsi="Arial"/>
          <w:sz w:val="28"/>
        </w:rPr>
        <w:t>01614</w:t>
      </w:r>
      <w:r>
        <w:rPr>
          <w:rFonts w:ascii="Arial" w:hAnsi="Arial" w:cs="Arial" w:eastAsia="仿宋_GB2312;仿宋"/>
          <w:sz w:val="28"/>
        </w:rPr>
        <w:t>号</w:t>
      </w:r>
      <w:r>
        <w:rPr>
          <w:rFonts w:eastAsia="仿宋_GB2312;仿宋" w:cs="Arial" w:ascii="Arial" w:hAnsi="Arial"/>
          <w:sz w:val="28"/>
        </w:rPr>
        <w:t>]</w:t>
      </w:r>
      <w:r>
        <w:rPr>
          <w:rFonts w:eastAsia="仿宋_GB2312;仿宋" w:cs="Arial" w:ascii="Arial" w:hAnsi="Arial"/>
          <w:sz w:val="28"/>
          <w:szCs w:val="28"/>
        </w:rPr>
        <w:t xml:space="preserve"> </w:t>
      </w:r>
      <w:r>
        <w:rPr>
          <w:rFonts w:ascii="Arial" w:hAnsi="Arial" w:cs="Arial" w:eastAsia="仿宋_GB2312;仿宋"/>
          <w:sz w:val="28"/>
          <w:szCs w:val="28"/>
        </w:rPr>
        <w:t>、</w:t>
      </w:r>
      <w:r>
        <w:rPr>
          <w:rFonts w:ascii="Arial" w:hAnsi="Arial" w:cs="Arial" w:eastAsia="仿宋_GB2312;仿宋"/>
          <w:sz w:val="28"/>
          <w:szCs w:val="28"/>
        </w:rPr>
        <w:t>《关于西三旗建材城中路</w:t>
      </w:r>
      <w:r>
        <w:rPr>
          <w:rFonts w:eastAsia="仿宋_GB2312;仿宋" w:cs="Arial" w:ascii="Arial" w:hAnsi="Arial"/>
          <w:sz w:val="28"/>
          <w:szCs w:val="28"/>
        </w:rPr>
        <w:t>2</w:t>
      </w:r>
      <w:r>
        <w:rPr>
          <w:rFonts w:ascii="Arial" w:hAnsi="Arial" w:cs="Arial" w:eastAsia="仿宋_GB2312;仿宋"/>
          <w:sz w:val="28"/>
          <w:szCs w:val="28"/>
        </w:rPr>
        <w:t>号地块收储情况说明》</w:t>
      </w:r>
      <w:r>
        <w:rPr>
          <w:rFonts w:ascii="Arial" w:hAnsi="Arial" w:cs="Arial" w:eastAsia="仿宋_GB2312;仿宋"/>
          <w:sz w:val="28"/>
        </w:rPr>
        <w:t>，估价对象宗地内现存房屋建筑面积为</w:t>
      </w:r>
      <w:r>
        <w:rPr>
          <w:rFonts w:eastAsia="仿宋_GB2312;仿宋" w:cs="Arial" w:ascii="Arial" w:hAnsi="Arial"/>
          <w:sz w:val="28"/>
        </w:rPr>
        <w:t>677.9</w:t>
      </w:r>
      <w:r>
        <w:rPr>
          <w:rFonts w:ascii="Arial" w:hAnsi="Arial" w:cs="Arial" w:eastAsia="仿宋_GB2312;仿宋"/>
          <w:sz w:val="28"/>
        </w:rPr>
        <w:t>平方米。详见下表：</w:t>
      </w:r>
    </w:p>
    <w:p>
      <w:pPr>
        <w:pStyle w:val="Normal"/>
        <w:spacing w:lineRule="auto" w:line="360"/>
        <w:ind w:firstLine="482"/>
        <w:jc w:val="center"/>
        <w:rPr>
          <w:rFonts w:cs="Arial"/>
        </w:rPr>
      </w:pPr>
      <w:r>
        <w:rPr>
          <w:rFonts w:ascii="Arial" w:hAnsi="Arial" w:cs="Arial" w:eastAsia="仿宋_GB2312;仿宋"/>
          <w:b/>
          <w:bCs/>
          <w:szCs w:val="18"/>
        </w:rPr>
        <w:t>建筑物清单</w:t>
      </w:r>
    </w:p>
    <w:tbl>
      <w:tblPr>
        <w:tblW w:w="5770" w:type="dxa"/>
        <w:jc w:val="center"/>
        <w:tblInd w:w="0" w:type="dxa"/>
        <w:tblCellMar>
          <w:top w:w="0" w:type="dxa"/>
          <w:left w:w="108" w:type="dxa"/>
          <w:bottom w:w="0" w:type="dxa"/>
          <w:right w:w="108" w:type="dxa"/>
        </w:tblCellMar>
      </w:tblPr>
      <w:tblGrid>
        <w:gridCol w:w="1080"/>
        <w:gridCol w:w="1080"/>
        <w:gridCol w:w="1316"/>
        <w:gridCol w:w="2294"/>
      </w:tblGrid>
      <w:tr>
        <w:trPr>
          <w:trHeight w:val="315" w:hRule="atLeast"/>
        </w:trPr>
        <w:tc>
          <w:tcPr>
            <w:tcW w:w="1080"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rPr>
            </w:pPr>
            <w:r>
              <w:rPr>
                <w:rFonts w:ascii="Arial" w:hAnsi="Arial" w:cs="Arial" w:eastAsia="仿宋_GB2312;仿宋"/>
                <w:b/>
              </w:rPr>
              <w:t>楼号</w:t>
            </w:r>
          </w:p>
        </w:tc>
        <w:tc>
          <w:tcPr>
            <w:tcW w:w="1080"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rPr>
            </w:pPr>
            <w:r>
              <w:rPr>
                <w:rFonts w:ascii="Arial" w:hAnsi="Arial" w:cs="Arial" w:eastAsia="仿宋_GB2312;仿宋"/>
                <w:b/>
              </w:rPr>
              <w:t>结构</w:t>
            </w:r>
          </w:p>
        </w:tc>
        <w:tc>
          <w:tcPr>
            <w:tcW w:w="1316"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rPr>
            </w:pPr>
            <w:r>
              <w:rPr>
                <w:rFonts w:ascii="Arial" w:hAnsi="Arial" w:cs="Arial" w:eastAsia="仿宋_GB2312;仿宋"/>
                <w:b/>
              </w:rPr>
              <w:t>建成年份</w:t>
            </w:r>
          </w:p>
        </w:tc>
        <w:tc>
          <w:tcPr>
            <w:tcW w:w="22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rPr>
            </w:pPr>
            <w:r>
              <w:rPr>
                <w:rFonts w:ascii="Arial" w:hAnsi="Arial" w:cs="Arial" w:eastAsia="仿宋_GB2312;仿宋"/>
                <w:b/>
              </w:rPr>
              <w:t>建筑面积（㎡）</w:t>
            </w:r>
          </w:p>
        </w:tc>
      </w:tr>
      <w:tr>
        <w:trPr>
          <w:trHeight w:val="300" w:hRule="atLeast"/>
        </w:trPr>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25</w:t>
            </w:r>
          </w:p>
        </w:tc>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混合</w:t>
            </w:r>
          </w:p>
        </w:tc>
        <w:tc>
          <w:tcPr>
            <w:tcW w:w="131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八八</w:t>
            </w:r>
          </w:p>
        </w:tc>
        <w:tc>
          <w:tcPr>
            <w:tcW w:w="2294"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349.6</w:t>
            </w:r>
          </w:p>
        </w:tc>
      </w:tr>
      <w:tr>
        <w:trPr>
          <w:trHeight w:val="300" w:hRule="atLeast"/>
        </w:trPr>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26</w:t>
            </w:r>
          </w:p>
        </w:tc>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混合</w:t>
            </w:r>
          </w:p>
        </w:tc>
        <w:tc>
          <w:tcPr>
            <w:tcW w:w="131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八九</w:t>
            </w:r>
          </w:p>
        </w:tc>
        <w:tc>
          <w:tcPr>
            <w:tcW w:w="2294"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204.4</w:t>
            </w:r>
          </w:p>
        </w:tc>
      </w:tr>
      <w:tr>
        <w:trPr>
          <w:trHeight w:val="300" w:hRule="atLeast"/>
        </w:trPr>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39</w:t>
            </w:r>
          </w:p>
        </w:tc>
        <w:tc>
          <w:tcPr>
            <w:tcW w:w="10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混合</w:t>
            </w:r>
          </w:p>
        </w:tc>
        <w:tc>
          <w:tcPr>
            <w:tcW w:w="131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六九</w:t>
            </w:r>
          </w:p>
        </w:tc>
        <w:tc>
          <w:tcPr>
            <w:tcW w:w="2294"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123.9</w:t>
            </w:r>
          </w:p>
        </w:tc>
      </w:tr>
      <w:tr>
        <w:trPr>
          <w:trHeight w:val="315" w:hRule="atLeast"/>
        </w:trPr>
        <w:tc>
          <w:tcPr>
            <w:tcW w:w="3476" w:type="dxa"/>
            <w:gridSpan w:val="3"/>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合计</w:t>
            </w:r>
          </w:p>
        </w:tc>
        <w:tc>
          <w:tcPr>
            <w:tcW w:w="2294"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677.9</w:t>
            </w:r>
          </w:p>
        </w:tc>
      </w:tr>
    </w:tbl>
    <w:p>
      <w:pPr>
        <w:pStyle w:val="Normal"/>
        <w:spacing w:lineRule="auto" w:line="360"/>
        <w:ind w:firstLine="420"/>
        <w:jc w:val="both"/>
        <w:rPr>
          <w:rFonts w:ascii="Arial" w:hAnsi="Arial" w:eastAsia="仿宋_GB2312;仿宋" w:cs="Arial"/>
          <w:sz w:val="21"/>
          <w:szCs w:val="21"/>
        </w:rPr>
      </w:pPr>
      <w:r>
        <w:rPr>
          <w:rFonts w:eastAsia="仿宋_GB2312;仿宋" w:cs="Arial" w:ascii="Arial" w:hAnsi="Arial"/>
          <w:sz w:val="21"/>
          <w:szCs w:val="21"/>
        </w:rPr>
      </w:r>
    </w:p>
    <w:p>
      <w:pPr>
        <w:pStyle w:val="Normal"/>
        <w:spacing w:lineRule="auto" w:line="360"/>
        <w:ind w:firstLine="512"/>
        <w:jc w:val="both"/>
        <w:rPr>
          <w:rFonts w:cs="Arial"/>
        </w:rPr>
      </w:pPr>
      <w:r>
        <w:rPr>
          <w:rFonts w:ascii="Arial" w:hAnsi="Arial" w:cs="Arial" w:eastAsia="仿宋_GB2312;仿宋"/>
          <w:spacing w:val="-12"/>
          <w:sz w:val="28"/>
        </w:rPr>
        <w:t>根据</w:t>
      </w:r>
      <w:r>
        <w:rPr>
          <w:rFonts w:eastAsia="仿宋_GB2312;仿宋" w:cs="Arial" w:ascii="Arial" w:hAnsi="Arial"/>
          <w:spacing w:val="-12"/>
          <w:sz w:val="28"/>
        </w:rPr>
        <w:t>2023</w:t>
      </w:r>
      <w:r>
        <w:rPr>
          <w:rFonts w:ascii="Arial" w:hAnsi="Arial" w:cs="Arial" w:eastAsia="仿宋_GB2312;仿宋"/>
          <w:spacing w:val="-12"/>
          <w:sz w:val="28"/>
        </w:rPr>
        <w:t>年</w:t>
      </w:r>
      <w:r>
        <w:rPr>
          <w:rFonts w:eastAsia="仿宋_GB2312;仿宋" w:cs="Arial" w:ascii="Arial" w:hAnsi="Arial"/>
          <w:spacing w:val="-12"/>
          <w:sz w:val="28"/>
        </w:rPr>
        <w:t>9</w:t>
      </w:r>
      <w:r>
        <w:rPr>
          <w:rFonts w:ascii="Arial" w:hAnsi="Arial" w:cs="Arial" w:eastAsia="仿宋_GB2312;仿宋"/>
          <w:spacing w:val="-12"/>
          <w:sz w:val="28"/>
        </w:rPr>
        <w:t>月</w:t>
      </w:r>
      <w:r>
        <w:rPr>
          <w:rFonts w:eastAsia="仿宋_GB2312;仿宋" w:cs="Arial" w:ascii="Arial" w:hAnsi="Arial"/>
          <w:spacing w:val="-12"/>
          <w:sz w:val="28"/>
        </w:rPr>
        <w:t>28</w:t>
      </w:r>
      <w:r>
        <w:rPr>
          <w:rFonts w:ascii="Arial" w:hAnsi="Arial" w:cs="Arial" w:eastAsia="仿宋_GB2312;仿宋"/>
          <w:spacing w:val="-12"/>
          <w:sz w:val="28"/>
        </w:rPr>
        <w:t>日发布的《关于国有建设用地使用权收购工作有关事项的通知（试行）》</w:t>
      </w:r>
      <w:r>
        <w:rPr>
          <w:rFonts w:eastAsia="仿宋_GB2312;仿宋" w:cs="Arial" w:ascii="Arial" w:hAnsi="Arial"/>
          <w:spacing w:val="-12"/>
          <w:sz w:val="28"/>
        </w:rPr>
        <w:t>[</w:t>
      </w:r>
      <w:r>
        <w:rPr>
          <w:rFonts w:ascii="Arial" w:hAnsi="Arial" w:cs="Arial" w:eastAsia="仿宋_GB2312;仿宋"/>
          <w:spacing w:val="-12"/>
          <w:sz w:val="28"/>
        </w:rPr>
        <w:t>京规自发（</w:t>
      </w:r>
      <w:r>
        <w:rPr>
          <w:rFonts w:eastAsia="仿宋_GB2312;仿宋" w:cs="Arial" w:ascii="Arial" w:hAnsi="Arial"/>
          <w:spacing w:val="-12"/>
          <w:sz w:val="28"/>
        </w:rPr>
        <w:t>2023</w:t>
      </w:r>
      <w:r>
        <w:rPr>
          <w:rFonts w:ascii="Arial" w:hAnsi="Arial" w:cs="Arial" w:eastAsia="仿宋_GB2312;仿宋"/>
          <w:spacing w:val="-12"/>
          <w:sz w:val="28"/>
        </w:rPr>
        <w:t>）</w:t>
      </w:r>
      <w:r>
        <w:rPr>
          <w:rFonts w:eastAsia="仿宋_GB2312;仿宋" w:cs="Arial" w:ascii="Arial" w:hAnsi="Arial"/>
          <w:spacing w:val="-12"/>
          <w:sz w:val="28"/>
        </w:rPr>
        <w:t>264</w:t>
      </w:r>
      <w:r>
        <w:rPr>
          <w:rFonts w:ascii="Arial" w:hAnsi="Arial" w:cs="Arial" w:eastAsia="仿宋_GB2312;仿宋"/>
          <w:spacing w:val="-12"/>
          <w:sz w:val="28"/>
        </w:rPr>
        <w:t>号</w:t>
      </w:r>
      <w:r>
        <w:rPr>
          <w:rFonts w:eastAsia="仿宋_GB2312;仿宋" w:cs="Arial" w:ascii="Arial" w:hAnsi="Arial"/>
          <w:spacing w:val="-12"/>
          <w:sz w:val="28"/>
        </w:rPr>
        <w:t>]</w:t>
      </w:r>
      <w:r>
        <w:rPr>
          <w:rFonts w:ascii="Arial" w:hAnsi="Arial" w:cs="Arial" w:eastAsia="仿宋_GB2312;仿宋"/>
          <w:spacing w:val="-12"/>
          <w:sz w:val="28"/>
        </w:rPr>
        <w:t>相关要求</w:t>
      </w:r>
      <w:r>
        <w:rPr>
          <w:rFonts w:ascii="Arial" w:hAnsi="Arial" w:cs="Arial" w:eastAsia="仿宋_GB2312;仿宋"/>
          <w:spacing w:val="-12"/>
          <w:sz w:val="28"/>
        </w:rPr>
        <w:t>，委托方于近日对估价对象进行了实地</w:t>
      </w:r>
      <w:r>
        <w:rPr>
          <w:rFonts w:ascii="Arial" w:hAnsi="Arial" w:cs="Arial" w:eastAsia="仿宋_GB2312;仿宋"/>
          <w:spacing w:val="-12"/>
          <w:sz w:val="28"/>
        </w:rPr>
        <w:t>踏勘</w:t>
      </w:r>
      <w:r>
        <w:rPr>
          <w:rFonts w:ascii="Arial" w:hAnsi="Arial" w:cs="Arial" w:eastAsia="仿宋_GB2312;仿宋"/>
          <w:spacing w:val="-12"/>
          <w:sz w:val="28"/>
        </w:rPr>
        <w:t>，并由</w:t>
      </w:r>
      <w:r>
        <w:rPr>
          <w:rFonts w:ascii="Arial" w:hAnsi="Arial" w:cs="Arial" w:eastAsia="仿宋_GB2312;仿宋"/>
          <w:spacing w:val="-12"/>
          <w:sz w:val="28"/>
        </w:rPr>
        <w:t>河北省地理信息集团有限公司</w:t>
      </w:r>
      <w:r>
        <w:rPr>
          <w:rFonts w:ascii="Arial" w:hAnsi="Arial" w:cs="Arial" w:eastAsia="仿宋_GB2312;仿宋"/>
          <w:spacing w:val="-12"/>
          <w:sz w:val="28"/>
        </w:rPr>
        <w:t>出具了《</w:t>
      </w:r>
      <w:r>
        <w:rPr>
          <w:rFonts w:ascii="Arial" w:hAnsi="Arial" w:cs="Arial" w:eastAsia="仿宋_GB2312;仿宋"/>
          <w:spacing w:val="-12"/>
          <w:sz w:val="28"/>
        </w:rPr>
        <w:t>海淀区北京五星青岛啤酒有限公司用地项目地形及地上物测绘技术报告书</w:t>
      </w:r>
      <w:r>
        <w:rPr>
          <w:rFonts w:ascii="Arial" w:hAnsi="Arial" w:cs="Arial" w:eastAsia="仿宋_GB2312;仿宋"/>
          <w:spacing w:val="-12"/>
          <w:sz w:val="28"/>
        </w:rPr>
        <w:t>》，实测面积为</w:t>
      </w:r>
      <w:r>
        <w:rPr>
          <w:rFonts w:eastAsia="仿宋_GB2312;仿宋" w:cs="Arial" w:ascii="Arial" w:hAnsi="Arial"/>
          <w:spacing w:val="-12"/>
          <w:sz w:val="28"/>
        </w:rPr>
        <w:t>761.963</w:t>
      </w:r>
      <w:r>
        <w:rPr>
          <w:rFonts w:ascii="Arial" w:hAnsi="Arial" w:cs="Arial" w:eastAsia="仿宋_GB2312;仿宋"/>
          <w:spacing w:val="-12"/>
          <w:sz w:val="28"/>
        </w:rPr>
        <w:t>平方米。根据《房屋所有权证》</w:t>
      </w:r>
      <w:r>
        <w:rPr>
          <w:rFonts w:eastAsia="仿宋_GB2312;仿宋" w:cs="Arial" w:ascii="Arial" w:hAnsi="Arial"/>
          <w:spacing w:val="-12"/>
          <w:sz w:val="28"/>
        </w:rPr>
        <w:t>[</w:t>
      </w:r>
      <w:r>
        <w:rPr>
          <w:rFonts w:ascii="Arial" w:hAnsi="Arial" w:cs="Arial" w:eastAsia="仿宋_GB2312;仿宋"/>
          <w:spacing w:val="-12"/>
          <w:sz w:val="28"/>
        </w:rPr>
        <w:t>海全字第</w:t>
      </w:r>
      <w:r>
        <w:rPr>
          <w:rFonts w:eastAsia="仿宋_GB2312;仿宋" w:cs="Arial" w:ascii="Arial" w:hAnsi="Arial"/>
          <w:spacing w:val="-12"/>
          <w:sz w:val="28"/>
        </w:rPr>
        <w:t>01614</w:t>
      </w:r>
      <w:r>
        <w:rPr>
          <w:rFonts w:ascii="Arial" w:hAnsi="Arial" w:cs="Arial" w:eastAsia="仿宋_GB2312;仿宋"/>
          <w:spacing w:val="-12"/>
          <w:sz w:val="28"/>
        </w:rPr>
        <w:t>号</w:t>
      </w:r>
      <w:r>
        <w:rPr>
          <w:rFonts w:eastAsia="仿宋_GB2312;仿宋" w:cs="Arial" w:ascii="Arial" w:hAnsi="Arial"/>
          <w:spacing w:val="-12"/>
          <w:sz w:val="28"/>
        </w:rPr>
        <w:t>]</w:t>
      </w:r>
      <w:r>
        <w:rPr>
          <w:rFonts w:eastAsia="仿宋_GB2312;仿宋" w:cs="Arial" w:ascii="Arial" w:hAnsi="Arial"/>
          <w:spacing w:val="-12"/>
          <w:sz w:val="28"/>
          <w:szCs w:val="28"/>
        </w:rPr>
        <w:t xml:space="preserve"> </w:t>
      </w:r>
      <w:r>
        <w:rPr>
          <w:rFonts w:ascii="Arial" w:hAnsi="Arial" w:cs="Arial" w:eastAsia="仿宋_GB2312;仿宋"/>
          <w:spacing w:val="-12"/>
          <w:sz w:val="28"/>
          <w:szCs w:val="28"/>
        </w:rPr>
        <w:t>、</w:t>
      </w:r>
      <w:r>
        <w:rPr>
          <w:rFonts w:ascii="Arial" w:hAnsi="Arial" w:cs="Arial" w:eastAsia="仿宋_GB2312;仿宋"/>
          <w:spacing w:val="-12"/>
          <w:sz w:val="28"/>
          <w:szCs w:val="28"/>
        </w:rPr>
        <w:t>《关于西三旗建材城中路</w:t>
      </w:r>
      <w:r>
        <w:rPr>
          <w:rFonts w:eastAsia="仿宋_GB2312;仿宋" w:cs="Arial" w:ascii="Arial" w:hAnsi="Arial"/>
          <w:spacing w:val="-12"/>
          <w:sz w:val="28"/>
          <w:szCs w:val="28"/>
        </w:rPr>
        <w:t>2</w:t>
      </w:r>
      <w:r>
        <w:rPr>
          <w:rFonts w:ascii="Arial" w:hAnsi="Arial" w:cs="Arial" w:eastAsia="仿宋_GB2312;仿宋"/>
          <w:spacing w:val="-12"/>
          <w:sz w:val="28"/>
          <w:szCs w:val="28"/>
        </w:rPr>
        <w:t>号地块收储情况说明》</w:t>
      </w:r>
      <w:r>
        <w:rPr>
          <w:rFonts w:ascii="Arial" w:hAnsi="Arial" w:cs="Arial" w:eastAsia="仿宋_GB2312;仿宋"/>
          <w:spacing w:val="-12"/>
          <w:sz w:val="28"/>
        </w:rPr>
        <w:t>，估价对象宗地内现存房屋建筑面积为</w:t>
      </w:r>
      <w:r>
        <w:rPr>
          <w:rFonts w:eastAsia="仿宋_GB2312;仿宋" w:cs="Arial" w:ascii="Arial" w:hAnsi="Arial"/>
          <w:spacing w:val="-12"/>
          <w:sz w:val="28"/>
        </w:rPr>
        <w:t>677.9</w:t>
      </w:r>
      <w:r>
        <w:rPr>
          <w:rFonts w:ascii="Arial" w:hAnsi="Arial" w:cs="Arial" w:eastAsia="仿宋_GB2312;仿宋"/>
          <w:spacing w:val="-12"/>
          <w:sz w:val="28"/>
        </w:rPr>
        <w:t>平方米，</w:t>
      </w:r>
      <w:r>
        <w:rPr>
          <w:rFonts w:ascii="Arial" w:hAnsi="Arial" w:cs="Arial" w:eastAsia="仿宋_GB2312;仿宋"/>
          <w:spacing w:val="-12"/>
          <w:sz w:val="28"/>
        </w:rPr>
        <w:t>详见下表</w:t>
      </w:r>
      <w:r>
        <w:rPr>
          <w:rFonts w:eastAsia="仿宋_GB2312;仿宋" w:cs="Arial" w:ascii="Arial" w:hAnsi="Arial"/>
          <w:spacing w:val="-12"/>
          <w:sz w:val="28"/>
        </w:rPr>
        <w:t>:</w:t>
      </w:r>
    </w:p>
    <w:tbl>
      <w:tblPr>
        <w:tblW w:w="5970" w:type="dxa"/>
        <w:jc w:val="center"/>
        <w:tblInd w:w="0" w:type="dxa"/>
        <w:tblCellMar>
          <w:top w:w="0" w:type="dxa"/>
          <w:left w:w="108" w:type="dxa"/>
          <w:bottom w:w="0" w:type="dxa"/>
          <w:right w:w="108" w:type="dxa"/>
        </w:tblCellMar>
      </w:tblPr>
      <w:tblGrid>
        <w:gridCol w:w="920"/>
        <w:gridCol w:w="2440"/>
        <w:gridCol w:w="2610"/>
      </w:tblGrid>
      <w:tr>
        <w:trPr>
          <w:trHeight w:val="285" w:hRule="atLeast"/>
        </w:trPr>
        <w:tc>
          <w:tcPr>
            <w:tcW w:w="920"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pacing w:val="-12"/>
                <w:szCs w:val="18"/>
              </w:rPr>
            </w:pPr>
            <w:r>
              <w:rPr>
                <w:rFonts w:ascii="Arial" w:hAnsi="Arial" w:cs="Arial" w:eastAsia="仿宋_GB2312;仿宋"/>
                <w:spacing w:val="-12"/>
                <w:szCs w:val="18"/>
              </w:rPr>
              <w:t>序号</w:t>
            </w:r>
          </w:p>
        </w:tc>
        <w:tc>
          <w:tcPr>
            <w:tcW w:w="2440"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pacing w:val="-12"/>
                <w:szCs w:val="18"/>
              </w:rPr>
            </w:pPr>
            <w:r>
              <w:rPr>
                <w:rFonts w:ascii="Arial" w:hAnsi="Arial" w:cs="Arial" w:eastAsia="仿宋_GB2312;仿宋"/>
                <w:spacing w:val="-12"/>
                <w:szCs w:val="18"/>
              </w:rPr>
              <w:t>证载建筑面积（㎡）</w:t>
            </w:r>
          </w:p>
        </w:tc>
        <w:tc>
          <w:tcPr>
            <w:tcW w:w="261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jc w:val="center"/>
              <w:rPr>
                <w:rFonts w:ascii="Arial" w:hAnsi="Arial" w:eastAsia="仿宋_GB2312;仿宋" w:cs="Arial"/>
                <w:spacing w:val="-12"/>
                <w:szCs w:val="18"/>
              </w:rPr>
            </w:pPr>
            <w:r>
              <w:rPr>
                <w:rFonts w:ascii="Arial" w:hAnsi="Arial" w:cs="Arial" w:eastAsia="仿宋_GB2312;仿宋"/>
                <w:spacing w:val="-12"/>
                <w:szCs w:val="18"/>
              </w:rPr>
              <w:t>实测建筑面积（㎡）</w:t>
            </w:r>
          </w:p>
        </w:tc>
      </w:tr>
      <w:tr>
        <w:trPr>
          <w:trHeight w:val="300" w:hRule="atLeast"/>
        </w:trPr>
        <w:tc>
          <w:tcPr>
            <w:tcW w:w="920" w:type="dxa"/>
            <w:tcBorders>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1</w:t>
            </w:r>
          </w:p>
        </w:tc>
        <w:tc>
          <w:tcPr>
            <w:tcW w:w="2440" w:type="dxa"/>
            <w:tcBorders>
              <w:left w:val="single" w:sz="4" w:space="0" w:color="000000"/>
              <w:bottom w:val="single" w:sz="4" w:space="0" w:color="000000"/>
            </w:tcBorders>
            <w:shd w:fill="auto" w:val="clea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349.6</w:t>
            </w:r>
          </w:p>
        </w:tc>
        <w:tc>
          <w:tcPr>
            <w:tcW w:w="2610" w:type="dxa"/>
            <w:tcBorders>
              <w:left w:val="single" w:sz="4" w:space="0" w:color="000000"/>
              <w:bottom w:val="single" w:sz="4" w:space="0" w:color="000000"/>
              <w:right w:val="single" w:sz="4" w:space="0" w:color="000000"/>
            </w:tcBorders>
            <w:shd w:fill="FFFFFF" w:val="clea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389.479</w:t>
            </w:r>
          </w:p>
        </w:tc>
      </w:tr>
      <w:tr>
        <w:trPr>
          <w:trHeight w:val="300" w:hRule="atLeast"/>
        </w:trPr>
        <w:tc>
          <w:tcPr>
            <w:tcW w:w="920" w:type="dxa"/>
            <w:tcBorders>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2</w:t>
            </w:r>
          </w:p>
        </w:tc>
        <w:tc>
          <w:tcPr>
            <w:tcW w:w="2440" w:type="dxa"/>
            <w:tcBorders>
              <w:left w:val="single" w:sz="4" w:space="0" w:color="000000"/>
              <w:bottom w:val="single" w:sz="4" w:space="0" w:color="000000"/>
            </w:tcBorders>
            <w:shd w:fill="auto" w:val="clea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204.4</w:t>
            </w:r>
          </w:p>
        </w:tc>
        <w:tc>
          <w:tcPr>
            <w:tcW w:w="2610" w:type="dxa"/>
            <w:tcBorders>
              <w:left w:val="single" w:sz="4" w:space="0" w:color="000000"/>
              <w:bottom w:val="single" w:sz="4" w:space="0" w:color="000000"/>
              <w:right w:val="single" w:sz="4" w:space="0" w:color="000000"/>
            </w:tcBorders>
            <w:shd w:fill="FFFFFF" w:val="clea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217.219</w:t>
            </w:r>
          </w:p>
        </w:tc>
      </w:tr>
      <w:tr>
        <w:trPr>
          <w:trHeight w:val="300" w:hRule="atLeast"/>
        </w:trPr>
        <w:tc>
          <w:tcPr>
            <w:tcW w:w="920" w:type="dxa"/>
            <w:tcBorders>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3</w:t>
            </w:r>
          </w:p>
        </w:tc>
        <w:tc>
          <w:tcPr>
            <w:tcW w:w="2440" w:type="dxa"/>
            <w:tcBorders>
              <w:left w:val="single" w:sz="4" w:space="0" w:color="000000"/>
              <w:bottom w:val="single" w:sz="4" w:space="0" w:color="000000"/>
            </w:tcBorders>
            <w:shd w:fill="auto" w:val="clea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123.9</w:t>
            </w:r>
          </w:p>
        </w:tc>
        <w:tc>
          <w:tcPr>
            <w:tcW w:w="2610" w:type="dxa"/>
            <w:tcBorders>
              <w:left w:val="single" w:sz="4" w:space="0" w:color="000000"/>
              <w:bottom w:val="single" w:sz="4" w:space="0" w:color="000000"/>
              <w:right w:val="single" w:sz="4" w:space="0" w:color="000000"/>
            </w:tcBorders>
            <w:shd w:fill="FFFFFF" w:val="clear"/>
          </w:tcPr>
          <w:p>
            <w:pPr>
              <w:pStyle w:val="Normal"/>
              <w:widowControl/>
              <w:jc w:val="center"/>
              <w:rPr>
                <w:rFonts w:ascii="Arial" w:hAnsi="Arial" w:eastAsia="仿宋_GB2312;仿宋" w:cs="Arial"/>
                <w:spacing w:val="-12"/>
                <w:szCs w:val="18"/>
              </w:rPr>
            </w:pPr>
            <w:r>
              <w:rPr>
                <w:rFonts w:eastAsia="仿宋_GB2312;仿宋" w:cs="Arial" w:ascii="Arial" w:hAnsi="Arial"/>
                <w:spacing w:val="-12"/>
                <w:szCs w:val="18"/>
              </w:rPr>
              <w:t>138.968</w:t>
            </w:r>
          </w:p>
        </w:tc>
      </w:tr>
      <w:tr>
        <w:trPr>
          <w:trHeight w:val="300" w:hRule="atLeast"/>
        </w:trPr>
        <w:tc>
          <w:tcPr>
            <w:tcW w:w="920" w:type="dxa"/>
            <w:tcBorders>
              <w:left w:val="single" w:sz="4" w:space="0" w:color="000000"/>
              <w:bottom w:val="single" w:sz="4" w:space="0" w:color="000000"/>
            </w:tcBorders>
            <w:shd w:fill="auto" w:val="clear"/>
            <w:vAlign w:val="center"/>
          </w:tcPr>
          <w:p>
            <w:pPr>
              <w:pStyle w:val="Normal"/>
              <w:widowControl/>
              <w:jc w:val="center"/>
              <w:rPr/>
            </w:pPr>
            <w:r>
              <w:rPr>
                <w:rFonts w:ascii="Arial" w:hAnsi="Arial" w:cs="Arial" w:eastAsia="仿宋_GB2312;仿宋"/>
                <w:spacing w:val="-12"/>
                <w:szCs w:val="18"/>
              </w:rPr>
              <w:t>其他</w:t>
            </w:r>
            <w:r>
              <w:rPr>
                <w:rFonts w:eastAsia="仿宋_GB2312;仿宋" w:cs="Arial" w:ascii="Arial" w:hAnsi="Arial"/>
                <w:spacing w:val="-12"/>
                <w:szCs w:val="18"/>
              </w:rPr>
              <w:t>1</w:t>
            </w:r>
          </w:p>
        </w:tc>
        <w:tc>
          <w:tcPr>
            <w:tcW w:w="2440" w:type="dxa"/>
            <w:tcBorders>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pacing w:val="-12"/>
                <w:szCs w:val="18"/>
              </w:rPr>
            </w:pPr>
            <w:r>
              <w:rPr>
                <w:rFonts w:ascii="Arial" w:hAnsi="Arial" w:cs="Arial" w:eastAsia="仿宋_GB2312;仿宋"/>
                <w:spacing w:val="-12"/>
                <w:szCs w:val="18"/>
              </w:rPr>
              <w:t>无权属</w:t>
            </w:r>
          </w:p>
        </w:tc>
        <w:tc>
          <w:tcPr>
            <w:tcW w:w="2610" w:type="dxa"/>
            <w:tcBorders>
              <w:left w:val="single" w:sz="4" w:space="0" w:color="000000"/>
              <w:bottom w:val="single" w:sz="4" w:space="0" w:color="000000"/>
              <w:right w:val="single" w:sz="4" w:space="0" w:color="000000"/>
            </w:tcBorders>
            <w:shd w:fill="FFFFFF" w:val="clear"/>
          </w:tcPr>
          <w:p>
            <w:pPr>
              <w:pStyle w:val="Normal"/>
              <w:jc w:val="center"/>
              <w:rPr>
                <w:rFonts w:ascii="Arial" w:hAnsi="Arial" w:eastAsia="仿宋_GB2312;仿宋" w:cs="Arial"/>
                <w:spacing w:val="-12"/>
                <w:szCs w:val="18"/>
              </w:rPr>
            </w:pPr>
            <w:r>
              <w:rPr>
                <w:rFonts w:eastAsia="仿宋_GB2312;仿宋" w:cs="Arial" w:ascii="Arial" w:hAnsi="Arial"/>
                <w:spacing w:val="-12"/>
                <w:szCs w:val="18"/>
              </w:rPr>
              <w:t>8.026</w:t>
            </w:r>
          </w:p>
        </w:tc>
      </w:tr>
      <w:tr>
        <w:trPr>
          <w:trHeight w:val="300" w:hRule="atLeast"/>
        </w:trPr>
        <w:tc>
          <w:tcPr>
            <w:tcW w:w="920" w:type="dxa"/>
            <w:tcBorders>
              <w:left w:val="single" w:sz="4" w:space="0" w:color="000000"/>
              <w:bottom w:val="single" w:sz="4" w:space="0" w:color="000000"/>
            </w:tcBorders>
            <w:shd w:fill="auto" w:val="clear"/>
            <w:vAlign w:val="center"/>
          </w:tcPr>
          <w:p>
            <w:pPr>
              <w:pStyle w:val="Normal"/>
              <w:widowControl/>
              <w:jc w:val="center"/>
              <w:rPr/>
            </w:pPr>
            <w:r>
              <w:rPr>
                <w:rFonts w:ascii="Arial" w:hAnsi="Arial" w:cs="Arial" w:eastAsia="仿宋_GB2312;仿宋"/>
                <w:spacing w:val="-12"/>
                <w:szCs w:val="18"/>
              </w:rPr>
              <w:t>其他</w:t>
            </w:r>
            <w:r>
              <w:rPr>
                <w:rFonts w:eastAsia="仿宋_GB2312;仿宋" w:cs="Arial" w:ascii="Arial" w:hAnsi="Arial"/>
                <w:spacing w:val="-12"/>
                <w:szCs w:val="18"/>
              </w:rPr>
              <w:t>2</w:t>
            </w:r>
          </w:p>
        </w:tc>
        <w:tc>
          <w:tcPr>
            <w:tcW w:w="2440" w:type="dxa"/>
            <w:tcBorders>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pacing w:val="-12"/>
                <w:szCs w:val="18"/>
              </w:rPr>
            </w:pPr>
            <w:r>
              <w:rPr>
                <w:rFonts w:ascii="Arial" w:hAnsi="Arial" w:cs="Arial" w:eastAsia="仿宋_GB2312;仿宋"/>
                <w:spacing w:val="-12"/>
                <w:szCs w:val="18"/>
              </w:rPr>
              <w:t>无权属</w:t>
            </w:r>
          </w:p>
        </w:tc>
        <w:tc>
          <w:tcPr>
            <w:tcW w:w="2610" w:type="dxa"/>
            <w:tcBorders>
              <w:left w:val="single" w:sz="4" w:space="0" w:color="000000"/>
              <w:bottom w:val="single" w:sz="4" w:space="0" w:color="000000"/>
              <w:right w:val="single" w:sz="4" w:space="0" w:color="000000"/>
            </w:tcBorders>
            <w:shd w:fill="FFFFFF" w:val="clear"/>
          </w:tcPr>
          <w:p>
            <w:pPr>
              <w:pStyle w:val="Normal"/>
              <w:jc w:val="center"/>
              <w:rPr>
                <w:rFonts w:ascii="Arial" w:hAnsi="Arial" w:eastAsia="仿宋_GB2312;仿宋" w:cs="Arial"/>
                <w:spacing w:val="-12"/>
                <w:szCs w:val="18"/>
              </w:rPr>
            </w:pPr>
            <w:r>
              <w:rPr>
                <w:rFonts w:eastAsia="仿宋_GB2312;仿宋" w:cs="Arial" w:ascii="Arial" w:hAnsi="Arial"/>
                <w:spacing w:val="-12"/>
                <w:szCs w:val="18"/>
              </w:rPr>
              <w:t>8.271</w:t>
            </w:r>
          </w:p>
        </w:tc>
      </w:tr>
      <w:tr>
        <w:trPr>
          <w:trHeight w:val="300" w:hRule="atLeast"/>
        </w:trPr>
        <w:tc>
          <w:tcPr>
            <w:tcW w:w="920" w:type="dxa"/>
            <w:tcBorders>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b/>
                <w:b/>
                <w:bCs/>
                <w:spacing w:val="-12"/>
                <w:szCs w:val="18"/>
              </w:rPr>
            </w:pPr>
            <w:r>
              <w:rPr>
                <w:rFonts w:ascii="Arial" w:hAnsi="Arial" w:cs="Arial" w:eastAsia="仿宋_GB2312;仿宋"/>
                <w:b/>
                <w:bCs/>
                <w:spacing w:val="-12"/>
                <w:szCs w:val="18"/>
              </w:rPr>
              <w:t>合计</w:t>
            </w:r>
          </w:p>
        </w:tc>
        <w:tc>
          <w:tcPr>
            <w:tcW w:w="2440" w:type="dxa"/>
            <w:tcBorders>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b/>
                <w:b/>
                <w:bCs/>
                <w:spacing w:val="-12"/>
                <w:szCs w:val="18"/>
              </w:rPr>
            </w:pPr>
            <w:r>
              <w:rPr>
                <w:rFonts w:eastAsia="仿宋_GB2312;仿宋" w:cs="Arial" w:ascii="Arial" w:hAnsi="Arial"/>
                <w:b/>
                <w:bCs/>
                <w:spacing w:val="-12"/>
                <w:szCs w:val="18"/>
              </w:rPr>
              <w:t>677.9</w:t>
            </w:r>
          </w:p>
        </w:tc>
        <w:tc>
          <w:tcPr>
            <w:tcW w:w="2610" w:type="dxa"/>
            <w:tcBorders>
              <w:left w:val="single" w:sz="4" w:space="0" w:color="000000"/>
              <w:bottom w:val="single" w:sz="4" w:space="0" w:color="000000"/>
              <w:right w:val="single" w:sz="4" w:space="0" w:color="000000"/>
            </w:tcBorders>
            <w:shd w:fill="auto" w:val="clear"/>
            <w:vAlign w:val="center"/>
          </w:tcPr>
          <w:p>
            <w:pPr>
              <w:pStyle w:val="Normal"/>
              <w:widowControl/>
              <w:jc w:val="center"/>
              <w:rPr>
                <w:rFonts w:ascii="Arial" w:hAnsi="Arial" w:eastAsia="仿宋_GB2312;仿宋" w:cs="Arial"/>
                <w:b/>
                <w:b/>
                <w:bCs/>
                <w:spacing w:val="-12"/>
                <w:szCs w:val="18"/>
              </w:rPr>
            </w:pPr>
            <w:r>
              <w:rPr>
                <w:rFonts w:eastAsia="仿宋_GB2312;仿宋" w:cs="Arial" w:ascii="Arial" w:hAnsi="Arial"/>
                <w:b/>
                <w:bCs/>
                <w:spacing w:val="-12"/>
                <w:szCs w:val="18"/>
              </w:rPr>
              <w:t>761.963</w:t>
            </w:r>
          </w:p>
        </w:tc>
      </w:tr>
    </w:tbl>
    <w:p>
      <w:pPr>
        <w:pStyle w:val="Normal"/>
        <w:spacing w:lineRule="auto" w:line="360" w:before="120" w:after="0"/>
        <w:ind w:firstLine="512"/>
        <w:rPr>
          <w:rFonts w:ascii="Arial" w:hAnsi="Arial" w:eastAsia="仿宋_GB2312;仿宋" w:cs="Arial"/>
          <w:spacing w:val="-12"/>
          <w:sz w:val="28"/>
        </w:rPr>
      </w:pPr>
      <w:r>
        <w:rPr>
          <w:rFonts w:ascii="Arial" w:hAnsi="Arial" w:cs="Arial" w:eastAsia="仿宋_GB2312;仿宋"/>
          <w:spacing w:val="-12"/>
          <w:sz w:val="28"/>
        </w:rPr>
        <w:t>根据上表，实测建筑面积与证载面积存在一定差异，其中</w:t>
      </w:r>
      <w:r>
        <w:rPr>
          <w:rFonts w:eastAsia="仿宋_GB2312;仿宋" w:cs="Arial" w:ascii="Arial" w:hAnsi="Arial"/>
          <w:spacing w:val="-12"/>
          <w:sz w:val="28"/>
        </w:rPr>
        <w:t>1</w:t>
      </w:r>
      <w:r>
        <w:rPr>
          <w:rFonts w:eastAsia="仿宋_GB2312;仿宋" w:cs="Arial" w:ascii="Arial" w:hAnsi="Arial"/>
          <w:spacing w:val="-12"/>
          <w:sz w:val="28"/>
        </w:rPr>
        <w:t>-3</w:t>
      </w:r>
      <w:r>
        <w:rPr>
          <w:rFonts w:ascii="Arial" w:hAnsi="Arial" w:cs="Arial" w:eastAsia="仿宋_GB2312;仿宋"/>
          <w:spacing w:val="-12"/>
          <w:sz w:val="28"/>
        </w:rPr>
        <w:t>号为估价对象证载房屋，其他</w:t>
      </w:r>
      <w:r>
        <w:rPr>
          <w:rFonts w:eastAsia="仿宋_GB2312;仿宋" w:cs="Arial" w:ascii="Arial" w:hAnsi="Arial"/>
          <w:spacing w:val="-12"/>
          <w:sz w:val="28"/>
        </w:rPr>
        <w:t>1</w:t>
      </w:r>
      <w:r>
        <w:rPr>
          <w:rFonts w:ascii="Arial" w:hAnsi="Arial" w:cs="Arial" w:eastAsia="仿宋_GB2312;仿宋"/>
          <w:spacing w:val="-12"/>
          <w:sz w:val="28"/>
        </w:rPr>
        <w:t>、</w:t>
      </w:r>
      <w:r>
        <w:rPr>
          <w:rFonts w:eastAsia="仿宋_GB2312;仿宋" w:cs="Arial" w:ascii="Arial" w:hAnsi="Arial"/>
          <w:spacing w:val="-12"/>
          <w:sz w:val="28"/>
        </w:rPr>
        <w:t>2</w:t>
      </w:r>
      <w:r>
        <w:rPr>
          <w:rFonts w:ascii="Arial" w:hAnsi="Arial" w:cs="Arial" w:eastAsia="仿宋_GB2312;仿宋"/>
          <w:spacing w:val="-12"/>
          <w:sz w:val="28"/>
        </w:rPr>
        <w:t>为现状新增建筑物。</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依照《北京市企业国有建设用地使用权收购</w:t>
      </w:r>
      <w:r>
        <w:rPr>
          <w:rFonts w:ascii="Arial" w:hAnsi="Arial" w:cs="Arial" w:eastAsia="仿宋_GB2312;仿宋"/>
          <w:spacing w:val="-12"/>
          <w:sz w:val="28"/>
        </w:rPr>
        <w:t>补偿价格评技术指引》，关于“用途及面积认定”，“企业国有建设用地使用权收购补偿价格应当按照合法用途和面积进行评估。当实际用途、面积与合法用途、面积不一致时，以合法用途、面积为准”。故此，我们在评估报告中依照估价对象的合法权属文件进行评估。</w:t>
      </w:r>
    </w:p>
    <w:p>
      <w:pPr>
        <w:pStyle w:val="Normal"/>
        <w:spacing w:lineRule="auto" w:line="360"/>
        <w:ind w:firstLine="512"/>
        <w:jc w:val="both"/>
        <w:rPr>
          <w:rFonts w:eastAsia="仿宋_GB2312;仿宋"/>
        </w:rPr>
      </w:pPr>
      <w:r>
        <w:rPr>
          <w:rFonts w:ascii="Arial" w:hAnsi="Arial" w:cs="Arial" w:eastAsia="仿宋_GB2312;仿宋"/>
          <w:spacing w:val="-12"/>
          <w:sz w:val="28"/>
        </w:rPr>
        <w:t>（</w:t>
      </w:r>
      <w:r>
        <w:rPr>
          <w:rFonts w:eastAsia="仿宋_GB2312;仿宋" w:cs="Arial" w:ascii="Arial" w:hAnsi="Arial"/>
          <w:spacing w:val="-12"/>
          <w:sz w:val="28"/>
        </w:rPr>
        <w:t>2</w:t>
      </w:r>
      <w:r>
        <w:rPr>
          <w:rFonts w:ascii="Arial" w:hAnsi="Arial" w:cs="Arial" w:eastAsia="仿宋_GB2312;仿宋"/>
          <w:spacing w:val="-12"/>
          <w:sz w:val="28"/>
        </w:rPr>
        <w:t>）</w:t>
      </w:r>
      <w:r>
        <w:rPr>
          <w:rFonts w:eastAsia="仿宋_GB2312;仿宋" w:cs="Arial" w:ascii="Arial" w:hAnsi="Arial"/>
          <w:spacing w:val="-12"/>
          <w:sz w:val="28"/>
        </w:rPr>
        <w:tab/>
      </w:r>
      <w:r>
        <w:rPr>
          <w:rFonts w:ascii="Arial" w:hAnsi="Arial" w:cs="Arial" w:eastAsia="仿宋_GB2312;仿宋"/>
          <w:spacing w:val="-12"/>
          <w:sz w:val="28"/>
        </w:rPr>
        <w:t>附属物、设施设备情况</w:t>
      </w:r>
      <w:r>
        <w:rPr>
          <w:rFonts w:ascii="Arial" w:hAnsi="Arial" w:cs="Arial" w:eastAsia="Arial"/>
          <w:spacing w:val="-12"/>
          <w:sz w:val="28"/>
        </w:rPr>
        <w:t xml:space="preserve"> </w:t>
      </w:r>
    </w:p>
    <w:p>
      <w:pPr>
        <w:pStyle w:val="Normal"/>
        <w:spacing w:lineRule="auto" w:line="360"/>
        <w:ind w:firstLine="512"/>
        <w:jc w:val="both"/>
        <w:rPr/>
      </w:pPr>
      <w:r>
        <w:rPr>
          <w:rFonts w:ascii="Arial" w:hAnsi="Arial" w:cs="Arial" w:eastAsia="仿宋_GB2312;仿宋"/>
          <w:spacing w:val="-12"/>
          <w:sz w:val="28"/>
        </w:rPr>
        <w:t>根据委托估价方提供资料以及评估专业人员实地查勘，宗地现状为工业，配套的附属物、设施设备情况如下：</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宗地内涉院</w:t>
      </w:r>
      <w:r>
        <w:rPr>
          <w:rFonts w:ascii="Arial" w:hAnsi="Arial" w:cs="Arial" w:eastAsia="仿宋_GB2312;仿宋"/>
          <w:spacing w:val="-12"/>
          <w:sz w:val="28"/>
        </w:rPr>
        <w:t>地</w:t>
      </w:r>
      <w:r>
        <w:rPr>
          <w:rFonts w:ascii="Arial" w:hAnsi="Arial" w:cs="Arial" w:eastAsia="仿宋_GB2312;仿宋"/>
          <w:spacing w:val="-12"/>
          <w:sz w:val="28"/>
        </w:rPr>
        <w:t>等附属物；</w:t>
      </w:r>
      <w:r>
        <w:rPr>
          <w:rFonts w:ascii="Arial" w:hAnsi="Arial" w:cs="Arial" w:eastAsia="仿宋_GB2312;仿宋"/>
          <w:spacing w:val="-12"/>
          <w:sz w:val="28"/>
        </w:rPr>
        <w:t>柳</w:t>
      </w:r>
      <w:r>
        <w:rPr>
          <w:rFonts w:ascii="Arial" w:hAnsi="Arial" w:cs="Arial" w:eastAsia="仿宋_GB2312;仿宋"/>
          <w:spacing w:val="-12"/>
          <w:sz w:val="28"/>
        </w:rPr>
        <w:t>树、杨树等树木</w:t>
      </w:r>
      <w:r>
        <w:rPr>
          <w:rFonts w:ascii="Arial" w:hAnsi="Arial" w:cs="Arial" w:eastAsia="仿宋_GB2312;仿宋"/>
          <w:spacing w:val="-12"/>
          <w:sz w:val="28"/>
        </w:rPr>
        <w:t>，详见下表</w:t>
      </w:r>
      <w:r>
        <w:rPr>
          <w:rFonts w:eastAsia="仿宋_GB2312;仿宋" w:cs="Arial" w:ascii="Arial" w:hAnsi="Arial"/>
          <w:spacing w:val="-12"/>
          <w:sz w:val="28"/>
        </w:rPr>
        <w:t>:</w:t>
      </w:r>
    </w:p>
    <w:p>
      <w:pPr>
        <w:pStyle w:val="Normal"/>
        <w:spacing w:lineRule="auto" w:line="360"/>
        <w:jc w:val="center"/>
        <w:rPr>
          <w:rFonts w:cs="Arial"/>
        </w:rPr>
      </w:pPr>
      <w:r>
        <w:rPr>
          <w:rFonts w:ascii="Arial" w:hAnsi="Arial" w:cs="Arial" w:eastAsia="仿宋_GB2312;仿宋"/>
          <w:spacing w:val="-12"/>
          <w:sz w:val="28"/>
          <w:szCs w:val="18"/>
        </w:rPr>
        <w:t>附属物</w:t>
      </w:r>
      <w:r>
        <w:rPr>
          <w:rFonts w:ascii="Arial" w:hAnsi="Arial" w:cs="Arial" w:eastAsia="仿宋_GB2312;仿宋"/>
          <w:spacing w:val="-12"/>
          <w:sz w:val="28"/>
          <w:szCs w:val="18"/>
        </w:rPr>
        <w:t>清单</w:t>
      </w:r>
    </w:p>
    <w:tbl>
      <w:tblPr>
        <w:tblW w:w="4236" w:type="dxa"/>
        <w:jc w:val="center"/>
        <w:tblInd w:w="0" w:type="dxa"/>
        <w:tblCellMar>
          <w:top w:w="0" w:type="dxa"/>
          <w:left w:w="108" w:type="dxa"/>
          <w:bottom w:w="0" w:type="dxa"/>
          <w:right w:w="108" w:type="dxa"/>
        </w:tblCellMar>
      </w:tblPr>
      <w:tblGrid>
        <w:gridCol w:w="950"/>
        <w:gridCol w:w="1256"/>
        <w:gridCol w:w="936"/>
        <w:gridCol w:w="1094"/>
      </w:tblGrid>
      <w:tr>
        <w:trPr>
          <w:tblHeader w:val="true"/>
          <w:trHeight w:val="300" w:hRule="atLeast"/>
        </w:trPr>
        <w:tc>
          <w:tcPr>
            <w:tcW w:w="950"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bCs/>
              </w:rPr>
            </w:pPr>
            <w:r>
              <w:rPr>
                <w:rFonts w:ascii="Arial" w:hAnsi="Arial" w:cs="Arial" w:eastAsia="仿宋_GB2312;仿宋"/>
                <w:b/>
                <w:bCs/>
              </w:rPr>
              <w:t>序号</w:t>
            </w:r>
          </w:p>
        </w:tc>
        <w:tc>
          <w:tcPr>
            <w:tcW w:w="1256"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bCs/>
              </w:rPr>
            </w:pPr>
            <w:r>
              <w:rPr>
                <w:rFonts w:ascii="Arial" w:hAnsi="Arial" w:cs="Arial" w:eastAsia="仿宋_GB2312;仿宋"/>
                <w:b/>
                <w:bCs/>
              </w:rPr>
              <w:t>名称</w:t>
            </w:r>
          </w:p>
        </w:tc>
        <w:tc>
          <w:tcPr>
            <w:tcW w:w="936"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bCs/>
              </w:rPr>
            </w:pPr>
            <w:r>
              <w:rPr>
                <w:rFonts w:ascii="Arial" w:hAnsi="Arial" w:cs="Arial" w:eastAsia="仿宋_GB2312;仿宋"/>
                <w:b/>
                <w:bCs/>
              </w:rPr>
              <w:t>单位</w:t>
            </w:r>
          </w:p>
        </w:tc>
        <w:tc>
          <w:tcPr>
            <w:tcW w:w="10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bCs/>
              </w:rPr>
            </w:pPr>
            <w:r>
              <w:rPr>
                <w:rFonts w:ascii="Arial" w:hAnsi="Arial" w:cs="Arial" w:eastAsia="仿宋_GB2312;仿宋"/>
                <w:b/>
                <w:bCs/>
              </w:rPr>
              <w:t>数量</w:t>
            </w:r>
          </w:p>
        </w:tc>
      </w:tr>
      <w:tr>
        <w:trPr>
          <w:trHeight w:val="300" w:hRule="atLeast"/>
        </w:trPr>
        <w:tc>
          <w:tcPr>
            <w:tcW w:w="95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1</w:t>
            </w:r>
          </w:p>
        </w:tc>
        <w:tc>
          <w:tcPr>
            <w:tcW w:w="1256" w:type="dxa"/>
            <w:tcBorders>
              <w:left w:val="single" w:sz="4" w:space="0" w:color="000000"/>
              <w:bottom w:val="single" w:sz="4" w:space="0" w:color="000000"/>
            </w:tcBorders>
            <w:shd w:fill="auto" w:val="clea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院地</w:t>
            </w:r>
            <w:r>
              <w:rPr>
                <w:rFonts w:eastAsia="仿宋_GB2312;仿宋" w:cs="Arial" w:ascii="Arial" w:hAnsi="Arial"/>
              </w:rPr>
              <w:t>-</w:t>
            </w:r>
            <w:r>
              <w:rPr>
                <w:rFonts w:ascii="Arial" w:hAnsi="Arial" w:cs="Arial" w:eastAsia="仿宋_GB2312;仿宋"/>
              </w:rPr>
              <w:t>方砖</w:t>
            </w:r>
          </w:p>
        </w:tc>
        <w:tc>
          <w:tcPr>
            <w:tcW w:w="936" w:type="dxa"/>
            <w:tcBorders>
              <w:left w:val="single" w:sz="4" w:space="0" w:color="000000"/>
              <w:bottom w:val="single" w:sz="4" w:space="0" w:color="000000"/>
            </w:tcBorders>
            <w:shd w:fill="auto" w:val="clea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平方米</w:t>
            </w:r>
          </w:p>
        </w:tc>
        <w:tc>
          <w:tcPr>
            <w:tcW w:w="1094" w:type="dxa"/>
            <w:tcBorders>
              <w:left w:val="single" w:sz="4" w:space="0" w:color="000000"/>
              <w:bottom w:val="single" w:sz="4" w:space="0" w:color="000000"/>
              <w:right w:val="single" w:sz="4" w:space="0" w:color="000000"/>
            </w:tcBorders>
            <w:shd w:fill="auto" w:val="clea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188.68</w:t>
            </w:r>
          </w:p>
        </w:tc>
      </w:tr>
      <w:tr>
        <w:trPr>
          <w:trHeight w:val="300" w:hRule="atLeast"/>
        </w:trPr>
        <w:tc>
          <w:tcPr>
            <w:tcW w:w="95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w:t>
            </w:r>
          </w:p>
        </w:tc>
        <w:tc>
          <w:tcPr>
            <w:tcW w:w="1256" w:type="dxa"/>
            <w:tcBorders>
              <w:left w:val="single" w:sz="4" w:space="0" w:color="000000"/>
              <w:bottom w:val="single" w:sz="4" w:space="0" w:color="000000"/>
            </w:tcBorders>
            <w:shd w:fill="auto" w:val="clea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院地</w:t>
            </w:r>
            <w:r>
              <w:rPr>
                <w:rFonts w:eastAsia="仿宋_GB2312;仿宋" w:cs="Arial" w:ascii="Arial" w:hAnsi="Arial"/>
              </w:rPr>
              <w:t>-</w:t>
            </w:r>
            <w:r>
              <w:rPr>
                <w:rFonts w:ascii="Arial" w:hAnsi="Arial" w:cs="Arial" w:eastAsia="仿宋_GB2312;仿宋"/>
              </w:rPr>
              <w:t>水泥</w:t>
            </w:r>
          </w:p>
        </w:tc>
        <w:tc>
          <w:tcPr>
            <w:tcW w:w="936" w:type="dxa"/>
            <w:tcBorders>
              <w:left w:val="single" w:sz="4" w:space="0" w:color="000000"/>
              <w:bottom w:val="single" w:sz="4" w:space="0" w:color="000000"/>
            </w:tcBorders>
            <w:shd w:fill="auto" w:val="clear"/>
          </w:tcPr>
          <w:p>
            <w:pPr>
              <w:pStyle w:val="Normal"/>
              <w:widowControl/>
              <w:spacing w:lineRule="auto" w:line="240"/>
              <w:jc w:val="center"/>
              <w:textAlignment w:val="auto"/>
              <w:rPr>
                <w:rFonts w:ascii="Arial" w:hAnsi="Arial" w:eastAsia="仿宋_GB2312;仿宋" w:cs="Arial"/>
              </w:rPr>
            </w:pPr>
            <w:r>
              <w:rPr>
                <w:rFonts w:ascii="Arial" w:hAnsi="Arial" w:cs="Arial" w:eastAsia="仿宋_GB2312;仿宋"/>
              </w:rPr>
              <w:t>平方米</w:t>
            </w:r>
          </w:p>
        </w:tc>
        <w:tc>
          <w:tcPr>
            <w:tcW w:w="1094" w:type="dxa"/>
            <w:tcBorders>
              <w:left w:val="single" w:sz="4" w:space="0" w:color="000000"/>
              <w:bottom w:val="single" w:sz="4" w:space="0" w:color="000000"/>
              <w:right w:val="single" w:sz="4" w:space="0" w:color="000000"/>
            </w:tcBorders>
            <w:shd w:fill="auto" w:val="clea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1010.63</w:t>
            </w:r>
          </w:p>
        </w:tc>
      </w:tr>
    </w:tbl>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r>
    </w:p>
    <w:p>
      <w:pPr>
        <w:pStyle w:val="Normal"/>
        <w:spacing w:lineRule="auto" w:line="360"/>
        <w:jc w:val="center"/>
        <w:rPr>
          <w:rFonts w:cs="Arial"/>
        </w:rPr>
      </w:pPr>
      <w:r>
        <w:rPr>
          <w:rFonts w:ascii="Arial" w:hAnsi="Arial" w:cs="Arial" w:eastAsia="仿宋_GB2312;仿宋"/>
          <w:spacing w:val="-12"/>
          <w:sz w:val="28"/>
          <w:szCs w:val="18"/>
        </w:rPr>
        <w:t>树木清单</w:t>
      </w:r>
    </w:p>
    <w:tbl>
      <w:tblPr>
        <w:tblW w:w="4836" w:type="dxa"/>
        <w:jc w:val="center"/>
        <w:tblInd w:w="0" w:type="dxa"/>
        <w:tblCellMar>
          <w:top w:w="0" w:type="dxa"/>
          <w:left w:w="108" w:type="dxa"/>
          <w:bottom w:w="0" w:type="dxa"/>
          <w:right w:w="108" w:type="dxa"/>
        </w:tblCellMar>
      </w:tblPr>
      <w:tblGrid>
        <w:gridCol w:w="698"/>
        <w:gridCol w:w="1180"/>
        <w:gridCol w:w="1527"/>
        <w:gridCol w:w="1431"/>
      </w:tblGrid>
      <w:tr>
        <w:trPr>
          <w:trHeight w:val="285" w:hRule="atLeast"/>
        </w:trPr>
        <w:tc>
          <w:tcPr>
            <w:tcW w:w="698" w:type="dxa"/>
            <w:tcBorders>
              <w:top w:val="single" w:sz="4" w:space="0" w:color="000000"/>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b/>
                <w:b/>
                <w:bCs/>
              </w:rPr>
            </w:pPr>
            <w:r>
              <w:rPr>
                <w:rFonts w:ascii="Arial" w:hAnsi="Arial" w:cs="Arial" w:eastAsia="仿宋_GB2312;仿宋"/>
                <w:b/>
                <w:bCs/>
              </w:rPr>
              <w:t>序号</w:t>
            </w:r>
          </w:p>
        </w:tc>
        <w:tc>
          <w:tcPr>
            <w:tcW w:w="1180" w:type="dxa"/>
            <w:tcBorders>
              <w:top w:val="single" w:sz="4" w:space="0" w:color="000000"/>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b/>
                <w:b/>
                <w:bCs/>
              </w:rPr>
            </w:pPr>
            <w:r>
              <w:rPr>
                <w:rFonts w:ascii="Arial" w:hAnsi="Arial" w:cs="Arial" w:eastAsia="仿宋_GB2312;仿宋"/>
                <w:b/>
                <w:bCs/>
              </w:rPr>
              <w:t>树木种类</w:t>
            </w:r>
          </w:p>
        </w:tc>
        <w:tc>
          <w:tcPr>
            <w:tcW w:w="1527" w:type="dxa"/>
            <w:tcBorders>
              <w:top w:val="single" w:sz="4" w:space="0" w:color="000000"/>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b/>
                <w:b/>
                <w:bCs/>
              </w:rPr>
            </w:pPr>
            <w:r>
              <w:rPr>
                <w:rFonts w:ascii="Arial" w:hAnsi="Arial" w:cs="Arial" w:eastAsia="仿宋_GB2312;仿宋"/>
                <w:b/>
                <w:bCs/>
              </w:rPr>
              <w:t>胸径（</w:t>
            </w:r>
            <w:r>
              <w:rPr>
                <w:rFonts w:eastAsia="仿宋_GB2312;仿宋" w:cs="Arial" w:ascii="Arial" w:hAnsi="Arial"/>
                <w:b/>
                <w:bCs/>
              </w:rPr>
              <w:t>cm</w:t>
            </w:r>
            <w:r>
              <w:rPr>
                <w:rFonts w:ascii="Arial" w:hAnsi="Arial" w:cs="Arial" w:eastAsia="仿宋_GB2312;仿宋"/>
                <w:b/>
                <w:bCs/>
              </w:rPr>
              <w:t>）</w:t>
            </w:r>
          </w:p>
        </w:tc>
        <w:tc>
          <w:tcPr>
            <w:tcW w:w="143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b/>
                <w:b/>
                <w:bCs/>
              </w:rPr>
            </w:pPr>
            <w:r>
              <w:rPr>
                <w:rFonts w:ascii="Arial" w:hAnsi="Arial" w:cs="Arial" w:eastAsia="仿宋_GB2312;仿宋"/>
                <w:b/>
                <w:bCs/>
              </w:rPr>
              <w:t>数量（株）</w:t>
            </w:r>
          </w:p>
        </w:tc>
      </w:tr>
      <w:tr>
        <w:trPr>
          <w:trHeight w:val="285" w:hRule="atLeast"/>
        </w:trPr>
        <w:tc>
          <w:tcPr>
            <w:tcW w:w="698"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1</w:t>
            </w:r>
          </w:p>
        </w:tc>
        <w:tc>
          <w:tcPr>
            <w:tcW w:w="1180"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pPr>
            <w:r>
              <w:rPr>
                <w:rFonts w:ascii="Arial" w:hAnsi="Arial" w:cs="Arial" w:eastAsia="仿宋_GB2312;仿宋"/>
              </w:rPr>
              <w:t>柳树</w:t>
            </w:r>
          </w:p>
        </w:tc>
        <w:tc>
          <w:tcPr>
            <w:tcW w:w="1527"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3</w:t>
            </w:r>
            <w:r>
              <w:rPr>
                <w:rFonts w:eastAsia="仿宋_GB2312;仿宋" w:cs="Arial" w:ascii="Arial" w:hAnsi="Arial"/>
              </w:rPr>
              <w:t>0</w:t>
            </w:r>
            <w:r>
              <w:rPr>
                <w:rFonts w:eastAsia="仿宋_GB2312;仿宋" w:cs="仿宋_GB2312;仿宋" w:ascii="仿宋_GB2312;仿宋" w:hAnsi="仿宋_GB2312;仿宋"/>
              </w:rPr>
              <w:t>—</w:t>
            </w:r>
            <w:r>
              <w:rPr>
                <w:rFonts w:eastAsia="仿宋_GB2312;仿宋" w:cs="Arial" w:ascii="Arial" w:hAnsi="Arial"/>
              </w:rPr>
              <w:t>39</w:t>
            </w:r>
          </w:p>
        </w:tc>
        <w:tc>
          <w:tcPr>
            <w:tcW w:w="1431" w:type="dxa"/>
            <w:tcBorders>
              <w:left w:val="single" w:sz="4" w:space="0" w:color="000000"/>
              <w:bottom w:val="single" w:sz="4" w:space="0" w:color="000000"/>
              <w:right w:val="single" w:sz="4" w:space="0" w:color="000000"/>
            </w:tcBorders>
            <w:shd w:fill="FFFFFF" w:val="clea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w:t>
            </w:r>
          </w:p>
        </w:tc>
      </w:tr>
      <w:tr>
        <w:trPr>
          <w:trHeight w:val="285" w:hRule="atLeast"/>
        </w:trPr>
        <w:tc>
          <w:tcPr>
            <w:tcW w:w="698"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w:t>
            </w:r>
          </w:p>
        </w:tc>
        <w:tc>
          <w:tcPr>
            <w:tcW w:w="1180"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pPr>
            <w:r>
              <w:rPr>
                <w:rFonts w:ascii="Arial" w:hAnsi="Arial" w:cs="Arial" w:eastAsia="仿宋_GB2312;仿宋"/>
              </w:rPr>
              <w:t>杨树</w:t>
            </w:r>
          </w:p>
        </w:tc>
        <w:tc>
          <w:tcPr>
            <w:tcW w:w="1527"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pPr>
            <w:r>
              <w:rPr>
                <w:rFonts w:eastAsia="仿宋_GB2312;仿宋" w:cs="Arial" w:ascii="Arial" w:hAnsi="Arial"/>
              </w:rPr>
              <w:t>4</w:t>
            </w:r>
            <w:r>
              <w:rPr>
                <w:rFonts w:eastAsia="仿宋_GB2312;仿宋" w:cs="Arial" w:ascii="Arial" w:hAnsi="Arial"/>
              </w:rPr>
              <w:t>0</w:t>
            </w:r>
            <w:r>
              <w:rPr>
                <w:rFonts w:eastAsia="仿宋_GB2312;仿宋" w:cs="仿宋_GB2312;仿宋" w:ascii="仿宋_GB2312;仿宋" w:hAnsi="仿宋_GB2312;仿宋"/>
              </w:rPr>
              <w:t>—</w:t>
            </w:r>
            <w:r>
              <w:rPr>
                <w:rFonts w:eastAsia="仿宋_GB2312;仿宋" w:cs="Arial" w:ascii="Arial" w:hAnsi="Arial"/>
              </w:rPr>
              <w:t>4</w:t>
            </w:r>
            <w:r>
              <w:rPr>
                <w:rFonts w:eastAsia="仿宋_GB2312;仿宋" w:cs="Arial" w:ascii="Arial" w:hAnsi="Arial"/>
              </w:rPr>
              <w:t>9</w:t>
            </w:r>
          </w:p>
        </w:tc>
        <w:tc>
          <w:tcPr>
            <w:tcW w:w="1431" w:type="dxa"/>
            <w:tcBorders>
              <w:left w:val="single" w:sz="4" w:space="0" w:color="000000"/>
              <w:bottom w:val="single" w:sz="4" w:space="0" w:color="000000"/>
              <w:right w:val="single" w:sz="4" w:space="0" w:color="000000"/>
            </w:tcBorders>
            <w:shd w:fill="FFFFFF" w:val="clear"/>
          </w:tcPr>
          <w:p>
            <w:pPr>
              <w:pStyle w:val="Normal"/>
              <w:widowControl/>
              <w:spacing w:lineRule="auto" w:line="240"/>
              <w:jc w:val="center"/>
              <w:textAlignment w:val="auto"/>
              <w:rPr>
                <w:rFonts w:ascii="Arial" w:hAnsi="Arial" w:eastAsia="仿宋_GB2312;仿宋" w:cs="Arial"/>
              </w:rPr>
            </w:pPr>
            <w:r>
              <w:rPr>
                <w:rFonts w:eastAsia="仿宋_GB2312;仿宋" w:cs="Arial" w:ascii="Arial" w:hAnsi="Arial"/>
              </w:rPr>
              <w:t>24</w:t>
            </w:r>
          </w:p>
        </w:tc>
      </w:tr>
    </w:tbl>
    <w:p>
      <w:pPr>
        <w:pStyle w:val="Normal"/>
        <w:spacing w:lineRule="auto" w:line="360" w:before="120" w:after="0"/>
        <w:ind w:firstLine="512"/>
        <w:jc w:val="both"/>
        <w:rPr>
          <w:rFonts w:eastAsia="仿宋_GB2312;仿宋"/>
        </w:rPr>
      </w:pPr>
      <w:r>
        <w:rPr>
          <w:rFonts w:ascii="Arial" w:hAnsi="Arial" w:cs="Arial" w:eastAsia="仿宋_GB2312;仿宋"/>
          <w:spacing w:val="-12"/>
          <w:sz w:val="28"/>
        </w:rPr>
        <w:t>（</w:t>
      </w:r>
      <w:r>
        <w:rPr>
          <w:rFonts w:eastAsia="仿宋_GB2312;仿宋" w:cs="Arial" w:ascii="Arial" w:hAnsi="Arial"/>
          <w:spacing w:val="-12"/>
          <w:sz w:val="28"/>
        </w:rPr>
        <w:t>3</w:t>
      </w:r>
      <w:r>
        <w:rPr>
          <w:rFonts w:ascii="Arial" w:hAnsi="Arial" w:cs="Arial" w:eastAsia="仿宋_GB2312;仿宋"/>
          <w:spacing w:val="-12"/>
          <w:sz w:val="28"/>
        </w:rPr>
        <w:t>）</w:t>
      </w:r>
      <w:r>
        <w:rPr>
          <w:rFonts w:eastAsia="仿宋_GB2312;仿宋" w:cs="Arial" w:ascii="Arial" w:hAnsi="Arial"/>
          <w:spacing w:val="-12"/>
          <w:sz w:val="28"/>
        </w:rPr>
        <w:tab/>
      </w:r>
      <w:r>
        <w:rPr>
          <w:rFonts w:ascii="Arial" w:hAnsi="Arial" w:cs="Arial" w:eastAsia="仿宋_GB2312;仿宋"/>
          <w:spacing w:val="-12"/>
          <w:sz w:val="28"/>
        </w:rPr>
        <w:t>土地利用情况</w:t>
      </w:r>
      <w:r>
        <w:rPr>
          <w:rFonts w:ascii="Arial" w:hAnsi="Arial" w:cs="Arial" w:eastAsia="Arial"/>
          <w:spacing w:val="-12"/>
          <w:sz w:val="28"/>
        </w:rPr>
        <w:t xml:space="preserve"> </w:t>
      </w:r>
    </w:p>
    <w:p>
      <w:pPr>
        <w:pStyle w:val="Normal"/>
        <w:spacing w:lineRule="auto" w:line="360"/>
        <w:ind w:firstLine="512"/>
        <w:jc w:val="both"/>
        <w:rPr>
          <w:rFonts w:eastAsia="仿宋_GB2312;仿宋"/>
        </w:rPr>
      </w:pPr>
      <w:r>
        <w:rPr>
          <w:rFonts w:ascii="Arial" w:hAnsi="Arial" w:cs="Arial" w:eastAsia="仿宋_GB2312;仿宋"/>
          <w:spacing w:val="-12"/>
          <w:sz w:val="28"/>
        </w:rPr>
        <w:t>宗地红线外基础设施已达到”七通”（</w:t>
      </w:r>
      <w:r>
        <w:rPr>
          <w:rFonts w:ascii="仿宋_GB2312;仿宋" w:hAnsi="仿宋_GB2312;仿宋" w:cs="仿宋" w:eastAsia="仿宋_GB2312;仿宋"/>
          <w:sz w:val="28"/>
        </w:rPr>
        <w:t>即通路、通上水、通下水、通燃气、通电、通讯、通热</w:t>
      </w:r>
      <w:r>
        <w:rPr>
          <w:rFonts w:ascii="Arial" w:hAnsi="Arial" w:cs="Arial" w:eastAsia="仿宋_GB2312;仿宋"/>
          <w:spacing w:val="-12"/>
          <w:sz w:val="28"/>
        </w:rPr>
        <w:t>），具体状况如下：</w:t>
      </w:r>
      <w:r>
        <w:rPr>
          <w:rFonts w:ascii="Arial" w:hAnsi="Arial" w:cs="Arial" w:eastAsia="Arial"/>
          <w:spacing w:val="-12"/>
          <w:sz w:val="28"/>
        </w:rPr>
        <w:t xml:space="preserve"> </w:t>
      </w:r>
    </w:p>
    <w:p>
      <w:pPr>
        <w:pStyle w:val="Normal"/>
        <w:spacing w:lineRule="auto" w:line="360"/>
        <w:ind w:firstLine="512"/>
        <w:jc w:val="both"/>
        <w:rPr>
          <w:rFonts w:eastAsia="仿宋_GB2312;仿宋"/>
        </w:rPr>
      </w:pPr>
      <w:r>
        <w:rPr>
          <w:rFonts w:ascii="Arial" w:hAnsi="Arial" w:cs="Arial" w:eastAsia="仿宋_GB2312;仿宋"/>
          <w:spacing w:val="-12"/>
          <w:sz w:val="28"/>
        </w:rPr>
        <w:t>通路：</w:t>
      </w:r>
      <w:r>
        <w:rPr>
          <w:rFonts w:ascii="Arial" w:hAnsi="Arial" w:cs="Arial" w:eastAsia="仿宋_GB2312;仿宋"/>
          <w:spacing w:val="-12"/>
          <w:sz w:val="28"/>
        </w:rPr>
        <w:t>无名市政道路，为城市支路</w:t>
      </w:r>
      <w:r>
        <w:rPr>
          <w:rFonts w:ascii="Arial" w:hAnsi="Arial" w:cs="Arial" w:eastAsia="仿宋_GB2312;仿宋"/>
          <w:spacing w:val="-12"/>
          <w:sz w:val="28"/>
        </w:rPr>
        <w:t>；</w:t>
      </w:r>
      <w:r>
        <w:rPr>
          <w:rFonts w:ascii="Arial" w:hAnsi="Arial" w:cs="Arial" w:eastAsia="Arial"/>
          <w:spacing w:val="-12"/>
          <w:sz w:val="28"/>
        </w:rPr>
        <w:t xml:space="preserve"> </w:t>
      </w:r>
    </w:p>
    <w:p>
      <w:pPr>
        <w:pStyle w:val="Normal"/>
        <w:spacing w:lineRule="auto" w:line="360"/>
        <w:ind w:firstLine="512"/>
        <w:jc w:val="both"/>
        <w:rPr/>
      </w:pPr>
      <w:r>
        <w:rPr>
          <w:rFonts w:ascii="Arial" w:hAnsi="Arial" w:cs="Arial" w:eastAsia="仿宋_GB2312;仿宋"/>
          <w:spacing w:val="-12"/>
          <w:sz w:val="28"/>
        </w:rPr>
        <w:t>通电：市政供电网络</w:t>
      </w:r>
      <w:r>
        <w:rPr>
          <w:rFonts w:ascii="Arial" w:hAnsi="Arial" w:cs="Arial" w:eastAsia="仿宋_GB2312;仿宋"/>
          <w:spacing w:val="-12"/>
          <w:sz w:val="28"/>
        </w:rPr>
        <w:t>；</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通上水：</w:t>
      </w:r>
      <w:r>
        <w:rPr>
          <w:rFonts w:ascii="Arial" w:hAnsi="Arial" w:cs="Arial" w:eastAsia="仿宋_GB2312;仿宋"/>
          <w:spacing w:val="-12"/>
          <w:sz w:val="28"/>
        </w:rPr>
        <w:t>市政管网供水</w:t>
      </w:r>
      <w:r>
        <w:rPr>
          <w:rFonts w:ascii="Arial" w:hAnsi="Arial" w:cs="Arial" w:eastAsia="仿宋_GB2312;仿宋"/>
          <w:spacing w:val="-12"/>
          <w:sz w:val="28"/>
        </w:rPr>
        <w:t>，设施完备，水源稳定；</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通下水：市政管网排水；</w:t>
      </w:r>
    </w:p>
    <w:p>
      <w:pPr>
        <w:pStyle w:val="Normal"/>
        <w:spacing w:lineRule="auto" w:line="360"/>
        <w:ind w:firstLine="512"/>
        <w:jc w:val="both"/>
        <w:rPr/>
      </w:pPr>
      <w:r>
        <w:rPr>
          <w:rFonts w:ascii="Arial" w:hAnsi="Arial" w:cs="Arial" w:eastAsia="仿宋_GB2312;仿宋"/>
          <w:spacing w:val="-12"/>
          <w:sz w:val="28"/>
        </w:rPr>
        <w:t>通热力：</w:t>
      </w:r>
      <w:r>
        <w:rPr>
          <w:rFonts w:ascii="Arial" w:hAnsi="Arial" w:cs="Arial" w:eastAsia="仿宋_GB2312;仿宋"/>
          <w:spacing w:val="-12"/>
          <w:sz w:val="28"/>
        </w:rPr>
        <w:t>集中</w:t>
      </w:r>
      <w:r>
        <w:rPr>
          <w:rFonts w:ascii="Arial" w:hAnsi="Arial" w:cs="Arial" w:eastAsia="仿宋_GB2312;仿宋"/>
          <w:spacing w:val="-12"/>
          <w:sz w:val="28"/>
        </w:rPr>
        <w:t>供暖；</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通燃气：</w:t>
      </w:r>
      <w:r>
        <w:rPr>
          <w:rFonts w:ascii="Arial" w:hAnsi="Arial" w:cs="Arial" w:eastAsia="仿宋_GB2312;仿宋"/>
          <w:spacing w:val="-12"/>
          <w:sz w:val="28"/>
        </w:rPr>
        <w:t>项目用地有天然气管道</w:t>
      </w:r>
      <w:r>
        <w:rPr>
          <w:rFonts w:ascii="Arial" w:hAnsi="Arial" w:cs="Arial" w:eastAsia="仿宋_GB2312;仿宋"/>
          <w:spacing w:val="-12"/>
          <w:sz w:val="28"/>
        </w:rPr>
        <w:t>；</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通讯：项目用地有电信管道。</w:t>
      </w:r>
    </w:p>
    <w:p>
      <w:pPr>
        <w:pStyle w:val="Normal"/>
        <w:spacing w:lineRule="auto" w:line="360"/>
        <w:ind w:firstLine="512"/>
        <w:jc w:val="both"/>
        <w:rPr>
          <w:rFonts w:ascii="Arial" w:hAnsi="Arial" w:eastAsia="仿宋_GB2312;仿宋" w:cs="Arial"/>
          <w:spacing w:val="-12"/>
          <w:sz w:val="28"/>
        </w:rPr>
      </w:pPr>
      <w:r>
        <w:rPr>
          <w:rFonts w:eastAsia="仿宋_GB2312;仿宋" w:cs="Arial" w:ascii="Arial" w:hAnsi="Arial"/>
          <w:spacing w:val="-12"/>
          <w:sz w:val="28"/>
        </w:rPr>
      </w:r>
    </w:p>
    <w:p>
      <w:pPr>
        <w:pStyle w:val="Normal"/>
        <w:numPr>
          <w:ilvl w:val="0"/>
          <w:numId w:val="0"/>
        </w:numPr>
        <w:spacing w:lineRule="auto" w:line="360"/>
        <w:outlineLvl w:val="1"/>
        <w:rPr/>
      </w:pPr>
      <w:bookmarkStart w:id="46" w:name="__RefHeading___Toc530042255"/>
      <w:bookmarkEnd w:id="46"/>
      <w:r>
        <w:rPr>
          <w:rFonts w:ascii="Arial" w:hAnsi="Arial" w:cs="Arial" w:eastAsia="仿宋_GB2312;仿宋"/>
          <w:b/>
          <w:sz w:val="28"/>
        </w:rPr>
        <w:t>二、地价影响因素分析</w:t>
      </w:r>
    </w:p>
    <w:p>
      <w:pPr>
        <w:pStyle w:val="Normal"/>
        <w:spacing w:lineRule="auto" w:line="360"/>
        <w:jc w:val="both"/>
        <w:rPr>
          <w:rFonts w:ascii="Arial" w:hAnsi="Arial" w:eastAsia="仿宋_GB2312;仿宋" w:cs="Arial"/>
          <w:sz w:val="28"/>
        </w:rPr>
      </w:pPr>
      <w:r>
        <w:rPr>
          <w:rFonts w:ascii="Arial" w:hAnsi="Arial" w:cs="Arial" w:eastAsia="仿宋_GB2312;仿宋"/>
          <w:sz w:val="28"/>
        </w:rPr>
        <w:t>（一）一般因素</w:t>
      </w:r>
    </w:p>
    <w:p>
      <w:pPr>
        <w:pStyle w:val="Normal"/>
        <w:widowControl/>
        <w:spacing w:lineRule="auto" w:line="360"/>
        <w:ind w:firstLine="560"/>
        <w:jc w:val="both"/>
        <w:rPr>
          <w:rFonts w:ascii="Arial" w:hAnsi="Arial" w:eastAsia="仿宋_GB2312;仿宋" w:cs="Arial"/>
          <w:bCs/>
          <w:sz w:val="28"/>
          <w:szCs w:val="28"/>
        </w:rPr>
      </w:pPr>
      <w:r>
        <w:rPr>
          <w:rFonts w:eastAsia="仿宋_GB2312;仿宋" w:cs="Arial" w:ascii="Arial" w:hAnsi="Arial"/>
          <w:bCs/>
          <w:sz w:val="28"/>
          <w:szCs w:val="28"/>
        </w:rPr>
        <w:t>1.</w:t>
      </w:r>
      <w:r>
        <w:rPr>
          <w:rFonts w:ascii="Arial" w:hAnsi="Arial" w:cs="Arial" w:eastAsia="仿宋_GB2312;仿宋"/>
          <w:bCs/>
          <w:sz w:val="28"/>
          <w:szCs w:val="28"/>
        </w:rPr>
        <w:t>城市资源状况</w:t>
      </w:r>
    </w:p>
    <w:p>
      <w:pPr>
        <w:pStyle w:val="Normal"/>
        <w:numPr>
          <w:ilvl w:val="0"/>
          <w:numId w:val="0"/>
        </w:numPr>
        <w:spacing w:lineRule="auto" w:line="360"/>
        <w:ind w:firstLine="562"/>
        <w:jc w:val="both"/>
        <w:outlineLvl w:val="0"/>
        <w:rPr>
          <w:rFonts w:ascii="Arial" w:hAnsi="Arial" w:eastAsia="仿宋_GB2312;仿宋" w:cs="Arial"/>
          <w:bCs/>
          <w:color w:val="000000"/>
          <w:sz w:val="28"/>
          <w:szCs w:val="28"/>
        </w:rPr>
      </w:pPr>
      <w:r>
        <w:rPr>
          <w:rFonts w:ascii="仿宋_GB2312;仿宋" w:hAnsi="仿宋_GB2312;仿宋" w:eastAsia="仿宋_GB2312;仿宋"/>
          <w:b/>
          <w:bCs/>
          <w:color w:val="000000"/>
          <w:sz w:val="28"/>
          <w:szCs w:val="28"/>
        </w:rPr>
        <w:t>地理位置：</w:t>
      </w:r>
      <w:r>
        <w:rPr>
          <w:rFonts w:ascii="Arial" w:hAnsi="Arial" w:cs="Arial" w:eastAsia="仿宋"/>
          <w:color w:val="000000"/>
          <w:kern w:val="2"/>
          <w:sz w:val="28"/>
          <w:szCs w:val="28"/>
        </w:rPr>
        <w:t>北京，简称“京”，是中华人民共和国的首都，是全国的政治中心、文化中心，是世界著名古都和现代化国际城市。北京位于北纬</w:t>
      </w:r>
      <w:r>
        <w:rPr>
          <w:rFonts w:eastAsia="仿宋" w:cs="Arial" w:ascii="Arial" w:hAnsi="Arial"/>
          <w:color w:val="000000"/>
          <w:kern w:val="2"/>
          <w:sz w:val="28"/>
          <w:szCs w:val="28"/>
        </w:rPr>
        <w:t>39</w:t>
      </w:r>
      <w:r>
        <w:rPr>
          <w:rFonts w:ascii="Arial" w:hAnsi="Arial" w:cs="Arial" w:eastAsia="仿宋"/>
          <w:color w:val="000000"/>
          <w:kern w:val="2"/>
          <w:sz w:val="28"/>
          <w:szCs w:val="28"/>
        </w:rPr>
        <w:t>度</w:t>
      </w:r>
      <w:r>
        <w:rPr>
          <w:rFonts w:eastAsia="仿宋" w:cs="Arial" w:ascii="Arial" w:hAnsi="Arial"/>
          <w:color w:val="000000"/>
          <w:kern w:val="2"/>
          <w:sz w:val="28"/>
          <w:szCs w:val="28"/>
        </w:rPr>
        <w:t>56</w:t>
      </w:r>
      <w:r>
        <w:rPr>
          <w:rFonts w:ascii="Arial" w:hAnsi="Arial" w:cs="Arial" w:eastAsia="仿宋"/>
          <w:color w:val="000000"/>
          <w:kern w:val="2"/>
          <w:sz w:val="28"/>
          <w:szCs w:val="28"/>
        </w:rPr>
        <w:t>分、东经</w:t>
      </w:r>
      <w:r>
        <w:rPr>
          <w:rFonts w:eastAsia="仿宋" w:cs="Arial" w:ascii="Arial" w:hAnsi="Arial"/>
          <w:color w:val="000000"/>
          <w:kern w:val="2"/>
          <w:sz w:val="28"/>
          <w:szCs w:val="28"/>
        </w:rPr>
        <w:t>116</w:t>
      </w:r>
      <w:r>
        <w:rPr>
          <w:rFonts w:ascii="Arial" w:hAnsi="Arial" w:cs="Arial" w:eastAsia="仿宋"/>
          <w:color w:val="000000"/>
          <w:kern w:val="2"/>
          <w:sz w:val="28"/>
          <w:szCs w:val="28"/>
        </w:rPr>
        <w:t>度</w:t>
      </w:r>
      <w:r>
        <w:rPr>
          <w:rFonts w:eastAsia="仿宋" w:cs="Arial" w:ascii="Arial" w:hAnsi="Arial"/>
          <w:color w:val="000000"/>
          <w:kern w:val="2"/>
          <w:sz w:val="28"/>
          <w:szCs w:val="28"/>
        </w:rPr>
        <w:t>20</w:t>
      </w:r>
      <w:r>
        <w:rPr>
          <w:rFonts w:ascii="Arial" w:hAnsi="Arial" w:cs="Arial" w:eastAsia="仿宋"/>
          <w:color w:val="000000"/>
          <w:kern w:val="2"/>
          <w:sz w:val="28"/>
          <w:szCs w:val="28"/>
        </w:rPr>
        <w:t>分，地处华北大平原的北部，东面与天津市毗连，其余均与河北省相邻。</w:t>
      </w:r>
    </w:p>
    <w:p>
      <w:pPr>
        <w:pStyle w:val="Normal"/>
        <w:widowControl/>
        <w:spacing w:lineRule="auto" w:line="360"/>
        <w:ind w:firstLine="562"/>
        <w:jc w:val="both"/>
        <w:rPr>
          <w:rFonts w:ascii="Arial" w:hAnsi="Arial" w:eastAsia="仿宋_GB2312;仿宋" w:cs="Arial"/>
          <w:bCs/>
          <w:color w:val="000000"/>
          <w:sz w:val="28"/>
          <w:szCs w:val="28"/>
        </w:rPr>
      </w:pPr>
      <w:r>
        <w:rPr>
          <w:rFonts w:ascii="仿宋_GB2312;仿宋" w:hAnsi="仿宋_GB2312;仿宋" w:eastAsia="仿宋_GB2312;仿宋"/>
          <w:b/>
          <w:bCs/>
          <w:color w:val="000000"/>
          <w:sz w:val="28"/>
          <w:szCs w:val="28"/>
        </w:rPr>
        <w:t>城市人口：</w:t>
      </w:r>
      <w:r>
        <w:rPr>
          <w:rFonts w:ascii="Arial" w:hAnsi="Arial" w:cs="Arial" w:eastAsia="仿宋_GB2312;仿宋"/>
          <w:bCs/>
          <w:color w:val="000000"/>
          <w:sz w:val="28"/>
          <w:szCs w:val="28"/>
        </w:rPr>
        <w:t>截至</w:t>
      </w:r>
      <w:r>
        <w:rPr>
          <w:rFonts w:eastAsia="仿宋_GB2312;仿宋" w:cs="Arial" w:ascii="Arial" w:hAnsi="Arial"/>
          <w:bCs/>
          <w:color w:val="000000"/>
          <w:sz w:val="28"/>
          <w:szCs w:val="28"/>
        </w:rPr>
        <w:t>2022</w:t>
      </w:r>
      <w:r>
        <w:rPr>
          <w:rFonts w:ascii="Arial" w:hAnsi="Arial" w:cs="Arial" w:eastAsia="仿宋_GB2312;仿宋"/>
          <w:bCs/>
          <w:color w:val="000000"/>
          <w:sz w:val="28"/>
          <w:szCs w:val="28"/>
        </w:rPr>
        <w:t>年年末，北京市常住人口为</w:t>
      </w:r>
      <w:r>
        <w:rPr>
          <w:rFonts w:eastAsia="仿宋_GB2312;仿宋" w:cs="Arial" w:ascii="Arial" w:hAnsi="Arial"/>
          <w:bCs/>
          <w:color w:val="000000"/>
          <w:sz w:val="28"/>
          <w:szCs w:val="28"/>
        </w:rPr>
        <w:t>2184.3</w:t>
      </w:r>
      <w:r>
        <w:rPr>
          <w:rFonts w:ascii="Arial" w:hAnsi="Arial" w:cs="Arial" w:eastAsia="仿宋_GB2312;仿宋"/>
          <w:bCs/>
          <w:color w:val="000000"/>
          <w:sz w:val="28"/>
          <w:szCs w:val="28"/>
        </w:rPr>
        <w:t>万人，从年龄构成看，</w:t>
      </w:r>
      <w:r>
        <w:rPr>
          <w:rFonts w:eastAsia="仿宋_GB2312;仿宋" w:cs="Arial" w:ascii="Arial" w:hAnsi="Arial"/>
          <w:bCs/>
          <w:color w:val="000000"/>
          <w:sz w:val="28"/>
          <w:szCs w:val="28"/>
        </w:rPr>
        <w:t>0-14</w:t>
      </w:r>
      <w:r>
        <w:rPr>
          <w:rFonts w:ascii="Arial" w:hAnsi="Arial" w:cs="Arial" w:eastAsia="仿宋_GB2312;仿宋"/>
          <w:bCs/>
          <w:color w:val="000000"/>
          <w:sz w:val="28"/>
          <w:szCs w:val="28"/>
        </w:rPr>
        <w:t>岁常住人口</w:t>
      </w:r>
      <w:r>
        <w:rPr>
          <w:rFonts w:eastAsia="仿宋_GB2312;仿宋" w:cs="Arial" w:ascii="Arial" w:hAnsi="Arial"/>
          <w:bCs/>
          <w:color w:val="000000"/>
          <w:sz w:val="28"/>
          <w:szCs w:val="28"/>
        </w:rPr>
        <w:t>264</w:t>
      </w:r>
      <w:r>
        <w:rPr>
          <w:rFonts w:ascii="Arial" w:hAnsi="Arial" w:cs="Arial" w:eastAsia="仿宋_GB2312;仿宋"/>
          <w:bCs/>
          <w:color w:val="000000"/>
          <w:sz w:val="28"/>
          <w:szCs w:val="28"/>
        </w:rPr>
        <w:t>万人，占全市常住人口的比重为</w:t>
      </w:r>
      <w:r>
        <w:rPr>
          <w:rFonts w:eastAsia="仿宋_GB2312;仿宋" w:cs="Arial" w:ascii="Arial" w:hAnsi="Arial"/>
          <w:bCs/>
          <w:color w:val="000000"/>
          <w:sz w:val="28"/>
          <w:szCs w:val="28"/>
        </w:rPr>
        <w:t>12.1%</w:t>
      </w:r>
      <w:r>
        <w:rPr>
          <w:rFonts w:ascii="Arial" w:hAnsi="Arial" w:cs="Arial" w:eastAsia="仿宋_GB2312;仿宋"/>
          <w:bCs/>
          <w:color w:val="000000"/>
          <w:sz w:val="28"/>
          <w:szCs w:val="28"/>
        </w:rPr>
        <w:t>；</w:t>
      </w:r>
      <w:r>
        <w:rPr>
          <w:rFonts w:eastAsia="仿宋_GB2312;仿宋" w:cs="Arial" w:ascii="Arial" w:hAnsi="Arial"/>
          <w:bCs/>
          <w:color w:val="000000"/>
          <w:sz w:val="28"/>
          <w:szCs w:val="28"/>
        </w:rPr>
        <w:t>15-59</w:t>
      </w:r>
      <w:r>
        <w:rPr>
          <w:rFonts w:ascii="Arial" w:hAnsi="Arial" w:cs="Arial" w:eastAsia="仿宋_GB2312;仿宋"/>
          <w:bCs/>
          <w:color w:val="000000"/>
          <w:sz w:val="28"/>
          <w:szCs w:val="28"/>
        </w:rPr>
        <w:t>岁常住人口</w:t>
      </w:r>
      <w:r>
        <w:rPr>
          <w:rFonts w:eastAsia="仿宋_GB2312;仿宋" w:cs="Arial" w:ascii="Arial" w:hAnsi="Arial"/>
          <w:bCs/>
          <w:color w:val="000000"/>
          <w:sz w:val="28"/>
          <w:szCs w:val="28"/>
        </w:rPr>
        <w:t>1455.2</w:t>
      </w:r>
      <w:r>
        <w:rPr>
          <w:rFonts w:ascii="Arial" w:hAnsi="Arial" w:cs="Arial" w:eastAsia="仿宋_GB2312;仿宋"/>
          <w:bCs/>
          <w:color w:val="000000"/>
          <w:sz w:val="28"/>
          <w:szCs w:val="28"/>
        </w:rPr>
        <w:t>万人，占</w:t>
      </w:r>
      <w:r>
        <w:rPr>
          <w:rFonts w:eastAsia="仿宋_GB2312;仿宋" w:cs="Arial" w:ascii="Arial" w:hAnsi="Arial"/>
          <w:bCs/>
          <w:color w:val="000000"/>
          <w:sz w:val="28"/>
          <w:szCs w:val="28"/>
        </w:rPr>
        <w:t>66.6%</w:t>
      </w:r>
      <w:r>
        <w:rPr>
          <w:rFonts w:ascii="Arial" w:hAnsi="Arial" w:cs="Arial" w:eastAsia="仿宋_GB2312;仿宋"/>
          <w:bCs/>
          <w:color w:val="000000"/>
          <w:sz w:val="28"/>
          <w:szCs w:val="28"/>
        </w:rPr>
        <w:t>；</w:t>
      </w:r>
      <w:r>
        <w:rPr>
          <w:rFonts w:eastAsia="仿宋_GB2312;仿宋" w:cs="Arial" w:ascii="Arial" w:hAnsi="Arial"/>
          <w:bCs/>
          <w:color w:val="000000"/>
          <w:sz w:val="28"/>
          <w:szCs w:val="28"/>
        </w:rPr>
        <w:t>60</w:t>
      </w:r>
      <w:r>
        <w:rPr>
          <w:rFonts w:ascii="Arial" w:hAnsi="Arial" w:cs="Arial" w:eastAsia="仿宋_GB2312;仿宋"/>
          <w:bCs/>
          <w:color w:val="000000"/>
          <w:sz w:val="28"/>
          <w:szCs w:val="28"/>
        </w:rPr>
        <w:t>岁及以上常住人口</w:t>
      </w:r>
      <w:r>
        <w:rPr>
          <w:rFonts w:eastAsia="仿宋_GB2312;仿宋" w:cs="Arial" w:ascii="Arial" w:hAnsi="Arial"/>
          <w:bCs/>
          <w:color w:val="000000"/>
          <w:sz w:val="28"/>
          <w:szCs w:val="28"/>
        </w:rPr>
        <w:t>465.1</w:t>
      </w:r>
      <w:r>
        <w:rPr>
          <w:rFonts w:ascii="Arial" w:hAnsi="Arial" w:cs="Arial" w:eastAsia="仿宋_GB2312;仿宋"/>
          <w:bCs/>
          <w:color w:val="000000"/>
          <w:sz w:val="28"/>
          <w:szCs w:val="28"/>
        </w:rPr>
        <w:t>万人，占</w:t>
      </w:r>
      <w:r>
        <w:rPr>
          <w:rFonts w:eastAsia="仿宋_GB2312;仿宋" w:cs="Arial" w:ascii="Arial" w:hAnsi="Arial"/>
          <w:bCs/>
          <w:color w:val="000000"/>
          <w:sz w:val="28"/>
          <w:szCs w:val="28"/>
        </w:rPr>
        <w:t>21.3%</w:t>
      </w:r>
      <w:r>
        <w:rPr>
          <w:rFonts w:ascii="Arial" w:hAnsi="Arial" w:cs="Arial" w:eastAsia="仿宋_GB2312;仿宋"/>
          <w:bCs/>
          <w:color w:val="000000"/>
          <w:sz w:val="28"/>
          <w:szCs w:val="28"/>
        </w:rPr>
        <w:t>。</w:t>
      </w:r>
    </w:p>
    <w:p>
      <w:pPr>
        <w:pStyle w:val="Normal"/>
        <w:overflowPunct w:val="false"/>
        <w:spacing w:lineRule="auto" w:line="360"/>
        <w:jc w:val="center"/>
        <w:rPr>
          <w:rFonts w:ascii="Arial" w:hAnsi="Arial" w:eastAsia="仿宋_GB2312;仿宋" w:cs="Arial"/>
          <w:b/>
          <w:b/>
          <w:bCs/>
          <w:color w:val="000000"/>
          <w:szCs w:val="24"/>
        </w:rPr>
      </w:pPr>
      <w:r>
        <w:rPr>
          <w:rFonts w:eastAsia="仿宋_GB2312;仿宋" w:cs="Arial" w:ascii="Arial" w:hAnsi="Arial"/>
          <w:b/>
          <w:bCs/>
          <w:color w:val="000000"/>
          <w:szCs w:val="24"/>
        </w:rPr>
        <w:t>2018-2022</w:t>
      </w:r>
      <w:r>
        <w:rPr>
          <w:rFonts w:ascii="Arial" w:hAnsi="Arial" w:cs="Arial" w:eastAsia="仿宋_GB2312;仿宋"/>
          <w:b/>
          <w:bCs/>
          <w:color w:val="000000"/>
          <w:szCs w:val="24"/>
        </w:rPr>
        <w:t>年常住人口增量及增长速度</w:t>
      </w:r>
    </w:p>
    <w:p>
      <w:pPr>
        <w:pStyle w:val="Normal"/>
        <w:numPr>
          <w:ilvl w:val="0"/>
          <w:numId w:val="0"/>
        </w:numPr>
        <w:spacing w:lineRule="auto" w:line="360"/>
        <w:jc w:val="center"/>
        <w:outlineLvl w:val="0"/>
        <w:rPr>
          <w:rFonts w:ascii="Arial" w:hAnsi="Arial" w:eastAsia="仿宋_GB2312;仿宋" w:cs="Arial"/>
          <w:bCs/>
          <w:color w:val="000000"/>
          <w:sz w:val="28"/>
          <w:szCs w:val="28"/>
        </w:rPr>
      </w:pPr>
      <w:r>
        <w:rPr>
          <w:color w:val="000000"/>
          <w:lang w:val="zh-CN" w:eastAsia="zh-CN"/>
        </w:rPr>
        <w:drawing>
          <wp:inline distT="0" distB="0" distL="0" distR="0">
            <wp:extent cx="5905500" cy="2735580"/>
            <wp:effectExtent l="0" t="0" r="0" b="0"/>
            <wp:docPr id="25" name="图像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像6" descr=""/>
                    <pic:cNvPicPr>
                      <a:picLocks noChangeAspect="1" noChangeArrowheads="1"/>
                    </pic:cNvPicPr>
                  </pic:nvPicPr>
                  <pic:blipFill>
                    <a:blip r:embed="rId57"/>
                    <a:srcRect l="-6" t="-14" r="-6" b="-14"/>
                    <a:stretch>
                      <a:fillRect/>
                    </a:stretch>
                  </pic:blipFill>
                  <pic:spPr bwMode="auto">
                    <a:xfrm>
                      <a:off x="0" y="0"/>
                      <a:ext cx="5905500" cy="2735580"/>
                    </a:xfrm>
                    <a:prstGeom prst="rect">
                      <a:avLst/>
                    </a:prstGeom>
                  </pic:spPr>
                </pic:pic>
              </a:graphicData>
            </a:graphic>
          </wp:inline>
        </w:drawing>
      </w:r>
    </w:p>
    <w:p>
      <w:pPr>
        <w:pStyle w:val="Normal"/>
        <w:numPr>
          <w:ilvl w:val="0"/>
          <w:numId w:val="0"/>
        </w:numPr>
        <w:spacing w:lineRule="auto" w:line="360"/>
        <w:ind w:firstLine="562"/>
        <w:jc w:val="both"/>
        <w:outlineLvl w:val="0"/>
        <w:rPr/>
      </w:pPr>
      <w:r>
        <w:rPr>
          <w:rFonts w:ascii="仿宋_GB2312;仿宋" w:hAnsi="仿宋_GB2312;仿宋" w:eastAsia="仿宋_GB2312;仿宋"/>
          <w:b/>
          <w:bCs/>
          <w:color w:val="000000"/>
          <w:sz w:val="28"/>
          <w:szCs w:val="28"/>
        </w:rPr>
        <w:t>城市面积：</w:t>
      </w:r>
      <w:r>
        <w:rPr>
          <w:rFonts w:ascii="Arial" w:hAnsi="Arial" w:cs="Arial" w:eastAsia="仿宋"/>
          <w:color w:val="000000"/>
          <w:kern w:val="2"/>
          <w:sz w:val="28"/>
          <w:szCs w:val="28"/>
        </w:rPr>
        <w:t>北京市下辖</w:t>
      </w:r>
      <w:r>
        <w:rPr>
          <w:rFonts w:eastAsia="仿宋" w:cs="Arial" w:ascii="Arial" w:hAnsi="Arial"/>
          <w:color w:val="000000"/>
          <w:kern w:val="2"/>
          <w:sz w:val="28"/>
          <w:szCs w:val="28"/>
        </w:rPr>
        <w:t>16</w:t>
      </w:r>
      <w:r>
        <w:rPr>
          <w:rFonts w:ascii="Arial" w:hAnsi="Arial" w:cs="Arial" w:eastAsia="仿宋"/>
          <w:color w:val="000000"/>
          <w:kern w:val="2"/>
          <w:sz w:val="28"/>
          <w:szCs w:val="28"/>
        </w:rPr>
        <w:t>个区（</w:t>
      </w:r>
      <w:r>
        <w:rPr>
          <w:rFonts w:ascii="Arial" w:hAnsi="Arial" w:cs="Arial" w:eastAsia="仿宋_GB2312;仿宋"/>
          <w:bCs/>
          <w:color w:val="000000"/>
          <w:sz w:val="28"/>
          <w:szCs w:val="28"/>
        </w:rPr>
        <w:t>即东城、西城、海淀、朝阳、丰台、顺义、昌平、通州、门头沟、石景山、房山、大兴、怀柔、平谷、密云、延庆</w:t>
      </w:r>
      <w:r>
        <w:rPr>
          <w:rFonts w:ascii="Arial" w:hAnsi="Arial" w:cs="Arial" w:eastAsia="仿宋"/>
          <w:color w:val="000000"/>
          <w:kern w:val="2"/>
          <w:sz w:val="28"/>
          <w:szCs w:val="28"/>
        </w:rPr>
        <w:t>），行政辖区总面积为</w:t>
      </w:r>
      <w:r>
        <w:rPr>
          <w:rFonts w:eastAsia="仿宋" w:cs="Arial" w:ascii="Arial" w:hAnsi="Arial"/>
          <w:color w:val="000000"/>
          <w:kern w:val="2"/>
          <w:sz w:val="28"/>
          <w:szCs w:val="28"/>
        </w:rPr>
        <w:t>16410</w:t>
      </w:r>
      <w:r>
        <w:rPr>
          <w:rFonts w:ascii="Arial" w:hAnsi="Arial" w:cs="Arial" w:eastAsia="仿宋"/>
          <w:color w:val="000000"/>
          <w:kern w:val="2"/>
          <w:sz w:val="28"/>
          <w:szCs w:val="28"/>
        </w:rPr>
        <w:t>平方公里。</w:t>
      </w:r>
    </w:p>
    <w:p>
      <w:pPr>
        <w:pStyle w:val="Normal"/>
        <w:numPr>
          <w:ilvl w:val="0"/>
          <w:numId w:val="0"/>
        </w:numPr>
        <w:spacing w:lineRule="auto" w:line="360"/>
        <w:ind w:firstLine="562"/>
        <w:jc w:val="both"/>
        <w:outlineLvl w:val="0"/>
        <w:rPr>
          <w:rFonts w:ascii="Arial" w:hAnsi="Arial" w:eastAsia="仿宋" w:cs="Arial"/>
          <w:color w:val="000000"/>
          <w:kern w:val="2"/>
          <w:sz w:val="28"/>
          <w:szCs w:val="28"/>
        </w:rPr>
      </w:pPr>
      <w:r>
        <w:rPr>
          <w:rFonts w:ascii="仿宋_GB2312;仿宋" w:hAnsi="仿宋_GB2312;仿宋" w:eastAsia="仿宋_GB2312;仿宋"/>
          <w:b/>
          <w:bCs/>
          <w:color w:val="000000"/>
          <w:sz w:val="28"/>
          <w:szCs w:val="28"/>
        </w:rPr>
        <w:t>城市自然条件：</w:t>
      </w:r>
      <w:r>
        <w:rPr>
          <w:rFonts w:ascii="Arial" w:hAnsi="Arial" w:cs="Arial" w:eastAsia="仿宋"/>
          <w:color w:val="000000"/>
          <w:kern w:val="2"/>
          <w:sz w:val="28"/>
          <w:szCs w:val="28"/>
        </w:rPr>
        <w:t>北京气候属暖温带半湿润半干旱季风气候，夏季高温多雨，冬季寒冷干燥，春、秋短促。全年无霜期</w:t>
      </w:r>
      <w:r>
        <w:rPr>
          <w:rFonts w:eastAsia="仿宋" w:cs="Arial" w:ascii="Arial" w:hAnsi="Arial"/>
          <w:color w:val="000000"/>
          <w:kern w:val="2"/>
          <w:sz w:val="28"/>
          <w:szCs w:val="28"/>
        </w:rPr>
        <w:t>180</w:t>
      </w:r>
      <w:r>
        <w:rPr>
          <w:rFonts w:ascii="Arial" w:hAnsi="Arial" w:cs="Arial" w:eastAsia="仿宋"/>
          <w:color w:val="000000"/>
          <w:kern w:val="2"/>
          <w:sz w:val="28"/>
          <w:szCs w:val="28"/>
        </w:rPr>
        <w:t>～</w:t>
      </w:r>
      <w:r>
        <w:rPr>
          <w:rFonts w:eastAsia="仿宋" w:cs="Arial" w:ascii="Arial" w:hAnsi="Arial"/>
          <w:color w:val="000000"/>
          <w:kern w:val="2"/>
          <w:sz w:val="28"/>
          <w:szCs w:val="28"/>
        </w:rPr>
        <w:t>200</w:t>
      </w:r>
      <w:r>
        <w:rPr>
          <w:rFonts w:ascii="Arial" w:hAnsi="Arial" w:cs="Arial" w:eastAsia="仿宋"/>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Pr>
          <w:rFonts w:eastAsia="仿宋" w:cs="Arial" w:ascii="Arial" w:hAnsi="Arial"/>
          <w:color w:val="000000"/>
          <w:kern w:val="2"/>
          <w:sz w:val="28"/>
          <w:szCs w:val="28"/>
        </w:rPr>
        <w:t>85</w:t>
      </w:r>
      <w:r>
        <w:rPr>
          <w:rFonts w:ascii="Arial" w:hAnsi="Arial" w:cs="Arial" w:eastAsia="仿宋"/>
          <w:color w:val="000000"/>
          <w:kern w:val="2"/>
          <w:sz w:val="28"/>
          <w:szCs w:val="28"/>
        </w:rPr>
        <w:t>座，其中大型水库有密云水库、官厅水库、怀柔水库、海子水库。北京市地下水多年平均补给量约为</w:t>
      </w:r>
      <w:r>
        <w:rPr>
          <w:rFonts w:eastAsia="仿宋" w:cs="Arial" w:ascii="Arial" w:hAnsi="Arial"/>
          <w:color w:val="000000"/>
          <w:kern w:val="2"/>
          <w:sz w:val="28"/>
          <w:szCs w:val="28"/>
        </w:rPr>
        <w:t>29.21</w:t>
      </w:r>
      <w:r>
        <w:rPr>
          <w:rFonts w:ascii="Arial" w:hAnsi="Arial" w:cs="Arial" w:eastAsia="仿宋"/>
          <w:color w:val="000000"/>
          <w:kern w:val="2"/>
          <w:sz w:val="28"/>
          <w:szCs w:val="28"/>
        </w:rPr>
        <w:t>亿立方米，平均年可开采量约</w:t>
      </w:r>
      <w:r>
        <w:rPr>
          <w:rFonts w:eastAsia="仿宋" w:cs="Arial" w:ascii="Arial" w:hAnsi="Arial"/>
          <w:color w:val="000000"/>
          <w:kern w:val="2"/>
          <w:sz w:val="28"/>
          <w:szCs w:val="28"/>
        </w:rPr>
        <w:t>24~25</w:t>
      </w:r>
      <w:r>
        <w:rPr>
          <w:rFonts w:ascii="Arial" w:hAnsi="Arial" w:cs="Arial" w:eastAsia="仿宋"/>
          <w:color w:val="000000"/>
          <w:kern w:val="2"/>
          <w:sz w:val="28"/>
          <w:szCs w:val="28"/>
        </w:rPr>
        <w:t>亿立方米。一次性天然水资源年平均总量为</w:t>
      </w:r>
      <w:r>
        <w:rPr>
          <w:rFonts w:eastAsia="仿宋" w:cs="Arial" w:ascii="Arial" w:hAnsi="Arial"/>
          <w:color w:val="000000"/>
          <w:kern w:val="2"/>
          <w:sz w:val="28"/>
          <w:szCs w:val="28"/>
        </w:rPr>
        <w:t>55.21</w:t>
      </w:r>
      <w:r>
        <w:rPr>
          <w:rFonts w:ascii="Arial" w:hAnsi="Arial" w:cs="Arial" w:eastAsia="仿宋"/>
          <w:color w:val="000000"/>
          <w:kern w:val="2"/>
          <w:sz w:val="28"/>
          <w:szCs w:val="28"/>
        </w:rPr>
        <w:t>亿立方米。</w:t>
      </w:r>
    </w:p>
    <w:p>
      <w:pPr>
        <w:pStyle w:val="Normal"/>
        <w:widowControl/>
        <w:spacing w:lineRule="auto" w:line="360"/>
        <w:ind w:firstLine="562"/>
        <w:jc w:val="both"/>
        <w:rPr>
          <w:rFonts w:ascii="Arial" w:hAnsi="Arial" w:eastAsia="仿宋" w:cs="Arial"/>
          <w:color w:val="000000"/>
          <w:kern w:val="2"/>
          <w:sz w:val="28"/>
          <w:szCs w:val="28"/>
        </w:rPr>
      </w:pPr>
      <w:r>
        <w:rPr>
          <w:rFonts w:ascii="仿宋_GB2312;仿宋" w:hAnsi="仿宋_GB2312;仿宋" w:eastAsia="仿宋_GB2312;仿宋"/>
          <w:b/>
          <w:bCs/>
          <w:color w:val="000000"/>
          <w:sz w:val="28"/>
          <w:szCs w:val="28"/>
        </w:rPr>
        <w:t>土地利用状况：</w:t>
      </w:r>
      <w:r>
        <w:rPr>
          <w:rFonts w:eastAsia="仿宋" w:cs="Arial" w:ascii="Arial" w:hAnsi="Arial"/>
          <w:color w:val="000000"/>
          <w:kern w:val="2"/>
          <w:sz w:val="28"/>
          <w:szCs w:val="28"/>
        </w:rPr>
        <w:t>2021</w:t>
      </w:r>
      <w:r>
        <w:rPr>
          <w:rFonts w:ascii="Arial" w:hAnsi="Arial" w:cs="Arial" w:eastAsia="仿宋"/>
          <w:color w:val="000000"/>
          <w:kern w:val="2"/>
          <w:sz w:val="28"/>
          <w:szCs w:val="28"/>
        </w:rPr>
        <w:t>年</w:t>
      </w:r>
      <w:r>
        <w:rPr>
          <w:rFonts w:eastAsia="仿宋" w:cs="Arial" w:ascii="Arial" w:hAnsi="Arial"/>
          <w:color w:val="000000"/>
          <w:kern w:val="2"/>
          <w:sz w:val="28"/>
          <w:szCs w:val="28"/>
        </w:rPr>
        <w:t>11</w:t>
      </w:r>
      <w:r>
        <w:rPr>
          <w:rFonts w:ascii="Arial" w:hAnsi="Arial" w:cs="Arial" w:eastAsia="仿宋"/>
          <w:color w:val="000000"/>
          <w:kern w:val="2"/>
          <w:sz w:val="28"/>
          <w:szCs w:val="28"/>
        </w:rPr>
        <w:t>月</w:t>
      </w:r>
      <w:r>
        <w:rPr>
          <w:rFonts w:eastAsia="仿宋" w:cs="Arial" w:ascii="Arial" w:hAnsi="Arial"/>
          <w:color w:val="000000"/>
          <w:kern w:val="2"/>
          <w:sz w:val="28"/>
          <w:szCs w:val="28"/>
        </w:rPr>
        <w:t>5</w:t>
      </w:r>
      <w:r>
        <w:rPr>
          <w:rFonts w:ascii="Arial" w:hAnsi="Arial" w:cs="Arial" w:eastAsia="仿宋"/>
          <w:color w:val="000000"/>
          <w:kern w:val="2"/>
          <w:sz w:val="28"/>
          <w:szCs w:val="28"/>
        </w:rPr>
        <w:t>日，北京市发布第三次全国国土调查主要数据公报。数据显示，北京市现有耕地</w:t>
      </w:r>
      <w:r>
        <w:rPr>
          <w:rFonts w:eastAsia="仿宋" w:cs="Arial" w:ascii="Arial" w:hAnsi="Arial"/>
          <w:color w:val="000000"/>
          <w:kern w:val="2"/>
          <w:sz w:val="28"/>
          <w:szCs w:val="28"/>
        </w:rPr>
        <w:t>93547.9</w:t>
      </w:r>
      <w:r>
        <w:rPr>
          <w:rFonts w:ascii="Arial" w:hAnsi="Arial" w:cs="Arial" w:eastAsia="仿宋"/>
          <w:color w:val="000000"/>
          <w:kern w:val="2"/>
          <w:sz w:val="28"/>
          <w:szCs w:val="28"/>
        </w:rPr>
        <w:t>公顷（</w:t>
      </w:r>
      <w:r>
        <w:rPr>
          <w:rFonts w:eastAsia="仿宋" w:cs="Arial" w:ascii="Arial" w:hAnsi="Arial"/>
          <w:color w:val="000000"/>
          <w:kern w:val="2"/>
          <w:sz w:val="28"/>
          <w:szCs w:val="28"/>
        </w:rPr>
        <w:t>1403218.5</w:t>
      </w:r>
      <w:r>
        <w:rPr>
          <w:rFonts w:ascii="Arial" w:hAnsi="Arial" w:cs="Arial" w:eastAsia="仿宋"/>
          <w:color w:val="000000"/>
          <w:kern w:val="2"/>
          <w:sz w:val="28"/>
          <w:szCs w:val="28"/>
        </w:rPr>
        <w:t>亩）、园地</w:t>
      </w:r>
      <w:r>
        <w:rPr>
          <w:rFonts w:eastAsia="仿宋" w:cs="Arial" w:ascii="Arial" w:hAnsi="Arial"/>
          <w:color w:val="000000"/>
          <w:kern w:val="2"/>
          <w:sz w:val="28"/>
          <w:szCs w:val="28"/>
        </w:rPr>
        <w:t>126274.55</w:t>
      </w:r>
      <w:r>
        <w:rPr>
          <w:rFonts w:ascii="Arial" w:hAnsi="Arial" w:cs="Arial" w:eastAsia="仿宋"/>
          <w:color w:val="000000"/>
          <w:kern w:val="2"/>
          <w:sz w:val="28"/>
          <w:szCs w:val="28"/>
        </w:rPr>
        <w:t>公顷（</w:t>
      </w:r>
      <w:r>
        <w:rPr>
          <w:rFonts w:eastAsia="仿宋" w:cs="Arial" w:ascii="Arial" w:hAnsi="Arial"/>
          <w:color w:val="000000"/>
          <w:kern w:val="2"/>
          <w:sz w:val="28"/>
          <w:szCs w:val="28"/>
        </w:rPr>
        <w:t>1894118.25</w:t>
      </w:r>
      <w:r>
        <w:rPr>
          <w:rFonts w:ascii="Arial" w:hAnsi="Arial" w:cs="Arial" w:eastAsia="仿宋"/>
          <w:color w:val="000000"/>
          <w:kern w:val="2"/>
          <w:sz w:val="28"/>
          <w:szCs w:val="28"/>
        </w:rPr>
        <w:t>亩）、林地</w:t>
      </w:r>
      <w:r>
        <w:rPr>
          <w:rFonts w:eastAsia="仿宋" w:cs="Arial" w:ascii="Arial" w:hAnsi="Arial"/>
          <w:color w:val="000000"/>
          <w:kern w:val="2"/>
          <w:sz w:val="28"/>
          <w:szCs w:val="28"/>
        </w:rPr>
        <w:t>967628.62</w:t>
      </w:r>
      <w:r>
        <w:rPr>
          <w:rFonts w:ascii="Arial" w:hAnsi="Arial" w:cs="Arial" w:eastAsia="仿宋"/>
          <w:color w:val="000000"/>
          <w:kern w:val="2"/>
          <w:sz w:val="28"/>
          <w:szCs w:val="28"/>
        </w:rPr>
        <w:t>公顷（</w:t>
      </w:r>
      <w:r>
        <w:rPr>
          <w:rFonts w:eastAsia="仿宋" w:cs="Arial" w:ascii="Arial" w:hAnsi="Arial"/>
          <w:color w:val="000000"/>
          <w:kern w:val="2"/>
          <w:sz w:val="28"/>
          <w:szCs w:val="28"/>
        </w:rPr>
        <w:t>14514429.3</w:t>
      </w:r>
      <w:r>
        <w:rPr>
          <w:rFonts w:ascii="Arial" w:hAnsi="Arial" w:cs="Arial" w:eastAsia="仿宋"/>
          <w:color w:val="000000"/>
          <w:kern w:val="2"/>
          <w:sz w:val="28"/>
          <w:szCs w:val="28"/>
        </w:rPr>
        <w:t>亩）、草地</w:t>
      </w:r>
      <w:r>
        <w:rPr>
          <w:rFonts w:eastAsia="仿宋" w:cs="Arial" w:ascii="Arial" w:hAnsi="Arial"/>
          <w:color w:val="000000"/>
          <w:kern w:val="2"/>
          <w:sz w:val="28"/>
          <w:szCs w:val="28"/>
        </w:rPr>
        <w:t>14460.44</w:t>
      </w:r>
      <w:r>
        <w:rPr>
          <w:rFonts w:ascii="Arial" w:hAnsi="Arial" w:cs="Arial" w:eastAsia="仿宋"/>
          <w:color w:val="000000"/>
          <w:kern w:val="2"/>
          <w:sz w:val="28"/>
          <w:szCs w:val="28"/>
        </w:rPr>
        <w:t>公顷（</w:t>
      </w:r>
      <w:r>
        <w:rPr>
          <w:rFonts w:eastAsia="仿宋" w:cs="Arial" w:ascii="Arial" w:hAnsi="Arial"/>
          <w:color w:val="000000"/>
          <w:kern w:val="2"/>
          <w:sz w:val="28"/>
          <w:szCs w:val="28"/>
        </w:rPr>
        <w:t>216906.6</w:t>
      </w:r>
      <w:r>
        <w:rPr>
          <w:rFonts w:ascii="Arial" w:hAnsi="Arial" w:cs="Arial" w:eastAsia="仿宋"/>
          <w:color w:val="000000"/>
          <w:kern w:val="2"/>
          <w:sz w:val="28"/>
          <w:szCs w:val="28"/>
        </w:rPr>
        <w:t>亩）、湿地</w:t>
      </w:r>
      <w:r>
        <w:rPr>
          <w:rFonts w:eastAsia="仿宋" w:cs="Arial" w:ascii="Arial" w:hAnsi="Arial"/>
          <w:color w:val="000000"/>
          <w:kern w:val="2"/>
          <w:sz w:val="28"/>
          <w:szCs w:val="28"/>
        </w:rPr>
        <w:t>3107.98</w:t>
      </w:r>
      <w:r>
        <w:rPr>
          <w:rFonts w:ascii="Arial" w:hAnsi="Arial" w:cs="Arial" w:eastAsia="仿宋"/>
          <w:color w:val="000000"/>
          <w:kern w:val="2"/>
          <w:sz w:val="28"/>
          <w:szCs w:val="28"/>
        </w:rPr>
        <w:t>公顷（</w:t>
      </w:r>
      <w:r>
        <w:rPr>
          <w:rFonts w:eastAsia="仿宋" w:cs="Arial" w:ascii="Arial" w:hAnsi="Arial"/>
          <w:color w:val="000000"/>
          <w:kern w:val="2"/>
          <w:sz w:val="28"/>
          <w:szCs w:val="28"/>
        </w:rPr>
        <w:t>46619.7</w:t>
      </w:r>
      <w:r>
        <w:rPr>
          <w:rFonts w:ascii="Arial" w:hAnsi="Arial" w:cs="Arial" w:eastAsia="仿宋"/>
          <w:color w:val="000000"/>
          <w:kern w:val="2"/>
          <w:sz w:val="28"/>
          <w:szCs w:val="28"/>
        </w:rPr>
        <w:t>亩）、城镇村及工矿用地</w:t>
      </w:r>
      <w:r>
        <w:rPr>
          <w:rFonts w:eastAsia="仿宋" w:cs="Arial" w:ascii="Arial" w:hAnsi="Arial"/>
          <w:color w:val="000000"/>
          <w:kern w:val="2"/>
          <w:sz w:val="28"/>
          <w:szCs w:val="28"/>
        </w:rPr>
        <w:t>313643.87</w:t>
      </w:r>
      <w:r>
        <w:rPr>
          <w:rFonts w:ascii="Arial" w:hAnsi="Arial" w:cs="Arial" w:eastAsia="仿宋"/>
          <w:color w:val="000000"/>
          <w:kern w:val="2"/>
          <w:sz w:val="28"/>
          <w:szCs w:val="28"/>
        </w:rPr>
        <w:t>公顷（</w:t>
      </w:r>
      <w:r>
        <w:rPr>
          <w:rFonts w:eastAsia="仿宋" w:cs="Arial" w:ascii="Arial" w:hAnsi="Arial"/>
          <w:color w:val="000000"/>
          <w:kern w:val="2"/>
          <w:sz w:val="28"/>
          <w:szCs w:val="28"/>
        </w:rPr>
        <w:t>4704658.05</w:t>
      </w:r>
      <w:r>
        <w:rPr>
          <w:rFonts w:ascii="Arial" w:hAnsi="Arial" w:cs="Arial" w:eastAsia="仿宋"/>
          <w:color w:val="000000"/>
          <w:kern w:val="2"/>
          <w:sz w:val="28"/>
          <w:szCs w:val="28"/>
        </w:rPr>
        <w:t>亩）、交通运输用地</w:t>
      </w:r>
      <w:r>
        <w:rPr>
          <w:rFonts w:eastAsia="仿宋" w:cs="Arial" w:ascii="Arial" w:hAnsi="Arial"/>
          <w:color w:val="000000"/>
          <w:kern w:val="2"/>
          <w:sz w:val="28"/>
          <w:szCs w:val="28"/>
        </w:rPr>
        <w:t>49281.38</w:t>
      </w:r>
      <w:r>
        <w:rPr>
          <w:rFonts w:ascii="Arial" w:hAnsi="Arial" w:cs="Arial" w:eastAsia="仿宋"/>
          <w:color w:val="000000"/>
          <w:kern w:val="2"/>
          <w:sz w:val="28"/>
          <w:szCs w:val="28"/>
        </w:rPr>
        <w:t>公顷（</w:t>
      </w:r>
      <w:r>
        <w:rPr>
          <w:rFonts w:eastAsia="仿宋" w:cs="Arial" w:ascii="Arial" w:hAnsi="Arial"/>
          <w:color w:val="000000"/>
          <w:kern w:val="2"/>
          <w:sz w:val="28"/>
          <w:szCs w:val="28"/>
        </w:rPr>
        <w:t>739220.7</w:t>
      </w:r>
      <w:r>
        <w:rPr>
          <w:rFonts w:ascii="Arial" w:hAnsi="Arial" w:cs="Arial" w:eastAsia="仿宋"/>
          <w:color w:val="000000"/>
          <w:kern w:val="2"/>
          <w:sz w:val="28"/>
          <w:szCs w:val="28"/>
        </w:rPr>
        <w:t>亩）、水域及水利设施用地</w:t>
      </w:r>
      <w:r>
        <w:rPr>
          <w:rFonts w:eastAsia="仿宋" w:cs="Arial" w:ascii="Arial" w:hAnsi="Arial"/>
          <w:color w:val="000000"/>
          <w:kern w:val="2"/>
          <w:sz w:val="28"/>
          <w:szCs w:val="28"/>
        </w:rPr>
        <w:t>61704</w:t>
      </w:r>
      <w:r>
        <w:rPr>
          <w:rFonts w:ascii="Arial" w:hAnsi="Arial" w:cs="Arial" w:eastAsia="仿宋"/>
          <w:color w:val="000000"/>
          <w:kern w:val="2"/>
          <w:sz w:val="28"/>
          <w:szCs w:val="28"/>
        </w:rPr>
        <w:t>公顷（</w:t>
      </w:r>
      <w:r>
        <w:rPr>
          <w:rFonts w:eastAsia="仿宋" w:cs="Arial" w:ascii="Arial" w:hAnsi="Arial"/>
          <w:color w:val="000000"/>
          <w:kern w:val="2"/>
          <w:sz w:val="28"/>
          <w:szCs w:val="28"/>
        </w:rPr>
        <w:t>925560</w:t>
      </w:r>
      <w:r>
        <w:rPr>
          <w:rFonts w:ascii="Arial" w:hAnsi="Arial" w:cs="Arial" w:eastAsia="仿宋"/>
          <w:color w:val="000000"/>
          <w:kern w:val="2"/>
          <w:sz w:val="28"/>
          <w:szCs w:val="28"/>
        </w:rPr>
        <w:t>亩），其余为其他土地。三调数据显示，北京市以林、园、水、草、湿地和公园绿地为主的生态用地逐年增加，城乡建设用地明显减少，初步实现减量目标。</w:t>
      </w:r>
    </w:p>
    <w:p>
      <w:pPr>
        <w:pStyle w:val="Normal"/>
        <w:widowControl/>
        <w:spacing w:lineRule="auto" w:line="360"/>
        <w:jc w:val="both"/>
        <w:rPr>
          <w:rFonts w:ascii="Arial" w:hAnsi="Arial" w:eastAsia="仿宋_GB2312;仿宋" w:cs="Arial"/>
          <w:bCs/>
          <w:sz w:val="28"/>
          <w:szCs w:val="28"/>
        </w:rPr>
      </w:pPr>
      <w:r>
        <w:rPr>
          <w:lang w:val="zh-CN" w:eastAsia="zh-CN"/>
        </w:rPr>
        <w:drawing>
          <wp:inline distT="0" distB="0" distL="0" distR="0">
            <wp:extent cx="144739995" cy="3350895"/>
            <wp:effectExtent l="0" t="0" r="0" b="0"/>
            <wp:docPr id="26" name="图像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像7" descr=""/>
                    <pic:cNvPicPr>
                      <a:picLocks noChangeAspect="1" noChangeArrowheads="1"/>
                    </pic:cNvPicPr>
                  </pic:nvPicPr>
                  <pic:blipFill>
                    <a:blip r:embed="rId58"/>
                    <a:srcRect l="-7" t="-13" r="-7" b="-13"/>
                    <a:stretch>
                      <a:fillRect/>
                    </a:stretch>
                  </pic:blipFill>
                  <pic:spPr bwMode="auto">
                    <a:xfrm>
                      <a:off x="0" y="0"/>
                      <a:ext cx="144739995" cy="3350895"/>
                    </a:xfrm>
                    <a:prstGeom prst="rect">
                      <a:avLst/>
                    </a:prstGeom>
                  </pic:spPr>
                </pic:pic>
              </a:graphicData>
            </a:graphic>
          </wp:inline>
        </w:drawing>
      </w:r>
    </w:p>
    <w:p>
      <w:pPr>
        <w:pStyle w:val="Normal"/>
        <w:spacing w:lineRule="auto" w:line="360"/>
        <w:ind w:right="205"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w:t>
      </w:r>
      <w:r>
        <w:rPr>
          <w:rFonts w:ascii="Arial" w:hAnsi="Arial" w:cs="Arial" w:eastAsia="仿宋_GB2312;仿宋"/>
          <w:bCs/>
          <w:color w:val="000000"/>
          <w:sz w:val="28"/>
          <w:szCs w:val="28"/>
        </w:rPr>
        <w:t>不动产制度与不动产市场状况</w:t>
      </w:r>
    </w:p>
    <w:p>
      <w:pPr>
        <w:pStyle w:val="Normal"/>
        <w:spacing w:lineRule="auto" w:line="360"/>
        <w:ind w:right="205" w:hanging="0"/>
        <w:jc w:val="both"/>
        <w:rPr/>
      </w:pPr>
      <w:r>
        <w:rPr>
          <w:rFonts w:ascii="MS Gothic;ＭＳ ゴシック" w:hAnsi="MS Gothic;ＭＳ ゴシック" w:cs="MS Gothic;ＭＳ ゴシック" w:eastAsia="MS Gothic;ＭＳ ゴシック"/>
          <w:b/>
          <w:bCs/>
          <w:color w:val="000000"/>
          <w:sz w:val="28"/>
          <w:szCs w:val="28"/>
        </w:rPr>
        <w:t xml:space="preserve">◆ </w:t>
      </w:r>
      <w:r>
        <w:rPr>
          <w:rFonts w:ascii="仿宋_GB2312;仿宋" w:hAnsi="仿宋_GB2312;仿宋" w:eastAsia="仿宋_GB2312;仿宋"/>
          <w:b/>
          <w:bCs/>
          <w:color w:val="000000"/>
          <w:sz w:val="28"/>
          <w:szCs w:val="28"/>
          <w:u w:val="single"/>
        </w:rPr>
        <w:t>土地使用制度及土地管理政策：</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我国当前实行土地招拍挂制度。土地招拍挂制度是国家土地资源出让、买卖的招标、拍卖、挂牌制度的简称，具体是指国家在土地出让或者买卖程序中的“招标”“拍卖”“挂牌”交易的政策或规定。</w:t>
      </w:r>
      <w:r>
        <w:rPr>
          <w:rFonts w:eastAsia="仿宋" w:cs="Arial" w:ascii="Arial" w:hAnsi="Arial"/>
          <w:color w:val="000000"/>
          <w:kern w:val="2"/>
          <w:sz w:val="28"/>
          <w:szCs w:val="28"/>
        </w:rPr>
        <w:t>2004</w:t>
      </w:r>
      <w:r>
        <w:rPr>
          <w:rFonts w:ascii="Arial" w:hAnsi="Arial" w:cs="Arial" w:eastAsia="仿宋"/>
          <w:color w:val="000000"/>
          <w:kern w:val="2"/>
          <w:sz w:val="28"/>
          <w:szCs w:val="28"/>
        </w:rPr>
        <w:t>年，国土资源部颁布第</w:t>
      </w:r>
      <w:r>
        <w:rPr>
          <w:rFonts w:eastAsia="仿宋" w:cs="Arial" w:ascii="Arial" w:hAnsi="Arial"/>
          <w:color w:val="000000"/>
          <w:kern w:val="2"/>
          <w:sz w:val="28"/>
          <w:szCs w:val="28"/>
        </w:rPr>
        <w:t>71</w:t>
      </w:r>
      <w:r>
        <w:rPr>
          <w:rFonts w:ascii="Arial" w:hAnsi="Arial" w:cs="Arial" w:eastAsia="仿宋"/>
          <w:color w:val="000000"/>
          <w:kern w:val="2"/>
          <w:sz w:val="28"/>
          <w:szCs w:val="28"/>
        </w:rPr>
        <w:t>令，《关于继续开展经营性土地使用权招标拍卖挂牌出让情况执法监察工作的通知》，规定</w:t>
      </w:r>
      <w:r>
        <w:rPr>
          <w:rFonts w:eastAsia="仿宋" w:cs="Arial" w:ascii="Arial" w:hAnsi="Arial"/>
          <w:color w:val="000000"/>
          <w:kern w:val="2"/>
          <w:sz w:val="28"/>
          <w:szCs w:val="28"/>
        </w:rPr>
        <w:t>2004</w:t>
      </w:r>
      <w:r>
        <w:rPr>
          <w:rFonts w:ascii="Arial" w:hAnsi="Arial" w:cs="Arial" w:eastAsia="仿宋"/>
          <w:color w:val="000000"/>
          <w:kern w:val="2"/>
          <w:sz w:val="28"/>
          <w:szCs w:val="28"/>
        </w:rPr>
        <w:t>年</w:t>
      </w:r>
      <w:r>
        <w:rPr>
          <w:rFonts w:eastAsia="仿宋" w:cs="Arial" w:ascii="Arial" w:hAnsi="Arial"/>
          <w:color w:val="000000"/>
          <w:kern w:val="2"/>
          <w:sz w:val="28"/>
          <w:szCs w:val="28"/>
        </w:rPr>
        <w:t>8</w:t>
      </w:r>
      <w:r>
        <w:rPr>
          <w:rFonts w:ascii="Arial" w:hAnsi="Arial" w:cs="Arial" w:eastAsia="仿宋"/>
          <w:color w:val="000000"/>
          <w:kern w:val="2"/>
          <w:sz w:val="28"/>
          <w:szCs w:val="28"/>
        </w:rPr>
        <w:t>月</w:t>
      </w:r>
      <w:r>
        <w:rPr>
          <w:rFonts w:eastAsia="仿宋" w:cs="Arial" w:ascii="Arial" w:hAnsi="Arial"/>
          <w:color w:val="000000"/>
          <w:kern w:val="2"/>
          <w:sz w:val="28"/>
          <w:szCs w:val="28"/>
        </w:rPr>
        <w:t>31</w:t>
      </w:r>
      <w:r>
        <w:rPr>
          <w:rFonts w:ascii="Arial" w:hAnsi="Arial" w:cs="Arial" w:eastAsia="仿宋"/>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w:t>
      </w:r>
      <w:r>
        <w:rPr>
          <w:rFonts w:eastAsia="仿宋" w:cs="Arial" w:ascii="Arial" w:hAnsi="Arial"/>
          <w:color w:val="000000"/>
          <w:kern w:val="2"/>
          <w:sz w:val="28"/>
          <w:szCs w:val="28"/>
        </w:rPr>
        <w:t>1</w:t>
      </w:r>
      <w:r>
        <w:rPr>
          <w:rFonts w:ascii="Arial" w:hAnsi="Arial" w:cs="Arial" w:eastAsia="仿宋"/>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Pr>
          <w:rFonts w:eastAsia="仿宋" w:cs="Arial" w:ascii="Arial" w:hAnsi="Arial"/>
          <w:color w:val="000000"/>
          <w:kern w:val="2"/>
          <w:sz w:val="28"/>
          <w:szCs w:val="28"/>
        </w:rPr>
        <w:t>11</w:t>
      </w:r>
      <w:r>
        <w:rPr>
          <w:rFonts w:ascii="Arial" w:hAnsi="Arial" w:cs="Arial" w:eastAsia="仿宋"/>
          <w:color w:val="000000"/>
          <w:kern w:val="2"/>
          <w:sz w:val="28"/>
          <w:szCs w:val="28"/>
        </w:rPr>
        <w:t>类国土空间规划分区。</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w:t>
      </w:r>
      <w:r>
        <w:rPr>
          <w:rFonts w:eastAsia="仿宋" w:cs="Arial" w:ascii="Arial" w:hAnsi="Arial"/>
          <w:color w:val="000000"/>
          <w:kern w:val="2"/>
          <w:sz w:val="28"/>
          <w:szCs w:val="28"/>
        </w:rPr>
        <w:t>2</w:t>
      </w:r>
      <w:r>
        <w:rPr>
          <w:rFonts w:ascii="Arial" w:hAnsi="Arial" w:cs="Arial" w:eastAsia="仿宋"/>
          <w:color w:val="000000"/>
          <w:kern w:val="2"/>
          <w:sz w:val="28"/>
          <w:szCs w:val="28"/>
        </w:rPr>
        <w:t>）</w:t>
      </w:r>
      <w:r>
        <w:rPr>
          <w:rFonts w:ascii="Arial" w:hAnsi="Arial" w:cs="Arial" w:eastAsia="仿宋"/>
          <w:color w:val="000000"/>
          <w:kern w:val="2"/>
          <w:sz w:val="28"/>
          <w:szCs w:val="28"/>
        </w:rPr>
        <w:t>严守耕地规模底线，划定耕地保护空间。</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强化耕地保护，深化耕地保护空间与政策保障</w:t>
      </w:r>
      <w:r>
        <w:rPr>
          <w:rFonts w:ascii="Arial" w:hAnsi="Arial" w:cs="Arial" w:eastAsia="仿宋"/>
          <w:color w:val="000000"/>
          <w:kern w:val="2"/>
          <w:sz w:val="28"/>
          <w:szCs w:val="28"/>
        </w:rPr>
        <w:t>。</w:t>
      </w:r>
      <w:r>
        <w:rPr>
          <w:rFonts w:ascii="Arial" w:hAnsi="Arial" w:cs="Arial" w:eastAsia="仿宋"/>
          <w:color w:val="000000"/>
          <w:kern w:val="2"/>
          <w:sz w:val="28"/>
          <w:szCs w:val="28"/>
        </w:rPr>
        <w:t>完善耕地主动保护机制</w:t>
      </w:r>
      <w:r>
        <w:rPr>
          <w:rFonts w:ascii="Arial" w:hAnsi="Arial" w:cs="Arial" w:eastAsia="仿宋"/>
          <w:color w:val="000000"/>
          <w:kern w:val="2"/>
          <w:sz w:val="28"/>
          <w:szCs w:val="28"/>
        </w:rPr>
        <w:t>，</w:t>
      </w:r>
      <w:r>
        <w:rPr>
          <w:rFonts w:ascii="Arial" w:hAnsi="Arial" w:cs="Arial" w:eastAsia="仿宋"/>
          <w:color w:val="000000"/>
          <w:kern w:val="2"/>
          <w:sz w:val="28"/>
          <w:szCs w:val="28"/>
        </w:rPr>
        <w:t>出台《落实城市总体规划统筹推进耕地和永久基本农田保护工作实施方案（试行）》</w:t>
      </w:r>
      <w:r>
        <w:rPr>
          <w:rFonts w:ascii="Arial" w:hAnsi="Arial" w:cs="Arial" w:eastAsia="仿宋"/>
          <w:color w:val="000000"/>
          <w:kern w:val="2"/>
          <w:sz w:val="28"/>
          <w:szCs w:val="28"/>
        </w:rPr>
        <w:t>、</w:t>
      </w:r>
      <w:r>
        <w:rPr>
          <w:rFonts w:ascii="Arial" w:hAnsi="Arial" w:cs="Arial" w:eastAsia="仿宋"/>
          <w:color w:val="000000"/>
          <w:kern w:val="2"/>
          <w:sz w:val="28"/>
          <w:szCs w:val="28"/>
        </w:rPr>
        <w:t>《北京市耕地保护责任目标考核办法》</w:t>
      </w:r>
      <w:r>
        <w:rPr>
          <w:rFonts w:ascii="Arial" w:hAnsi="Arial" w:cs="Arial" w:eastAsia="仿宋"/>
          <w:color w:val="000000"/>
          <w:kern w:val="2"/>
          <w:sz w:val="28"/>
          <w:szCs w:val="28"/>
        </w:rPr>
        <w:t>、</w:t>
      </w:r>
      <w:r>
        <w:rPr>
          <w:rFonts w:ascii="Arial" w:hAnsi="Arial" w:cs="Arial" w:eastAsia="仿宋"/>
          <w:color w:val="000000"/>
          <w:kern w:val="2"/>
          <w:sz w:val="28"/>
          <w:szCs w:val="28"/>
        </w:rPr>
        <w:t>《北京市耕地保护补偿资金管理暂行办法》，签订《耕地保护目标管理暨永久基本农田保护责任书》，全面推行四级田长制，压实耕地保护主体责任。</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w:t>
      </w:r>
      <w:r>
        <w:rPr>
          <w:rFonts w:eastAsia="仿宋" w:cs="Arial" w:ascii="Arial" w:hAnsi="Arial"/>
          <w:color w:val="000000"/>
          <w:kern w:val="2"/>
          <w:sz w:val="28"/>
          <w:szCs w:val="28"/>
        </w:rPr>
        <w:t>3</w:t>
      </w:r>
      <w:r>
        <w:rPr>
          <w:rFonts w:ascii="Arial" w:hAnsi="Arial" w:cs="Arial" w:eastAsia="仿宋"/>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Pr>
          <w:rFonts w:eastAsia="仿宋" w:cs="Arial" w:ascii="Arial" w:hAnsi="Arial"/>
          <w:color w:val="000000"/>
          <w:kern w:val="2"/>
          <w:sz w:val="28"/>
          <w:szCs w:val="28"/>
        </w:rPr>
        <w:t>51%</w:t>
      </w:r>
      <w:r>
        <w:rPr>
          <w:rFonts w:ascii="Arial" w:hAnsi="Arial" w:cs="Arial" w:eastAsia="仿宋"/>
          <w:color w:val="000000"/>
          <w:kern w:val="2"/>
          <w:sz w:val="28"/>
          <w:szCs w:val="28"/>
        </w:rPr>
        <w:t>提升至“十三五”时期的</w:t>
      </w:r>
      <w:r>
        <w:rPr>
          <w:rFonts w:eastAsia="仿宋" w:cs="Arial" w:ascii="Arial" w:hAnsi="Arial"/>
          <w:color w:val="000000"/>
          <w:kern w:val="2"/>
          <w:sz w:val="28"/>
          <w:szCs w:val="28"/>
        </w:rPr>
        <w:t>55%</w:t>
      </w:r>
      <w:r>
        <w:rPr>
          <w:rFonts w:ascii="Arial" w:hAnsi="Arial" w:cs="Arial" w:eastAsia="仿宋"/>
          <w:color w:val="000000"/>
          <w:kern w:val="2"/>
          <w:sz w:val="28"/>
          <w:szCs w:val="28"/>
        </w:rPr>
        <w:t>以上</w:t>
      </w:r>
      <w:r>
        <w:rPr>
          <w:rFonts w:eastAsia="仿宋" w:cs="Arial" w:ascii="Arial" w:hAnsi="Arial"/>
          <w:color w:val="000000"/>
          <w:kern w:val="2"/>
          <w:sz w:val="28"/>
          <w:szCs w:val="28"/>
        </w:rPr>
        <w:t>.</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w:t>
      </w:r>
      <w:r>
        <w:rPr>
          <w:rFonts w:eastAsia="仿宋" w:cs="Arial" w:ascii="Arial" w:hAnsi="Arial"/>
          <w:color w:val="000000"/>
          <w:kern w:val="2"/>
          <w:sz w:val="28"/>
          <w:szCs w:val="28"/>
        </w:rPr>
        <w:t>4</w:t>
      </w:r>
      <w:r>
        <w:rPr>
          <w:rFonts w:ascii="Arial" w:hAnsi="Arial" w:cs="Arial" w:eastAsia="仿宋"/>
          <w:color w:val="000000"/>
          <w:kern w:val="2"/>
          <w:sz w:val="28"/>
          <w:szCs w:val="28"/>
        </w:rPr>
        <w:t>）</w:t>
      </w:r>
      <w:r>
        <w:rPr>
          <w:rFonts w:ascii="Arial" w:hAnsi="Arial" w:cs="Arial" w:eastAsia="仿宋"/>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两图合一”规划编制技术指南》《北京市国土空间规划分区和用途管制规则》等一系列政策文件，初步建立首都“三级三类”国土空间规划体系，不断完善首都国土空间治理体系，着力提高国土空间治理能力现代化水平。</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一张底图”。建立北京市国有自然资源报告工作制度，自然资源统一调查、监测、确权、配置、评价、监督的管理制度逐步建立。</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加强推进农村土地管理改革。制定《关于进一步加强农村集体土地管理加快建立健全“村地区管”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pPr>
        <w:pStyle w:val="Normal"/>
        <w:numPr>
          <w:ilvl w:val="0"/>
          <w:numId w:val="0"/>
        </w:numPr>
        <w:spacing w:lineRule="auto" w:line="360"/>
        <w:ind w:firstLine="560"/>
        <w:jc w:val="both"/>
        <w:outlineLvl w:val="0"/>
        <w:rPr/>
      </w:pPr>
      <w:r>
        <w:rPr>
          <w:rFonts w:eastAsia="仿宋" w:cs="Arial" w:ascii="Arial" w:hAnsi="Arial"/>
          <w:color w:val="000000"/>
          <w:kern w:val="2"/>
          <w:sz w:val="28"/>
          <w:szCs w:val="28"/>
        </w:rPr>
        <w:t>2022</w:t>
      </w:r>
      <w:r>
        <w:rPr>
          <w:rFonts w:ascii="Arial" w:hAnsi="Arial" w:cs="Arial" w:eastAsia="仿宋"/>
          <w:color w:val="000000"/>
          <w:kern w:val="2"/>
          <w:sz w:val="28"/>
          <w:szCs w:val="28"/>
        </w:rPr>
        <w:t>年北京市人民政府关于印发《北京市“十四五”时期土地资源保护利用规划》的通知，要求全市继续</w:t>
      </w:r>
      <w:r>
        <w:rPr>
          <w:rFonts w:ascii="Arial" w:hAnsi="Arial" w:cs="Arial" w:eastAsia="仿宋"/>
          <w:color w:val="000000"/>
          <w:kern w:val="2"/>
          <w:sz w:val="28"/>
          <w:szCs w:val="28"/>
        </w:rPr>
        <w:t>统筹土地资源保护和利用工作，强化科学布局、整体保护、系统修复、高效利用、综合治理</w:t>
      </w:r>
      <w:r>
        <w:rPr>
          <w:rFonts w:ascii="Arial" w:hAnsi="Arial" w:cs="Arial" w:eastAsia="仿宋"/>
          <w:color w:val="000000"/>
          <w:kern w:val="2"/>
          <w:sz w:val="28"/>
          <w:szCs w:val="28"/>
        </w:rPr>
        <w:t>。</w:t>
      </w:r>
    </w:p>
    <w:p>
      <w:pPr>
        <w:pStyle w:val="Normal"/>
        <w:spacing w:lineRule="auto" w:line="360"/>
        <w:ind w:right="205" w:hanging="0"/>
        <w:jc w:val="both"/>
        <w:rPr/>
      </w:pPr>
      <w:r>
        <w:rPr>
          <w:rFonts w:ascii="MS Gothic;ＭＳ ゴシック" w:hAnsi="MS Gothic;ＭＳ ゴシック" w:cs="MS Gothic;ＭＳ ゴシック" w:eastAsia="MS Gothic;ＭＳ ゴシック"/>
          <w:b/>
          <w:bCs/>
          <w:color w:val="000000"/>
          <w:sz w:val="28"/>
          <w:szCs w:val="28"/>
        </w:rPr>
        <w:t xml:space="preserve">◆ </w:t>
      </w:r>
      <w:r>
        <w:rPr>
          <w:rFonts w:ascii="仿宋_GB2312;仿宋" w:hAnsi="仿宋_GB2312;仿宋" w:eastAsia="仿宋_GB2312;仿宋"/>
          <w:b/>
          <w:bCs/>
          <w:color w:val="000000"/>
          <w:sz w:val="28"/>
          <w:szCs w:val="28"/>
          <w:u w:val="single"/>
        </w:rPr>
        <w:t>住房制度与不动产管理政策：</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ascii="Arial" w:hAnsi="Arial" w:cs="Arial" w:eastAsia="仿宋"/>
          <w:color w:val="000000"/>
          <w:kern w:val="2"/>
          <w:sz w:val="28"/>
          <w:szCs w:val="28"/>
        </w:rPr>
        <w:t>根据</w:t>
      </w:r>
      <w:r>
        <w:rPr>
          <w:rFonts w:eastAsia="仿宋" w:cs="Arial" w:ascii="Arial" w:hAnsi="Arial"/>
          <w:color w:val="000000"/>
          <w:kern w:val="2"/>
          <w:sz w:val="28"/>
          <w:szCs w:val="28"/>
        </w:rPr>
        <w:t>2022</w:t>
      </w:r>
      <w:r>
        <w:rPr>
          <w:rFonts w:ascii="Arial" w:hAnsi="Arial" w:cs="Arial" w:eastAsia="仿宋"/>
          <w:color w:val="000000"/>
          <w:kern w:val="2"/>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pPr>
        <w:pStyle w:val="Normal"/>
        <w:numPr>
          <w:ilvl w:val="0"/>
          <w:numId w:val="0"/>
        </w:numPr>
        <w:spacing w:lineRule="auto" w:line="360"/>
        <w:ind w:firstLine="560"/>
        <w:jc w:val="both"/>
        <w:outlineLvl w:val="0"/>
        <w:rPr>
          <w:rFonts w:ascii="Arial" w:hAnsi="Arial" w:eastAsia="仿宋" w:cs="Arial"/>
          <w:color w:val="000000"/>
          <w:kern w:val="2"/>
          <w:sz w:val="28"/>
          <w:szCs w:val="28"/>
        </w:rPr>
      </w:pPr>
      <w:r>
        <w:rPr>
          <w:rFonts w:eastAsia="仿宋" w:cs="Arial" w:ascii="Arial" w:hAnsi="Arial"/>
          <w:color w:val="000000"/>
          <w:kern w:val="2"/>
          <w:sz w:val="28"/>
          <w:szCs w:val="28"/>
        </w:rPr>
        <w:t>2022</w:t>
      </w:r>
      <w:r>
        <w:rPr>
          <w:rFonts w:ascii="Arial" w:hAnsi="Arial" w:cs="Arial" w:eastAsia="仿宋"/>
          <w:color w:val="000000"/>
          <w:kern w:val="2"/>
          <w:sz w:val="28"/>
          <w:szCs w:val="28"/>
        </w:rPr>
        <w:t>年</w:t>
      </w:r>
      <w:r>
        <w:rPr>
          <w:rFonts w:eastAsia="仿宋" w:cs="Arial" w:ascii="Arial" w:hAnsi="Arial"/>
          <w:color w:val="000000"/>
          <w:kern w:val="2"/>
          <w:sz w:val="28"/>
          <w:szCs w:val="28"/>
        </w:rPr>
        <w:t>8</w:t>
      </w:r>
      <w:r>
        <w:rPr>
          <w:rFonts w:ascii="Arial" w:hAnsi="Arial" w:cs="Arial" w:eastAsia="仿宋"/>
          <w:color w:val="000000"/>
          <w:kern w:val="2"/>
          <w:sz w:val="28"/>
          <w:szCs w:val="28"/>
        </w:rPr>
        <w:t>月</w:t>
      </w:r>
      <w:r>
        <w:rPr>
          <w:rFonts w:eastAsia="仿宋" w:cs="Arial" w:ascii="Arial" w:hAnsi="Arial"/>
          <w:color w:val="000000"/>
          <w:kern w:val="2"/>
          <w:sz w:val="28"/>
          <w:szCs w:val="28"/>
        </w:rPr>
        <w:t>5</w:t>
      </w:r>
      <w:r>
        <w:rPr>
          <w:rFonts w:ascii="Arial" w:hAnsi="Arial" w:cs="Arial" w:eastAsia="仿宋"/>
          <w:color w:val="000000"/>
          <w:kern w:val="2"/>
          <w:sz w:val="28"/>
          <w:szCs w:val="28"/>
        </w:rPr>
        <w:t>日，北京市住建委正式发布《北京住房和城乡建设发展白皮书（</w:t>
      </w:r>
      <w:r>
        <w:rPr>
          <w:rFonts w:eastAsia="仿宋" w:cs="Arial" w:ascii="Arial" w:hAnsi="Arial"/>
          <w:color w:val="000000"/>
          <w:kern w:val="2"/>
          <w:sz w:val="28"/>
          <w:szCs w:val="28"/>
        </w:rPr>
        <w:t>2022</w:t>
      </w:r>
      <w:r>
        <w:rPr>
          <w:rFonts w:ascii="Arial" w:hAnsi="Arial" w:cs="Arial" w:eastAsia="仿宋"/>
          <w:color w:val="000000"/>
          <w:kern w:val="2"/>
          <w:sz w:val="28"/>
          <w:szCs w:val="28"/>
        </w:rPr>
        <w:t>）》，围绕“三稳”目标下功夫，加快构建公租房等住房保障体系。</w:t>
      </w:r>
    </w:p>
    <w:p>
      <w:pPr>
        <w:pStyle w:val="Normal"/>
        <w:numPr>
          <w:ilvl w:val="0"/>
          <w:numId w:val="0"/>
        </w:numPr>
        <w:spacing w:lineRule="auto" w:line="360"/>
        <w:ind w:firstLine="560"/>
        <w:jc w:val="both"/>
        <w:outlineLvl w:val="0"/>
        <w:rPr/>
      </w:pPr>
      <w:r>
        <w:rPr>
          <w:rFonts w:eastAsia="仿宋" w:cs="Arial" w:ascii="Arial" w:hAnsi="Arial"/>
          <w:color w:val="000000"/>
          <w:kern w:val="2"/>
          <w:sz w:val="28"/>
          <w:szCs w:val="28"/>
        </w:rPr>
        <w:t>2023</w:t>
      </w:r>
      <w:r>
        <w:rPr>
          <w:rFonts w:ascii="Arial" w:hAnsi="Arial" w:cs="Arial" w:eastAsia="仿宋"/>
          <w:color w:val="000000"/>
          <w:kern w:val="2"/>
          <w:sz w:val="28"/>
          <w:szCs w:val="28"/>
        </w:rPr>
        <w:t>年</w:t>
      </w:r>
      <w:r>
        <w:rPr>
          <w:rFonts w:eastAsia="仿宋_GB2312;仿宋" w:cs="Arial" w:ascii="Arial" w:hAnsi="Arial"/>
          <w:bCs/>
          <w:color w:val="000000"/>
          <w:sz w:val="28"/>
          <w:szCs w:val="28"/>
        </w:rPr>
        <w:t>2</w:t>
      </w:r>
      <w:r>
        <w:rPr>
          <w:rFonts w:ascii="Arial" w:hAnsi="Arial" w:cs="Arial" w:eastAsia="仿宋_GB2312;仿宋"/>
          <w:bCs/>
          <w:color w:val="000000"/>
          <w:sz w:val="28"/>
          <w:szCs w:val="28"/>
        </w:rPr>
        <w:t>月</w:t>
      </w:r>
      <w:r>
        <w:rPr>
          <w:rFonts w:eastAsia="仿宋_GB2312;仿宋" w:cs="Arial" w:ascii="Arial" w:hAnsi="Arial"/>
          <w:bCs/>
          <w:color w:val="000000"/>
          <w:sz w:val="28"/>
          <w:szCs w:val="28"/>
        </w:rPr>
        <w:t>22</w:t>
      </w:r>
      <w:r>
        <w:rPr>
          <w:rFonts w:ascii="Arial" w:hAnsi="Arial" w:cs="Arial" w:eastAsia="仿宋_GB2312;仿宋"/>
          <w:bCs/>
          <w:color w:val="000000"/>
          <w:sz w:val="28"/>
          <w:szCs w:val="28"/>
        </w:rPr>
        <w:t>日，北京规自委、北京发改委联合发布《北京市</w:t>
      </w:r>
      <w:r>
        <w:rPr>
          <w:rFonts w:eastAsia="仿宋_GB2312;仿宋" w:cs="Arial" w:ascii="Arial" w:hAnsi="Arial"/>
          <w:bCs/>
          <w:color w:val="000000"/>
          <w:sz w:val="28"/>
          <w:szCs w:val="28"/>
        </w:rPr>
        <w:t>2023</w:t>
      </w:r>
      <w:r>
        <w:rPr>
          <w:rFonts w:ascii="Arial" w:hAnsi="Arial" w:cs="Arial" w:eastAsia="仿宋_GB2312;仿宋"/>
          <w:bCs/>
          <w:color w:val="000000"/>
          <w:sz w:val="28"/>
          <w:szCs w:val="28"/>
        </w:rPr>
        <w:t>年度建设用地供应计划》。计划安排建设用地供应总量</w:t>
      </w:r>
      <w:r>
        <w:rPr>
          <w:rFonts w:eastAsia="仿宋_GB2312;仿宋" w:cs="Arial" w:ascii="Arial" w:hAnsi="Arial"/>
          <w:bCs/>
          <w:color w:val="000000"/>
          <w:sz w:val="28"/>
          <w:szCs w:val="28"/>
        </w:rPr>
        <w:t>3190-3630</w:t>
      </w:r>
      <w:r>
        <w:rPr>
          <w:rFonts w:ascii="Arial" w:hAnsi="Arial" w:cs="Arial" w:eastAsia="仿宋_GB2312;仿宋"/>
          <w:bCs/>
          <w:color w:val="000000"/>
          <w:sz w:val="28"/>
          <w:szCs w:val="28"/>
        </w:rPr>
        <w:t>公顷，与</w:t>
      </w:r>
      <w:r>
        <w:rPr>
          <w:rFonts w:eastAsia="仿宋_GB2312;仿宋" w:cs="Arial" w:ascii="Arial" w:hAnsi="Arial"/>
          <w:bCs/>
          <w:color w:val="000000"/>
          <w:sz w:val="28"/>
          <w:szCs w:val="28"/>
        </w:rPr>
        <w:t>2022</w:t>
      </w:r>
      <w:r>
        <w:rPr>
          <w:rFonts w:ascii="Arial" w:hAnsi="Arial" w:cs="Arial" w:eastAsia="仿宋_GB2312;仿宋"/>
          <w:bCs/>
          <w:color w:val="000000"/>
          <w:sz w:val="28"/>
          <w:szCs w:val="28"/>
        </w:rPr>
        <w:t>年基本持平。其中，住宅用地</w:t>
      </w:r>
      <w:r>
        <w:rPr>
          <w:rFonts w:eastAsia="仿宋_GB2312;仿宋" w:cs="Arial" w:ascii="Arial" w:hAnsi="Arial"/>
          <w:bCs/>
          <w:color w:val="000000"/>
          <w:sz w:val="28"/>
          <w:szCs w:val="28"/>
        </w:rPr>
        <w:t>1060</w:t>
      </w:r>
      <w:r>
        <w:rPr>
          <w:rFonts w:ascii="Arial" w:hAnsi="Arial" w:cs="Arial" w:eastAsia="仿宋_GB2312;仿宋"/>
          <w:bCs/>
          <w:color w:val="000000"/>
          <w:sz w:val="28"/>
          <w:szCs w:val="28"/>
        </w:rPr>
        <w:t>公顷（产权住宅用地</w:t>
      </w:r>
      <w:r>
        <w:rPr>
          <w:rFonts w:eastAsia="仿宋_GB2312;仿宋" w:cs="Arial" w:ascii="Arial" w:hAnsi="Arial"/>
          <w:bCs/>
          <w:color w:val="000000"/>
          <w:sz w:val="28"/>
          <w:szCs w:val="28"/>
        </w:rPr>
        <w:t>800</w:t>
      </w:r>
      <w:r>
        <w:rPr>
          <w:rFonts w:ascii="Arial" w:hAnsi="Arial" w:cs="Arial" w:eastAsia="仿宋_GB2312;仿宋"/>
          <w:bCs/>
          <w:color w:val="000000"/>
          <w:sz w:val="28"/>
          <w:szCs w:val="28"/>
        </w:rPr>
        <w:t>公顷，租赁住宅用地</w:t>
      </w:r>
      <w:r>
        <w:rPr>
          <w:rFonts w:eastAsia="仿宋_GB2312;仿宋" w:cs="Arial" w:ascii="Arial" w:hAnsi="Arial"/>
          <w:bCs/>
          <w:color w:val="000000"/>
          <w:sz w:val="28"/>
          <w:szCs w:val="28"/>
        </w:rPr>
        <w:t>260</w:t>
      </w:r>
      <w:r>
        <w:rPr>
          <w:rFonts w:ascii="Arial" w:hAnsi="Arial" w:cs="Arial" w:eastAsia="仿宋_GB2312;仿宋"/>
          <w:bCs/>
          <w:color w:val="000000"/>
          <w:sz w:val="28"/>
          <w:szCs w:val="28"/>
        </w:rPr>
        <w:t>公顷）。从各区供应计划来看，供地重点向城市副中心和多点地区倾斜，促进土地资源合理配置。中心城区、生态涵养区的供应比例均保持在</w:t>
      </w:r>
      <w:r>
        <w:rPr>
          <w:rFonts w:eastAsia="仿宋_GB2312;仿宋" w:cs="Arial" w:ascii="Arial" w:hAnsi="Arial"/>
          <w:bCs/>
          <w:color w:val="000000"/>
          <w:sz w:val="28"/>
          <w:szCs w:val="28"/>
        </w:rPr>
        <w:t>20%</w:t>
      </w:r>
      <w:r>
        <w:rPr>
          <w:rFonts w:ascii="Arial" w:hAnsi="Arial" w:cs="Arial" w:eastAsia="仿宋_GB2312;仿宋"/>
          <w:bCs/>
          <w:color w:val="000000"/>
          <w:sz w:val="28"/>
          <w:szCs w:val="28"/>
        </w:rPr>
        <w:t>左右，城市副中心和多点地区供应比率稳定在</w:t>
      </w:r>
      <w:r>
        <w:rPr>
          <w:rFonts w:eastAsia="仿宋_GB2312;仿宋" w:cs="Arial" w:ascii="Arial" w:hAnsi="Arial"/>
          <w:bCs/>
          <w:color w:val="000000"/>
          <w:sz w:val="28"/>
          <w:szCs w:val="28"/>
        </w:rPr>
        <w:t>60%</w:t>
      </w:r>
      <w:r>
        <w:rPr>
          <w:rFonts w:ascii="Arial" w:hAnsi="Arial" w:cs="Arial" w:eastAsia="仿宋_GB2312;仿宋"/>
          <w:bCs/>
          <w:color w:val="000000"/>
          <w:sz w:val="28"/>
          <w:szCs w:val="28"/>
        </w:rPr>
        <w:t>左右</w:t>
      </w:r>
      <w:r>
        <w:rPr>
          <w:rFonts w:ascii="Arial" w:hAnsi="Arial" w:cs="Arial" w:eastAsia="仿宋"/>
          <w:color w:val="000000"/>
          <w:kern w:val="2"/>
          <w:sz w:val="28"/>
          <w:szCs w:val="28"/>
        </w:rPr>
        <w:t>。另外，继续加大向租赁住房倾斜力度，单列租赁住房用地计划，重点通过新建、改建、人才公租房纳统、市场房源、零散房源筹集等</w:t>
      </w:r>
      <w:r>
        <w:rPr>
          <w:rFonts w:eastAsia="仿宋" w:cs="Arial" w:ascii="Arial" w:hAnsi="Arial"/>
          <w:color w:val="000000"/>
          <w:kern w:val="2"/>
          <w:sz w:val="28"/>
          <w:szCs w:val="28"/>
        </w:rPr>
        <w:t>6</w:t>
      </w:r>
      <w:r>
        <w:rPr>
          <w:rFonts w:ascii="Arial" w:hAnsi="Arial" w:cs="Arial" w:eastAsia="仿宋"/>
          <w:color w:val="000000"/>
          <w:kern w:val="2"/>
          <w:sz w:val="28"/>
          <w:szCs w:val="28"/>
        </w:rPr>
        <w:t>种方式，充分发挥市场机制作用，积极引导多主体、多渠道建设筹集保障性租赁住房，保障新市民、新青年住房需求。</w:t>
      </w:r>
    </w:p>
    <w:p>
      <w:pPr>
        <w:pStyle w:val="Normal"/>
        <w:numPr>
          <w:ilvl w:val="0"/>
          <w:numId w:val="0"/>
        </w:numPr>
        <w:spacing w:lineRule="auto" w:line="360"/>
        <w:ind w:firstLine="560"/>
        <w:jc w:val="both"/>
        <w:outlineLvl w:val="0"/>
        <w:rPr/>
      </w:pPr>
      <w:r>
        <w:rPr>
          <w:rFonts w:eastAsia="仿宋" w:cs="Arial" w:ascii="Arial" w:hAnsi="Arial"/>
          <w:color w:val="000000"/>
          <w:kern w:val="2"/>
          <w:sz w:val="28"/>
          <w:szCs w:val="28"/>
        </w:rPr>
        <w:t>2023</w:t>
      </w:r>
      <w:r>
        <w:rPr>
          <w:rFonts w:ascii="Arial" w:hAnsi="Arial" w:cs="Arial" w:eastAsia="仿宋"/>
          <w:color w:val="000000"/>
          <w:kern w:val="2"/>
          <w:sz w:val="28"/>
          <w:szCs w:val="28"/>
        </w:rPr>
        <w:t>年</w:t>
      </w:r>
      <w:r>
        <w:rPr>
          <w:rFonts w:eastAsia="仿宋" w:cs="Arial" w:ascii="Arial" w:hAnsi="Arial"/>
          <w:color w:val="000000"/>
          <w:kern w:val="2"/>
          <w:sz w:val="28"/>
          <w:szCs w:val="28"/>
        </w:rPr>
        <w:t>4</w:t>
      </w:r>
      <w:r>
        <w:rPr>
          <w:rFonts w:ascii="Arial" w:hAnsi="Arial" w:cs="Arial" w:eastAsia="仿宋"/>
          <w:color w:val="000000"/>
          <w:kern w:val="2"/>
          <w:sz w:val="28"/>
          <w:szCs w:val="28"/>
        </w:rPr>
        <w:t>月</w:t>
      </w:r>
      <w:r>
        <w:rPr>
          <w:rFonts w:eastAsia="仿宋" w:cs="Arial" w:ascii="Arial" w:hAnsi="Arial"/>
          <w:color w:val="000000"/>
          <w:kern w:val="2"/>
          <w:sz w:val="28"/>
          <w:szCs w:val="28"/>
        </w:rPr>
        <w:t>25</w:t>
      </w:r>
      <w:r>
        <w:rPr>
          <w:rFonts w:ascii="Arial" w:hAnsi="Arial" w:cs="Arial" w:eastAsia="仿宋"/>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pPr>
        <w:pStyle w:val="Normal"/>
        <w:spacing w:lineRule="auto" w:line="360"/>
        <w:ind w:right="205" w:hanging="0"/>
        <w:jc w:val="both"/>
        <w:rPr>
          <w:rFonts w:ascii="Arial" w:hAnsi="Arial" w:eastAsia="仿宋_GB2312;仿宋" w:cs="Arial"/>
          <w:b/>
          <w:b/>
          <w:bCs/>
          <w:color w:val="000000"/>
          <w:sz w:val="28"/>
          <w:szCs w:val="28"/>
        </w:rPr>
      </w:pPr>
      <w:r>
        <w:rPr>
          <w:rFonts w:ascii="MS Gothic;ＭＳ ゴシック" w:hAnsi="MS Gothic;ＭＳ ゴシック" w:cs="MS Gothic;ＭＳ ゴシック" w:eastAsia="MS Gothic;ＭＳ ゴシック"/>
          <w:b/>
          <w:bCs/>
          <w:color w:val="000000"/>
          <w:sz w:val="28"/>
          <w:szCs w:val="28"/>
        </w:rPr>
        <w:t xml:space="preserve">◆ </w:t>
      </w:r>
      <w:r>
        <w:rPr>
          <w:rFonts w:ascii="Arial" w:hAnsi="Arial" w:cs="Arial" w:eastAsia="仿宋_GB2312;仿宋"/>
          <w:b/>
          <w:bCs/>
          <w:color w:val="000000"/>
          <w:sz w:val="28"/>
          <w:szCs w:val="28"/>
        </w:rPr>
        <w:t>不动产</w:t>
      </w:r>
      <w:r>
        <w:rPr>
          <w:rFonts w:ascii="Arial" w:hAnsi="Arial" w:cs="Arial" w:eastAsia="仿宋_GB2312;仿宋"/>
          <w:b/>
          <w:bCs/>
          <w:color w:val="000000"/>
          <w:sz w:val="28"/>
          <w:szCs w:val="28"/>
        </w:rPr>
        <w:t>市场状况</w:t>
      </w:r>
    </w:p>
    <w:p>
      <w:pPr>
        <w:pStyle w:val="Normal"/>
        <w:spacing w:lineRule="auto" w:line="360"/>
        <w:ind w:firstLine="560"/>
        <w:jc w:val="both"/>
        <w:rPr>
          <w:rFonts w:ascii="Arial" w:hAnsi="Arial" w:eastAsia="仿宋_GB2312;仿宋" w:cs="Arial"/>
          <w:bCs/>
          <w:color w:val="000000"/>
          <w:sz w:val="28"/>
          <w:szCs w:val="28"/>
        </w:rPr>
      </w:pPr>
      <w:r>
        <w:rPr>
          <w:rFonts w:ascii="Arial" w:hAnsi="Arial" w:cs="Arial" w:eastAsia="仿宋_GB2312;仿宋"/>
          <w:bCs/>
          <w:color w:val="000000"/>
          <w:sz w:val="28"/>
          <w:szCs w:val="28"/>
        </w:rPr>
        <w:t>（</w:t>
      </w:r>
      <w:r>
        <w:rPr>
          <w:rFonts w:eastAsia="仿宋_GB2312;仿宋" w:cs="Arial" w:ascii="Arial" w:hAnsi="Arial"/>
          <w:bCs/>
          <w:color w:val="000000"/>
          <w:sz w:val="28"/>
          <w:szCs w:val="28"/>
        </w:rPr>
        <w:t>1</w:t>
      </w:r>
      <w:r>
        <w:rPr>
          <w:rFonts w:ascii="Arial" w:hAnsi="Arial" w:cs="Arial" w:eastAsia="仿宋_GB2312;仿宋"/>
          <w:bCs/>
          <w:color w:val="000000"/>
          <w:sz w:val="28"/>
          <w:szCs w:val="28"/>
        </w:rPr>
        <w:t>）土地供应及成交</w:t>
      </w:r>
    </w:p>
    <w:p>
      <w:pPr>
        <w:pStyle w:val="Normal"/>
        <w:spacing w:lineRule="auto" w:line="360"/>
        <w:ind w:firstLine="560"/>
        <w:jc w:val="both"/>
        <w:rPr/>
      </w:pPr>
      <w:r>
        <w:rPr>
          <w:rFonts w:eastAsia="仿宋_GB2312;仿宋" w:cs="Arial" w:ascii="Arial" w:hAnsi="Arial"/>
          <w:bCs/>
          <w:color w:val="000000"/>
          <w:sz w:val="28"/>
          <w:szCs w:val="28"/>
        </w:rPr>
        <w:t>2023</w:t>
      </w:r>
      <w:r>
        <w:rPr>
          <w:rFonts w:ascii="Arial" w:hAnsi="Arial" w:cs="Arial" w:eastAsia="仿宋_GB2312;仿宋"/>
          <w:bCs/>
          <w:color w:val="000000"/>
          <w:sz w:val="28"/>
          <w:szCs w:val="28"/>
        </w:rPr>
        <w:t>年北京计划供应产业用地</w:t>
      </w:r>
      <w:r>
        <w:rPr>
          <w:rFonts w:eastAsia="仿宋_GB2312;仿宋" w:cs="Arial" w:ascii="Arial" w:hAnsi="Arial"/>
          <w:bCs/>
          <w:color w:val="000000"/>
          <w:sz w:val="28"/>
          <w:szCs w:val="28"/>
        </w:rPr>
        <w:t>480~520</w:t>
      </w:r>
      <w:r>
        <w:rPr>
          <w:rFonts w:ascii="Arial" w:hAnsi="Arial" w:cs="Arial" w:eastAsia="仿宋_GB2312;仿宋"/>
          <w:bCs/>
          <w:color w:val="000000"/>
          <w:sz w:val="28"/>
          <w:szCs w:val="28"/>
        </w:rPr>
        <w:t>公顷，其中研发用地</w:t>
      </w:r>
      <w:r>
        <w:rPr>
          <w:rFonts w:eastAsia="仿宋_GB2312;仿宋" w:cs="Arial" w:ascii="Arial" w:hAnsi="Arial"/>
          <w:bCs/>
          <w:color w:val="000000"/>
          <w:sz w:val="28"/>
          <w:szCs w:val="28"/>
        </w:rPr>
        <w:t>90</w:t>
      </w:r>
      <w:r>
        <w:rPr>
          <w:rFonts w:ascii="Arial" w:hAnsi="Arial" w:cs="Arial" w:eastAsia="仿宋_GB2312;仿宋"/>
          <w:bCs/>
          <w:color w:val="000000"/>
          <w:sz w:val="28"/>
          <w:szCs w:val="28"/>
        </w:rPr>
        <w:t>公顷、工业用地</w:t>
      </w:r>
      <w:r>
        <w:rPr>
          <w:rFonts w:eastAsia="仿宋_GB2312;仿宋" w:cs="Arial" w:ascii="Arial" w:hAnsi="Arial"/>
          <w:bCs/>
          <w:color w:val="000000"/>
          <w:sz w:val="28"/>
          <w:szCs w:val="28"/>
        </w:rPr>
        <w:t>240</w:t>
      </w:r>
      <w:r>
        <w:rPr>
          <w:rFonts w:ascii="Arial" w:hAnsi="Arial" w:cs="Arial" w:eastAsia="仿宋_GB2312;仿宋"/>
          <w:bCs/>
          <w:color w:val="000000"/>
          <w:sz w:val="28"/>
          <w:szCs w:val="28"/>
        </w:rPr>
        <w:t>公顷、物流仓储用地</w:t>
      </w:r>
      <w:r>
        <w:rPr>
          <w:rFonts w:eastAsia="仿宋_GB2312;仿宋" w:cs="Arial" w:ascii="Arial" w:hAnsi="Arial"/>
          <w:bCs/>
          <w:color w:val="000000"/>
          <w:sz w:val="28"/>
          <w:szCs w:val="28"/>
        </w:rPr>
        <w:t>60</w:t>
      </w:r>
      <w:r>
        <w:rPr>
          <w:rFonts w:ascii="Arial" w:hAnsi="Arial" w:cs="Arial" w:eastAsia="仿宋_GB2312;仿宋"/>
          <w:bCs/>
          <w:color w:val="000000"/>
          <w:sz w:val="28"/>
          <w:szCs w:val="28"/>
        </w:rPr>
        <w:t>公顷、商服用地</w:t>
      </w:r>
      <w:r>
        <w:rPr>
          <w:rFonts w:eastAsia="仿宋_GB2312;仿宋" w:cs="Arial" w:ascii="Arial" w:hAnsi="Arial"/>
          <w:bCs/>
          <w:color w:val="000000"/>
          <w:sz w:val="28"/>
          <w:szCs w:val="28"/>
        </w:rPr>
        <w:t>90</w:t>
      </w:r>
      <w:r>
        <w:rPr>
          <w:rFonts w:ascii="Arial" w:hAnsi="Arial" w:cs="Arial" w:eastAsia="仿宋_GB2312;仿宋"/>
          <w:bCs/>
          <w:color w:val="000000"/>
          <w:sz w:val="28"/>
          <w:szCs w:val="28"/>
        </w:rPr>
        <w:t>公顷，乡村产业用地</w:t>
      </w:r>
      <w:r>
        <w:rPr>
          <w:rFonts w:eastAsia="仿宋_GB2312;仿宋" w:cs="Arial" w:ascii="Arial" w:hAnsi="Arial"/>
          <w:bCs/>
          <w:color w:val="000000"/>
          <w:sz w:val="28"/>
          <w:szCs w:val="28"/>
        </w:rPr>
        <w:t>40</w:t>
      </w:r>
      <w:r>
        <w:rPr>
          <w:rFonts w:ascii="Arial" w:hAnsi="Arial" w:cs="Arial" w:eastAsia="仿宋_GB2312;仿宋"/>
          <w:bCs/>
          <w:color w:val="000000"/>
          <w:sz w:val="28"/>
          <w:szCs w:val="28"/>
        </w:rPr>
        <w:t>公顷。为推动集体土地高效利用和产业转型，统筹国有、集体建设用地减量，支持乡村一二三产融合发展，本年度首次将乡村产业用地指标纳入计划统筹管理。同时，引导不低于</w:t>
      </w:r>
      <w:r>
        <w:rPr>
          <w:rFonts w:eastAsia="仿宋_GB2312;仿宋" w:cs="Arial" w:ascii="Arial" w:hAnsi="Arial"/>
          <w:bCs/>
          <w:color w:val="000000"/>
          <w:sz w:val="28"/>
          <w:szCs w:val="28"/>
        </w:rPr>
        <w:t>80%</w:t>
      </w:r>
      <w:r>
        <w:rPr>
          <w:rFonts w:ascii="Arial" w:hAnsi="Arial" w:cs="Arial" w:eastAsia="仿宋_GB2312;仿宋"/>
          <w:bCs/>
          <w:color w:val="000000"/>
          <w:sz w:val="28"/>
          <w:szCs w:val="28"/>
        </w:rPr>
        <w:t>的工业研发用地供应位于“两区”“三城一区”等重点功能区。重点向经开区、大兴、昌平、顺义、海淀、房山等</w:t>
      </w:r>
      <w:r>
        <w:rPr>
          <w:rFonts w:eastAsia="仿宋_GB2312;仿宋" w:cs="Arial" w:ascii="Arial" w:hAnsi="Arial"/>
          <w:bCs/>
          <w:color w:val="000000"/>
          <w:sz w:val="28"/>
          <w:szCs w:val="28"/>
        </w:rPr>
        <w:t>6</w:t>
      </w:r>
      <w:r>
        <w:rPr>
          <w:rFonts w:ascii="Arial" w:hAnsi="Arial" w:cs="Arial" w:eastAsia="仿宋_GB2312;仿宋"/>
          <w:bCs/>
          <w:color w:val="000000"/>
          <w:sz w:val="28"/>
          <w:szCs w:val="28"/>
        </w:rPr>
        <w:t>个产业投资大区倾斜。</w:t>
      </w:r>
    </w:p>
    <w:p>
      <w:pPr>
        <w:pStyle w:val="Norma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2023</w:t>
      </w:r>
      <w:r>
        <w:rPr>
          <w:rFonts w:ascii="Arial" w:hAnsi="Arial" w:cs="Arial" w:eastAsia="仿宋_GB2312;仿宋"/>
          <w:bCs/>
          <w:color w:val="000000"/>
          <w:sz w:val="28"/>
          <w:szCs w:val="28"/>
        </w:rPr>
        <w:t>年全年，北京市累计推出工业用地（按公告时间）共计</w:t>
      </w:r>
      <w:r>
        <w:rPr>
          <w:rFonts w:eastAsia="仿宋_GB2312;仿宋" w:cs="Arial" w:ascii="Arial" w:hAnsi="Arial"/>
          <w:bCs/>
          <w:color w:val="000000"/>
          <w:sz w:val="28"/>
          <w:szCs w:val="28"/>
        </w:rPr>
        <w:t>38</w:t>
      </w:r>
      <w:r>
        <w:rPr>
          <w:rFonts w:ascii="Arial" w:hAnsi="Arial" w:cs="Arial" w:eastAsia="仿宋_GB2312;仿宋"/>
          <w:bCs/>
          <w:color w:val="000000"/>
          <w:sz w:val="28"/>
          <w:szCs w:val="28"/>
        </w:rPr>
        <w:t>宗，推出建设用地面积</w:t>
      </w:r>
      <w:r>
        <w:rPr>
          <w:rFonts w:eastAsia="仿宋_GB2312;仿宋" w:cs="Arial" w:ascii="Arial" w:hAnsi="Arial"/>
          <w:bCs/>
          <w:color w:val="000000"/>
          <w:sz w:val="28"/>
          <w:szCs w:val="28"/>
        </w:rPr>
        <w:t>192.23</w:t>
      </w:r>
      <w:r>
        <w:rPr>
          <w:rFonts w:ascii="Arial" w:hAnsi="Arial" w:cs="Arial" w:eastAsia="仿宋_GB2312;仿宋"/>
          <w:bCs/>
          <w:color w:val="000000"/>
          <w:sz w:val="28"/>
          <w:szCs w:val="28"/>
        </w:rPr>
        <w:t>万平方米；实际成交</w:t>
      </w:r>
      <w:r>
        <w:rPr>
          <w:rFonts w:eastAsia="仿宋_GB2312;仿宋" w:cs="Arial" w:ascii="Arial" w:hAnsi="Arial"/>
          <w:bCs/>
          <w:color w:val="000000"/>
          <w:sz w:val="28"/>
          <w:szCs w:val="28"/>
        </w:rPr>
        <w:t>40</w:t>
      </w:r>
      <w:r>
        <w:rPr>
          <w:rFonts w:ascii="Arial" w:hAnsi="Arial" w:cs="Arial" w:eastAsia="仿宋_GB2312;仿宋"/>
          <w:bCs/>
          <w:color w:val="000000"/>
          <w:sz w:val="28"/>
          <w:szCs w:val="28"/>
        </w:rPr>
        <w:t>宗，成交建设用地面积</w:t>
      </w:r>
      <w:r>
        <w:rPr>
          <w:rFonts w:eastAsia="仿宋_GB2312;仿宋" w:cs="Arial" w:ascii="Arial" w:hAnsi="Arial"/>
          <w:bCs/>
          <w:color w:val="000000"/>
          <w:sz w:val="28"/>
          <w:szCs w:val="28"/>
        </w:rPr>
        <w:t>246.83</w:t>
      </w:r>
      <w:r>
        <w:rPr>
          <w:rFonts w:ascii="Arial" w:hAnsi="Arial" w:cs="Arial" w:eastAsia="仿宋_GB2312;仿宋"/>
          <w:bCs/>
          <w:color w:val="000000"/>
          <w:sz w:val="28"/>
          <w:szCs w:val="28"/>
        </w:rPr>
        <w:t>万平方米。成交宗地数量及用地规模较去年同期均有所增加。</w:t>
      </w:r>
    </w:p>
    <w:p>
      <w:pPr>
        <w:pStyle w:val="Normal"/>
        <w:spacing w:lineRule="auto" w:line="360"/>
        <w:jc w:val="center"/>
        <w:rPr>
          <w:rFonts w:ascii="Arial" w:hAnsi="Arial" w:eastAsia="仿宋_GB2312;仿宋" w:cs="Arial"/>
          <w:bCs/>
          <w:color w:val="000000"/>
          <w:sz w:val="28"/>
          <w:szCs w:val="28"/>
        </w:rPr>
      </w:pPr>
      <w:r>
        <w:rPr>
          <w:lang w:val="zh-CN" w:eastAsia="zh-CN"/>
        </w:rPr>
        <w:drawing>
          <wp:inline distT="0" distB="0" distL="0" distR="0">
            <wp:extent cx="5986145" cy="2987040"/>
            <wp:effectExtent l="0" t="0" r="0" b="0"/>
            <wp:docPr id="27" name="图像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像8" descr=""/>
                    <pic:cNvPicPr>
                      <a:picLocks noChangeAspect="1" noChangeArrowheads="1"/>
                    </pic:cNvPicPr>
                  </pic:nvPicPr>
                  <pic:blipFill>
                    <a:blip r:embed="rId59"/>
                    <a:srcRect l="-5" t="-10" r="-5" b="-10"/>
                    <a:stretch>
                      <a:fillRect/>
                    </a:stretch>
                  </pic:blipFill>
                  <pic:spPr bwMode="auto">
                    <a:xfrm>
                      <a:off x="0" y="0"/>
                      <a:ext cx="5986145" cy="2987040"/>
                    </a:xfrm>
                    <a:prstGeom prst="rect">
                      <a:avLst/>
                    </a:prstGeom>
                  </pic:spPr>
                </pic:pic>
              </a:graphicData>
            </a:graphic>
          </wp:inline>
        </w:drawing>
      </w:r>
    </w:p>
    <w:p>
      <w:pPr>
        <w:pStyle w:val="Normal"/>
        <w:spacing w:lineRule="auto" w:line="360"/>
        <w:ind w:firstLine="560"/>
        <w:jc w:val="both"/>
        <w:rPr/>
      </w:pPr>
      <w:r>
        <w:rPr>
          <w:rFonts w:ascii="Arial" w:hAnsi="Arial" w:cs="Arial" w:eastAsia="仿宋_GB2312;仿宋"/>
          <w:bCs/>
          <w:color w:val="000000"/>
          <w:sz w:val="28"/>
          <w:szCs w:val="28"/>
        </w:rPr>
        <w:t>（</w:t>
      </w:r>
      <w:r>
        <w:rPr>
          <w:rFonts w:eastAsia="仿宋_GB2312;仿宋" w:cs="Arial" w:ascii="Arial" w:hAnsi="Arial"/>
          <w:bCs/>
          <w:color w:val="000000"/>
          <w:sz w:val="28"/>
          <w:szCs w:val="28"/>
        </w:rPr>
        <w:t>2</w:t>
      </w:r>
      <w:r>
        <w:rPr>
          <w:rFonts w:ascii="Arial" w:hAnsi="Arial" w:cs="Arial" w:eastAsia="仿宋_GB2312;仿宋"/>
          <w:bCs/>
          <w:color w:val="000000"/>
          <w:sz w:val="28"/>
          <w:szCs w:val="28"/>
        </w:rPr>
        <w:t>）成交价格</w:t>
      </w:r>
    </w:p>
    <w:p>
      <w:pPr>
        <w:pStyle w:val="Normal"/>
        <w:spacing w:lineRule="auto" w:line="360"/>
        <w:ind w:firstLine="560"/>
        <w:jc w:val="both"/>
        <w:rPr/>
      </w:pPr>
      <w:r>
        <w:rPr>
          <w:rFonts w:eastAsia="仿宋_GB2312;仿宋" w:cs="Arial" w:ascii="Arial" w:hAnsi="Arial"/>
          <w:bCs/>
          <w:color w:val="000000"/>
          <w:sz w:val="28"/>
          <w:szCs w:val="28"/>
        </w:rPr>
        <w:t>2023</w:t>
      </w:r>
      <w:r>
        <w:rPr>
          <w:rFonts w:ascii="Arial" w:hAnsi="Arial" w:cs="Arial" w:eastAsia="仿宋_GB2312;仿宋"/>
          <w:bCs/>
          <w:color w:val="000000"/>
          <w:sz w:val="28"/>
          <w:szCs w:val="28"/>
        </w:rPr>
        <w:t>年全年，北京市工业用地成交总额约</w:t>
      </w:r>
      <w:r>
        <w:rPr>
          <w:rFonts w:eastAsia="仿宋_GB2312;仿宋" w:cs="Arial" w:ascii="Arial" w:hAnsi="Arial"/>
          <w:bCs/>
          <w:color w:val="000000"/>
          <w:sz w:val="28"/>
          <w:szCs w:val="28"/>
        </w:rPr>
        <w:t>6882218</w:t>
      </w:r>
      <w:r>
        <w:rPr>
          <w:rFonts w:ascii="Arial" w:hAnsi="Arial" w:cs="Arial" w:eastAsia="仿宋_GB2312;仿宋"/>
          <w:bCs/>
          <w:color w:val="000000"/>
          <w:sz w:val="28"/>
          <w:szCs w:val="28"/>
        </w:rPr>
        <w:t>万元，成交楼面单价</w:t>
      </w:r>
      <w:r>
        <w:rPr>
          <w:rFonts w:eastAsia="仿宋_GB2312;仿宋" w:cs="Arial" w:ascii="Arial" w:hAnsi="Arial"/>
          <w:bCs/>
          <w:color w:val="000000"/>
          <w:sz w:val="28"/>
          <w:szCs w:val="28"/>
        </w:rPr>
        <w:t>1511</w:t>
      </w:r>
      <w:r>
        <w:rPr>
          <w:rFonts w:ascii="Arial" w:hAnsi="Arial" w:cs="Arial" w:eastAsia="仿宋_GB2312;仿宋"/>
          <w:bCs/>
          <w:color w:val="000000"/>
          <w:sz w:val="28"/>
          <w:szCs w:val="28"/>
        </w:rPr>
        <w:t>元</w:t>
      </w:r>
      <w:r>
        <w:rPr>
          <w:rFonts w:eastAsia="仿宋_GB2312;仿宋" w:cs="Arial" w:ascii="Arial" w:hAnsi="Arial"/>
          <w:bCs/>
          <w:color w:val="000000"/>
          <w:sz w:val="28"/>
          <w:szCs w:val="28"/>
        </w:rPr>
        <w:t>/</w:t>
      </w:r>
      <w:r>
        <w:rPr>
          <w:rFonts w:ascii="Arial" w:hAnsi="Arial" w:cs="Arial" w:eastAsia="仿宋_GB2312;仿宋"/>
          <w:bCs/>
          <w:color w:val="000000"/>
          <w:sz w:val="28"/>
          <w:szCs w:val="28"/>
        </w:rPr>
        <w:t>平方米，地面价</w:t>
      </w:r>
      <w:r>
        <w:rPr>
          <w:rFonts w:eastAsia="仿宋_GB2312;仿宋" w:cs="Arial" w:ascii="Arial" w:hAnsi="Arial"/>
          <w:bCs/>
          <w:color w:val="000000"/>
          <w:sz w:val="28"/>
          <w:szCs w:val="28"/>
        </w:rPr>
        <w:t>2788</w:t>
      </w:r>
      <w:r>
        <w:rPr>
          <w:rFonts w:ascii="Arial" w:hAnsi="Arial" w:cs="Arial" w:eastAsia="仿宋_GB2312;仿宋"/>
          <w:bCs/>
          <w:color w:val="000000"/>
          <w:sz w:val="28"/>
          <w:szCs w:val="28"/>
        </w:rPr>
        <w:t>元</w:t>
      </w:r>
      <w:r>
        <w:rPr>
          <w:rFonts w:eastAsia="仿宋_GB2312;仿宋" w:cs="Arial" w:ascii="Arial" w:hAnsi="Arial"/>
          <w:bCs/>
          <w:color w:val="000000"/>
          <w:sz w:val="28"/>
          <w:szCs w:val="28"/>
        </w:rPr>
        <w:t>/</w:t>
      </w:r>
      <w:r>
        <w:rPr>
          <w:rFonts w:ascii="Arial" w:hAnsi="Arial" w:cs="Arial" w:eastAsia="仿宋_GB2312;仿宋"/>
          <w:bCs/>
          <w:color w:val="000000"/>
          <w:sz w:val="28"/>
          <w:szCs w:val="28"/>
        </w:rPr>
        <w:t>平方米（合</w:t>
      </w:r>
      <w:r>
        <w:rPr>
          <w:rFonts w:eastAsia="仿宋_GB2312;仿宋" w:cs="Arial" w:ascii="Arial" w:hAnsi="Arial"/>
          <w:bCs/>
          <w:color w:val="000000"/>
          <w:sz w:val="28"/>
          <w:szCs w:val="28"/>
        </w:rPr>
        <w:t>186</w:t>
      </w:r>
      <w:r>
        <w:rPr>
          <w:rFonts w:ascii="Arial" w:hAnsi="Arial" w:cs="Arial" w:eastAsia="仿宋_GB2312;仿宋"/>
          <w:bCs/>
          <w:color w:val="000000"/>
          <w:sz w:val="28"/>
          <w:szCs w:val="28"/>
        </w:rPr>
        <w:t>万元</w:t>
      </w:r>
      <w:r>
        <w:rPr>
          <w:rFonts w:eastAsia="仿宋_GB2312;仿宋" w:cs="Arial" w:ascii="Arial" w:hAnsi="Arial"/>
          <w:bCs/>
          <w:color w:val="000000"/>
          <w:sz w:val="28"/>
          <w:szCs w:val="28"/>
        </w:rPr>
        <w:t>/</w:t>
      </w:r>
      <w:r>
        <w:rPr>
          <w:rFonts w:ascii="Arial" w:hAnsi="Arial" w:cs="Arial" w:eastAsia="仿宋_GB2312;仿宋"/>
          <w:bCs/>
          <w:color w:val="000000"/>
          <w:sz w:val="28"/>
          <w:szCs w:val="28"/>
        </w:rPr>
        <w:t>亩）。自</w:t>
      </w:r>
      <w:r>
        <w:rPr>
          <w:rFonts w:eastAsia="仿宋_GB2312;仿宋" w:cs="Arial" w:ascii="Arial" w:hAnsi="Arial"/>
          <w:bCs/>
          <w:color w:val="000000"/>
          <w:sz w:val="28"/>
          <w:szCs w:val="28"/>
        </w:rPr>
        <w:t>2015</w:t>
      </w:r>
      <w:r>
        <w:rPr>
          <w:rFonts w:ascii="Arial" w:hAnsi="Arial" w:cs="Arial" w:eastAsia="仿宋_GB2312;仿宋"/>
          <w:bCs/>
          <w:color w:val="000000"/>
          <w:sz w:val="28"/>
          <w:szCs w:val="28"/>
        </w:rPr>
        <w:t>年起，北京市工业用地均为零溢价成交。地价方面，</w:t>
      </w:r>
      <w:r>
        <w:rPr>
          <w:rFonts w:eastAsia="仿宋_GB2312;仿宋" w:cs="Arial" w:ascii="Arial" w:hAnsi="Arial"/>
          <w:bCs/>
          <w:color w:val="000000"/>
          <w:sz w:val="28"/>
          <w:szCs w:val="28"/>
        </w:rPr>
        <w:t>2013</w:t>
      </w:r>
      <w:r>
        <w:rPr>
          <w:rFonts w:ascii="Arial" w:hAnsi="Arial" w:cs="Arial" w:eastAsia="仿宋_GB2312;仿宋"/>
          <w:bCs/>
          <w:color w:val="000000"/>
          <w:sz w:val="28"/>
          <w:szCs w:val="28"/>
        </w:rPr>
        <w:t>年至今除受成交结构影响在</w:t>
      </w:r>
      <w:r>
        <w:rPr>
          <w:rFonts w:eastAsia="仿宋_GB2312;仿宋" w:cs="Arial" w:ascii="Arial" w:hAnsi="Arial"/>
          <w:bCs/>
          <w:color w:val="000000"/>
          <w:sz w:val="28"/>
          <w:szCs w:val="28"/>
        </w:rPr>
        <w:t>2017</w:t>
      </w:r>
      <w:r>
        <w:rPr>
          <w:rFonts w:ascii="Arial" w:hAnsi="Arial" w:cs="Arial" w:eastAsia="仿宋_GB2312;仿宋"/>
          <w:bCs/>
          <w:color w:val="000000"/>
          <w:sz w:val="28"/>
          <w:szCs w:val="28"/>
        </w:rPr>
        <w:t>年出现较大波动，工业用地市场呈平稳上涨趋势。</w:t>
      </w:r>
      <w:r>
        <w:rPr>
          <w:rFonts w:eastAsia="仿宋_GB2312;仿宋" w:cs="Arial" w:ascii="Arial" w:hAnsi="Arial"/>
          <w:bCs/>
          <w:color w:val="000000"/>
          <w:sz w:val="28"/>
          <w:szCs w:val="28"/>
        </w:rPr>
        <w:t>2023</w:t>
      </w:r>
      <w:r>
        <w:rPr>
          <w:rFonts w:ascii="Arial" w:hAnsi="Arial" w:cs="Arial" w:eastAsia="仿宋_GB2312;仿宋"/>
          <w:bCs/>
          <w:color w:val="000000"/>
          <w:sz w:val="28"/>
          <w:szCs w:val="28"/>
        </w:rPr>
        <w:t>年全年，受成交多宗物流用地影响，工业成交地价再次出现较大涨幅，若扣除物流用地成交影响，整体仍呈平稳上涨趋势。</w:t>
      </w:r>
    </w:p>
    <w:p>
      <w:pPr>
        <w:pStyle w:val="Normal"/>
        <w:spacing w:lineRule="auto" w:line="360"/>
        <w:jc w:val="center"/>
        <w:rPr/>
      </w:pPr>
      <w:r>
        <w:rPr>
          <w:rFonts w:eastAsia="仿宋_GB2312;仿宋" w:cs="Arial" w:ascii="Arial" w:hAnsi="Arial"/>
          <w:b/>
          <w:bCs/>
          <w:color w:val="000000"/>
          <w:szCs w:val="28"/>
        </w:rPr>
        <w:t>2013</w:t>
      </w:r>
      <w:r>
        <w:rPr>
          <w:rFonts w:ascii="Arial" w:hAnsi="Arial" w:cs="Arial" w:eastAsia="仿宋_GB2312;仿宋"/>
          <w:b/>
          <w:bCs/>
          <w:color w:val="000000"/>
          <w:szCs w:val="28"/>
        </w:rPr>
        <w:t>年至</w:t>
      </w:r>
      <w:r>
        <w:rPr>
          <w:rFonts w:eastAsia="仿宋_GB2312;仿宋" w:cs="Arial" w:ascii="Arial" w:hAnsi="Arial"/>
          <w:b/>
          <w:bCs/>
          <w:color w:val="000000"/>
          <w:szCs w:val="28"/>
        </w:rPr>
        <w:t>2023</w:t>
      </w:r>
      <w:r>
        <w:rPr>
          <w:rFonts w:ascii="Arial" w:hAnsi="Arial" w:cs="Arial" w:eastAsia="仿宋_GB2312;仿宋"/>
          <w:b/>
          <w:bCs/>
          <w:color w:val="000000"/>
          <w:szCs w:val="28"/>
        </w:rPr>
        <w:t>年北京市工业用地地价走势</w:t>
      </w:r>
    </w:p>
    <w:p>
      <w:pPr>
        <w:pStyle w:val="Normal"/>
        <w:spacing w:lineRule="auto" w:line="360"/>
        <w:jc w:val="center"/>
        <w:rPr>
          <w:lang w:val="zh-CN" w:eastAsia="zh-CN"/>
        </w:rPr>
      </w:pPr>
      <w:r>
        <w:rPr>
          <w:lang w:val="zh-CN" w:eastAsia="zh-CN"/>
        </w:rPr>
        <w:drawing>
          <wp:inline distT="0" distB="0" distL="0" distR="0">
            <wp:extent cx="6087745" cy="2667000"/>
            <wp:effectExtent l="0" t="0" r="0" b="0"/>
            <wp:docPr id="28" name="图像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像9" descr=""/>
                    <pic:cNvPicPr>
                      <a:picLocks noChangeAspect="1" noChangeArrowheads="1"/>
                    </pic:cNvPicPr>
                  </pic:nvPicPr>
                  <pic:blipFill>
                    <a:blip r:embed="rId60"/>
                    <a:srcRect l="-4" t="-10" r="-4" b="-10"/>
                    <a:stretch>
                      <a:fillRect/>
                    </a:stretch>
                  </pic:blipFill>
                  <pic:spPr bwMode="auto">
                    <a:xfrm>
                      <a:off x="0" y="0"/>
                      <a:ext cx="6087745" cy="2667000"/>
                    </a:xfrm>
                    <a:prstGeom prst="rect">
                      <a:avLst/>
                    </a:prstGeom>
                  </pic:spPr>
                </pic:pic>
              </a:graphicData>
            </a:graphic>
          </wp:inline>
        </w:drawing>
      </w:r>
    </w:p>
    <w:p>
      <w:pPr>
        <w:pStyle w:val="Normal"/>
        <w:widowControl/>
        <w:spacing w:lineRule="exact" w:line="220"/>
        <w:textAlignment w:val="auto"/>
        <w:rPr>
          <w:rFonts w:ascii="Arial" w:hAnsi="Arial" w:eastAsia="仿宋" w:cs="宋体;SimSun"/>
          <w:color w:val="000000"/>
          <w:sz w:val="20"/>
        </w:rPr>
      </w:pPr>
      <w:r>
        <w:rPr>
          <w:rFonts w:ascii="Arial" w:hAnsi="Arial" w:cs="宋体;SimSun" w:eastAsia="仿宋"/>
          <w:color w:val="000000"/>
          <w:sz w:val="20"/>
        </w:rPr>
        <w:t>注：图中</w:t>
      </w:r>
      <w:r>
        <w:rPr>
          <w:rFonts w:eastAsia="仿宋" w:cs="宋体;SimSun" w:ascii="Arial" w:hAnsi="Arial"/>
          <w:color w:val="000000"/>
          <w:sz w:val="20"/>
        </w:rPr>
        <w:t>2022</w:t>
      </w:r>
      <w:r>
        <w:rPr>
          <w:rFonts w:ascii="Arial" w:hAnsi="Arial" w:cs="宋体;SimSun" w:eastAsia="仿宋"/>
          <w:color w:val="000000"/>
          <w:sz w:val="20"/>
        </w:rPr>
        <w:t>年至</w:t>
      </w:r>
      <w:r>
        <w:rPr>
          <w:rFonts w:eastAsia="仿宋" w:cs="宋体;SimSun" w:ascii="Arial" w:hAnsi="Arial"/>
          <w:color w:val="000000"/>
          <w:sz w:val="20"/>
        </w:rPr>
        <w:t>2023</w:t>
      </w:r>
      <w:r>
        <w:rPr>
          <w:rFonts w:ascii="Arial" w:hAnsi="Arial" w:cs="宋体;SimSun" w:eastAsia="仿宋"/>
          <w:color w:val="000000"/>
          <w:sz w:val="20"/>
        </w:rPr>
        <w:t>虚线段为扣除物流用地影响走势</w:t>
      </w:r>
    </w:p>
    <w:p>
      <w:pPr>
        <w:pStyle w:val="Normal"/>
        <w:widowControl/>
        <w:spacing w:lineRule="exact" w:line="220"/>
        <w:textAlignment w:val="auto"/>
        <w:rPr>
          <w:rFonts w:ascii="宋体;SimSun" w:hAnsi="宋体;SimSun" w:eastAsia="仿宋" w:cs="宋体;SimSun"/>
          <w:color w:val="000000"/>
          <w:sz w:val="22"/>
          <w:szCs w:val="22"/>
        </w:rPr>
      </w:pPr>
      <w:r>
        <w:rPr>
          <w:rFonts w:eastAsia="仿宋" w:cs="宋体;SimSun" w:ascii="宋体;SimSun" w:hAnsi="宋体;SimSun"/>
          <w:color w:val="000000"/>
          <w:sz w:val="22"/>
          <w:szCs w:val="22"/>
        </w:rPr>
      </w:r>
    </w:p>
    <w:p>
      <w:pPr>
        <w:pStyle w:val="Normal"/>
        <w:spacing w:lineRule="auto" w:line="360"/>
        <w:ind w:firstLine="560"/>
        <w:jc w:val="both"/>
        <w:rPr>
          <w:rFonts w:ascii="Arial" w:hAnsi="Arial" w:eastAsia="仿宋_GB2312;仿宋" w:cs="Arial"/>
          <w:bCs/>
          <w:color w:val="000000"/>
          <w:sz w:val="28"/>
          <w:szCs w:val="28"/>
        </w:rPr>
      </w:pPr>
      <w:r>
        <w:rPr>
          <w:rFonts w:ascii="Arial" w:hAnsi="Arial" w:cs="Arial" w:eastAsia="仿宋_GB2312;仿宋"/>
          <w:bCs/>
          <w:color w:val="000000"/>
          <w:sz w:val="28"/>
          <w:szCs w:val="28"/>
        </w:rPr>
        <w:t>（</w:t>
      </w:r>
      <w:r>
        <w:rPr>
          <w:rFonts w:eastAsia="仿宋_GB2312;仿宋" w:cs="Arial" w:ascii="Arial" w:hAnsi="Arial"/>
          <w:bCs/>
          <w:color w:val="000000"/>
          <w:sz w:val="28"/>
          <w:szCs w:val="28"/>
        </w:rPr>
        <w:t>3</w:t>
      </w:r>
      <w:r>
        <w:rPr>
          <w:rFonts w:ascii="Arial" w:hAnsi="Arial" w:cs="Arial" w:eastAsia="仿宋_GB2312;仿宋"/>
          <w:bCs/>
          <w:color w:val="000000"/>
          <w:sz w:val="28"/>
          <w:szCs w:val="28"/>
        </w:rPr>
        <w:t>）区域成交情况</w:t>
      </w:r>
    </w:p>
    <w:p>
      <w:pPr>
        <w:pStyle w:val="Normal"/>
        <w:widowControl/>
        <w:spacing w:lineRule="auto" w:line="360"/>
        <w:ind w:firstLine="560"/>
        <w:jc w:val="both"/>
        <w:textAlignment w:val="auto"/>
        <w:rPr>
          <w:rFonts w:ascii="Arial" w:hAnsi="Arial" w:eastAsia="仿宋_GB2312;仿宋" w:cs="Arial"/>
          <w:bCs/>
          <w:color w:val="000000"/>
          <w:sz w:val="28"/>
          <w:szCs w:val="28"/>
        </w:rPr>
      </w:pPr>
      <w:r>
        <w:rPr>
          <w:rFonts w:eastAsia="仿宋_GB2312;仿宋" w:cs="Arial" w:ascii="Arial" w:hAnsi="Arial"/>
          <w:bCs/>
          <w:color w:val="000000"/>
          <w:sz w:val="28"/>
          <w:szCs w:val="28"/>
        </w:rPr>
        <w:t>2023</w:t>
      </w:r>
      <w:r>
        <w:rPr>
          <w:rFonts w:ascii="Arial" w:hAnsi="Arial" w:cs="Arial" w:eastAsia="仿宋_GB2312;仿宋"/>
          <w:bCs/>
          <w:color w:val="000000"/>
          <w:sz w:val="28"/>
          <w:szCs w:val="28"/>
        </w:rPr>
        <w:t>年全年北京市工业用地成交</w:t>
      </w:r>
      <w:r>
        <w:rPr>
          <w:rFonts w:eastAsia="仿宋_GB2312;仿宋" w:cs="Arial" w:ascii="Arial" w:hAnsi="Arial"/>
          <w:bCs/>
          <w:color w:val="000000"/>
          <w:sz w:val="28"/>
          <w:szCs w:val="28"/>
        </w:rPr>
        <w:t>40</w:t>
      </w:r>
      <w:r>
        <w:rPr>
          <w:rFonts w:ascii="Arial" w:hAnsi="Arial" w:cs="Arial" w:eastAsia="仿宋_GB2312;仿宋"/>
          <w:bCs/>
          <w:color w:val="000000"/>
          <w:sz w:val="28"/>
          <w:szCs w:val="28"/>
        </w:rPr>
        <w:t>宗，以大兴区为主，共成交</w:t>
      </w:r>
      <w:r>
        <w:rPr>
          <w:rFonts w:eastAsia="仿宋_GB2312;仿宋" w:cs="Arial" w:ascii="Arial" w:hAnsi="Arial"/>
          <w:bCs/>
          <w:color w:val="000000"/>
          <w:sz w:val="28"/>
          <w:szCs w:val="28"/>
        </w:rPr>
        <w:t>20</w:t>
      </w:r>
      <w:r>
        <w:rPr>
          <w:rFonts w:ascii="Arial" w:hAnsi="Arial" w:cs="Arial" w:eastAsia="仿宋_GB2312;仿宋"/>
          <w:bCs/>
          <w:color w:val="000000"/>
          <w:sz w:val="28"/>
          <w:szCs w:val="28"/>
        </w:rPr>
        <w:t>宗，其次分别为平谷区成交</w:t>
      </w:r>
      <w:r>
        <w:rPr>
          <w:rFonts w:eastAsia="仿宋_GB2312;仿宋" w:cs="Arial" w:ascii="Arial" w:hAnsi="Arial"/>
          <w:bCs/>
          <w:color w:val="000000"/>
          <w:sz w:val="28"/>
          <w:szCs w:val="28"/>
        </w:rPr>
        <w:t>8</w:t>
      </w:r>
      <w:r>
        <w:rPr>
          <w:rFonts w:ascii="Arial" w:hAnsi="Arial" w:cs="Arial" w:eastAsia="仿宋_GB2312;仿宋"/>
          <w:bCs/>
          <w:color w:val="000000"/>
          <w:sz w:val="28"/>
          <w:szCs w:val="28"/>
        </w:rPr>
        <w:t>宗、昌平区及房山区各成交</w:t>
      </w:r>
      <w:r>
        <w:rPr>
          <w:rFonts w:eastAsia="仿宋_GB2312;仿宋" w:cs="Arial" w:ascii="Arial" w:hAnsi="Arial"/>
          <w:bCs/>
          <w:color w:val="000000"/>
          <w:sz w:val="28"/>
          <w:szCs w:val="28"/>
        </w:rPr>
        <w:t>4</w:t>
      </w:r>
      <w:r>
        <w:rPr>
          <w:rFonts w:ascii="Arial" w:hAnsi="Arial" w:cs="Arial" w:eastAsia="仿宋_GB2312;仿宋"/>
          <w:bCs/>
          <w:color w:val="000000"/>
          <w:sz w:val="28"/>
          <w:szCs w:val="28"/>
        </w:rPr>
        <w:t>宗、顺义区和通州区各成交</w:t>
      </w:r>
      <w:r>
        <w:rPr>
          <w:rFonts w:eastAsia="仿宋_GB2312;仿宋" w:cs="Arial" w:ascii="Arial" w:hAnsi="Arial"/>
          <w:bCs/>
          <w:color w:val="000000"/>
          <w:sz w:val="28"/>
          <w:szCs w:val="28"/>
        </w:rPr>
        <w:t>2</w:t>
      </w:r>
      <w:r>
        <w:rPr>
          <w:rFonts w:ascii="Arial" w:hAnsi="Arial" w:cs="Arial" w:eastAsia="仿宋_GB2312;仿宋"/>
          <w:bCs/>
          <w:color w:val="000000"/>
          <w:sz w:val="28"/>
          <w:szCs w:val="28"/>
        </w:rPr>
        <w:t>宗。</w:t>
      </w:r>
    </w:p>
    <w:p>
      <w:pPr>
        <w:pStyle w:val="Normal"/>
        <w:widowControl/>
        <w:spacing w:lineRule="auto" w:line="360"/>
        <w:ind w:firstLine="560"/>
        <w:jc w:val="both"/>
        <w:textAlignment w:val="auto"/>
        <w:rPr>
          <w:lang w:val="zh-CN" w:eastAsia="zh-CN"/>
        </w:rPr>
      </w:pPr>
      <w:r>
        <w:rPr>
          <w:rFonts w:ascii="Arial" w:hAnsi="Arial" w:cs="Arial" w:eastAsia="仿宋_GB2312;仿宋"/>
          <w:bCs/>
          <w:sz w:val="28"/>
          <w:szCs w:val="28"/>
        </w:rPr>
        <w:t>大兴区成交建设用地面积共计</w:t>
      </w:r>
      <w:r>
        <w:rPr>
          <w:rFonts w:eastAsia="仿宋_GB2312;仿宋" w:cs="Arial" w:ascii="Arial" w:hAnsi="Arial"/>
          <w:bCs/>
          <w:sz w:val="28"/>
          <w:szCs w:val="28"/>
        </w:rPr>
        <w:t>93.1</w:t>
      </w:r>
      <w:r>
        <w:rPr>
          <w:rFonts w:ascii="Arial" w:hAnsi="Arial" w:cs="Arial" w:eastAsia="仿宋_GB2312;仿宋"/>
          <w:bCs/>
          <w:sz w:val="28"/>
          <w:szCs w:val="28"/>
        </w:rPr>
        <w:t>万平方米，成交地面均价为</w:t>
      </w:r>
      <w:r>
        <w:rPr>
          <w:rFonts w:eastAsia="仿宋_GB2312;仿宋" w:cs="Arial" w:ascii="Arial" w:hAnsi="Arial"/>
          <w:bCs/>
          <w:sz w:val="28"/>
          <w:szCs w:val="28"/>
        </w:rPr>
        <w:t>1556</w:t>
      </w:r>
      <w:r>
        <w:rPr>
          <w:rFonts w:ascii="Arial" w:hAnsi="Arial" w:cs="Arial" w:eastAsia="仿宋_GB2312;仿宋"/>
          <w:bCs/>
          <w:sz w:val="28"/>
          <w:szCs w:val="28"/>
        </w:rPr>
        <w:t>元</w:t>
      </w:r>
      <w:r>
        <w:rPr>
          <w:rFonts w:eastAsia="仿宋_GB2312;仿宋" w:cs="Arial" w:ascii="Arial" w:hAnsi="Arial"/>
          <w:bCs/>
          <w:sz w:val="28"/>
          <w:szCs w:val="28"/>
        </w:rPr>
        <w:t>/</w:t>
      </w:r>
      <w:r>
        <w:rPr>
          <w:rFonts w:ascii="Arial" w:hAnsi="Arial" w:cs="Arial" w:eastAsia="仿宋_GB2312;仿宋"/>
          <w:bCs/>
          <w:sz w:val="28"/>
          <w:szCs w:val="28"/>
        </w:rPr>
        <w:t>平方米（约合</w:t>
      </w:r>
      <w:r>
        <w:rPr>
          <w:rFonts w:eastAsia="仿宋_GB2312;仿宋" w:cs="Arial" w:ascii="Arial" w:hAnsi="Arial"/>
          <w:bCs/>
          <w:sz w:val="28"/>
          <w:szCs w:val="28"/>
        </w:rPr>
        <w:t>104</w:t>
      </w:r>
      <w:r>
        <w:rPr>
          <w:rFonts w:ascii="Arial" w:hAnsi="Arial" w:cs="Arial" w:eastAsia="仿宋_GB2312;仿宋"/>
          <w:bCs/>
          <w:sz w:val="28"/>
          <w:szCs w:val="28"/>
        </w:rPr>
        <w:t>万</w:t>
      </w:r>
      <w:r>
        <w:rPr>
          <w:rFonts w:eastAsia="仿宋_GB2312;仿宋" w:cs="Arial" w:ascii="Arial" w:hAnsi="Arial"/>
          <w:bCs/>
          <w:sz w:val="28"/>
          <w:szCs w:val="28"/>
        </w:rPr>
        <w:t>/</w:t>
      </w:r>
      <w:r>
        <w:rPr>
          <w:rFonts w:ascii="Arial" w:hAnsi="Arial" w:cs="Arial" w:eastAsia="仿宋_GB2312;仿宋"/>
          <w:bCs/>
          <w:sz w:val="28"/>
          <w:szCs w:val="28"/>
        </w:rPr>
        <w:t>亩），其中</w:t>
      </w:r>
      <w:r>
        <w:rPr>
          <w:rFonts w:eastAsia="仿宋_GB2312;仿宋" w:cs="Arial" w:ascii="Arial" w:hAnsi="Arial"/>
          <w:bCs/>
          <w:sz w:val="28"/>
          <w:szCs w:val="28"/>
        </w:rPr>
        <w:t>18</w:t>
      </w:r>
      <w:r>
        <w:rPr>
          <w:rFonts w:ascii="Arial" w:hAnsi="Arial" w:cs="Arial" w:eastAsia="仿宋_GB2312;仿宋"/>
          <w:bCs/>
          <w:sz w:val="28"/>
          <w:szCs w:val="28"/>
        </w:rPr>
        <w:t>宗位于亦庄地区，以</w:t>
      </w:r>
      <w:r>
        <w:rPr>
          <w:rFonts w:eastAsia="仿宋_GB2312;仿宋" w:cs="Arial" w:ascii="Arial" w:hAnsi="Arial"/>
          <w:bCs/>
          <w:sz w:val="28"/>
          <w:szCs w:val="28"/>
        </w:rPr>
        <w:t>M1</w:t>
      </w:r>
      <w:r>
        <w:rPr>
          <w:rFonts w:ascii="Arial" w:hAnsi="Arial" w:cs="Arial" w:eastAsia="仿宋_GB2312;仿宋"/>
          <w:bCs/>
          <w:sz w:val="28"/>
          <w:szCs w:val="28"/>
        </w:rPr>
        <w:t>一类工业用地为主；房山区成交建设用地面积</w:t>
      </w:r>
      <w:r>
        <w:rPr>
          <w:rFonts w:eastAsia="仿宋_GB2312;仿宋" w:cs="Arial" w:ascii="Arial" w:hAnsi="Arial"/>
          <w:bCs/>
          <w:sz w:val="28"/>
          <w:szCs w:val="28"/>
        </w:rPr>
        <w:t>27.4</w:t>
      </w:r>
      <w:r>
        <w:rPr>
          <w:rFonts w:ascii="Arial" w:hAnsi="Arial" w:cs="Arial" w:eastAsia="仿宋_GB2312;仿宋"/>
          <w:bCs/>
          <w:sz w:val="28"/>
          <w:szCs w:val="28"/>
        </w:rPr>
        <w:t>万平方米，成交地面均价为</w:t>
      </w:r>
      <w:r>
        <w:rPr>
          <w:rFonts w:eastAsia="仿宋_GB2312;仿宋" w:cs="Arial" w:ascii="Arial" w:hAnsi="Arial"/>
          <w:bCs/>
          <w:sz w:val="28"/>
          <w:szCs w:val="28"/>
        </w:rPr>
        <w:t>2095</w:t>
      </w:r>
      <w:r>
        <w:rPr>
          <w:rFonts w:ascii="Arial" w:hAnsi="Arial" w:cs="Arial" w:eastAsia="仿宋_GB2312;仿宋"/>
          <w:bCs/>
          <w:sz w:val="28"/>
          <w:szCs w:val="28"/>
        </w:rPr>
        <w:t>元</w:t>
      </w:r>
      <w:r>
        <w:rPr>
          <w:rFonts w:eastAsia="仿宋_GB2312;仿宋" w:cs="Arial" w:ascii="Arial" w:hAnsi="Arial"/>
          <w:bCs/>
          <w:sz w:val="28"/>
          <w:szCs w:val="28"/>
        </w:rPr>
        <w:t>/</w:t>
      </w:r>
      <w:r>
        <w:rPr>
          <w:rFonts w:ascii="Arial" w:hAnsi="Arial" w:cs="Arial" w:eastAsia="仿宋_GB2312;仿宋"/>
          <w:bCs/>
          <w:sz w:val="28"/>
          <w:szCs w:val="28"/>
        </w:rPr>
        <w:t>平方米（约合</w:t>
      </w:r>
      <w:r>
        <w:rPr>
          <w:rFonts w:eastAsia="仿宋_GB2312;仿宋" w:cs="Arial" w:ascii="Arial" w:hAnsi="Arial"/>
          <w:bCs/>
          <w:sz w:val="28"/>
          <w:szCs w:val="28"/>
        </w:rPr>
        <w:t>139.6</w:t>
      </w:r>
      <w:r>
        <w:rPr>
          <w:rFonts w:ascii="Arial" w:hAnsi="Arial" w:cs="Arial" w:eastAsia="仿宋_GB2312;仿宋"/>
          <w:bCs/>
          <w:sz w:val="28"/>
          <w:szCs w:val="28"/>
        </w:rPr>
        <w:t>万</w:t>
      </w:r>
      <w:r>
        <w:rPr>
          <w:rFonts w:eastAsia="仿宋_GB2312;仿宋" w:cs="Arial" w:ascii="Arial" w:hAnsi="Arial"/>
          <w:bCs/>
          <w:sz w:val="28"/>
          <w:szCs w:val="28"/>
        </w:rPr>
        <w:t>/</w:t>
      </w:r>
      <w:r>
        <w:rPr>
          <w:rFonts w:ascii="Arial" w:hAnsi="Arial" w:cs="Arial" w:eastAsia="仿宋_GB2312;仿宋"/>
          <w:bCs/>
          <w:sz w:val="28"/>
          <w:szCs w:val="28"/>
        </w:rPr>
        <w:t>亩），</w:t>
      </w:r>
      <w:r>
        <w:rPr>
          <w:rFonts w:eastAsia="仿宋_GB2312;仿宋" w:cs="Arial" w:ascii="Arial" w:hAnsi="Arial"/>
          <w:bCs/>
          <w:sz w:val="28"/>
          <w:szCs w:val="28"/>
        </w:rPr>
        <w:t>M1</w:t>
      </w:r>
      <w:r>
        <w:rPr>
          <w:rFonts w:ascii="Arial" w:hAnsi="Arial" w:cs="Arial" w:eastAsia="仿宋_GB2312;仿宋"/>
          <w:bCs/>
          <w:sz w:val="28"/>
          <w:szCs w:val="28"/>
        </w:rPr>
        <w:t>一类工业用地及物流用地各</w:t>
      </w:r>
      <w:r>
        <w:rPr>
          <w:rFonts w:eastAsia="仿宋_GB2312;仿宋" w:cs="Arial" w:ascii="Arial" w:hAnsi="Arial"/>
          <w:bCs/>
          <w:sz w:val="28"/>
          <w:szCs w:val="28"/>
        </w:rPr>
        <w:t>1</w:t>
      </w:r>
      <w:r>
        <w:rPr>
          <w:rFonts w:ascii="Arial" w:hAnsi="Arial" w:cs="Arial" w:eastAsia="仿宋_GB2312;仿宋"/>
          <w:bCs/>
          <w:sz w:val="28"/>
          <w:szCs w:val="28"/>
        </w:rPr>
        <w:t>宗，</w:t>
      </w:r>
      <w:r>
        <w:rPr>
          <w:rFonts w:eastAsia="仿宋_GB2312;仿宋" w:cs="Arial" w:ascii="Arial" w:hAnsi="Arial"/>
          <w:bCs/>
          <w:sz w:val="28"/>
          <w:szCs w:val="28"/>
        </w:rPr>
        <w:t>M4</w:t>
      </w:r>
      <w:r>
        <w:rPr>
          <w:rFonts w:ascii="Arial" w:hAnsi="Arial" w:cs="Arial" w:eastAsia="仿宋_GB2312;仿宋"/>
          <w:bCs/>
          <w:sz w:val="28"/>
          <w:szCs w:val="28"/>
        </w:rPr>
        <w:t>研发用地</w:t>
      </w:r>
      <w:r>
        <w:rPr>
          <w:rFonts w:eastAsia="仿宋_GB2312;仿宋" w:cs="Arial" w:ascii="Arial" w:hAnsi="Arial"/>
          <w:bCs/>
          <w:sz w:val="28"/>
          <w:szCs w:val="28"/>
        </w:rPr>
        <w:t>2</w:t>
      </w:r>
      <w:r>
        <w:rPr>
          <w:rFonts w:ascii="Arial" w:hAnsi="Arial" w:cs="Arial" w:eastAsia="仿宋_GB2312;仿宋"/>
          <w:bCs/>
          <w:sz w:val="28"/>
          <w:szCs w:val="28"/>
        </w:rPr>
        <w:t>宗，每亩价格在</w:t>
      </w:r>
      <w:r>
        <w:rPr>
          <w:rFonts w:eastAsia="仿宋_GB2312;仿宋" w:cs="Arial" w:ascii="Arial" w:hAnsi="Arial"/>
          <w:bCs/>
          <w:sz w:val="28"/>
          <w:szCs w:val="28"/>
        </w:rPr>
        <w:t>120-150</w:t>
      </w:r>
      <w:r>
        <w:rPr>
          <w:rFonts w:ascii="Arial" w:hAnsi="Arial" w:cs="Arial" w:eastAsia="仿宋_GB2312;仿宋"/>
          <w:bCs/>
          <w:sz w:val="28"/>
          <w:szCs w:val="28"/>
        </w:rPr>
        <w:t>万元之间，价格差异不大；平谷区成交建设用地面积</w:t>
      </w:r>
      <w:r>
        <w:rPr>
          <w:rFonts w:eastAsia="仿宋_GB2312;仿宋" w:cs="Arial" w:ascii="Arial" w:hAnsi="Arial"/>
          <w:bCs/>
          <w:sz w:val="28"/>
          <w:szCs w:val="28"/>
        </w:rPr>
        <w:t>89.7</w:t>
      </w:r>
      <w:r>
        <w:rPr>
          <w:rFonts w:ascii="Arial" w:hAnsi="Arial" w:cs="Arial" w:eastAsia="仿宋_GB2312;仿宋"/>
          <w:bCs/>
          <w:sz w:val="28"/>
          <w:szCs w:val="28"/>
        </w:rPr>
        <w:t>万平方米，成交地面均价为</w:t>
      </w:r>
      <w:r>
        <w:rPr>
          <w:rFonts w:eastAsia="仿宋_GB2312;仿宋" w:cs="Arial" w:ascii="Arial" w:hAnsi="Arial"/>
          <w:bCs/>
          <w:sz w:val="28"/>
          <w:szCs w:val="28"/>
        </w:rPr>
        <w:t>4358</w:t>
      </w:r>
      <w:r>
        <w:rPr>
          <w:rFonts w:ascii="Arial" w:hAnsi="Arial" w:cs="Arial" w:eastAsia="仿宋_GB2312;仿宋"/>
          <w:bCs/>
          <w:sz w:val="28"/>
          <w:szCs w:val="28"/>
        </w:rPr>
        <w:t>元</w:t>
      </w:r>
      <w:r>
        <w:rPr>
          <w:rFonts w:eastAsia="仿宋_GB2312;仿宋" w:cs="Arial" w:ascii="Arial" w:hAnsi="Arial"/>
          <w:bCs/>
          <w:sz w:val="28"/>
          <w:szCs w:val="28"/>
        </w:rPr>
        <w:t>/</w:t>
      </w:r>
      <w:r>
        <w:rPr>
          <w:rFonts w:ascii="Arial" w:hAnsi="Arial" w:cs="Arial" w:eastAsia="仿宋_GB2312;仿宋"/>
          <w:bCs/>
          <w:sz w:val="28"/>
          <w:szCs w:val="28"/>
        </w:rPr>
        <w:t>平方米（约合</w:t>
      </w:r>
      <w:r>
        <w:rPr>
          <w:rFonts w:eastAsia="仿宋_GB2312;仿宋" w:cs="Arial" w:ascii="Arial" w:hAnsi="Arial"/>
          <w:bCs/>
          <w:sz w:val="28"/>
          <w:szCs w:val="28"/>
        </w:rPr>
        <w:t>291</w:t>
      </w:r>
      <w:r>
        <w:rPr>
          <w:rFonts w:ascii="Arial" w:hAnsi="Arial" w:cs="Arial" w:eastAsia="仿宋_GB2312;仿宋"/>
          <w:bCs/>
          <w:sz w:val="28"/>
          <w:szCs w:val="28"/>
        </w:rPr>
        <w:t>万</w:t>
      </w:r>
      <w:r>
        <w:rPr>
          <w:rFonts w:eastAsia="仿宋_GB2312;仿宋" w:cs="Arial" w:ascii="Arial" w:hAnsi="Arial"/>
          <w:bCs/>
          <w:sz w:val="28"/>
          <w:szCs w:val="28"/>
        </w:rPr>
        <w:t>/</w:t>
      </w:r>
      <w:r>
        <w:rPr>
          <w:rFonts w:ascii="Arial" w:hAnsi="Arial" w:cs="Arial" w:eastAsia="仿宋_GB2312;仿宋"/>
          <w:bCs/>
          <w:sz w:val="28"/>
          <w:szCs w:val="28"/>
        </w:rPr>
        <w:t>亩），以</w:t>
      </w:r>
      <w:r>
        <w:rPr>
          <w:rFonts w:eastAsia="仿宋_GB2312;仿宋" w:cs="Arial" w:ascii="Arial" w:hAnsi="Arial"/>
          <w:bCs/>
          <w:sz w:val="28"/>
          <w:szCs w:val="28"/>
        </w:rPr>
        <w:t>W1</w:t>
      </w:r>
      <w:r>
        <w:rPr>
          <w:rFonts w:ascii="Arial" w:hAnsi="Arial" w:cs="Arial" w:eastAsia="仿宋_GB2312;仿宋"/>
          <w:bCs/>
          <w:sz w:val="28"/>
          <w:szCs w:val="28"/>
        </w:rPr>
        <w:t>物流用地为主；昌平区成交建设用地面积</w:t>
      </w:r>
      <w:r>
        <w:rPr>
          <w:rFonts w:eastAsia="仿宋_GB2312;仿宋" w:cs="Arial" w:ascii="Arial" w:hAnsi="Arial"/>
          <w:bCs/>
          <w:sz w:val="28"/>
          <w:szCs w:val="28"/>
        </w:rPr>
        <w:t>13.8</w:t>
      </w:r>
      <w:r>
        <w:rPr>
          <w:rFonts w:ascii="Arial" w:hAnsi="Arial" w:cs="Arial" w:eastAsia="仿宋_GB2312;仿宋"/>
          <w:bCs/>
          <w:sz w:val="28"/>
          <w:szCs w:val="28"/>
        </w:rPr>
        <w:t>万平方米，成交地面均价为</w:t>
      </w:r>
      <w:r>
        <w:rPr>
          <w:rFonts w:eastAsia="仿宋_GB2312;仿宋" w:cs="Arial" w:ascii="Arial" w:hAnsi="Arial"/>
          <w:bCs/>
          <w:sz w:val="28"/>
          <w:szCs w:val="28"/>
        </w:rPr>
        <w:t>2800</w:t>
      </w:r>
      <w:r>
        <w:rPr>
          <w:rFonts w:ascii="Arial" w:hAnsi="Arial" w:cs="Arial" w:eastAsia="仿宋_GB2312;仿宋"/>
          <w:bCs/>
          <w:sz w:val="28"/>
          <w:szCs w:val="28"/>
        </w:rPr>
        <w:t>元</w:t>
      </w:r>
      <w:r>
        <w:rPr>
          <w:rFonts w:eastAsia="仿宋_GB2312;仿宋" w:cs="Arial" w:ascii="Arial" w:hAnsi="Arial"/>
          <w:bCs/>
          <w:sz w:val="28"/>
          <w:szCs w:val="28"/>
        </w:rPr>
        <w:t>/</w:t>
      </w:r>
      <w:r>
        <w:rPr>
          <w:rFonts w:ascii="Arial" w:hAnsi="Arial" w:cs="Arial" w:eastAsia="仿宋_GB2312;仿宋"/>
          <w:bCs/>
          <w:sz w:val="28"/>
          <w:szCs w:val="28"/>
        </w:rPr>
        <w:t>平方米（约合</w:t>
      </w:r>
      <w:r>
        <w:rPr>
          <w:rFonts w:eastAsia="仿宋_GB2312;仿宋" w:cs="Arial" w:ascii="Arial" w:hAnsi="Arial"/>
          <w:bCs/>
          <w:sz w:val="28"/>
          <w:szCs w:val="28"/>
        </w:rPr>
        <w:t>187</w:t>
      </w:r>
      <w:r>
        <w:rPr>
          <w:rFonts w:ascii="Arial" w:hAnsi="Arial" w:cs="Arial" w:eastAsia="仿宋_GB2312;仿宋"/>
          <w:bCs/>
          <w:sz w:val="28"/>
          <w:szCs w:val="28"/>
        </w:rPr>
        <w:t>万</w:t>
      </w:r>
      <w:r>
        <w:rPr>
          <w:rFonts w:eastAsia="仿宋_GB2312;仿宋" w:cs="Arial" w:ascii="Arial" w:hAnsi="Arial"/>
          <w:bCs/>
          <w:sz w:val="28"/>
          <w:szCs w:val="28"/>
        </w:rPr>
        <w:t>/</w:t>
      </w:r>
      <w:r>
        <w:rPr>
          <w:rFonts w:ascii="Arial" w:hAnsi="Arial" w:cs="Arial" w:eastAsia="仿宋_GB2312;仿宋"/>
          <w:bCs/>
          <w:sz w:val="28"/>
          <w:szCs w:val="28"/>
        </w:rPr>
        <w:t>亩），均为</w:t>
      </w:r>
      <w:r>
        <w:rPr>
          <w:rFonts w:eastAsia="仿宋_GB2312;仿宋" w:cs="Arial" w:ascii="Arial" w:hAnsi="Arial"/>
          <w:bCs/>
          <w:sz w:val="28"/>
          <w:szCs w:val="28"/>
        </w:rPr>
        <w:t>M1</w:t>
      </w:r>
      <w:r>
        <w:rPr>
          <w:rFonts w:ascii="Arial" w:hAnsi="Arial" w:cs="Arial" w:eastAsia="仿宋_GB2312;仿宋"/>
          <w:bCs/>
          <w:sz w:val="28"/>
          <w:szCs w:val="28"/>
        </w:rPr>
        <w:t>一类工业用地；顺义区成交建设用地面积</w:t>
      </w:r>
      <w:r>
        <w:rPr>
          <w:rFonts w:eastAsia="仿宋_GB2312;仿宋" w:cs="Arial" w:ascii="Arial" w:hAnsi="Arial"/>
          <w:bCs/>
          <w:sz w:val="28"/>
          <w:szCs w:val="28"/>
        </w:rPr>
        <w:t>17.8</w:t>
      </w:r>
      <w:r>
        <w:rPr>
          <w:rFonts w:ascii="Arial" w:hAnsi="Arial" w:cs="Arial" w:eastAsia="仿宋_GB2312;仿宋"/>
          <w:bCs/>
          <w:sz w:val="28"/>
          <w:szCs w:val="28"/>
        </w:rPr>
        <w:t>万平方米，成交地面均价为</w:t>
      </w:r>
      <w:r>
        <w:rPr>
          <w:rFonts w:eastAsia="仿宋_GB2312;仿宋" w:cs="Arial" w:ascii="Arial" w:hAnsi="Arial"/>
          <w:bCs/>
          <w:sz w:val="28"/>
          <w:szCs w:val="28"/>
        </w:rPr>
        <w:t>2155</w:t>
      </w:r>
      <w:r>
        <w:rPr>
          <w:rFonts w:ascii="Arial" w:hAnsi="Arial" w:cs="Arial" w:eastAsia="仿宋_GB2312;仿宋"/>
          <w:bCs/>
          <w:sz w:val="28"/>
          <w:szCs w:val="28"/>
        </w:rPr>
        <w:t>元</w:t>
      </w:r>
      <w:r>
        <w:rPr>
          <w:rFonts w:eastAsia="仿宋_GB2312;仿宋" w:cs="Arial" w:ascii="Arial" w:hAnsi="Arial"/>
          <w:bCs/>
          <w:sz w:val="28"/>
          <w:szCs w:val="28"/>
        </w:rPr>
        <w:t>/</w:t>
      </w:r>
      <w:r>
        <w:rPr>
          <w:rFonts w:ascii="Arial" w:hAnsi="Arial" w:cs="Arial" w:eastAsia="仿宋_GB2312;仿宋"/>
          <w:bCs/>
          <w:sz w:val="28"/>
          <w:szCs w:val="28"/>
        </w:rPr>
        <w:t>平方米（约合</w:t>
      </w:r>
      <w:r>
        <w:rPr>
          <w:rFonts w:eastAsia="仿宋_GB2312;仿宋" w:cs="Arial" w:ascii="Arial" w:hAnsi="Arial"/>
          <w:bCs/>
          <w:sz w:val="28"/>
          <w:szCs w:val="28"/>
        </w:rPr>
        <w:t>144</w:t>
      </w:r>
      <w:r>
        <w:rPr>
          <w:rFonts w:ascii="Arial" w:hAnsi="Arial" w:cs="Arial" w:eastAsia="仿宋_GB2312;仿宋"/>
          <w:bCs/>
          <w:sz w:val="28"/>
          <w:szCs w:val="28"/>
        </w:rPr>
        <w:t>万</w:t>
      </w:r>
      <w:r>
        <w:rPr>
          <w:rFonts w:eastAsia="仿宋_GB2312;仿宋" w:cs="Arial" w:ascii="Arial" w:hAnsi="Arial"/>
          <w:bCs/>
          <w:sz w:val="28"/>
          <w:szCs w:val="28"/>
        </w:rPr>
        <w:t>/</w:t>
      </w:r>
      <w:r>
        <w:rPr>
          <w:rFonts w:ascii="Arial" w:hAnsi="Arial" w:cs="Arial" w:eastAsia="仿宋_GB2312;仿宋"/>
          <w:bCs/>
          <w:sz w:val="28"/>
          <w:szCs w:val="28"/>
        </w:rPr>
        <w:t>亩），</w:t>
      </w:r>
      <w:r>
        <w:rPr>
          <w:rFonts w:eastAsia="仿宋_GB2312;仿宋" w:cs="Arial" w:ascii="Arial" w:hAnsi="Arial"/>
          <w:bCs/>
          <w:sz w:val="28"/>
          <w:szCs w:val="28"/>
        </w:rPr>
        <w:t>M1</w:t>
      </w:r>
      <w:r>
        <w:rPr>
          <w:rFonts w:ascii="Arial" w:hAnsi="Arial" w:cs="Arial" w:eastAsia="仿宋_GB2312;仿宋"/>
          <w:bCs/>
          <w:sz w:val="28"/>
          <w:szCs w:val="28"/>
        </w:rPr>
        <w:t>一类工业用地及</w:t>
      </w:r>
      <w:r>
        <w:rPr>
          <w:rFonts w:eastAsia="仿宋_GB2312;仿宋" w:cs="Arial" w:ascii="Arial" w:hAnsi="Arial"/>
          <w:bCs/>
          <w:sz w:val="28"/>
          <w:szCs w:val="28"/>
        </w:rPr>
        <w:t>W1</w:t>
      </w:r>
      <w:r>
        <w:rPr>
          <w:rFonts w:ascii="Arial" w:hAnsi="Arial" w:cs="Arial" w:eastAsia="仿宋_GB2312;仿宋"/>
          <w:bCs/>
          <w:sz w:val="28"/>
          <w:szCs w:val="28"/>
        </w:rPr>
        <w:t>物流用地各</w:t>
      </w:r>
      <w:r>
        <w:rPr>
          <w:rFonts w:eastAsia="仿宋_GB2312;仿宋" w:cs="Arial" w:ascii="Arial" w:hAnsi="Arial"/>
          <w:bCs/>
          <w:sz w:val="28"/>
          <w:szCs w:val="28"/>
        </w:rPr>
        <w:t>1</w:t>
      </w:r>
      <w:r>
        <w:rPr>
          <w:rFonts w:ascii="Arial" w:hAnsi="Arial" w:cs="Arial" w:eastAsia="仿宋_GB2312;仿宋"/>
          <w:bCs/>
          <w:sz w:val="28"/>
          <w:szCs w:val="28"/>
        </w:rPr>
        <w:t>宗；通州区成交建设用地面积</w:t>
      </w:r>
      <w:r>
        <w:rPr>
          <w:rFonts w:eastAsia="仿宋_GB2312;仿宋" w:cs="Arial" w:ascii="Arial" w:hAnsi="Arial"/>
          <w:bCs/>
          <w:sz w:val="28"/>
          <w:szCs w:val="28"/>
        </w:rPr>
        <w:t>4.9</w:t>
      </w:r>
      <w:r>
        <w:rPr>
          <w:rFonts w:ascii="Arial" w:hAnsi="Arial" w:cs="Arial" w:eastAsia="仿宋_GB2312;仿宋"/>
          <w:bCs/>
          <w:sz w:val="28"/>
          <w:szCs w:val="28"/>
        </w:rPr>
        <w:t>万平方米，成交地面均价为</w:t>
      </w:r>
      <w:r>
        <w:rPr>
          <w:rFonts w:eastAsia="仿宋_GB2312;仿宋" w:cs="Arial" w:ascii="Arial" w:hAnsi="Arial"/>
          <w:bCs/>
          <w:sz w:val="28"/>
          <w:szCs w:val="28"/>
        </w:rPr>
        <w:t>3597</w:t>
      </w:r>
      <w:r>
        <w:rPr>
          <w:rFonts w:ascii="Arial" w:hAnsi="Arial" w:cs="Arial" w:eastAsia="仿宋_GB2312;仿宋"/>
          <w:bCs/>
          <w:sz w:val="28"/>
          <w:szCs w:val="28"/>
        </w:rPr>
        <w:t>元</w:t>
      </w:r>
      <w:r>
        <w:rPr>
          <w:rFonts w:eastAsia="仿宋_GB2312;仿宋" w:cs="Arial" w:ascii="Arial" w:hAnsi="Arial"/>
          <w:bCs/>
          <w:sz w:val="28"/>
          <w:szCs w:val="28"/>
        </w:rPr>
        <w:t>/</w:t>
      </w:r>
      <w:r>
        <w:rPr>
          <w:rFonts w:ascii="Arial" w:hAnsi="Arial" w:cs="Arial" w:eastAsia="仿宋_GB2312;仿宋"/>
          <w:bCs/>
          <w:sz w:val="28"/>
          <w:szCs w:val="28"/>
        </w:rPr>
        <w:t>平方米（约合</w:t>
      </w:r>
      <w:r>
        <w:rPr>
          <w:rFonts w:eastAsia="仿宋_GB2312;仿宋" w:cs="Arial" w:ascii="Arial" w:hAnsi="Arial"/>
          <w:bCs/>
          <w:sz w:val="28"/>
          <w:szCs w:val="28"/>
        </w:rPr>
        <w:t>240</w:t>
      </w:r>
      <w:r>
        <w:rPr>
          <w:rFonts w:ascii="Arial" w:hAnsi="Arial" w:cs="Arial" w:eastAsia="仿宋_GB2312;仿宋"/>
          <w:bCs/>
          <w:sz w:val="28"/>
          <w:szCs w:val="28"/>
        </w:rPr>
        <w:t>万</w:t>
      </w:r>
      <w:r>
        <w:rPr>
          <w:rFonts w:eastAsia="仿宋_GB2312;仿宋" w:cs="Arial" w:ascii="Arial" w:hAnsi="Arial"/>
          <w:bCs/>
          <w:sz w:val="28"/>
          <w:szCs w:val="28"/>
        </w:rPr>
        <w:t>/</w:t>
      </w:r>
      <w:r>
        <w:rPr>
          <w:rFonts w:ascii="Arial" w:hAnsi="Arial" w:cs="Arial" w:eastAsia="仿宋_GB2312;仿宋"/>
          <w:bCs/>
          <w:sz w:val="28"/>
          <w:szCs w:val="28"/>
        </w:rPr>
        <w:t>亩），均为</w:t>
      </w:r>
      <w:r>
        <w:rPr>
          <w:rFonts w:eastAsia="仿宋_GB2312;仿宋" w:cs="Arial" w:ascii="Arial" w:hAnsi="Arial"/>
          <w:bCs/>
          <w:sz w:val="28"/>
          <w:szCs w:val="28"/>
        </w:rPr>
        <w:t>M4</w:t>
      </w:r>
      <w:r>
        <w:rPr>
          <w:rFonts w:ascii="Arial" w:hAnsi="Arial" w:cs="Arial" w:eastAsia="仿宋_GB2312;仿宋"/>
          <w:bCs/>
          <w:sz w:val="28"/>
          <w:szCs w:val="28"/>
        </w:rPr>
        <w:t>工业研发用地。</w:t>
      </w:r>
      <w:r>
        <w:rPr>
          <w:rFonts w:eastAsia="Times New Roman"/>
          <w:lang w:val="zh-CN" w:eastAsia="zh-CN"/>
        </w:rPr>
        <w:t xml:space="preserve"> </w:t>
      </w:r>
    </w:p>
    <w:p>
      <w:pPr>
        <w:pStyle w:val="Normal"/>
        <w:spacing w:lineRule="auto" w:line="360"/>
        <w:rPr>
          <w:lang w:val="zh-CN" w:eastAsia="zh-CN"/>
        </w:rPr>
      </w:pPr>
      <w:r>
        <w:rPr>
          <w:lang w:val="zh-CN" w:eastAsia="zh-CN"/>
        </w:rPr>
        <w:drawing>
          <wp:inline distT="0" distB="0" distL="0" distR="0">
            <wp:extent cx="5903595" cy="5915025"/>
            <wp:effectExtent l="0" t="0" r="0" b="0"/>
            <wp:docPr id="30" name="图像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像10" descr=""/>
                    <pic:cNvPicPr>
                      <a:picLocks noChangeAspect="1" noChangeArrowheads="1"/>
                    </pic:cNvPicPr>
                  </pic:nvPicPr>
                  <pic:blipFill>
                    <a:blip r:embed="rId61"/>
                    <a:srcRect l="-5" t="-6" r="-5" b="-6"/>
                    <a:stretch>
                      <a:fillRect/>
                    </a:stretch>
                  </pic:blipFill>
                  <pic:spPr bwMode="auto">
                    <a:xfrm>
                      <a:off x="0" y="0"/>
                      <a:ext cx="5903595" cy="5915025"/>
                    </a:xfrm>
                    <a:prstGeom prst="rect">
                      <a:avLst/>
                    </a:prstGeom>
                  </pic:spPr>
                </pic:pic>
              </a:graphicData>
            </a:graphic>
          </wp:inline>
        </w:drawing>
        <mc:AlternateContent>
          <mc:Choice Requires="wpg">
            <w:drawing>
              <wp:anchor behindDoc="0" distT="0" distB="0" distL="114935" distR="114935" simplePos="0" locked="0" layoutInCell="1" allowOverlap="1" relativeHeight="86">
                <wp:simplePos x="0" y="0"/>
                <wp:positionH relativeFrom="column">
                  <wp:posOffset>31750</wp:posOffset>
                </wp:positionH>
                <wp:positionV relativeFrom="paragraph">
                  <wp:posOffset>64135</wp:posOffset>
                </wp:positionV>
                <wp:extent cx="5842635" cy="5775960"/>
                <wp:effectExtent l="0" t="0" r="0" b="0"/>
                <wp:wrapNone/>
                <wp:docPr id="29" name=""/>
                <a:graphic xmlns:a="http://schemas.openxmlformats.org/drawingml/2006/main">
                  <a:graphicData uri="http://schemas.microsoft.com/office/word/2010/wordprocessingGroup">
                    <wpg:wgp>
                      <wpg:cNvGrpSpPr/>
                      <wpg:grpSpPr>
                        <a:xfrm>
                          <a:off x="0" y="0"/>
                          <a:ext cx="5842080" cy="5775480"/>
                        </a:xfrm>
                      </wpg:grpSpPr>
                      <wps:wsp>
                        <wps:cNvSpPr txBox="1"/>
                        <wps:spPr>
                          <a:xfrm>
                            <a:off x="2104920" y="0"/>
                            <a:ext cx="1703160" cy="257040"/>
                          </a:xfrm>
                          <a:prstGeom prst="rect">
                            <a:avLst/>
                          </a:prstGeom>
                          <a:solidFill>
                            <a:srgbClr val="ffffff"/>
                          </a:solidFill>
                          <a:ln>
                            <a:noFill/>
                          </a:ln>
                        </wps:spPr>
                        <wps:txbx>
                          <w:txbxContent>
                            <w:p>
                              <w:pPr>
                                <w:overflowPunct w:val="false"/>
                                <w:bidi w:val="0"/>
                                <w:spacing w:lineRule="exact" w:line="240"/>
                                <w:jc w:val="center"/>
                                <w:rPr/>
                              </w:pPr>
                              <w:r>
                                <w:rPr>
                                  <w:kern w:val="2"/>
                                  <w:sz w:val="21"/>
                                  <w:szCs w:val="21"/>
                                  <w:b/>
                                  <w:rFonts w:ascii="Arial" w:hAnsi="Arial" w:eastAsia="宋体;SimSun" w:cs="Arial"/>
                                  <w:color w:val="auto"/>
                                  <w:lang w:val="en-US" w:eastAsia="zh-CN" w:bidi="ar-SA"/>
                                </w:rPr>
                                <w:t>工业用地成交分布图</w:t>
                              </w:r>
                            </w:p>
                          </w:txbxContent>
                        </wps:txbx>
                        <wps:bodyPr wrap="square" lIns="36360" rIns="36360" tIns="36360" bIns="36360">
                          <a:noAutofit/>
                        </wps:bodyPr>
                      </wps:wsp>
                      <wpg:grpSp>
                        <wpg:cNvGrpSpPr/>
                        <wpg:grpSpPr>
                          <a:xfrm>
                            <a:off x="0" y="1109520"/>
                            <a:ext cx="5842080" cy="4665960"/>
                          </a:xfrm>
                        </wpg:grpSpPr>
                        <wps:wsp>
                          <wps:cNvSpPr/>
                          <wps:spPr>
                            <a:xfrm>
                              <a:off x="4278600" y="4035240"/>
                              <a:ext cx="1562040" cy="510480"/>
                            </a:xfrm>
                            <a:prstGeom prst="borderCallout2">
                              <a:avLst>
                                <a:gd name="adj1" fmla="val 18750"/>
                                <a:gd name="adj2" fmla="val -8333"/>
                                <a:gd name="adj3" fmla="val 22388"/>
                                <a:gd name="adj4" fmla="val -46949"/>
                                <a:gd name="adj5" fmla="val -186319"/>
                                <a:gd name="adj6" fmla="val -89550"/>
                              </a:avLst>
                            </a:prstGeom>
                            <a:solidFill>
                              <a:srgbClr val="ffffff"/>
                            </a:solidFill>
                            <a:ln w="936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亦庄地区（18宗）</w:t>
                                </w:r>
                              </w:p>
                              <w:p>
                                <w:pPr>
                                  <w:overflowPunct w:val="false"/>
                                  <w:bidi w:val="0"/>
                                  <w:spacing w:lineRule="exact" w:line="240"/>
                                  <w:rPr/>
                                </w:pPr>
                                <w:r>
                                  <w:rPr>
                                    <w:kern w:val="2"/>
                                    <w:sz w:val="15"/>
                                    <w:szCs w:val="15"/>
                                    <w:rFonts w:ascii="Arial" w:hAnsi="Arial" w:eastAsia="宋体;SimSun" w:cs="Arial"/>
                                    <w:color w:val="auto"/>
                                    <w:lang w:val="en-US" w:eastAsia="zh-CN" w:bidi="ar-SA"/>
                                  </w:rPr>
                                  <w:t>详见下图</w:t>
                                </w:r>
                              </w:p>
                            </w:txbxContent>
                          </wps:txbx>
                          <wps:bodyPr lIns="36360" rIns="36360" tIns="36360" bIns="36360">
                            <a:noAutofit/>
                          </wps:bodyPr>
                        </wps:wsp>
                        <wps:wsp>
                          <wps:cNvSpPr/>
                          <wps:spPr>
                            <a:xfrm>
                              <a:off x="4278600" y="2446560"/>
                              <a:ext cx="1563480" cy="562680"/>
                            </a:xfrm>
                            <a:prstGeom prst="borderCallout2">
                              <a:avLst>
                                <a:gd name="adj1" fmla="val 18750"/>
                                <a:gd name="adj2" fmla="val -8333"/>
                                <a:gd name="adj3" fmla="val 20314"/>
                                <a:gd name="adj4" fmla="val -30828"/>
                                <a:gd name="adj5" fmla="val -57449"/>
                                <a:gd name="adj6" fmla="val -67263"/>
                              </a:avLst>
                            </a:prstGeom>
                            <a:solidFill>
                              <a:srgbClr val="ffffff"/>
                            </a:solidFill>
                            <a:ln w="936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顺义区（2宗）</w:t>
                                </w:r>
                              </w:p>
                              <w:p>
                                <w:pPr>
                                  <w:overflowPunct w:val="false"/>
                                  <w:bidi w:val="0"/>
                                  <w:spacing w:lineRule="exact" w:line="240"/>
                                  <w:rPr/>
                                </w:pPr>
                                <w:r>
                                  <w:rPr>
                                    <w:kern w:val="2"/>
                                    <w:sz w:val="15"/>
                                    <w:szCs w:val="15"/>
                                    <w:rFonts w:ascii="Arial" w:hAnsi="Arial" w:eastAsia="宋体;SimSun" w:cs="Arial"/>
                                    <w:color w:val="auto"/>
                                    <w:lang w:val="en-US" w:eastAsia="zh-CN" w:bidi="ar-SA"/>
                                  </w:rPr>
                                  <w:t>首都机场北部，M1：182.4万元/亩</w:t>
                                </w:r>
                              </w:p>
                              <w:p>
                                <w:pPr>
                                  <w:overflowPunct w:val="false"/>
                                  <w:bidi w:val="0"/>
                                  <w:spacing w:lineRule="exact" w:line="240"/>
                                  <w:rPr/>
                                </w:pPr>
                                <w:r>
                                  <w:rPr>
                                    <w:kern w:val="2"/>
                                    <w:sz w:val="15"/>
                                    <w:szCs w:val="15"/>
                                    <w:rFonts w:ascii="Arial" w:hAnsi="Arial" w:eastAsia="宋体;SimSun" w:cs="Arial"/>
                                    <w:color w:val="auto"/>
                                    <w:lang w:val="en-US" w:eastAsia="zh-CN" w:bidi="ar-SA"/>
                                  </w:rPr>
                                  <w:t>大孙各庄，W1：109万元/亩</w:t>
                                </w:r>
                              </w:p>
                            </w:txbxContent>
                          </wps:txbx>
                          <wps:bodyPr lIns="36360" rIns="36360" tIns="36360" bIns="36360">
                            <a:noAutofit/>
                          </wps:bodyPr>
                        </wps:wsp>
                        <wps:wsp>
                          <wps:cNvSpPr/>
                          <wps:spPr>
                            <a:xfrm>
                              <a:off x="0" y="586080"/>
                              <a:ext cx="1393200" cy="907560"/>
                            </a:xfrm>
                            <a:prstGeom prst="borderCallout2">
                              <a:avLst>
                                <a:gd name="adj1" fmla="val 18750"/>
                                <a:gd name="adj2" fmla="val -8333"/>
                                <a:gd name="adj3" fmla="val 12597"/>
                                <a:gd name="adj4" fmla="val 126935"/>
                                <a:gd name="adj5" fmla="val 142337"/>
                                <a:gd name="adj6" fmla="val 164629"/>
                              </a:avLst>
                            </a:prstGeom>
                            <a:solidFill>
                              <a:srgbClr val="ffffff"/>
                            </a:solidFill>
                            <a:ln w="936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昌平区（4宗）</w:t>
                                </w:r>
                              </w:p>
                              <w:p>
                                <w:pPr>
                                  <w:overflowPunct w:val="false"/>
                                  <w:bidi w:val="0"/>
                                  <w:spacing w:lineRule="exact" w:line="240"/>
                                  <w:rPr/>
                                </w:pPr>
                                <w:r>
                                  <w:rPr>
                                    <w:kern w:val="2"/>
                                    <w:sz w:val="15"/>
                                    <w:szCs w:val="15"/>
                                    <w:rFonts w:ascii="Arial" w:hAnsi="Arial" w:eastAsia="宋体;SimSun" w:cs="Arial"/>
                                    <w:color w:val="auto"/>
                                    <w:lang w:val="en-US" w:eastAsia="zh-CN" w:bidi="ar-SA"/>
                                  </w:rPr>
                                  <w:t>朱辛庄，M1：246.5万元/亩</w:t>
                                </w:r>
                              </w:p>
                              <w:p>
                                <w:pPr>
                                  <w:overflowPunct w:val="false"/>
                                  <w:bidi w:val="0"/>
                                  <w:spacing w:lineRule="exact" w:line="240"/>
                                  <w:rPr/>
                                </w:pPr>
                                <w:r>
                                  <w:rPr>
                                    <w:kern w:val="2"/>
                                    <w:sz w:val="15"/>
                                    <w:szCs w:val="15"/>
                                    <w:rFonts w:ascii="Arial" w:hAnsi="Arial" w:eastAsia="宋体;SimSun" w:cs="Arial"/>
                                    <w:color w:val="auto"/>
                                    <w:lang w:val="en-US" w:eastAsia="zh-CN" w:bidi="ar-SA"/>
                                  </w:rPr>
                                  <w:t>北七家，M1：147.5万元/亩</w:t>
                                </w:r>
                              </w:p>
                              <w:p>
                                <w:pPr>
                                  <w:overflowPunct w:val="false"/>
                                  <w:bidi w:val="0"/>
                                  <w:spacing w:lineRule="exact" w:line="240"/>
                                  <w:rPr/>
                                </w:pPr>
                                <w:r>
                                  <w:rPr>
                                    <w:kern w:val="2"/>
                                    <w:sz w:val="15"/>
                                    <w:szCs w:val="15"/>
                                    <w:rFonts w:ascii="Arial" w:hAnsi="Arial" w:eastAsia="宋体;SimSun" w:cs="Arial"/>
                                    <w:color w:val="auto"/>
                                    <w:lang w:val="en-US" w:eastAsia="zh-CN" w:bidi="ar-SA"/>
                                  </w:rPr>
                                  <w:t>中关村科技园区昌平园，M1:约192万元/亩</w:t>
                                </w:r>
                              </w:p>
                            </w:txbxContent>
                          </wps:txbx>
                          <wps:bodyPr lIns="36360" rIns="36360" tIns="36360" bIns="36360">
                            <a:noAutofit/>
                          </wps:bodyPr>
                        </wps:wsp>
                        <wps:wsp>
                          <wps:cNvSpPr/>
                          <wps:spPr>
                            <a:xfrm>
                              <a:off x="3240" y="3976200"/>
                              <a:ext cx="1398240" cy="689760"/>
                            </a:xfrm>
                            <a:prstGeom prst="borderCallout2">
                              <a:avLst>
                                <a:gd name="adj1" fmla="val 18750"/>
                                <a:gd name="adj2" fmla="val -8333"/>
                                <a:gd name="adj3" fmla="val 16574"/>
                                <a:gd name="adj4" fmla="val 105449"/>
                                <a:gd name="adj5" fmla="val -104972"/>
                                <a:gd name="adj6" fmla="val 180745"/>
                              </a:avLst>
                            </a:prstGeom>
                            <a:solidFill>
                              <a:srgbClr val="ffffff"/>
                            </a:solidFill>
                            <a:ln w="936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大兴区（除亦庄共2宗）</w:t>
                                </w:r>
                              </w:p>
                              <w:p>
                                <w:pPr>
                                  <w:overflowPunct w:val="false"/>
                                  <w:bidi w:val="0"/>
                                  <w:spacing w:lineRule="exact" w:line="240"/>
                                  <w:rPr/>
                                </w:pPr>
                                <w:r>
                                  <w:rPr>
                                    <w:kern w:val="2"/>
                                    <w:sz w:val="15"/>
                                    <w:szCs w:val="15"/>
                                    <w:rFonts w:ascii="Arial" w:hAnsi="Arial" w:eastAsia="宋体;SimSun" w:cs="Arial"/>
                                    <w:color w:val="auto"/>
                                    <w:lang w:val="en-US" w:eastAsia="zh-CN" w:bidi="ar-SA"/>
                                  </w:rPr>
                                  <w:t>大兴国际机场临空经济区:</w:t>
                                </w:r>
                              </w:p>
                              <w:p>
                                <w:pPr>
                                  <w:overflowPunct w:val="false"/>
                                  <w:bidi w:val="0"/>
                                  <w:spacing w:lineRule="exact" w:line="240"/>
                                  <w:rPr/>
                                </w:pPr>
                                <w:r>
                                  <w:rPr>
                                    <w:kern w:val="2"/>
                                    <w:sz w:val="15"/>
                                    <w:szCs w:val="15"/>
                                    <w:rFonts w:ascii="Arial" w:hAnsi="Arial" w:eastAsia="宋体;SimSun" w:cs="Arial"/>
                                    <w:color w:val="auto"/>
                                    <w:lang w:val="en-US" w:eastAsia="zh-CN" w:bidi="ar-SA"/>
                                  </w:rPr>
                                  <w:t>M1：121.6万元/亩</w:t>
                                </w:r>
                              </w:p>
                              <w:p>
                                <w:pPr>
                                  <w:overflowPunct w:val="false"/>
                                  <w:bidi w:val="0"/>
                                  <w:spacing w:lineRule="exact" w:line="240"/>
                                  <w:rPr/>
                                </w:pPr>
                                <w:r>
                                  <w:rPr>
                                    <w:kern w:val="2"/>
                                    <w:sz w:val="15"/>
                                    <w:szCs w:val="15"/>
                                    <w:rFonts w:ascii="Arial" w:hAnsi="Arial" w:eastAsia="宋体;SimSun" w:cs="Arial"/>
                                    <w:color w:val="auto"/>
                                    <w:lang w:val="en-US" w:eastAsia="zh-CN" w:bidi="ar-SA"/>
                                  </w:rPr>
                                  <w:t>M1、S41：151万元/亩</w:t>
                                </w:r>
                              </w:p>
                            </w:txbxContent>
                          </wps:txbx>
                          <wps:bodyPr lIns="36360" rIns="36360" tIns="36360" bIns="36360">
                            <a:noAutofit/>
                          </wps:bodyPr>
                        </wps:wsp>
                        <wps:wsp>
                          <wps:cNvSpPr/>
                          <wps:spPr>
                            <a:xfrm>
                              <a:off x="8280" y="2193120"/>
                              <a:ext cx="1393200" cy="830520"/>
                            </a:xfrm>
                            <a:prstGeom prst="borderCallout2">
                              <a:avLst>
                                <a:gd name="adj1" fmla="val 18750"/>
                                <a:gd name="adj2" fmla="val -8333"/>
                                <a:gd name="adj3" fmla="val 13759"/>
                                <a:gd name="adj4" fmla="val 127486"/>
                                <a:gd name="adj5" fmla="val 120259"/>
                                <a:gd name="adj6" fmla="val 149680"/>
                              </a:avLst>
                            </a:prstGeom>
                            <a:solidFill>
                              <a:srgbClr val="ffffff"/>
                            </a:solidFill>
                            <a:ln w="936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房山区（4宗）</w:t>
                                </w:r>
                              </w:p>
                              <w:p>
                                <w:pPr>
                                  <w:overflowPunct w:val="false"/>
                                  <w:bidi w:val="0"/>
                                  <w:spacing w:lineRule="exact" w:line="240"/>
                                  <w:rPr/>
                                </w:pPr>
                                <w:r>
                                  <w:rPr>
                                    <w:kern w:val="2"/>
                                    <w:sz w:val="15"/>
                                    <w:szCs w:val="15"/>
                                    <w:rFonts w:ascii="Arial" w:hAnsi="Arial" w:eastAsia="宋体;SimSun" w:cs="Arial"/>
                                    <w:color w:val="auto"/>
                                    <w:lang w:val="en-US" w:eastAsia="zh-CN" w:bidi="ar-SA"/>
                                  </w:rPr>
                                  <w:t>韩村河，M4：122.9万元/亩</w:t>
                                </w:r>
                              </w:p>
                              <w:p>
                                <w:pPr>
                                  <w:overflowPunct w:val="false"/>
                                  <w:bidi w:val="0"/>
                                  <w:spacing w:lineRule="exact" w:line="240"/>
                                  <w:rPr/>
                                </w:pPr>
                                <w:r>
                                  <w:rPr>
                                    <w:kern w:val="2"/>
                                    <w:sz w:val="15"/>
                                    <w:szCs w:val="15"/>
                                    <w:rFonts w:ascii="Arial" w:hAnsi="Arial" w:eastAsia="宋体;SimSun" w:cs="Arial"/>
                                    <w:color w:val="auto"/>
                                    <w:lang w:val="en-US" w:eastAsia="zh-CN" w:bidi="ar-SA"/>
                                  </w:rPr>
                                  <w:t>燕房  ，M4：132.7万元/亩</w:t>
                                </w:r>
                              </w:p>
                              <w:p>
                                <w:pPr>
                                  <w:overflowPunct w:val="false"/>
                                  <w:bidi w:val="0"/>
                                  <w:spacing w:lineRule="exact" w:line="240"/>
                                  <w:rPr/>
                                </w:pPr>
                                <w:r>
                                  <w:rPr>
                                    <w:kern w:val="2"/>
                                    <w:sz w:val="15"/>
                                    <w:szCs w:val="15"/>
                                    <w:rFonts w:ascii="Arial" w:hAnsi="Arial" w:eastAsia="宋体;SimSun" w:cs="Arial"/>
                                    <w:color w:val="auto"/>
                                    <w:lang w:val="en-US" w:eastAsia="zh-CN" w:bidi="ar-SA"/>
                                  </w:rPr>
                                  <w:t>窦店  ，M1：146.2万元/亩</w:t>
                                </w:r>
                              </w:p>
                              <w:p>
                                <w:pPr>
                                  <w:overflowPunct w:val="false"/>
                                  <w:bidi w:val="0"/>
                                  <w:spacing w:lineRule="exact" w:line="240"/>
                                  <w:rPr/>
                                </w:pPr>
                                <w:r>
                                  <w:rPr>
                                    <w:kern w:val="2"/>
                                    <w:sz w:val="15"/>
                                    <w:szCs w:val="15"/>
                                    <w:rFonts w:ascii="Arial" w:hAnsi="Arial" w:eastAsia="宋体;SimSun" w:cs="Arial"/>
                                    <w:color w:val="auto"/>
                                    <w:lang w:val="en-US" w:eastAsia="zh-CN" w:bidi="ar-SA"/>
                                  </w:rPr>
                                  <w:t>琉璃河，W1：150.0万元/亩</w:t>
                                </w:r>
                              </w:p>
                            </w:txbxContent>
                          </wps:txbx>
                          <wps:bodyPr lIns="36360" rIns="36360" tIns="36360" bIns="36360">
                            <a:noAutofit/>
                          </wps:bodyPr>
                        </wps:wsp>
                        <wps:wsp>
                          <wps:cNvSpPr txBox="1"/>
                          <wps:spPr>
                            <a:xfrm>
                              <a:off x="4255920" y="0"/>
                              <a:ext cx="1585440" cy="1012680"/>
                            </a:xfrm>
                            <a:prstGeom prst="rect">
                              <a:avLst/>
                            </a:prstGeom>
                            <a:solidFill>
                              <a:srgbClr val="ffffff"/>
                            </a:solidFill>
                            <a:ln w="9360">
                              <a:solidFill>
                                <a:srgbClr val="000000"/>
                              </a:solidFill>
                              <a:miter/>
                            </a:ln>
                          </wps:spPr>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平谷区（8宗）</w:t>
                                </w:r>
                              </w:p>
                              <w:p>
                                <w:pPr>
                                  <w:overflowPunct w:val="false"/>
                                  <w:bidi w:val="0"/>
                                  <w:spacing w:lineRule="exact" w:line="240"/>
                                  <w:rPr/>
                                </w:pPr>
                                <w:r>
                                  <w:rPr>
                                    <w:kern w:val="2"/>
                                    <w:sz w:val="15"/>
                                    <w:szCs w:val="15"/>
                                    <w:rFonts w:ascii="Arial" w:hAnsi="Arial" w:eastAsia="宋体;SimSun" w:cs="Arial"/>
                                    <w:color w:val="auto"/>
                                    <w:lang w:val="en-US" w:eastAsia="zh-CN" w:bidi="ar-SA"/>
                                  </w:rPr>
                                  <w:t>京平公转铁综合物流枢纽产业园，W1（50年）：</w:t>
                                </w:r>
                              </w:p>
                              <w:p>
                                <w:pPr>
                                  <w:overflowPunct w:val="false"/>
                                  <w:bidi w:val="0"/>
                                  <w:spacing w:lineRule="exact" w:line="240"/>
                                  <w:rPr/>
                                </w:pPr>
                                <w:r>
                                  <w:rPr>
                                    <w:kern w:val="2"/>
                                    <w:sz w:val="15"/>
                                    <w:szCs w:val="15"/>
                                    <w:rFonts w:ascii="Arial" w:hAnsi="Arial" w:eastAsia="宋体;SimSun" w:cs="Arial"/>
                                    <w:color w:val="auto"/>
                                    <w:lang w:val="en-US" w:eastAsia="zh-CN" w:bidi="ar-SA"/>
                                  </w:rPr>
                                  <w:t>容积率1.0-1.3，190- 232万元/亩</w:t>
                                </w:r>
                              </w:p>
                              <w:p>
                                <w:pPr>
                                  <w:overflowPunct w:val="false"/>
                                  <w:bidi w:val="0"/>
                                  <w:spacing w:lineRule="exact" w:line="240"/>
                                  <w:rPr/>
                                </w:pPr>
                                <w:r>
                                  <w:rPr>
                                    <w:kern w:val="2"/>
                                    <w:sz w:val="15"/>
                                    <w:szCs w:val="15"/>
                                    <w:rFonts w:ascii="Arial" w:hAnsi="Arial" w:eastAsia="宋体;SimSun" w:cs="Arial"/>
                                    <w:color w:val="auto"/>
                                    <w:lang w:val="en-US" w:eastAsia="zh-CN" w:bidi="ar-SA"/>
                                  </w:rPr>
                                  <w:t>容积率1.8-2.5，278-330万元/亩</w:t>
                                </w:r>
                              </w:p>
                              <w:p>
                                <w:pPr>
                                  <w:overflowPunct w:val="false"/>
                                  <w:bidi w:val="0"/>
                                  <w:spacing w:lineRule="exact" w:line="240"/>
                                  <w:rPr/>
                                </w:pPr>
                                <w:r>
                                  <w:rPr>
                                    <w:kern w:val="2"/>
                                    <w:sz w:val="15"/>
                                    <w:szCs w:val="15"/>
                                    <w:rFonts w:ascii="Arial" w:hAnsi="Arial" w:eastAsia="宋体;SimSun" w:cs="Arial"/>
                                    <w:color w:val="auto"/>
                                    <w:lang w:val="en-US" w:eastAsia="zh-CN" w:bidi="ar-SA"/>
                                  </w:rPr>
                                  <w:t>平谷新城，M1:91万元/亩</w:t>
                                </w:r>
                              </w:p>
                              <w:p>
                                <w:pPr>
                                  <w:overflowPunct w:val="false"/>
                                  <w:bidi w:val="0"/>
                                  <w:spacing w:lineRule="atLeast" w:line="360"/>
                                  <w:rPr/>
                                </w:pPr>
                                <w:r>
                                  <w:rPr>
                                    <w:kern w:val="2"/>
                                    <w:szCs w:val="24"/>
                                    <w:rFonts w:ascii="Liberation Serif" w:hAnsi="Liberation Serif" w:eastAsia="新宋体" w:cs="Lucida Sans"/>
                                    <w:lang w:bidi="hi-IN"/>
                                  </w:rPr>
                                </w:r>
                              </w:p>
                            </w:txbxContent>
                          </wps:txbx>
                          <wps:bodyPr wrap="square" lIns="54000" rIns="54000" tIns="17640" bIns="17640">
                            <a:noAutofit/>
                          </wps:bodyPr>
                        </wps:wsp>
                        <wps:cxnSp>
                          <wps:nvCxnSpPr>
                            <wps:cNvPr id="2" name="Line 1"/>
                            <wps:cNvCxnSpPr/>
                            <wps:nvPr/>
                          </wps:nvCxnSpPr>
                          <wps:spPr>
                            <a:xfrm flipH="1">
                              <a:off x="4295160" y="2265840"/>
                              <a:ext cx="329400" cy="999720"/>
                            </a:xfrm>
                            <a:prstGeom prst="straightConnector1">
                              <a:avLst/>
                            </a:prstGeom>
                            <a:ln w="12600">
                              <a:solidFill>
                                <a:srgbClr val="000000"/>
                              </a:solidFill>
                              <a:miter/>
                              <a:headEnd len="med" type="oval" w="med"/>
                              <a:tailEnd len="med" type="oval" w="med"/>
                            </a:ln>
                          </wps:spPr>
                          <wps:bodyPr/>
                        </wps:cxnSp>
                        <wps:wsp>
                          <wps:cNvSpPr/>
                          <wps:spPr>
                            <a:xfrm>
                              <a:off x="4260960" y="3260520"/>
                              <a:ext cx="1563480" cy="562680"/>
                            </a:xfrm>
                            <a:prstGeom prst="borderCallout2">
                              <a:avLst>
                                <a:gd name="adj1" fmla="val 18750"/>
                                <a:gd name="adj2" fmla="val -8333"/>
                                <a:gd name="adj3" fmla="val 20314"/>
                                <a:gd name="adj4" fmla="val -30180"/>
                                <a:gd name="adj5" fmla="val -91310"/>
                                <a:gd name="adj6" fmla="val -65759"/>
                              </a:avLst>
                            </a:prstGeom>
                            <a:solidFill>
                              <a:srgbClr val="ffffff"/>
                            </a:solidFill>
                            <a:ln w="936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通州区（2宗）</w:t>
                                </w:r>
                              </w:p>
                              <w:p>
                                <w:pPr>
                                  <w:overflowPunct w:val="false"/>
                                  <w:bidi w:val="0"/>
                                  <w:spacing w:lineRule="exact" w:line="240"/>
                                  <w:rPr/>
                                </w:pPr>
                                <w:r>
                                  <w:rPr>
                                    <w:kern w:val="2"/>
                                    <w:sz w:val="15"/>
                                    <w:szCs w:val="15"/>
                                    <w:rFonts w:ascii="Arial" w:hAnsi="Arial" w:eastAsia="宋体;SimSun" w:cs="Arial"/>
                                    <w:color w:val="auto"/>
                                    <w:lang w:val="en-US" w:eastAsia="zh-CN" w:bidi="ar-SA"/>
                                  </w:rPr>
                                  <w:t>北京城市副中心:</w:t>
                                </w:r>
                              </w:p>
                              <w:p>
                                <w:pPr>
                                  <w:overflowPunct w:val="false"/>
                                  <w:bidi w:val="0"/>
                                  <w:spacing w:lineRule="exact" w:line="240"/>
                                  <w:rPr/>
                                </w:pPr>
                                <w:r>
                                  <w:rPr>
                                    <w:kern w:val="2"/>
                                    <w:sz w:val="15"/>
                                    <w:szCs w:val="15"/>
                                    <w:rFonts w:ascii="Arial" w:hAnsi="Arial" w:eastAsia="宋体;SimSun" w:cs="Arial"/>
                                    <w:color w:val="auto"/>
                                    <w:lang w:val="en-US" w:eastAsia="zh-CN" w:bidi="ar-SA"/>
                                  </w:rPr>
                                  <w:t>M4：239.8万元/亩</w:t>
                                </w:r>
                              </w:p>
                            </w:txbxContent>
                          </wps:txbx>
                          <wps:bodyPr lIns="36360" rIns="36360" tIns="36360" bIns="36360">
                            <a:noAutofit/>
                          </wps:bodyPr>
                        </wps:wsp>
                      </wpg:grpSp>
                    </wpg:wgp>
                  </a:graphicData>
                </a:graphic>
              </wp:anchor>
            </w:drawing>
          </mc:Choice>
          <mc:Fallback>
            <w:pict>
              <v:group id="shape_0" style="position:absolute;margin-left:2.5pt;margin-top:5.05pt;width:460pt;height:454.75pt" coordorigin="50,101" coordsize="9200,9095">
                <v:shape id="shape_0" fillcolor="white" stroked="f" style="position:absolute;left:3365;top:101;width:2681;height:404" type="shapetype_202">
                  <v:textbox>
                    <w:txbxContent>
                      <w:p>
                        <w:pPr>
                          <w:overflowPunct w:val="false"/>
                          <w:bidi w:val="0"/>
                          <w:spacing w:lineRule="exact" w:line="240"/>
                          <w:jc w:val="center"/>
                          <w:rPr/>
                        </w:pPr>
                        <w:r>
                          <w:rPr>
                            <w:kern w:val="2"/>
                            <w:sz w:val="21"/>
                            <w:szCs w:val="21"/>
                            <w:b/>
                            <w:rFonts w:ascii="Arial" w:hAnsi="Arial" w:eastAsia="宋体;SimSun" w:cs="Arial"/>
                            <w:color w:val="auto"/>
                            <w:lang w:val="en-US" w:eastAsia="zh-CN" w:bidi="ar-SA"/>
                          </w:rPr>
                          <w:t>工业用地成交分布图</w:t>
                        </w:r>
                      </w:p>
                    </w:txbxContent>
                  </v:textbox>
                  <w10:wrap type="square"/>
                  <v:fill o:detectmouseclick="t" type="solid" color2="black"/>
                  <v:stroke color="#3465a4" joinstyle="round" endcap="flat"/>
                </v:shape>
                <v:group id="shape_0" style="position:absolute;left:50;top:1848;width:9200;height:7348">
                  <v:shape id="shape_0" fillcolor="white" stroked="t" style="position:absolute;left:6788;top:8203;width:2459;height:803"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亦庄地区（18宗）</w:t>
                          </w:r>
                        </w:p>
                        <w:p>
                          <w:pPr>
                            <w:overflowPunct w:val="false"/>
                            <w:bidi w:val="0"/>
                            <w:spacing w:lineRule="exact" w:line="240"/>
                            <w:rPr/>
                          </w:pPr>
                          <w:r>
                            <w:rPr>
                              <w:kern w:val="2"/>
                              <w:sz w:val="15"/>
                              <w:szCs w:val="15"/>
                              <w:rFonts w:ascii="Arial" w:hAnsi="Arial" w:eastAsia="宋体;SimSun" w:cs="Arial"/>
                              <w:color w:val="auto"/>
                              <w:lang w:val="en-US" w:eastAsia="zh-CN" w:bidi="ar-SA"/>
                            </w:rPr>
                            <w:t>详见下图</w:t>
                          </w:r>
                        </w:p>
                      </w:txbxContent>
                    </v:textbox>
                    <w10:wrap type="square"/>
                    <v:fill o:detectmouseclick="t" type="solid" color2="black"/>
                    <v:stroke color="black" weight="9360" startarrow="oval" endarrow="oval" startarrowwidth="medium" startarrowlength="medium" endarrowwidth="medium" endarrowlength="medium" joinstyle="miter" endcap="square"/>
                  </v:shape>
                  <v:shape id="shape_0" fillcolor="white" stroked="t" style="position:absolute;left:6788;top:5701;width:2461;height:885"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顺义区（2宗）</w:t>
                          </w:r>
                        </w:p>
                        <w:p>
                          <w:pPr>
                            <w:overflowPunct w:val="false"/>
                            <w:bidi w:val="0"/>
                            <w:spacing w:lineRule="exact" w:line="240"/>
                            <w:rPr/>
                          </w:pPr>
                          <w:r>
                            <w:rPr>
                              <w:kern w:val="2"/>
                              <w:sz w:val="15"/>
                              <w:szCs w:val="15"/>
                              <w:rFonts w:ascii="Arial" w:hAnsi="Arial" w:eastAsia="宋体;SimSun" w:cs="Arial"/>
                              <w:color w:val="auto"/>
                              <w:lang w:val="en-US" w:eastAsia="zh-CN" w:bidi="ar-SA"/>
                            </w:rPr>
                            <w:t>首都机场北部，M1：182.4万元/亩</w:t>
                          </w:r>
                        </w:p>
                        <w:p>
                          <w:pPr>
                            <w:overflowPunct w:val="false"/>
                            <w:bidi w:val="0"/>
                            <w:spacing w:lineRule="exact" w:line="240"/>
                            <w:rPr/>
                          </w:pPr>
                          <w:r>
                            <w:rPr>
                              <w:kern w:val="2"/>
                              <w:sz w:val="15"/>
                              <w:szCs w:val="15"/>
                              <w:rFonts w:ascii="Arial" w:hAnsi="Arial" w:eastAsia="宋体;SimSun" w:cs="Arial"/>
                              <w:color w:val="auto"/>
                              <w:lang w:val="en-US" w:eastAsia="zh-CN" w:bidi="ar-SA"/>
                            </w:rPr>
                            <w:t>大孙各庄，W1：109万元/亩</w:t>
                          </w:r>
                        </w:p>
                      </w:txbxContent>
                    </v:textbox>
                    <w10:wrap type="square"/>
                    <v:fill o:detectmouseclick="t" type="solid" color2="black"/>
                    <v:stroke color="black" weight="9360" startarrow="oval" endarrow="oval" startarrowwidth="medium" startarrowlength="medium" endarrowwidth="medium" endarrowlength="medium" joinstyle="miter" endcap="square"/>
                  </v:shape>
                  <v:shape id="shape_0" fillcolor="white" stroked="t" style="position:absolute;left:50;top:2771;width:2193;height:1428"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昌平区（4宗）</w:t>
                          </w:r>
                        </w:p>
                        <w:p>
                          <w:pPr>
                            <w:overflowPunct w:val="false"/>
                            <w:bidi w:val="0"/>
                            <w:spacing w:lineRule="exact" w:line="240"/>
                            <w:rPr/>
                          </w:pPr>
                          <w:r>
                            <w:rPr>
                              <w:kern w:val="2"/>
                              <w:sz w:val="15"/>
                              <w:szCs w:val="15"/>
                              <w:rFonts w:ascii="Arial" w:hAnsi="Arial" w:eastAsia="宋体;SimSun" w:cs="Arial"/>
                              <w:color w:val="auto"/>
                              <w:lang w:val="en-US" w:eastAsia="zh-CN" w:bidi="ar-SA"/>
                            </w:rPr>
                            <w:t>朱辛庄，M1：246.5万元/亩</w:t>
                          </w:r>
                        </w:p>
                        <w:p>
                          <w:pPr>
                            <w:overflowPunct w:val="false"/>
                            <w:bidi w:val="0"/>
                            <w:spacing w:lineRule="exact" w:line="240"/>
                            <w:rPr/>
                          </w:pPr>
                          <w:r>
                            <w:rPr>
                              <w:kern w:val="2"/>
                              <w:sz w:val="15"/>
                              <w:szCs w:val="15"/>
                              <w:rFonts w:ascii="Arial" w:hAnsi="Arial" w:eastAsia="宋体;SimSun" w:cs="Arial"/>
                              <w:color w:val="auto"/>
                              <w:lang w:val="en-US" w:eastAsia="zh-CN" w:bidi="ar-SA"/>
                            </w:rPr>
                            <w:t>北七家，M1：147.5万元/亩</w:t>
                          </w:r>
                        </w:p>
                        <w:p>
                          <w:pPr>
                            <w:overflowPunct w:val="false"/>
                            <w:bidi w:val="0"/>
                            <w:spacing w:lineRule="exact" w:line="240"/>
                            <w:rPr/>
                          </w:pPr>
                          <w:r>
                            <w:rPr>
                              <w:kern w:val="2"/>
                              <w:sz w:val="15"/>
                              <w:szCs w:val="15"/>
                              <w:rFonts w:ascii="Arial" w:hAnsi="Arial" w:eastAsia="宋体;SimSun" w:cs="Arial"/>
                              <w:color w:val="auto"/>
                              <w:lang w:val="en-US" w:eastAsia="zh-CN" w:bidi="ar-SA"/>
                            </w:rPr>
                            <w:t>中关村科技园区昌平园，M1:约192万元/亩</w:t>
                          </w:r>
                        </w:p>
                      </w:txbxContent>
                    </v:textbox>
                    <w10:wrap type="square"/>
                    <v:fill o:detectmouseclick="t" type="solid" color2="black"/>
                    <v:stroke color="black" weight="9360" startarrow="oval" endarrow="oval" startarrowwidth="medium" startarrowlength="medium" endarrowwidth="medium" endarrowlength="medium" joinstyle="miter" endcap="square"/>
                  </v:shape>
                  <v:shape id="shape_0" fillcolor="white" stroked="t" style="position:absolute;left:55;top:8110;width:2201;height:1085"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大兴区（除亦庄共2宗）</w:t>
                          </w:r>
                        </w:p>
                        <w:p>
                          <w:pPr>
                            <w:overflowPunct w:val="false"/>
                            <w:bidi w:val="0"/>
                            <w:spacing w:lineRule="exact" w:line="240"/>
                            <w:rPr/>
                          </w:pPr>
                          <w:r>
                            <w:rPr>
                              <w:kern w:val="2"/>
                              <w:sz w:val="15"/>
                              <w:szCs w:val="15"/>
                              <w:rFonts w:ascii="Arial" w:hAnsi="Arial" w:eastAsia="宋体;SimSun" w:cs="Arial"/>
                              <w:color w:val="auto"/>
                              <w:lang w:val="en-US" w:eastAsia="zh-CN" w:bidi="ar-SA"/>
                            </w:rPr>
                            <w:t>大兴国际机场临空经济区:</w:t>
                          </w:r>
                        </w:p>
                        <w:p>
                          <w:pPr>
                            <w:overflowPunct w:val="false"/>
                            <w:bidi w:val="0"/>
                            <w:spacing w:lineRule="exact" w:line="240"/>
                            <w:rPr/>
                          </w:pPr>
                          <w:r>
                            <w:rPr>
                              <w:kern w:val="2"/>
                              <w:sz w:val="15"/>
                              <w:szCs w:val="15"/>
                              <w:rFonts w:ascii="Arial" w:hAnsi="Arial" w:eastAsia="宋体;SimSun" w:cs="Arial"/>
                              <w:color w:val="auto"/>
                              <w:lang w:val="en-US" w:eastAsia="zh-CN" w:bidi="ar-SA"/>
                            </w:rPr>
                            <w:t>M1：121.6万元/亩</w:t>
                          </w:r>
                        </w:p>
                        <w:p>
                          <w:pPr>
                            <w:overflowPunct w:val="false"/>
                            <w:bidi w:val="0"/>
                            <w:spacing w:lineRule="exact" w:line="240"/>
                            <w:rPr/>
                          </w:pPr>
                          <w:r>
                            <w:rPr>
                              <w:kern w:val="2"/>
                              <w:sz w:val="15"/>
                              <w:szCs w:val="15"/>
                              <w:rFonts w:ascii="Arial" w:hAnsi="Arial" w:eastAsia="宋体;SimSun" w:cs="Arial"/>
                              <w:color w:val="auto"/>
                              <w:lang w:val="en-US" w:eastAsia="zh-CN" w:bidi="ar-SA"/>
                            </w:rPr>
                            <w:t>M1、S41：151万元/亩</w:t>
                          </w:r>
                        </w:p>
                      </w:txbxContent>
                    </v:textbox>
                    <w10:wrap type="square"/>
                    <v:fill o:detectmouseclick="t" type="solid" color2="black"/>
                    <v:stroke color="black" weight="9360" startarrow="oval" endarrow="oval" startarrowwidth="medium" startarrowlength="medium" endarrowwidth="medium" endarrowlength="medium" joinstyle="miter" endcap="square"/>
                  </v:shape>
                  <v:shape id="shape_0" fillcolor="white" stroked="t" style="position:absolute;left:63;top:5302;width:2193;height:1307"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房山区（4宗）</w:t>
                          </w:r>
                        </w:p>
                        <w:p>
                          <w:pPr>
                            <w:overflowPunct w:val="false"/>
                            <w:bidi w:val="0"/>
                            <w:spacing w:lineRule="exact" w:line="240"/>
                            <w:rPr/>
                          </w:pPr>
                          <w:r>
                            <w:rPr>
                              <w:kern w:val="2"/>
                              <w:sz w:val="15"/>
                              <w:szCs w:val="15"/>
                              <w:rFonts w:ascii="Arial" w:hAnsi="Arial" w:eastAsia="宋体;SimSun" w:cs="Arial"/>
                              <w:color w:val="auto"/>
                              <w:lang w:val="en-US" w:eastAsia="zh-CN" w:bidi="ar-SA"/>
                            </w:rPr>
                            <w:t>韩村河，M4：122.9万元/亩</w:t>
                          </w:r>
                        </w:p>
                        <w:p>
                          <w:pPr>
                            <w:overflowPunct w:val="false"/>
                            <w:bidi w:val="0"/>
                            <w:spacing w:lineRule="exact" w:line="240"/>
                            <w:rPr/>
                          </w:pPr>
                          <w:r>
                            <w:rPr>
                              <w:kern w:val="2"/>
                              <w:sz w:val="15"/>
                              <w:szCs w:val="15"/>
                              <w:rFonts w:ascii="Arial" w:hAnsi="Arial" w:eastAsia="宋体;SimSun" w:cs="Arial"/>
                              <w:color w:val="auto"/>
                              <w:lang w:val="en-US" w:eastAsia="zh-CN" w:bidi="ar-SA"/>
                            </w:rPr>
                            <w:t>燕房  ，M4：132.7万元/亩</w:t>
                          </w:r>
                        </w:p>
                        <w:p>
                          <w:pPr>
                            <w:overflowPunct w:val="false"/>
                            <w:bidi w:val="0"/>
                            <w:spacing w:lineRule="exact" w:line="240"/>
                            <w:rPr/>
                          </w:pPr>
                          <w:r>
                            <w:rPr>
                              <w:kern w:val="2"/>
                              <w:sz w:val="15"/>
                              <w:szCs w:val="15"/>
                              <w:rFonts w:ascii="Arial" w:hAnsi="Arial" w:eastAsia="宋体;SimSun" w:cs="Arial"/>
                              <w:color w:val="auto"/>
                              <w:lang w:val="en-US" w:eastAsia="zh-CN" w:bidi="ar-SA"/>
                            </w:rPr>
                            <w:t>窦店  ，M1：146.2万元/亩</w:t>
                          </w:r>
                        </w:p>
                        <w:p>
                          <w:pPr>
                            <w:overflowPunct w:val="false"/>
                            <w:bidi w:val="0"/>
                            <w:spacing w:lineRule="exact" w:line="240"/>
                            <w:rPr/>
                          </w:pPr>
                          <w:r>
                            <w:rPr>
                              <w:kern w:val="2"/>
                              <w:sz w:val="15"/>
                              <w:szCs w:val="15"/>
                              <w:rFonts w:ascii="Arial" w:hAnsi="Arial" w:eastAsia="宋体;SimSun" w:cs="Arial"/>
                              <w:color w:val="auto"/>
                              <w:lang w:val="en-US" w:eastAsia="zh-CN" w:bidi="ar-SA"/>
                            </w:rPr>
                            <w:t>琉璃河，W1：150.0万元/亩</w:t>
                          </w:r>
                        </w:p>
                      </w:txbxContent>
                    </v:textbox>
                    <w10:wrap type="square"/>
                    <v:fill o:detectmouseclick="t" type="solid" color2="black"/>
                    <v:stroke color="black" weight="9360" startarrow="oval" endarrow="oval" startarrowwidth="medium" startarrowlength="medium" endarrowwidth="medium" endarrowlength="medium" joinstyle="miter" endcap="square"/>
                  </v:shape>
                  <v:shape id="shape_0" fillcolor="white" stroked="t" style="position:absolute;left:6752;top:1848;width:2496;height:1594" type="shapetype_202">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平谷区（8宗）</w:t>
                          </w:r>
                        </w:p>
                        <w:p>
                          <w:pPr>
                            <w:overflowPunct w:val="false"/>
                            <w:bidi w:val="0"/>
                            <w:spacing w:lineRule="exact" w:line="240"/>
                            <w:rPr/>
                          </w:pPr>
                          <w:r>
                            <w:rPr>
                              <w:kern w:val="2"/>
                              <w:sz w:val="15"/>
                              <w:szCs w:val="15"/>
                              <w:rFonts w:ascii="Arial" w:hAnsi="Arial" w:eastAsia="宋体;SimSun" w:cs="Arial"/>
                              <w:color w:val="auto"/>
                              <w:lang w:val="en-US" w:eastAsia="zh-CN" w:bidi="ar-SA"/>
                            </w:rPr>
                            <w:t>京平公转铁综合物流枢纽产业园，W1（50年）：</w:t>
                          </w:r>
                        </w:p>
                        <w:p>
                          <w:pPr>
                            <w:overflowPunct w:val="false"/>
                            <w:bidi w:val="0"/>
                            <w:spacing w:lineRule="exact" w:line="240"/>
                            <w:rPr/>
                          </w:pPr>
                          <w:r>
                            <w:rPr>
                              <w:kern w:val="2"/>
                              <w:sz w:val="15"/>
                              <w:szCs w:val="15"/>
                              <w:rFonts w:ascii="Arial" w:hAnsi="Arial" w:eastAsia="宋体;SimSun" w:cs="Arial"/>
                              <w:color w:val="auto"/>
                              <w:lang w:val="en-US" w:eastAsia="zh-CN" w:bidi="ar-SA"/>
                            </w:rPr>
                            <w:t>容积率1.0-1.3，190- 232万元/亩</w:t>
                          </w:r>
                        </w:p>
                        <w:p>
                          <w:pPr>
                            <w:overflowPunct w:val="false"/>
                            <w:bidi w:val="0"/>
                            <w:spacing w:lineRule="exact" w:line="240"/>
                            <w:rPr/>
                          </w:pPr>
                          <w:r>
                            <w:rPr>
                              <w:kern w:val="2"/>
                              <w:sz w:val="15"/>
                              <w:szCs w:val="15"/>
                              <w:rFonts w:ascii="Arial" w:hAnsi="Arial" w:eastAsia="宋体;SimSun" w:cs="Arial"/>
                              <w:color w:val="auto"/>
                              <w:lang w:val="en-US" w:eastAsia="zh-CN" w:bidi="ar-SA"/>
                            </w:rPr>
                            <w:t>容积率1.8-2.5，278-330万元/亩</w:t>
                          </w:r>
                        </w:p>
                        <w:p>
                          <w:pPr>
                            <w:overflowPunct w:val="false"/>
                            <w:bidi w:val="0"/>
                            <w:spacing w:lineRule="exact" w:line="240"/>
                            <w:rPr/>
                          </w:pPr>
                          <w:r>
                            <w:rPr>
                              <w:kern w:val="2"/>
                              <w:sz w:val="15"/>
                              <w:szCs w:val="15"/>
                              <w:rFonts w:ascii="Arial" w:hAnsi="Arial" w:eastAsia="宋体;SimSun" w:cs="Arial"/>
                              <w:color w:val="auto"/>
                              <w:lang w:val="en-US" w:eastAsia="zh-CN" w:bidi="ar-SA"/>
                            </w:rPr>
                            <w:t>平谷新城，M1:91万元/亩</w:t>
                          </w:r>
                        </w:p>
                        <w:p>
                          <w:pPr>
                            <w:overflowPunct w:val="false"/>
                            <w:bidi w:val="0"/>
                            <w:spacing w:lineRule="atLeast" w:line="360"/>
                            <w:rPr/>
                          </w:pPr>
                          <w:r>
                            <w:rPr>
                              <w:kern w:val="2"/>
                              <w:szCs w:val="24"/>
                              <w:rFonts w:ascii="Liberation Serif" w:hAnsi="Liberation Serif" w:eastAsia="新宋体" w:cs="Lucida Sans"/>
                              <w:lang w:bidi="hi-IN"/>
                            </w:rPr>
                          </w:r>
                        </w:p>
                      </w:txbxContent>
                    </v:textbox>
                    <w10:wrap type="square"/>
                    <v:fill o:detectmouseclick="t" type="solid" color2="black"/>
                    <v:stroke color="black" weight="9360" joinstyle="miter" endcap="square"/>
                  </v:shape>
                  <v:shape id="shape_0" stroked="t" style="position:absolute;left:6764;top:3568;width:517;height:1573;flip:x" type="shapetype_32">
                    <v:stroke color="black" weight="12600" startarrow="oval" endarrow="oval" startarrowwidth="medium" startarrowlength="medium" endarrowwidth="medium" endarrowlength="medium" joinstyle="miter" endcap="square"/>
                    <v:fill o:detectmouseclick="t" on="false"/>
                  </v:shape>
                  <v:shape id="shape_0" fillcolor="white" stroked="t" style="position:absolute;left:6760;top:6983;width:2461;height:885"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通州区（2宗）</w:t>
                          </w:r>
                        </w:p>
                        <w:p>
                          <w:pPr>
                            <w:overflowPunct w:val="false"/>
                            <w:bidi w:val="0"/>
                            <w:spacing w:lineRule="exact" w:line="240"/>
                            <w:rPr/>
                          </w:pPr>
                          <w:r>
                            <w:rPr>
                              <w:kern w:val="2"/>
                              <w:sz w:val="15"/>
                              <w:szCs w:val="15"/>
                              <w:rFonts w:ascii="Arial" w:hAnsi="Arial" w:eastAsia="宋体;SimSun" w:cs="Arial"/>
                              <w:color w:val="auto"/>
                              <w:lang w:val="en-US" w:eastAsia="zh-CN" w:bidi="ar-SA"/>
                            </w:rPr>
                            <w:t>北京城市副中心:</w:t>
                          </w:r>
                        </w:p>
                        <w:p>
                          <w:pPr>
                            <w:overflowPunct w:val="false"/>
                            <w:bidi w:val="0"/>
                            <w:spacing w:lineRule="exact" w:line="240"/>
                            <w:rPr/>
                          </w:pPr>
                          <w:r>
                            <w:rPr>
                              <w:kern w:val="2"/>
                              <w:sz w:val="15"/>
                              <w:szCs w:val="15"/>
                              <w:rFonts w:ascii="Arial" w:hAnsi="Arial" w:eastAsia="宋体;SimSun" w:cs="Arial"/>
                              <w:color w:val="auto"/>
                              <w:lang w:val="en-US" w:eastAsia="zh-CN" w:bidi="ar-SA"/>
                            </w:rPr>
                            <w:t>M4：239.8万元/亩</w:t>
                          </w:r>
                        </w:p>
                      </w:txbxContent>
                    </v:textbox>
                    <w10:wrap type="square"/>
                    <v:fill o:detectmouseclick="t" type="solid" color2="black"/>
                    <v:stroke color="black" weight="9360" startarrow="oval" endarrow="oval" startarrowwidth="medium" startarrowlength="medium" endarrowwidth="medium" endarrowlength="medium" joinstyle="miter" endcap="square"/>
                  </v:shape>
                </v:group>
              </v:group>
            </w:pict>
          </mc:Fallback>
        </mc:AlternateContent>
      </w:r>
    </w:p>
    <w:p>
      <w:pPr>
        <w:pStyle w:val="Normal"/>
        <w:widowControl/>
        <w:spacing w:lineRule="exact" w:line="240"/>
        <w:ind w:firstLine="480"/>
        <w:jc w:val="both"/>
        <w:textAlignment w:val="auto"/>
        <w:rPr>
          <w:lang w:val="zh-CN" w:eastAsia="zh-CN"/>
        </w:rPr>
      </w:pPr>
      <w:r>
        <w:rPr>
          <w:lang w:val="zh-CN" w:eastAsia="zh-CN"/>
        </w:rPr>
      </w:r>
    </w:p>
    <w:p>
      <w:pPr>
        <w:pStyle w:val="Normal"/>
        <w:widowControl/>
        <w:spacing w:lineRule="auto" w:line="360"/>
        <w:jc w:val="both"/>
        <w:rPr>
          <w:rFonts w:ascii="Arial" w:hAnsi="Arial" w:eastAsia="仿宋_GB2312;仿宋" w:cs="Arial"/>
          <w:bCs/>
          <w:color w:val="000000"/>
          <w:sz w:val="28"/>
          <w:szCs w:val="28"/>
        </w:rPr>
      </w:pPr>
      <w:r>
        <w:rPr>
          <w:lang w:val="zh-CN" w:eastAsia="zh-CN"/>
        </w:rPr>
        <w:drawing>
          <wp:inline distT="0" distB="0" distL="0" distR="0">
            <wp:extent cx="5901690" cy="5772150"/>
            <wp:effectExtent l="0" t="0" r="0" b="0"/>
            <wp:docPr id="32" name="图像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像11" descr=""/>
                    <pic:cNvPicPr>
                      <a:picLocks noChangeAspect="1" noChangeArrowheads="1"/>
                    </pic:cNvPicPr>
                  </pic:nvPicPr>
                  <pic:blipFill>
                    <a:blip r:embed="rId62"/>
                    <a:srcRect l="-7" t="-7" r="-7" b="-7"/>
                    <a:stretch>
                      <a:fillRect/>
                    </a:stretch>
                  </pic:blipFill>
                  <pic:spPr bwMode="auto">
                    <a:xfrm>
                      <a:off x="0" y="0"/>
                      <a:ext cx="5901690" cy="5772150"/>
                    </a:xfrm>
                    <a:prstGeom prst="rect">
                      <a:avLst/>
                    </a:prstGeom>
                  </pic:spPr>
                </pic:pic>
              </a:graphicData>
            </a:graphic>
          </wp:inline>
        </w:drawing>
        <mc:AlternateContent>
          <mc:Choice Requires="wpg">
            <w:drawing>
              <wp:anchor behindDoc="0" distT="0" distB="0" distL="114935" distR="114935" simplePos="0" locked="0" layoutInCell="1" allowOverlap="1" relativeHeight="87">
                <wp:simplePos x="0" y="0"/>
                <wp:positionH relativeFrom="column">
                  <wp:posOffset>23495</wp:posOffset>
                </wp:positionH>
                <wp:positionV relativeFrom="paragraph">
                  <wp:posOffset>142240</wp:posOffset>
                </wp:positionV>
                <wp:extent cx="5353050" cy="5353685"/>
                <wp:effectExtent l="0" t="0" r="0" b="0"/>
                <wp:wrapNone/>
                <wp:docPr id="31" name=""/>
                <a:graphic xmlns:a="http://schemas.openxmlformats.org/drawingml/2006/main">
                  <a:graphicData uri="http://schemas.microsoft.com/office/word/2010/wordprocessingGroup">
                    <wpg:wgp>
                      <wpg:cNvGrpSpPr/>
                      <wpg:grpSpPr>
                        <a:xfrm>
                          <a:off x="0" y="0"/>
                          <a:ext cx="5352480" cy="5353200"/>
                        </a:xfrm>
                      </wpg:grpSpPr>
                      <wps:wsp>
                        <wps:cNvSpPr txBox="1"/>
                        <wps:spPr>
                          <a:xfrm>
                            <a:off x="0" y="2192760"/>
                            <a:ext cx="1322640" cy="510480"/>
                          </a:xfrm>
                          <a:prstGeom prst="rect">
                            <a:avLst/>
                          </a:prstGeom>
                          <a:solidFill>
                            <a:srgbClr val="ffffff">
                              <a:alpha val="85000"/>
                            </a:srgbClr>
                          </a:solidFill>
                          <a:ln w="12600">
                            <a:solidFill>
                              <a:srgbClr val="000000"/>
                            </a:solidFill>
                            <a:miter/>
                          </a:ln>
                        </wps:spPr>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瀛海地区（共1宗）</w:t>
                              </w:r>
                            </w:p>
                            <w:p>
                              <w:pPr>
                                <w:overflowPunct w:val="false"/>
                                <w:bidi w:val="0"/>
                                <w:spacing w:lineRule="exact" w:line="240"/>
                                <w:rPr/>
                              </w:pPr>
                              <w:r>
                                <w:rPr>
                                  <w:kern w:val="2"/>
                                  <w:sz w:val="15"/>
                                  <w:szCs w:val="15"/>
                                  <w:rFonts w:ascii="Arial" w:hAnsi="Arial" w:eastAsia="宋体;SimSun" w:cs="Arial"/>
                                  <w:color w:val="auto"/>
                                  <w:lang w:val="en-US" w:eastAsia="zh-CN" w:bidi="ar-SA"/>
                                </w:rPr>
                                <w:t>M1：86.9万元/亩</w:t>
                              </w:r>
                            </w:p>
                          </w:txbxContent>
                        </wps:txbx>
                        <wps:bodyPr wrap="square" lIns="36360" rIns="36360" tIns="36360" bIns="36360">
                          <a:noAutofit/>
                        </wps:bodyPr>
                      </wps:wsp>
                      <wps:wsp>
                        <wps:cNvSpPr/>
                        <wps:spPr>
                          <a:xfrm>
                            <a:off x="4098240" y="2480400"/>
                            <a:ext cx="1254240" cy="510480"/>
                          </a:xfrm>
                          <a:prstGeom prst="borderCallout2">
                            <a:avLst>
                              <a:gd name="adj1" fmla="val 18750"/>
                              <a:gd name="adj2" fmla="val -8333"/>
                              <a:gd name="adj3" fmla="val 22388"/>
                              <a:gd name="adj4" fmla="val -54833"/>
                              <a:gd name="adj5" fmla="val -118157"/>
                              <a:gd name="adj6" fmla="val -104402"/>
                            </a:avLst>
                          </a:prstGeom>
                          <a:solidFill>
                            <a:srgbClr val="ffffff"/>
                          </a:solidFill>
                          <a:ln w="1260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马驹桥地区（共6宗）</w:t>
                              </w:r>
                            </w:p>
                            <w:p>
                              <w:pPr>
                                <w:overflowPunct w:val="false"/>
                                <w:bidi w:val="0"/>
                                <w:spacing w:lineRule="exact" w:line="240"/>
                                <w:rPr/>
                              </w:pPr>
                              <w:r>
                                <w:rPr>
                                  <w:kern w:val="2"/>
                                  <w:sz w:val="15"/>
                                  <w:szCs w:val="15"/>
                                  <w:rFonts w:ascii="Arial" w:hAnsi="Arial" w:eastAsia="宋体;SimSun" w:cs="Arial"/>
                                  <w:color w:val="auto"/>
                                  <w:lang w:val="en-US" w:eastAsia="zh-CN" w:bidi="ar-SA"/>
                                </w:rPr>
                                <w:t>M1：57-77万元/亩</w:t>
                              </w:r>
                            </w:p>
                          </w:txbxContent>
                        </wps:txbx>
                        <wps:bodyPr lIns="36360" rIns="36360" tIns="36360" bIns="36360">
                          <a:noAutofit/>
                        </wps:bodyPr>
                      </wps:wsp>
                      <wps:wsp>
                        <wps:cNvSpPr/>
                        <wps:spPr>
                          <a:xfrm>
                            <a:off x="5760" y="3429000"/>
                            <a:ext cx="1322640" cy="510480"/>
                          </a:xfrm>
                          <a:prstGeom prst="borderCallout2">
                            <a:avLst>
                              <a:gd name="adj1" fmla="val 18750"/>
                              <a:gd name="adj2" fmla="val -8333"/>
                              <a:gd name="adj3" fmla="val 22388"/>
                              <a:gd name="adj4" fmla="val 123425"/>
                              <a:gd name="adj5" fmla="val -179601"/>
                              <a:gd name="adj6" fmla="val 157226"/>
                            </a:avLst>
                          </a:prstGeom>
                          <a:solidFill>
                            <a:srgbClr val="ffffff"/>
                          </a:solidFill>
                          <a:ln w="1260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路南区（共3宗）</w:t>
                              </w:r>
                            </w:p>
                            <w:p>
                              <w:pPr>
                                <w:overflowPunct w:val="false"/>
                                <w:bidi w:val="0"/>
                                <w:spacing w:lineRule="exact" w:line="240"/>
                                <w:rPr/>
                              </w:pPr>
                              <w:r>
                                <w:rPr>
                                  <w:kern w:val="2"/>
                                  <w:sz w:val="15"/>
                                  <w:szCs w:val="15"/>
                                  <w:rFonts w:ascii="Arial" w:hAnsi="Arial" w:eastAsia="宋体;SimSun" w:cs="Arial"/>
                                  <w:color w:val="auto"/>
                                  <w:lang w:val="en-US" w:eastAsia="zh-CN" w:bidi="ar-SA"/>
                                </w:rPr>
                                <w:t>M1：78-98万元/亩</w:t>
                              </w:r>
                            </w:p>
                          </w:txbxContent>
                        </wps:txbx>
                        <wps:bodyPr lIns="36360" rIns="36360" tIns="36360" bIns="36360">
                          <a:noAutofit/>
                        </wps:bodyPr>
                      </wps:wsp>
                      <wps:wsp>
                        <wps:cNvSpPr/>
                        <wps:spPr>
                          <a:xfrm>
                            <a:off x="4098240" y="1327320"/>
                            <a:ext cx="1254240" cy="510480"/>
                          </a:xfrm>
                          <a:prstGeom prst="borderCallout2">
                            <a:avLst>
                              <a:gd name="adj1" fmla="val 18750"/>
                              <a:gd name="adj2" fmla="val -8333"/>
                              <a:gd name="adj3" fmla="val 22388"/>
                              <a:gd name="adj4" fmla="val -46226"/>
                              <a:gd name="adj5" fmla="val -47759"/>
                              <a:gd name="adj6" fmla="val -86986"/>
                            </a:avLst>
                          </a:prstGeom>
                          <a:solidFill>
                            <a:srgbClr val="ffffff">
                              <a:alpha val="85000"/>
                            </a:srgbClr>
                          </a:solidFill>
                          <a:ln w="1260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路东区（共2宗）</w:t>
                              </w:r>
                            </w:p>
                            <w:p>
                              <w:pPr>
                                <w:overflowPunct w:val="false"/>
                                <w:bidi w:val="0"/>
                                <w:spacing w:lineRule="exact" w:line="240"/>
                                <w:rPr/>
                              </w:pPr>
                              <w:r>
                                <w:rPr>
                                  <w:kern w:val="2"/>
                                  <w:sz w:val="15"/>
                                  <w:szCs w:val="15"/>
                                  <w:rFonts w:ascii="Arial" w:hAnsi="Arial" w:eastAsia="宋体;SimSun" w:cs="Arial"/>
                                  <w:color w:val="auto"/>
                                  <w:lang w:val="en-US" w:eastAsia="zh-CN" w:bidi="ar-SA"/>
                                </w:rPr>
                                <w:t>M1：48-93万元/亩</w:t>
                              </w:r>
                            </w:p>
                          </w:txbxContent>
                        </wps:txbx>
                        <wps:bodyPr lIns="36360" rIns="36360" tIns="36360" bIns="36360">
                          <a:noAutofit/>
                        </wps:bodyPr>
                      </wps:wsp>
                      <wps:wsp>
                        <wps:cNvSpPr/>
                        <wps:spPr>
                          <a:xfrm>
                            <a:off x="10080" y="0"/>
                            <a:ext cx="1322640" cy="605880"/>
                          </a:xfrm>
                          <a:prstGeom prst="borderCallout2">
                            <a:avLst>
                              <a:gd name="adj1" fmla="val 18750"/>
                              <a:gd name="adj2" fmla="val -8333"/>
                              <a:gd name="adj3" fmla="val 18865"/>
                              <a:gd name="adj4" fmla="val 120833"/>
                              <a:gd name="adj5" fmla="val 275578"/>
                              <a:gd name="adj6" fmla="val 142680"/>
                            </a:avLst>
                          </a:prstGeom>
                          <a:solidFill>
                            <a:srgbClr val="ffffff">
                              <a:alpha val="85000"/>
                            </a:srgbClr>
                          </a:solidFill>
                          <a:ln w="1260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河西区（共2宗）</w:t>
                              </w:r>
                            </w:p>
                            <w:p>
                              <w:pPr>
                                <w:overflowPunct w:val="false"/>
                                <w:bidi w:val="0"/>
                                <w:spacing w:lineRule="exact" w:line="240"/>
                                <w:rPr/>
                              </w:pPr>
                              <w:r>
                                <w:rPr>
                                  <w:kern w:val="2"/>
                                  <w:sz w:val="15"/>
                                  <w:szCs w:val="15"/>
                                  <w:rFonts w:ascii="Arial" w:hAnsi="Arial" w:eastAsia="宋体;SimSun" w:cs="Arial"/>
                                  <w:color w:val="auto"/>
                                  <w:lang w:val="en-US" w:eastAsia="zh-CN" w:bidi="ar-SA"/>
                                </w:rPr>
                                <w:t>M1：96.8万元/亩</w:t>
                              </w:r>
                            </w:p>
                            <w:p>
                              <w:pPr>
                                <w:overflowPunct w:val="false"/>
                                <w:bidi w:val="0"/>
                                <w:spacing w:lineRule="exact" w:line="240"/>
                                <w:rPr/>
                              </w:pPr>
                              <w:r>
                                <w:rPr>
                                  <w:kern w:val="2"/>
                                  <w:sz w:val="15"/>
                                  <w:szCs w:val="15"/>
                                  <w:rFonts w:ascii="Arial" w:hAnsi="Arial" w:eastAsia="宋体;SimSun" w:cs="Arial"/>
                                  <w:color w:val="auto"/>
                                  <w:lang w:val="en-US" w:eastAsia="zh-CN" w:bidi="ar-SA"/>
                                </w:rPr>
                                <w:t>M1/M4混合：276.7万元/亩</w:t>
                              </w:r>
                            </w:p>
                          </w:txbxContent>
                        </wps:txbx>
                        <wps:bodyPr lIns="36360" rIns="36360" tIns="36360" bIns="36360">
                          <a:noAutofit/>
                        </wps:bodyPr>
                      </wps:wsp>
                      <wps:wsp>
                        <wps:cNvSpPr/>
                        <wps:spPr>
                          <a:xfrm>
                            <a:off x="4072320" y="161280"/>
                            <a:ext cx="1254240" cy="552960"/>
                          </a:xfrm>
                          <a:prstGeom prst="borderCallout2">
                            <a:avLst>
                              <a:gd name="adj1" fmla="val 18750"/>
                              <a:gd name="adj2" fmla="val -8333"/>
                              <a:gd name="adj3" fmla="val 20666"/>
                              <a:gd name="adj4" fmla="val -90935"/>
                              <a:gd name="adj5" fmla="val 128819"/>
                              <a:gd name="adj6" fmla="val -165166"/>
                            </a:avLst>
                          </a:prstGeom>
                          <a:solidFill>
                            <a:srgbClr val="ffffff">
                              <a:alpha val="85000"/>
                            </a:srgbClr>
                          </a:solidFill>
                          <a:ln w="12600">
                            <a:solidFill>
                              <a:srgbClr val="000000"/>
                            </a:solidFill>
                            <a:miter/>
                            <a:headEnd len="med" type="oval" w="med"/>
                            <a:tailEnd len="med" type="oval" w="med"/>
                          </a:ln>
                        </wps:spPr>
                        <wps:style>
                          <a:lnRef idx="0"/>
                          <a:fillRef idx="0"/>
                          <a:effectRef idx="0"/>
                          <a:fontRef idx="minor"/>
                        </wps:style>
                        <wps:txbx>
                          <w:txbxContent>
                            <w:p>
                              <w:pPr>
                                <w:overflowPunct w:val="false"/>
                                <w:bidi w:val="0"/>
                                <w:spacing w:lineRule="exact" w:line="240"/>
                                <w:rPr/>
                              </w:pPr>
                              <w:r>
                                <w:rPr>
                                  <w:kern w:val="2"/>
                                  <w:sz w:val="15"/>
                                  <w:szCs w:val="15"/>
                                  <w:b/>
                                  <w:rFonts w:ascii="Arial" w:hAnsi="Arial" w:eastAsia="宋体;SimSun" w:cs="Arial"/>
                                  <w:color w:val="auto"/>
                                  <w:lang w:val="en-US" w:eastAsia="zh-CN" w:bidi="ar-SA"/>
                                </w:rPr>
                                <w:t>核心区（共4宗）</w:t>
                              </w:r>
                            </w:p>
                            <w:p>
                              <w:pPr>
                                <w:overflowPunct w:val="false"/>
                                <w:bidi w:val="0"/>
                                <w:spacing w:lineRule="exact" w:line="240"/>
                                <w:rPr/>
                              </w:pPr>
                              <w:r>
                                <w:rPr>
                                  <w:kern w:val="2"/>
                                  <w:sz w:val="15"/>
                                  <w:szCs w:val="15"/>
                                  <w:rFonts w:ascii="Arial" w:hAnsi="Arial" w:eastAsia="宋体;SimSun" w:cs="Arial"/>
                                  <w:color w:val="auto"/>
                                  <w:lang w:val="en-US" w:eastAsia="zh-CN" w:bidi="ar-SA"/>
                                </w:rPr>
                                <w:t>M1：67-176万元/亩</w:t>
                              </w:r>
                            </w:p>
                            <w:p>
                              <w:pPr>
                                <w:overflowPunct w:val="false"/>
                                <w:bidi w:val="0"/>
                                <w:spacing w:lineRule="exact" w:line="240"/>
                                <w:rPr/>
                              </w:pPr>
                              <w:r>
                                <w:rPr>
                                  <w:kern w:val="2"/>
                                  <w:sz w:val="15"/>
                                  <w:szCs w:val="15"/>
                                  <w:rFonts w:ascii="Arial" w:hAnsi="Arial" w:eastAsia="宋体;SimSun" w:cs="Arial"/>
                                  <w:color w:val="auto"/>
                                  <w:lang w:val="en-US" w:eastAsia="zh-CN" w:bidi="ar-SA"/>
                                </w:rPr>
                                <w:t>M4:495.4万元/亩</w:t>
                              </w:r>
                            </w:p>
                          </w:txbxContent>
                        </wps:txbx>
                        <wps:bodyPr lIns="36360" rIns="36360" tIns="36360" bIns="36360">
                          <a:noAutofit/>
                        </wps:bodyPr>
                      </wps:wsp>
                      <wps:cxnSp>
                        <wps:nvCxnSpPr>
                          <wps:cNvPr id="3" name="Line 1"/>
                          <wps:cNvCxnSpPr/>
                          <wps:nvPr/>
                        </wps:nvCxnSpPr>
                        <wps:spPr>
                          <a:xfrm flipH="1">
                            <a:off x="934200" y="1986840"/>
                            <a:ext cx="127080" cy="297720"/>
                          </a:xfrm>
                          <a:prstGeom prst="straightConnector1">
                            <a:avLst/>
                          </a:prstGeom>
                          <a:ln w="9360">
                            <a:solidFill>
                              <a:srgbClr val="000000"/>
                            </a:solidFill>
                            <a:miter/>
                            <a:headEnd len="med" type="oval" w="med"/>
                            <a:tailEnd len="med" type="oval" w="med"/>
                          </a:ln>
                        </wps:spPr>
                        <wps:bodyPr/>
                      </wps:cxnSp>
                      <wps:wsp>
                        <wps:cNvSpPr txBox="1"/>
                        <wps:spPr>
                          <a:xfrm>
                            <a:off x="267840" y="5095800"/>
                            <a:ext cx="2014200" cy="257040"/>
                          </a:xfrm>
                          <a:prstGeom prst="rect">
                            <a:avLst/>
                          </a:prstGeom>
                          <a:solidFill>
                            <a:srgbClr val="ffffff"/>
                          </a:solidFill>
                          <a:ln>
                            <a:noFill/>
                          </a:ln>
                        </wps:spPr>
                        <wps:txbx>
                          <w:txbxContent>
                            <w:p>
                              <w:pPr>
                                <w:overflowPunct w:val="false"/>
                                <w:bidi w:val="0"/>
                                <w:spacing w:lineRule="exact" w:line="240"/>
                                <w:jc w:val="center"/>
                                <w:rPr/>
                              </w:pPr>
                              <w:r>
                                <w:rPr>
                                  <w:kern w:val="2"/>
                                  <w:sz w:val="21"/>
                                  <w:szCs w:val="21"/>
                                  <w:b/>
                                  <w:rFonts w:ascii="Arial" w:hAnsi="Arial" w:eastAsia="宋体;SimSun" w:cs="Arial"/>
                                  <w:color w:val="auto"/>
                                  <w:lang w:val="en-US" w:eastAsia="zh-CN" w:bidi="ar-SA"/>
                                </w:rPr>
                                <w:t>亦庄地区工业用地成交分布图</w:t>
                              </w:r>
                            </w:p>
                          </w:txbxContent>
                        </wps:txbx>
                        <wps:bodyPr wrap="square" lIns="36360" rIns="36360" tIns="36360" bIns="36360">
                          <a:noAutofit/>
                        </wps:bodyPr>
                      </wps:wsp>
                    </wpg:wgp>
                  </a:graphicData>
                </a:graphic>
              </wp:anchor>
            </w:drawing>
          </mc:Choice>
          <mc:Fallback>
            <w:pict>
              <v:group id="shape_0" style="position:absolute;margin-left:1.85pt;margin-top:11.2pt;width:421.45pt;height:421.5pt" coordorigin="37,224" coordsize="8429,8430">
                <v:shape id="shape_0" fillcolor="white" stroked="t" style="position:absolute;left:37;top:3677;width:2082;height:803" type="shapetype_202">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瀛海地区（共1宗）</w:t>
                        </w:r>
                      </w:p>
                      <w:p>
                        <w:pPr>
                          <w:overflowPunct w:val="false"/>
                          <w:bidi w:val="0"/>
                          <w:spacing w:lineRule="exact" w:line="240"/>
                          <w:rPr/>
                        </w:pPr>
                        <w:r>
                          <w:rPr>
                            <w:kern w:val="2"/>
                            <w:sz w:val="15"/>
                            <w:szCs w:val="15"/>
                            <w:rFonts w:ascii="Arial" w:hAnsi="Arial" w:eastAsia="宋体;SimSun" w:cs="Arial"/>
                            <w:color w:val="auto"/>
                            <w:lang w:val="en-US" w:eastAsia="zh-CN" w:bidi="ar-SA"/>
                          </w:rPr>
                          <w:t>M1：86.9万元/亩</w:t>
                        </w:r>
                      </w:p>
                    </w:txbxContent>
                  </v:textbox>
                  <w10:wrap type="square"/>
                  <v:fill o:detectmouseclick="t" type="solid" color2="black" opacity="0.84"/>
                  <v:stroke color="black" weight="12600" joinstyle="miter" endcap="square"/>
                </v:shape>
                <v:shape id="shape_0" fillcolor="white" stroked="t" style="position:absolute;left:6491;top:4130;width:1974;height:803"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马驹桥地区（共6宗）</w:t>
                        </w:r>
                      </w:p>
                      <w:p>
                        <w:pPr>
                          <w:overflowPunct w:val="false"/>
                          <w:bidi w:val="0"/>
                          <w:spacing w:lineRule="exact" w:line="240"/>
                          <w:rPr/>
                        </w:pPr>
                        <w:r>
                          <w:rPr>
                            <w:kern w:val="2"/>
                            <w:sz w:val="15"/>
                            <w:szCs w:val="15"/>
                            <w:rFonts w:ascii="Arial" w:hAnsi="Arial" w:eastAsia="宋体;SimSun" w:cs="Arial"/>
                            <w:color w:val="auto"/>
                            <w:lang w:val="en-US" w:eastAsia="zh-CN" w:bidi="ar-SA"/>
                          </w:rPr>
                          <w:t>M1：57-77万元/亩</w:t>
                        </w:r>
                      </w:p>
                    </w:txbxContent>
                  </v:textbox>
                  <w10:wrap type="square"/>
                  <v:fill o:detectmouseclick="t" type="solid" color2="black"/>
                  <v:stroke color="black" weight="12600" startarrow="oval" endarrow="oval" startarrowwidth="medium" startarrowlength="medium" endarrowwidth="medium" endarrowlength="medium" joinstyle="miter" endcap="square"/>
                </v:shape>
                <v:shape id="shape_0" fillcolor="white" stroked="t" style="position:absolute;left:46;top:5624;width:2082;height:803"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路南区（共3宗）</w:t>
                        </w:r>
                      </w:p>
                      <w:p>
                        <w:pPr>
                          <w:overflowPunct w:val="false"/>
                          <w:bidi w:val="0"/>
                          <w:spacing w:lineRule="exact" w:line="240"/>
                          <w:rPr/>
                        </w:pPr>
                        <w:r>
                          <w:rPr>
                            <w:kern w:val="2"/>
                            <w:sz w:val="15"/>
                            <w:szCs w:val="15"/>
                            <w:rFonts w:ascii="Arial" w:hAnsi="Arial" w:eastAsia="宋体;SimSun" w:cs="Arial"/>
                            <w:color w:val="auto"/>
                            <w:lang w:val="en-US" w:eastAsia="zh-CN" w:bidi="ar-SA"/>
                          </w:rPr>
                          <w:t>M1：78-98万元/亩</w:t>
                        </w:r>
                      </w:p>
                    </w:txbxContent>
                  </v:textbox>
                  <w10:wrap type="square"/>
                  <v:fill o:detectmouseclick="t" type="solid" color2="black"/>
                  <v:stroke color="black" weight="12600" startarrow="oval" endarrow="oval" startarrowwidth="medium" startarrowlength="medium" endarrowwidth="medium" endarrowlength="medium" joinstyle="miter" endcap="square"/>
                </v:shape>
                <v:shape id="shape_0" fillcolor="white" stroked="t" style="position:absolute;left:6491;top:2314;width:1974;height:803"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路东区（共2宗）</w:t>
                        </w:r>
                      </w:p>
                      <w:p>
                        <w:pPr>
                          <w:overflowPunct w:val="false"/>
                          <w:bidi w:val="0"/>
                          <w:spacing w:lineRule="exact" w:line="240"/>
                          <w:rPr/>
                        </w:pPr>
                        <w:r>
                          <w:rPr>
                            <w:kern w:val="2"/>
                            <w:sz w:val="15"/>
                            <w:szCs w:val="15"/>
                            <w:rFonts w:ascii="Arial" w:hAnsi="Arial" w:eastAsia="宋体;SimSun" w:cs="Arial"/>
                            <w:color w:val="auto"/>
                            <w:lang w:val="en-US" w:eastAsia="zh-CN" w:bidi="ar-SA"/>
                          </w:rPr>
                          <w:t>M1：48-93万元/亩</w:t>
                        </w:r>
                      </w:p>
                    </w:txbxContent>
                  </v:textbox>
                  <w10:wrap type="square"/>
                  <v:fill o:detectmouseclick="t" type="solid" color2="black" opacity="0.84"/>
                  <v:stroke color="black" weight="12600" startarrow="oval" endarrow="oval" startarrowwidth="medium" startarrowlength="medium" endarrowwidth="medium" endarrowlength="medium" joinstyle="miter" endcap="square"/>
                </v:shape>
                <v:shape id="shape_0" fillcolor="white" stroked="t" style="position:absolute;left:53;top:224;width:2082;height:953"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河西区（共2宗）</w:t>
                        </w:r>
                      </w:p>
                      <w:p>
                        <w:pPr>
                          <w:overflowPunct w:val="false"/>
                          <w:bidi w:val="0"/>
                          <w:spacing w:lineRule="exact" w:line="240"/>
                          <w:rPr/>
                        </w:pPr>
                        <w:r>
                          <w:rPr>
                            <w:kern w:val="2"/>
                            <w:sz w:val="15"/>
                            <w:szCs w:val="15"/>
                            <w:rFonts w:ascii="Arial" w:hAnsi="Arial" w:eastAsia="宋体;SimSun" w:cs="Arial"/>
                            <w:color w:val="auto"/>
                            <w:lang w:val="en-US" w:eastAsia="zh-CN" w:bidi="ar-SA"/>
                          </w:rPr>
                          <w:t>M1：96.8万元/亩</w:t>
                        </w:r>
                      </w:p>
                      <w:p>
                        <w:pPr>
                          <w:overflowPunct w:val="false"/>
                          <w:bidi w:val="0"/>
                          <w:spacing w:lineRule="exact" w:line="240"/>
                          <w:rPr/>
                        </w:pPr>
                        <w:r>
                          <w:rPr>
                            <w:kern w:val="2"/>
                            <w:sz w:val="15"/>
                            <w:szCs w:val="15"/>
                            <w:rFonts w:ascii="Arial" w:hAnsi="Arial" w:eastAsia="宋体;SimSun" w:cs="Arial"/>
                            <w:color w:val="auto"/>
                            <w:lang w:val="en-US" w:eastAsia="zh-CN" w:bidi="ar-SA"/>
                          </w:rPr>
                          <w:t>M1/M4混合：276.7万元/亩</w:t>
                        </w:r>
                      </w:p>
                    </w:txbxContent>
                  </v:textbox>
                  <w10:wrap type="square"/>
                  <v:fill o:detectmouseclick="t" type="solid" color2="black" opacity="0.84"/>
                  <v:stroke color="black" weight="12600" startarrow="oval" endarrow="oval" startarrowwidth="medium" startarrowlength="medium" endarrowwidth="medium" endarrowlength="medium" joinstyle="miter" endcap="square"/>
                </v:shape>
                <v:shape id="shape_0" fillcolor="white" stroked="t" style="position:absolute;left:6450;top:478;width:1974;height:870" type="shapetype_48">
                  <v:textbox>
                    <w:txbxContent>
                      <w:p>
                        <w:pPr>
                          <w:overflowPunct w:val="false"/>
                          <w:bidi w:val="0"/>
                          <w:spacing w:lineRule="exact" w:line="240"/>
                          <w:rPr/>
                        </w:pPr>
                        <w:r>
                          <w:rPr>
                            <w:kern w:val="2"/>
                            <w:sz w:val="15"/>
                            <w:szCs w:val="15"/>
                            <w:b/>
                            <w:rFonts w:ascii="Arial" w:hAnsi="Arial" w:eastAsia="宋体;SimSun" w:cs="Arial"/>
                            <w:color w:val="auto"/>
                            <w:lang w:val="en-US" w:eastAsia="zh-CN" w:bidi="ar-SA"/>
                          </w:rPr>
                          <w:t>核心区（共4宗）</w:t>
                        </w:r>
                      </w:p>
                      <w:p>
                        <w:pPr>
                          <w:overflowPunct w:val="false"/>
                          <w:bidi w:val="0"/>
                          <w:spacing w:lineRule="exact" w:line="240"/>
                          <w:rPr/>
                        </w:pPr>
                        <w:r>
                          <w:rPr>
                            <w:kern w:val="2"/>
                            <w:sz w:val="15"/>
                            <w:szCs w:val="15"/>
                            <w:rFonts w:ascii="Arial" w:hAnsi="Arial" w:eastAsia="宋体;SimSun" w:cs="Arial"/>
                            <w:color w:val="auto"/>
                            <w:lang w:val="en-US" w:eastAsia="zh-CN" w:bidi="ar-SA"/>
                          </w:rPr>
                          <w:t>M1：67-176万元/亩</w:t>
                        </w:r>
                      </w:p>
                      <w:p>
                        <w:pPr>
                          <w:overflowPunct w:val="false"/>
                          <w:bidi w:val="0"/>
                          <w:spacing w:lineRule="exact" w:line="240"/>
                          <w:rPr/>
                        </w:pPr>
                        <w:r>
                          <w:rPr>
                            <w:kern w:val="2"/>
                            <w:sz w:val="15"/>
                            <w:szCs w:val="15"/>
                            <w:rFonts w:ascii="Arial" w:hAnsi="Arial" w:eastAsia="宋体;SimSun" w:cs="Arial"/>
                            <w:color w:val="auto"/>
                            <w:lang w:val="en-US" w:eastAsia="zh-CN" w:bidi="ar-SA"/>
                          </w:rPr>
                          <w:t>M4:495.4万元/亩</w:t>
                        </w:r>
                      </w:p>
                    </w:txbxContent>
                  </v:textbox>
                  <w10:wrap type="square"/>
                  <v:fill o:detectmouseclick="t" type="solid" color2="black" opacity="0.84"/>
                  <v:stroke color="black" weight="12600" startarrow="oval" endarrow="oval" startarrowwidth="medium" startarrowlength="medium" endarrowwidth="medium" endarrowlength="medium" joinstyle="miter" endcap="square"/>
                </v:shape>
                <v:shape id="shape_0" stroked="t" style="position:absolute;left:1471;top:3129;width:198;height:468;flip:x" type="shapetype_32">
                  <v:stroke color="black" weight="9360" startarrow="oval" endarrow="oval" startarrowwidth="medium" startarrowlength="medium" endarrowwidth="medium" endarrowlength="medium" joinstyle="miter" endcap="square"/>
                  <v:fill o:detectmouseclick="t" on="false"/>
                </v:shape>
                <v:shape id="shape_0" fillcolor="white" stroked="f" style="position:absolute;left:459;top:8249;width:3171;height:404" type="shapetype_202">
                  <v:textbox>
                    <w:txbxContent>
                      <w:p>
                        <w:pPr>
                          <w:overflowPunct w:val="false"/>
                          <w:bidi w:val="0"/>
                          <w:spacing w:lineRule="exact" w:line="240"/>
                          <w:jc w:val="center"/>
                          <w:rPr/>
                        </w:pPr>
                        <w:r>
                          <w:rPr>
                            <w:kern w:val="2"/>
                            <w:sz w:val="21"/>
                            <w:szCs w:val="21"/>
                            <w:b/>
                            <w:rFonts w:ascii="Arial" w:hAnsi="Arial" w:eastAsia="宋体;SimSun" w:cs="Arial"/>
                            <w:color w:val="auto"/>
                            <w:lang w:val="en-US" w:eastAsia="zh-CN" w:bidi="ar-SA"/>
                          </w:rPr>
                          <w:t>亦庄地区工业用地成交分布图</w:t>
                        </w:r>
                      </w:p>
                    </w:txbxContent>
                  </v:textbox>
                  <w10:wrap type="square"/>
                  <v:fill o:detectmouseclick="t" type="solid" color2="black"/>
                  <v:stroke color="#3465a4" joinstyle="round" endcap="flat"/>
                </v:shape>
              </v:group>
            </w:pict>
          </mc:Fallback>
        </mc:AlternateConten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r>
    </w:p>
    <w:p>
      <w:pPr>
        <w:pStyle w:val="Normal"/>
        <w:widowControl/>
        <w:spacing w:lineRule="auto" w:line="360"/>
        <w:ind w:firstLine="560"/>
        <w:jc w:val="both"/>
        <w:rPr/>
      </w:pPr>
      <w:r>
        <w:rPr>
          <w:rFonts w:ascii="Arial" w:hAnsi="Arial" w:cs="Arial" w:eastAsia="仿宋_GB2312;仿宋"/>
          <w:bCs/>
          <w:color w:val="000000"/>
          <w:sz w:val="28"/>
          <w:szCs w:val="28"/>
        </w:rPr>
        <w:t>（</w:t>
      </w:r>
      <w:r>
        <w:rPr>
          <w:rFonts w:eastAsia="仿宋_GB2312;仿宋" w:cs="Arial" w:ascii="Arial" w:hAnsi="Arial"/>
          <w:bCs/>
          <w:color w:val="000000"/>
          <w:sz w:val="28"/>
          <w:szCs w:val="28"/>
        </w:rPr>
        <w:t>4</w:t>
      </w:r>
      <w:r>
        <w:rPr>
          <w:rFonts w:ascii="Arial" w:hAnsi="Arial" w:cs="Arial" w:eastAsia="仿宋_GB2312;仿宋"/>
          <w:bCs/>
          <w:color w:val="000000"/>
          <w:sz w:val="28"/>
          <w:szCs w:val="28"/>
        </w:rPr>
        <w:t>）地价监测</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2023</w:t>
      </w:r>
      <w:r>
        <w:rPr>
          <w:rFonts w:ascii="Arial" w:hAnsi="Arial" w:cs="Arial" w:eastAsia="仿宋_GB2312;仿宋"/>
          <w:bCs/>
          <w:color w:val="000000"/>
          <w:sz w:val="28"/>
          <w:szCs w:val="28"/>
        </w:rPr>
        <w:t>年</w:t>
      </w:r>
      <w:r>
        <w:rPr>
          <w:rFonts w:eastAsia="仿宋_GB2312;仿宋" w:cs="Arial" w:ascii="Arial" w:hAnsi="Arial"/>
          <w:bCs/>
          <w:color w:val="000000"/>
          <w:sz w:val="28"/>
          <w:szCs w:val="28"/>
        </w:rPr>
        <w:t>1-4</w:t>
      </w:r>
      <w:r>
        <w:rPr>
          <w:rFonts w:ascii="Arial" w:hAnsi="Arial" w:cs="Arial" w:eastAsia="仿宋_GB2312;仿宋"/>
          <w:bCs/>
          <w:color w:val="000000"/>
          <w:sz w:val="28"/>
          <w:szCs w:val="28"/>
        </w:rPr>
        <w:t>季度城市地价监测结果显示，北京市监测地价整体保持上涨，其中工业用途地价环比增幅为</w:t>
      </w:r>
      <w:r>
        <w:rPr>
          <w:rFonts w:eastAsia="仿宋_GB2312;仿宋" w:cs="Arial" w:ascii="Arial" w:hAnsi="Arial"/>
          <w:bCs/>
          <w:color w:val="000000"/>
          <w:sz w:val="28"/>
          <w:szCs w:val="28"/>
        </w:rPr>
        <w:t>0.61%</w:t>
      </w:r>
      <w:r>
        <w:rPr>
          <w:rFonts w:ascii="Arial" w:hAnsi="Arial" w:cs="Arial" w:eastAsia="仿宋_GB2312;仿宋"/>
          <w:bCs/>
          <w:color w:val="000000"/>
          <w:sz w:val="28"/>
          <w:szCs w:val="28"/>
        </w:rPr>
        <w:t>、同比上涨</w:t>
      </w:r>
      <w:r>
        <w:rPr>
          <w:rFonts w:eastAsia="仿宋_GB2312;仿宋" w:cs="Arial" w:ascii="Arial" w:hAnsi="Arial"/>
          <w:bCs/>
          <w:color w:val="000000"/>
          <w:sz w:val="28"/>
          <w:szCs w:val="28"/>
        </w:rPr>
        <w:t>2.26%</w:t>
      </w:r>
      <w:r>
        <w:rPr>
          <w:rFonts w:ascii="Arial" w:hAnsi="Arial" w:cs="Arial" w:eastAsia="仿宋_GB2312;仿宋"/>
          <w:bCs/>
          <w:color w:val="000000"/>
          <w:sz w:val="28"/>
          <w:szCs w:val="28"/>
        </w:rPr>
        <w:t>，自</w:t>
      </w:r>
      <w:r>
        <w:rPr>
          <w:rFonts w:eastAsia="仿宋_GB2312;仿宋" w:cs="Arial" w:ascii="Arial" w:hAnsi="Arial"/>
          <w:bCs/>
          <w:color w:val="000000"/>
          <w:sz w:val="28"/>
          <w:szCs w:val="28"/>
        </w:rPr>
        <w:t>2021</w:t>
      </w:r>
      <w:r>
        <w:rPr>
          <w:rFonts w:ascii="Arial" w:hAnsi="Arial" w:cs="Arial" w:eastAsia="仿宋_GB2312;仿宋"/>
          <w:bCs/>
          <w:color w:val="000000"/>
          <w:sz w:val="28"/>
          <w:szCs w:val="28"/>
        </w:rPr>
        <w:t>年下半年开始，整体走势较为平稳，环比涨幅基本在</w:t>
      </w:r>
      <w:r>
        <w:rPr>
          <w:rFonts w:eastAsia="仿宋_GB2312;仿宋" w:cs="Arial" w:ascii="Arial" w:hAnsi="Arial"/>
          <w:bCs/>
          <w:color w:val="000000"/>
          <w:sz w:val="28"/>
          <w:szCs w:val="28"/>
        </w:rPr>
        <w:t>1%</w:t>
      </w:r>
      <w:r>
        <w:rPr>
          <w:rFonts w:ascii="Arial" w:hAnsi="Arial" w:cs="Arial" w:eastAsia="仿宋_GB2312;仿宋"/>
          <w:bCs/>
          <w:color w:val="000000"/>
          <w:sz w:val="28"/>
          <w:szCs w:val="28"/>
        </w:rPr>
        <w:t>以内，同比涨幅在</w:t>
      </w:r>
      <w:r>
        <w:rPr>
          <w:rFonts w:eastAsia="仿宋_GB2312;仿宋" w:cs="Arial" w:ascii="Arial" w:hAnsi="Arial"/>
          <w:bCs/>
          <w:color w:val="000000"/>
          <w:sz w:val="28"/>
          <w:szCs w:val="28"/>
        </w:rPr>
        <w:t>2.5%~3%</w:t>
      </w:r>
      <w:r>
        <w:rPr>
          <w:rFonts w:ascii="Arial" w:hAnsi="Arial" w:cs="Arial" w:eastAsia="仿宋_GB2312;仿宋"/>
          <w:bCs/>
          <w:color w:val="000000"/>
          <w:sz w:val="28"/>
          <w:szCs w:val="28"/>
        </w:rPr>
        <w:t>之间。</w:t>
      </w:r>
    </w:p>
    <w:p>
      <w:pPr>
        <w:pStyle w:val="Normal"/>
        <w:widowControl/>
        <w:spacing w:lineRule="auto" w:line="360"/>
        <w:jc w:val="center"/>
        <w:rPr>
          <w:rFonts w:ascii="Arial" w:hAnsi="Arial" w:eastAsia="仿宋_GB2312;仿宋" w:cs="Arial"/>
          <w:bCs/>
          <w:color w:val="000000"/>
          <w:sz w:val="28"/>
          <w:szCs w:val="28"/>
        </w:rPr>
      </w:pPr>
      <w:r>
        <w:rPr>
          <w:lang w:val="zh-CN" w:eastAsia="zh-CN"/>
        </w:rPr>
        <w:drawing>
          <wp:inline distT="0" distB="0" distL="0" distR="0">
            <wp:extent cx="5905500" cy="2291080"/>
            <wp:effectExtent l="0" t="0" r="0" b="0"/>
            <wp:docPr id="33" name="图像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像12" descr=""/>
                    <pic:cNvPicPr>
                      <a:picLocks noChangeAspect="1" noChangeArrowheads="1"/>
                    </pic:cNvPicPr>
                  </pic:nvPicPr>
                  <pic:blipFill>
                    <a:blip r:embed="rId63"/>
                    <a:srcRect l="-5" t="-13" r="-5" b="-13"/>
                    <a:stretch>
                      <a:fillRect/>
                    </a:stretch>
                  </pic:blipFill>
                  <pic:spPr bwMode="auto">
                    <a:xfrm>
                      <a:off x="0" y="0"/>
                      <a:ext cx="5905500" cy="2291080"/>
                    </a:xfrm>
                    <a:prstGeom prst="rect">
                      <a:avLst/>
                    </a:prstGeom>
                  </pic:spPr>
                </pic:pic>
              </a:graphicData>
            </a:graphic>
          </wp:inline>
        </w:drawing>
      </w:r>
    </w:p>
    <w:p>
      <w:pPr>
        <w:pStyle w:val="Normal"/>
        <w:widowControl/>
        <w:spacing w:lineRule="auto" w:line="360"/>
        <w:ind w:firstLine="560"/>
        <w:jc w:val="both"/>
        <w:rPr>
          <w:rFonts w:ascii="Arial" w:hAnsi="Arial" w:eastAsia="仿宋_GB2312;仿宋" w:cs="Arial"/>
          <w:bCs/>
          <w:color w:val="000000"/>
          <w:sz w:val="28"/>
          <w:szCs w:val="28"/>
        </w:rPr>
      </w:pPr>
      <w:r>
        <w:rPr>
          <w:rFonts w:ascii="Arial" w:hAnsi="Arial" w:cs="Arial" w:eastAsia="仿宋_GB2312;仿宋"/>
          <w:bCs/>
          <w:color w:val="000000"/>
          <w:sz w:val="28"/>
          <w:szCs w:val="28"/>
        </w:rPr>
        <w:t>（</w:t>
      </w:r>
      <w:r>
        <w:rPr>
          <w:rFonts w:eastAsia="仿宋_GB2312;仿宋" w:cs="Arial" w:ascii="Arial" w:hAnsi="Arial"/>
          <w:bCs/>
          <w:color w:val="000000"/>
          <w:sz w:val="28"/>
          <w:szCs w:val="28"/>
        </w:rPr>
        <w:t>5</w:t>
      </w:r>
      <w:r>
        <w:rPr>
          <w:rFonts w:ascii="Arial" w:hAnsi="Arial" w:cs="Arial" w:eastAsia="仿宋_GB2312;仿宋"/>
          <w:bCs/>
          <w:color w:val="000000"/>
          <w:sz w:val="28"/>
          <w:szCs w:val="28"/>
        </w:rPr>
        <w:t>）未来趋势</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2023</w:t>
      </w:r>
      <w:r>
        <w:rPr>
          <w:rFonts w:ascii="Arial" w:hAnsi="Arial" w:cs="Arial" w:eastAsia="仿宋_GB2312;仿宋"/>
          <w:bCs/>
          <w:color w:val="000000"/>
          <w:sz w:val="28"/>
          <w:szCs w:val="28"/>
        </w:rPr>
        <w:t>年，随着市场逐步恢复，政策效应逐步显现，北京市工业经济运行回升向好，企业经营状况趋于改善</w:t>
      </w:r>
      <w:r>
        <w:rPr>
          <w:rFonts w:ascii="Arial" w:hAnsi="Arial" w:cs="Arial" w:eastAsia="仿宋_GB2312;仿宋"/>
          <w:bCs/>
          <w:sz w:val="28"/>
          <w:szCs w:val="28"/>
        </w:rPr>
        <w:t>，高端产业发挥引领作用。北京“十四五”规划明确新一代信息技术、医药健康、新能源智能网联汽车、绿色智慧能源等为未来重点产业发展方向，界定多个未来重点发展新区及区域产业发展细分方向；同时，“十四五”规划还提出支持具备条件的物流园区和重点企业引入铁路专用线，支持利用工业厂房改造建设冷链物流基础设施，发展智能立体仓等</w:t>
      </w:r>
      <w:r>
        <w:rPr>
          <w:rFonts w:ascii="Arial" w:hAnsi="Arial" w:cs="Arial" w:eastAsia="仿宋_GB2312;仿宋"/>
          <w:bCs/>
          <w:color w:val="000000"/>
          <w:sz w:val="28"/>
          <w:szCs w:val="28"/>
        </w:rPr>
        <w:t>。根据相关政策，北京市将继续推进新型工业化各项重点任务落实，精准施策提振发展信心，培育新质生产力。在高技术产业快速增长的带动下，各园区稳步发展，预计工业地价继续稳中向上。</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3.</w:t>
      </w:r>
      <w:r>
        <w:rPr>
          <w:rFonts w:ascii="Arial" w:hAnsi="Arial" w:cs="Arial" w:eastAsia="仿宋_GB2312;仿宋"/>
          <w:bCs/>
          <w:color w:val="000000"/>
          <w:sz w:val="28"/>
          <w:szCs w:val="28"/>
        </w:rPr>
        <w:t>产业政策</w:t>
      </w:r>
    </w:p>
    <w:p>
      <w:pPr>
        <w:pStyle w:val="Normal"/>
        <w:overflowPunct w:val="false"/>
        <w:spacing w:lineRule="auto" w:line="360"/>
        <w:jc w:val="both"/>
        <w:textAlignment w:val="auto"/>
        <w:rPr>
          <w:rFonts w:ascii="Arial" w:hAnsi="Arial" w:eastAsia="仿宋_GB2312;仿宋" w:cs="Arial"/>
          <w:bCs/>
          <w:color w:val="000000"/>
          <w:sz w:val="28"/>
          <w:szCs w:val="28"/>
        </w:rPr>
      </w:pPr>
      <w:r>
        <w:rPr>
          <w:rFonts w:ascii="MS Gothic;ＭＳ ゴシック" w:hAnsi="MS Gothic;ＭＳ ゴシック" w:cs="MS Gothic;ＭＳ ゴシック" w:eastAsia="MS Gothic;ＭＳ ゴシック"/>
          <w:b/>
          <w:bCs/>
          <w:color w:val="000000"/>
          <w:sz w:val="28"/>
          <w:szCs w:val="28"/>
        </w:rPr>
        <w:t xml:space="preserve">◆  </w:t>
      </w:r>
      <w:r>
        <w:rPr>
          <w:rFonts w:ascii="Arial" w:hAnsi="Arial" w:cs="Arial" w:eastAsia="仿宋_GB2312;仿宋"/>
          <w:b/>
          <w:bCs/>
          <w:color w:val="000000"/>
          <w:sz w:val="28"/>
          <w:szCs w:val="28"/>
        </w:rPr>
        <w:t>产业优惠政策</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2019</w:t>
      </w:r>
      <w:r>
        <w:rPr>
          <w:rFonts w:ascii="Arial" w:hAnsi="Arial" w:cs="Arial" w:eastAsia="仿宋_GB2312;仿宋"/>
          <w:bCs/>
          <w:color w:val="000000"/>
          <w:sz w:val="28"/>
          <w:szCs w:val="28"/>
        </w:rPr>
        <w:t>年</w:t>
      </w:r>
      <w:r>
        <w:rPr>
          <w:rFonts w:eastAsia="仿宋_GB2312;仿宋" w:cs="Arial" w:ascii="Arial" w:hAnsi="Arial"/>
          <w:bCs/>
          <w:color w:val="000000"/>
          <w:sz w:val="28"/>
          <w:szCs w:val="28"/>
        </w:rPr>
        <w:t>5</w:t>
      </w:r>
      <w:r>
        <w:rPr>
          <w:rFonts w:ascii="Arial" w:hAnsi="Arial" w:cs="Arial" w:eastAsia="仿宋_GB2312;仿宋"/>
          <w:bCs/>
          <w:color w:val="000000"/>
          <w:sz w:val="28"/>
          <w:szCs w:val="28"/>
        </w:rPr>
        <w:t>月</w:t>
      </w:r>
      <w:r>
        <w:rPr>
          <w:rFonts w:eastAsia="仿宋_GB2312;仿宋" w:cs="Arial" w:ascii="Arial" w:hAnsi="Arial"/>
          <w:bCs/>
          <w:color w:val="000000"/>
          <w:sz w:val="28"/>
          <w:szCs w:val="28"/>
        </w:rPr>
        <w:t>15</w:t>
      </w:r>
      <w:r>
        <w:rPr>
          <w:rFonts w:ascii="Arial" w:hAnsi="Arial" w:cs="Arial" w:eastAsia="仿宋_GB2312;仿宋"/>
          <w:bCs/>
          <w:color w:val="000000"/>
          <w:sz w:val="28"/>
          <w:szCs w:val="28"/>
        </w:rPr>
        <w:t>日，自然资源部发布《产业用地政策实施工作指引（</w:t>
      </w:r>
      <w:r>
        <w:rPr>
          <w:rFonts w:eastAsia="仿宋_GB2312;仿宋" w:cs="Arial" w:ascii="Arial" w:hAnsi="Arial"/>
          <w:bCs/>
          <w:color w:val="000000"/>
          <w:sz w:val="28"/>
          <w:szCs w:val="28"/>
        </w:rPr>
        <w:t>2019</w:t>
      </w:r>
      <w:r>
        <w:rPr>
          <w:rFonts w:ascii="Arial" w:hAnsi="Arial" w:cs="Arial" w:eastAsia="仿宋_GB2312;仿宋"/>
          <w:bCs/>
          <w:color w:val="000000"/>
          <w:sz w:val="28"/>
          <w:szCs w:val="28"/>
        </w:rPr>
        <w:t>年版）》（简称</w:t>
      </w:r>
      <w:r>
        <w:rPr>
          <w:rFonts w:eastAsia="仿宋_GB2312;仿宋" w:cs="Arial" w:ascii="Arial" w:hAnsi="Arial"/>
          <w:bCs/>
          <w:color w:val="000000"/>
          <w:sz w:val="28"/>
          <w:szCs w:val="28"/>
        </w:rPr>
        <w:t>2019</w:t>
      </w:r>
      <w:r>
        <w:rPr>
          <w:rFonts w:ascii="Arial" w:hAnsi="Arial" w:cs="Arial" w:eastAsia="仿宋_GB2312;仿宋"/>
          <w:bCs/>
          <w:color w:val="000000"/>
          <w:sz w:val="28"/>
          <w:szCs w:val="28"/>
        </w:rPr>
        <w:t>年版《指引》），此次更新是为了更好地指导地方自然资源主管部门规范执行产业用地政策，为包括民营企业在内的各种所有制经济提供良好服务。重点体现三个方面：一、坚持营造公平竞争环境。指导地方自然资源主管部门在产业用地政策执行中做到对各种所有制经济一视同仁，保障其平等取得土地要素。二、坚持推动高质量发展。指导地方自然资源主管部门在产业用地政策执行中落实严控增量、盘活存量、优化结构、提升效率，切实提高城镇建设用地集约化程度的总体要求，积极引导推动产业发展节约集约用地。三、坚持更好服务市场主体。对政策执行作必要说明，一方面使得市场主体能够更加充分地理解，有利于营造公开公平透明的市场环境；另一方面指导地方自然资源主管部门把握政策实施要点，积极为各种所有制经济提供良好服务。</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2019</w:t>
      </w:r>
      <w:r>
        <w:rPr>
          <w:rFonts w:ascii="Arial" w:hAnsi="Arial" w:cs="Arial" w:eastAsia="仿宋_GB2312;仿宋"/>
          <w:bCs/>
          <w:color w:val="000000"/>
          <w:sz w:val="28"/>
          <w:szCs w:val="28"/>
        </w:rPr>
        <w:t>年</w:t>
      </w:r>
      <w:r>
        <w:rPr>
          <w:rFonts w:eastAsia="仿宋_GB2312;仿宋" w:cs="Arial" w:ascii="Arial" w:hAnsi="Arial"/>
          <w:bCs/>
          <w:color w:val="000000"/>
          <w:sz w:val="28"/>
          <w:szCs w:val="28"/>
        </w:rPr>
        <w:t>5</w:t>
      </w:r>
      <w:r>
        <w:rPr>
          <w:rFonts w:ascii="Arial" w:hAnsi="Arial" w:cs="Arial" w:eastAsia="仿宋_GB2312;仿宋"/>
          <w:bCs/>
          <w:color w:val="000000"/>
          <w:sz w:val="28"/>
          <w:szCs w:val="28"/>
        </w:rPr>
        <w:t>月</w:t>
      </w:r>
      <w:r>
        <w:rPr>
          <w:rFonts w:eastAsia="仿宋_GB2312;仿宋" w:cs="Arial" w:ascii="Arial" w:hAnsi="Arial"/>
          <w:bCs/>
          <w:color w:val="000000"/>
          <w:sz w:val="28"/>
          <w:szCs w:val="28"/>
        </w:rPr>
        <w:t>23</w:t>
      </w:r>
      <w:r>
        <w:rPr>
          <w:rFonts w:ascii="Arial" w:hAnsi="Arial" w:cs="Arial" w:eastAsia="仿宋_GB2312;仿宋"/>
          <w:bCs/>
          <w:color w:val="000000"/>
          <w:sz w:val="28"/>
          <w:szCs w:val="28"/>
        </w:rPr>
        <w:t>日，北京市住房和城乡建设委员会官网发布《关于进一步完善已建成研发、工业项目转让管理有关问题的通知（京建发〔</w:t>
      </w:r>
      <w:r>
        <w:rPr>
          <w:rFonts w:eastAsia="仿宋_GB2312;仿宋" w:cs="Arial" w:ascii="Arial" w:hAnsi="Arial"/>
          <w:bCs/>
          <w:color w:val="000000"/>
          <w:sz w:val="28"/>
          <w:szCs w:val="28"/>
        </w:rPr>
        <w:t>2019</w:t>
      </w:r>
      <w:r>
        <w:rPr>
          <w:rFonts w:ascii="Arial" w:hAnsi="Arial" w:cs="Arial" w:eastAsia="仿宋_GB2312;仿宋"/>
          <w:bCs/>
          <w:color w:val="000000"/>
          <w:sz w:val="28"/>
          <w:szCs w:val="28"/>
        </w:rPr>
        <w:t>〕</w:t>
      </w:r>
      <w:r>
        <w:rPr>
          <w:rFonts w:eastAsia="仿宋_GB2312;仿宋" w:cs="Arial" w:ascii="Arial" w:hAnsi="Arial"/>
          <w:bCs/>
          <w:color w:val="000000"/>
          <w:sz w:val="28"/>
          <w:szCs w:val="28"/>
        </w:rPr>
        <w:t>216</w:t>
      </w:r>
      <w:r>
        <w:rPr>
          <w:rFonts w:ascii="Arial" w:hAnsi="Arial" w:cs="Arial" w:eastAsia="仿宋_GB2312;仿宋"/>
          <w:bCs/>
          <w:color w:val="000000"/>
          <w:sz w:val="28"/>
          <w:szCs w:val="28"/>
        </w:rPr>
        <w:t>号）》和《关于进一步明确已建成产业项目买受人审核有关问题的通知（京建发〔</w:t>
      </w:r>
      <w:r>
        <w:rPr>
          <w:rFonts w:eastAsia="仿宋_GB2312;仿宋" w:cs="Arial" w:ascii="Arial" w:hAnsi="Arial"/>
          <w:bCs/>
          <w:color w:val="000000"/>
          <w:sz w:val="28"/>
          <w:szCs w:val="28"/>
        </w:rPr>
        <w:t>2019</w:t>
      </w:r>
      <w:r>
        <w:rPr>
          <w:rFonts w:ascii="Arial" w:hAnsi="Arial" w:cs="Arial" w:eastAsia="仿宋_GB2312;仿宋"/>
          <w:bCs/>
          <w:color w:val="000000"/>
          <w:sz w:val="28"/>
          <w:szCs w:val="28"/>
        </w:rPr>
        <w:t>〕</w:t>
      </w:r>
      <w:r>
        <w:rPr>
          <w:rFonts w:eastAsia="仿宋_GB2312;仿宋" w:cs="Arial" w:ascii="Arial" w:hAnsi="Arial"/>
          <w:bCs/>
          <w:color w:val="000000"/>
          <w:sz w:val="28"/>
          <w:szCs w:val="28"/>
        </w:rPr>
        <w:t>217</w:t>
      </w:r>
      <w:r>
        <w:rPr>
          <w:rFonts w:ascii="Arial" w:hAnsi="Arial" w:cs="Arial" w:eastAsia="仿宋_GB2312;仿宋"/>
          <w:bCs/>
          <w:color w:val="000000"/>
          <w:sz w:val="28"/>
          <w:szCs w:val="28"/>
        </w:rPr>
        <w:t>号）》两份文件。一方面，要求建设单位不得分割销售研发、工业项目，买受人应是区政府审定的企业或专业园、公共服务平台、孵化器运营机构。这是由于研发、工业项目分割销售政策可能会带来一定的负面影响，干扰房地产市场秩序，为了扼制违规炒房抄地行为，故禁止研发、工业项目的分割销售。另一方面，审批权下放，审批主体从市政府调整为区政府，对买受人的申请，应在</w:t>
      </w:r>
      <w:r>
        <w:rPr>
          <w:rFonts w:eastAsia="仿宋_GB2312;仿宋" w:cs="Arial" w:ascii="Arial" w:hAnsi="Arial"/>
          <w:bCs/>
          <w:color w:val="000000"/>
          <w:sz w:val="28"/>
          <w:szCs w:val="28"/>
        </w:rPr>
        <w:t>15</w:t>
      </w:r>
      <w:r>
        <w:rPr>
          <w:rFonts w:ascii="Arial" w:hAnsi="Arial" w:cs="Arial" w:eastAsia="仿宋_GB2312;仿宋"/>
          <w:bCs/>
          <w:color w:val="000000"/>
          <w:sz w:val="28"/>
          <w:szCs w:val="28"/>
        </w:rPr>
        <w:t>个工作日内出具书面意见，这大大加快了产业地产的审批效率，促进了产业地产的招商周转速度。</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2020</w:t>
      </w:r>
      <w:r>
        <w:rPr>
          <w:rFonts w:ascii="Arial" w:hAnsi="Arial" w:cs="Arial" w:eastAsia="仿宋_GB2312;仿宋"/>
          <w:bCs/>
          <w:color w:val="000000"/>
          <w:sz w:val="28"/>
          <w:szCs w:val="28"/>
        </w:rPr>
        <w:t>年</w:t>
      </w:r>
      <w:r>
        <w:rPr>
          <w:rFonts w:eastAsia="仿宋_GB2312;仿宋" w:cs="Arial" w:ascii="Arial" w:hAnsi="Arial"/>
          <w:bCs/>
          <w:color w:val="000000"/>
          <w:sz w:val="28"/>
          <w:szCs w:val="28"/>
        </w:rPr>
        <w:t>10</w:t>
      </w:r>
      <w:r>
        <w:rPr>
          <w:rFonts w:ascii="Arial" w:hAnsi="Arial" w:cs="Arial" w:eastAsia="仿宋_GB2312;仿宋"/>
          <w:bCs/>
          <w:color w:val="000000"/>
          <w:sz w:val="28"/>
          <w:szCs w:val="28"/>
        </w:rPr>
        <w:t>月</w:t>
      </w:r>
      <w:r>
        <w:rPr>
          <w:rFonts w:eastAsia="仿宋_GB2312;仿宋" w:cs="Arial" w:ascii="Arial" w:hAnsi="Arial"/>
          <w:bCs/>
          <w:color w:val="000000"/>
          <w:sz w:val="28"/>
          <w:szCs w:val="28"/>
        </w:rPr>
        <w:t>23</w:t>
      </w:r>
      <w:r>
        <w:rPr>
          <w:rFonts w:ascii="Arial" w:hAnsi="Arial" w:cs="Arial" w:eastAsia="仿宋_GB2312;仿宋"/>
          <w:bCs/>
          <w:color w:val="000000"/>
          <w:sz w:val="28"/>
          <w:szCs w:val="28"/>
        </w:rPr>
        <w:t>日，《关于支持民营企业加快改革与转型升级的实施意见》（发改体改</w:t>
      </w:r>
      <w:r>
        <w:rPr>
          <w:rFonts w:eastAsia="仿宋_GB2312;仿宋" w:cs="Arial" w:ascii="Arial" w:hAnsi="Arial"/>
          <w:bCs/>
          <w:color w:val="000000"/>
          <w:sz w:val="28"/>
          <w:szCs w:val="28"/>
        </w:rPr>
        <w:t>[2020]1566</w:t>
      </w:r>
      <w:r>
        <w:rPr>
          <w:rFonts w:ascii="Arial" w:hAnsi="Arial" w:cs="Arial" w:eastAsia="仿宋_GB2312;仿宋"/>
          <w:bCs/>
          <w:color w:val="000000"/>
          <w:sz w:val="28"/>
          <w:szCs w:val="28"/>
        </w:rPr>
        <w:t>号），允许中小民营企业联合参与工业用地招拍挂，可按规定进行宗地分割；允许增加容积率的，不增收土地价款等费用；民营企业退出原使用土地的，支持依法依约转让土地；异地发展的，可以协议出让方式重新安排工业用地。</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2020</w:t>
      </w:r>
      <w:r>
        <w:rPr>
          <w:rFonts w:ascii="Arial" w:hAnsi="Arial" w:cs="Arial" w:eastAsia="仿宋_GB2312;仿宋"/>
          <w:bCs/>
          <w:color w:val="000000"/>
          <w:sz w:val="28"/>
          <w:szCs w:val="28"/>
        </w:rPr>
        <w:t>年</w:t>
      </w:r>
      <w:r>
        <w:rPr>
          <w:rFonts w:eastAsia="仿宋_GB2312;仿宋" w:cs="Arial" w:ascii="Arial" w:hAnsi="Arial"/>
          <w:bCs/>
          <w:color w:val="000000"/>
          <w:sz w:val="28"/>
          <w:szCs w:val="28"/>
        </w:rPr>
        <w:t>11</w:t>
      </w:r>
      <w:r>
        <w:rPr>
          <w:rFonts w:ascii="Arial" w:hAnsi="Arial" w:cs="Arial" w:eastAsia="仿宋_GB2312;仿宋"/>
          <w:bCs/>
          <w:color w:val="000000"/>
          <w:sz w:val="28"/>
          <w:szCs w:val="28"/>
        </w:rPr>
        <w:t>月</w:t>
      </w:r>
      <w:r>
        <w:rPr>
          <w:rFonts w:eastAsia="仿宋_GB2312;仿宋" w:cs="Arial" w:ascii="Arial" w:hAnsi="Arial"/>
          <w:bCs/>
          <w:color w:val="000000"/>
          <w:sz w:val="28"/>
          <w:szCs w:val="28"/>
        </w:rPr>
        <w:t>6</w:t>
      </w:r>
      <w:r>
        <w:rPr>
          <w:rFonts w:ascii="Arial" w:hAnsi="Arial" w:cs="Arial" w:eastAsia="仿宋_GB2312;仿宋"/>
          <w:bCs/>
          <w:color w:val="000000"/>
          <w:sz w:val="28"/>
          <w:szCs w:val="28"/>
        </w:rPr>
        <w:t>日，中关村管委会研究制定了《中关村国家自主创新示范区关于推进特色产业园建设</w:t>
      </w:r>
      <w:r>
        <w:rPr>
          <w:rFonts w:ascii="Arial" w:hAnsi="Arial" w:cs="Arial" w:eastAsia="Arial"/>
          <w:bCs/>
          <w:color w:val="000000"/>
          <w:sz w:val="28"/>
          <w:szCs w:val="28"/>
        </w:rPr>
        <w:t xml:space="preserve"> </w:t>
      </w:r>
      <w:r>
        <w:rPr>
          <w:rFonts w:ascii="Arial" w:hAnsi="Arial" w:cs="Arial" w:eastAsia="仿宋_GB2312;仿宋"/>
          <w:bCs/>
          <w:color w:val="000000"/>
          <w:sz w:val="28"/>
          <w:szCs w:val="28"/>
        </w:rPr>
        <w:t>提升分园产业服务能力的指导意见》。提出了到</w:t>
      </w:r>
      <w:r>
        <w:rPr>
          <w:rFonts w:eastAsia="仿宋_GB2312;仿宋" w:cs="Arial" w:ascii="Arial" w:hAnsi="Arial"/>
          <w:bCs/>
          <w:color w:val="000000"/>
          <w:sz w:val="28"/>
          <w:szCs w:val="28"/>
        </w:rPr>
        <w:t>2022</w:t>
      </w:r>
      <w:r>
        <w:rPr>
          <w:rFonts w:ascii="Arial" w:hAnsi="Arial" w:cs="Arial" w:eastAsia="仿宋_GB2312;仿宋"/>
          <w:bCs/>
          <w:color w:val="000000"/>
          <w:sz w:val="28"/>
          <w:szCs w:val="28"/>
        </w:rPr>
        <w:t>年，中关村示范区产业布局更加优化，体制机制持续创新，创新创业环境进一步改善，各分园产业服务能力显著提升，主导产业地位突出，高端化、特色化、差异化发展态势基本形成。特色产业园建设实现重点细分产业领域及发展组团两个“全覆盖”，成为分园主导产业发展的重要载体，对所在区域的经济贡献明显提升。各分园围绕主导产业建成产业促进服务机构，产业促进服务机构与分园结合紧密、运营高效，对分园主导产业发展的促进作用凸显。</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2021</w:t>
      </w:r>
      <w:r>
        <w:rPr>
          <w:rFonts w:ascii="Arial" w:hAnsi="Arial" w:cs="Arial" w:eastAsia="仿宋_GB2312;仿宋"/>
          <w:bCs/>
          <w:color w:val="000000"/>
          <w:sz w:val="28"/>
          <w:szCs w:val="28"/>
        </w:rPr>
        <w:t>年</w:t>
      </w:r>
      <w:r>
        <w:rPr>
          <w:rFonts w:eastAsia="仿宋_GB2312;仿宋" w:cs="Arial" w:ascii="Arial" w:hAnsi="Arial"/>
          <w:bCs/>
          <w:color w:val="000000"/>
          <w:sz w:val="28"/>
          <w:szCs w:val="28"/>
        </w:rPr>
        <w:t>8</w:t>
      </w:r>
      <w:r>
        <w:rPr>
          <w:rFonts w:ascii="Arial" w:hAnsi="Arial" w:cs="Arial" w:eastAsia="仿宋_GB2312;仿宋"/>
          <w:bCs/>
          <w:color w:val="000000"/>
          <w:sz w:val="28"/>
          <w:szCs w:val="28"/>
        </w:rPr>
        <w:t>月</w:t>
      </w:r>
      <w:r>
        <w:rPr>
          <w:rFonts w:eastAsia="仿宋_GB2312;仿宋" w:cs="Arial" w:ascii="Arial" w:hAnsi="Arial"/>
          <w:bCs/>
          <w:color w:val="000000"/>
          <w:sz w:val="28"/>
          <w:szCs w:val="28"/>
        </w:rPr>
        <w:t>18</w:t>
      </w:r>
      <w:r>
        <w:rPr>
          <w:rFonts w:ascii="Arial" w:hAnsi="Arial" w:cs="Arial" w:eastAsia="仿宋_GB2312;仿宋"/>
          <w:bCs/>
          <w:color w:val="000000"/>
          <w:sz w:val="28"/>
          <w:szCs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动“五个突破”，推进动力转换、效率提升、结构优化“三大变革”，力争到</w:t>
      </w:r>
      <w:r>
        <w:rPr>
          <w:rFonts w:eastAsia="仿宋_GB2312;仿宋" w:cs="Arial" w:ascii="Arial" w:hAnsi="Arial"/>
          <w:bCs/>
          <w:color w:val="000000"/>
          <w:sz w:val="28"/>
          <w:szCs w:val="28"/>
        </w:rPr>
        <w:t>2025</w:t>
      </w:r>
      <w:r>
        <w:rPr>
          <w:rFonts w:ascii="Arial" w:hAnsi="Arial" w:cs="Arial" w:eastAsia="仿宋_GB2312;仿宋"/>
          <w:bCs/>
          <w:color w:val="000000"/>
          <w:sz w:val="28"/>
          <w:szCs w:val="28"/>
        </w:rPr>
        <w:t>年，高精尖产业占</w:t>
      </w:r>
      <w:r>
        <w:rPr>
          <w:rFonts w:eastAsia="仿宋_GB2312;仿宋" w:cs="Arial" w:ascii="Arial" w:hAnsi="Arial"/>
          <w:bCs/>
          <w:color w:val="000000"/>
          <w:sz w:val="28"/>
          <w:szCs w:val="28"/>
        </w:rPr>
        <w:t>GDP</w:t>
      </w:r>
      <w:r>
        <w:rPr>
          <w:rFonts w:ascii="Arial" w:hAnsi="Arial" w:cs="Arial" w:eastAsia="仿宋_GB2312;仿宋"/>
          <w:bCs/>
          <w:color w:val="000000"/>
          <w:sz w:val="28"/>
          <w:szCs w:val="28"/>
        </w:rPr>
        <w:t>比重</w:t>
      </w:r>
      <w:r>
        <w:rPr>
          <w:rFonts w:eastAsia="仿宋_GB2312;仿宋" w:cs="Arial" w:ascii="Arial" w:hAnsi="Arial"/>
          <w:bCs/>
          <w:color w:val="000000"/>
          <w:sz w:val="28"/>
          <w:szCs w:val="28"/>
        </w:rPr>
        <w:t>30%</w:t>
      </w:r>
      <w:r>
        <w:rPr>
          <w:rFonts w:ascii="Arial" w:hAnsi="Arial" w:cs="Arial" w:eastAsia="仿宋_GB2312;仿宋"/>
          <w:bCs/>
          <w:color w:val="000000"/>
          <w:sz w:val="28"/>
          <w:szCs w:val="28"/>
        </w:rPr>
        <w:t>以上，培育形成</w:t>
      </w:r>
      <w:r>
        <w:rPr>
          <w:rFonts w:eastAsia="仿宋_GB2312;仿宋" w:cs="Arial" w:ascii="Arial" w:hAnsi="Arial"/>
          <w:bCs/>
          <w:color w:val="000000"/>
          <w:sz w:val="28"/>
          <w:szCs w:val="28"/>
        </w:rPr>
        <w:t>4-5</w:t>
      </w:r>
      <w:r>
        <w:rPr>
          <w:rFonts w:ascii="Arial" w:hAnsi="Arial" w:cs="Arial" w:eastAsia="仿宋_GB2312;仿宋"/>
          <w:bCs/>
          <w:color w:val="000000"/>
          <w:sz w:val="28"/>
          <w:szCs w:val="28"/>
        </w:rPr>
        <w:t>个万亿级产业集群，基本形成以智能制造、产业互联网、医药健康等为新支柱的现代产业体系，将集成电路、智能网联汽车、区块链、创新药等打造成为“北京智造”“北京服务”的新名片，为我国提升创新链产业链供应链现代化水平，更好建设制造强国、质量强国、网络强国和数字中国做出北京贡献。</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2023</w:t>
      </w:r>
      <w:r>
        <w:rPr>
          <w:rFonts w:ascii="Arial" w:hAnsi="Arial" w:cs="Arial" w:eastAsia="仿宋_GB2312;仿宋"/>
          <w:bCs/>
          <w:color w:val="000000"/>
          <w:sz w:val="28"/>
          <w:szCs w:val="28"/>
        </w:rPr>
        <w:t>年</w:t>
      </w:r>
      <w:r>
        <w:rPr>
          <w:rFonts w:eastAsia="仿宋_GB2312;仿宋" w:cs="Arial" w:ascii="Arial" w:hAnsi="Arial"/>
          <w:bCs/>
          <w:color w:val="000000"/>
          <w:sz w:val="28"/>
          <w:szCs w:val="28"/>
        </w:rPr>
        <w:t>8</w:t>
      </w:r>
      <w:r>
        <w:rPr>
          <w:rFonts w:ascii="Arial" w:hAnsi="Arial" w:cs="Arial" w:eastAsia="仿宋_GB2312;仿宋"/>
          <w:bCs/>
          <w:color w:val="000000"/>
          <w:sz w:val="28"/>
          <w:szCs w:val="28"/>
        </w:rPr>
        <w:t>月</w:t>
      </w:r>
      <w:r>
        <w:rPr>
          <w:rFonts w:eastAsia="仿宋_GB2312;仿宋" w:cs="Arial" w:ascii="Arial" w:hAnsi="Arial"/>
          <w:bCs/>
          <w:color w:val="000000"/>
          <w:sz w:val="28"/>
          <w:szCs w:val="28"/>
        </w:rPr>
        <w:t>31</w:t>
      </w:r>
      <w:r>
        <w:rPr>
          <w:rFonts w:ascii="Arial" w:hAnsi="Arial" w:cs="Arial" w:eastAsia="仿宋_GB2312;仿宋"/>
          <w:bCs/>
          <w:color w:val="000000"/>
          <w:sz w:val="28"/>
          <w:szCs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资源台账和项目储备库并动态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域产业升级。市政府固定资产投资对于符合条件的项目给予支持，支持方式分为投资补助和贷款贴息两种，其中投资补助方式是对低效楼宇改造项目按照固定资产投资总额</w:t>
      </w:r>
      <w:r>
        <w:rPr>
          <w:rFonts w:eastAsia="仿宋_GB2312;仿宋" w:cs="Arial" w:ascii="Arial" w:hAnsi="Arial"/>
          <w:bCs/>
          <w:color w:val="000000"/>
          <w:sz w:val="28"/>
          <w:szCs w:val="28"/>
        </w:rPr>
        <w:t>10%</w:t>
      </w:r>
      <w:r>
        <w:rPr>
          <w:rFonts w:ascii="Arial" w:hAnsi="Arial" w:cs="Arial" w:eastAsia="仿宋_GB2312;仿宋"/>
          <w:bCs/>
          <w:color w:val="000000"/>
          <w:sz w:val="28"/>
          <w:szCs w:val="28"/>
        </w:rPr>
        <w:t>的比例、老旧厂房改造和配套基础设施改造项目按照固定资产投资总额</w:t>
      </w:r>
      <w:r>
        <w:rPr>
          <w:rFonts w:eastAsia="仿宋_GB2312;仿宋" w:cs="Arial" w:ascii="Arial" w:hAnsi="Arial"/>
          <w:bCs/>
          <w:color w:val="000000"/>
          <w:sz w:val="28"/>
          <w:szCs w:val="28"/>
        </w:rPr>
        <w:t>30%</w:t>
      </w:r>
      <w:r>
        <w:rPr>
          <w:rFonts w:ascii="Arial" w:hAnsi="Arial" w:cs="Arial" w:eastAsia="仿宋_GB2312;仿宋"/>
          <w:bCs/>
          <w:color w:val="000000"/>
          <w:sz w:val="28"/>
          <w:szCs w:val="28"/>
        </w:rPr>
        <w:t>的比例安排补助资金；贷款贴息方式是对改造升级项目发生的银行贷款按照</w:t>
      </w:r>
      <w:r>
        <w:rPr>
          <w:rFonts w:eastAsia="仿宋_GB2312;仿宋" w:cs="Arial" w:ascii="Arial" w:hAnsi="Arial"/>
          <w:bCs/>
          <w:color w:val="000000"/>
          <w:sz w:val="28"/>
          <w:szCs w:val="28"/>
        </w:rPr>
        <w:t>LPR</w:t>
      </w:r>
      <w:r>
        <w:rPr>
          <w:rFonts w:ascii="Arial" w:hAnsi="Arial" w:cs="Arial" w:eastAsia="仿宋_GB2312;仿宋"/>
          <w:bCs/>
          <w:color w:val="000000"/>
          <w:sz w:val="28"/>
          <w:szCs w:val="28"/>
        </w:rPr>
        <w:t>（实际利率低于</w:t>
      </w:r>
      <w:r>
        <w:rPr>
          <w:rFonts w:eastAsia="仿宋_GB2312;仿宋" w:cs="Arial" w:ascii="Arial" w:hAnsi="Arial"/>
          <w:bCs/>
          <w:color w:val="000000"/>
          <w:sz w:val="28"/>
          <w:szCs w:val="28"/>
        </w:rPr>
        <w:t>LPR</w:t>
      </w:r>
      <w:r>
        <w:rPr>
          <w:rFonts w:ascii="Arial" w:hAnsi="Arial" w:cs="Arial" w:eastAsia="仿宋_GB2312;仿宋"/>
          <w:bCs/>
          <w:color w:val="000000"/>
          <w:sz w:val="28"/>
          <w:szCs w:val="28"/>
        </w:rPr>
        <w:t>的，按照实际利率）给予不超过</w:t>
      </w:r>
      <w:r>
        <w:rPr>
          <w:rFonts w:eastAsia="仿宋_GB2312;仿宋" w:cs="Arial" w:ascii="Arial" w:hAnsi="Arial"/>
          <w:bCs/>
          <w:color w:val="000000"/>
          <w:sz w:val="28"/>
          <w:szCs w:val="28"/>
        </w:rPr>
        <w:t>2</w:t>
      </w:r>
      <w:r>
        <w:rPr>
          <w:rFonts w:ascii="Arial" w:hAnsi="Arial" w:cs="Arial" w:eastAsia="仿宋_GB2312;仿宋"/>
          <w:bCs/>
          <w:color w:val="000000"/>
          <w:sz w:val="28"/>
          <w:szCs w:val="28"/>
        </w:rPr>
        <w:t>年的贴息支持。</w:t>
      </w:r>
    </w:p>
    <w:p>
      <w:pPr>
        <w:pStyle w:val="Normal"/>
        <w:overflowPunct w:val="false"/>
        <w:spacing w:lineRule="auto" w:line="360"/>
        <w:jc w:val="both"/>
        <w:textAlignment w:val="auto"/>
        <w:rPr>
          <w:rFonts w:ascii="Arial" w:hAnsi="Arial" w:eastAsia="仿宋_GB2312;仿宋" w:cs="Arial"/>
          <w:b/>
          <w:b/>
          <w:bCs/>
          <w:color w:val="000000"/>
          <w:sz w:val="28"/>
          <w:szCs w:val="28"/>
        </w:rPr>
      </w:pPr>
      <w:r>
        <w:rPr>
          <w:rFonts w:ascii="MS Gothic;ＭＳ ゴシック" w:hAnsi="MS Gothic;ＭＳ ゴシック" w:cs="MS Gothic;ＭＳ ゴシック" w:eastAsia="MS Gothic;ＭＳ ゴシック"/>
          <w:b/>
          <w:bCs/>
          <w:color w:val="000000"/>
          <w:sz w:val="28"/>
          <w:szCs w:val="28"/>
        </w:rPr>
        <w:t xml:space="preserve">◆  </w:t>
      </w:r>
      <w:r>
        <w:rPr>
          <w:rFonts w:ascii="Arial" w:hAnsi="Arial" w:cs="Arial" w:eastAsia="仿宋_GB2312;仿宋"/>
          <w:b/>
          <w:bCs/>
          <w:color w:val="000000"/>
          <w:sz w:val="28"/>
          <w:szCs w:val="28"/>
        </w:rPr>
        <w:t>税收政策：</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2023</w:t>
      </w:r>
      <w:r>
        <w:rPr>
          <w:rFonts w:ascii="Arial" w:hAnsi="Arial" w:cs="Arial" w:eastAsia="仿宋_GB2312;仿宋"/>
          <w:bCs/>
          <w:color w:val="000000"/>
          <w:sz w:val="28"/>
          <w:szCs w:val="28"/>
        </w:rPr>
        <w:t>年，按照党中央、国务院决策部署，税务总局会同财政部等部门先后发布了一系列延续优化创新实施的税费优惠政策，根据《财政部</w:t>
      </w:r>
      <w:r>
        <w:rPr>
          <w:rFonts w:ascii="Arial" w:hAnsi="Arial" w:cs="Arial" w:eastAsia="Arial"/>
          <w:bCs/>
          <w:color w:val="000000"/>
          <w:sz w:val="28"/>
          <w:szCs w:val="28"/>
        </w:rPr>
        <w:t xml:space="preserve"> </w:t>
      </w:r>
      <w:r>
        <w:rPr>
          <w:rFonts w:ascii="Arial" w:hAnsi="Arial" w:cs="Arial" w:eastAsia="仿宋_GB2312;仿宋"/>
          <w:bCs/>
          <w:color w:val="000000"/>
          <w:sz w:val="28"/>
          <w:szCs w:val="28"/>
        </w:rPr>
        <w:t>税务总局关于明确增值税小规模纳税人减免增值税等政策的公告》（</w:t>
      </w:r>
      <w:r>
        <w:rPr>
          <w:rFonts w:eastAsia="仿宋_GB2312;仿宋" w:cs="Arial" w:ascii="Arial" w:hAnsi="Arial"/>
          <w:bCs/>
          <w:color w:val="000000"/>
          <w:sz w:val="28"/>
          <w:szCs w:val="28"/>
        </w:rPr>
        <w:t>2023</w:t>
      </w:r>
      <w:r>
        <w:rPr>
          <w:rFonts w:ascii="Arial" w:hAnsi="Arial" w:cs="Arial" w:eastAsia="仿宋_GB2312;仿宋"/>
          <w:bCs/>
          <w:color w:val="000000"/>
          <w:sz w:val="28"/>
          <w:szCs w:val="28"/>
        </w:rPr>
        <w:t>年第</w:t>
      </w:r>
      <w:r>
        <w:rPr>
          <w:rFonts w:eastAsia="仿宋_GB2312;仿宋" w:cs="Arial" w:ascii="Arial" w:hAnsi="Arial"/>
          <w:bCs/>
          <w:color w:val="000000"/>
          <w:sz w:val="28"/>
          <w:szCs w:val="28"/>
        </w:rPr>
        <w:t>1</w:t>
      </w:r>
      <w:r>
        <w:rPr>
          <w:rFonts w:ascii="Arial" w:hAnsi="Arial" w:cs="Arial" w:eastAsia="仿宋_GB2312;仿宋"/>
          <w:bCs/>
          <w:color w:val="000000"/>
          <w:sz w:val="28"/>
          <w:szCs w:val="28"/>
        </w:rPr>
        <w:t>号）、《国家税务总局关于增值税小规模纳税人减免增值税等政策有关征管事项的公告》（</w:t>
      </w:r>
      <w:r>
        <w:rPr>
          <w:rFonts w:eastAsia="仿宋_GB2312;仿宋" w:cs="Arial" w:ascii="Arial" w:hAnsi="Arial"/>
          <w:bCs/>
          <w:color w:val="000000"/>
          <w:sz w:val="28"/>
          <w:szCs w:val="28"/>
        </w:rPr>
        <w:t>2023</w:t>
      </w:r>
      <w:r>
        <w:rPr>
          <w:rFonts w:ascii="Arial" w:hAnsi="Arial" w:cs="Arial" w:eastAsia="仿宋_GB2312;仿宋"/>
          <w:bCs/>
          <w:color w:val="000000"/>
          <w:sz w:val="28"/>
          <w:szCs w:val="28"/>
        </w:rPr>
        <w:t>年第</w:t>
      </w:r>
      <w:r>
        <w:rPr>
          <w:rFonts w:eastAsia="仿宋_GB2312;仿宋" w:cs="Arial" w:ascii="Arial" w:hAnsi="Arial"/>
          <w:bCs/>
          <w:color w:val="000000"/>
          <w:sz w:val="28"/>
          <w:szCs w:val="28"/>
        </w:rPr>
        <w:t>1</w:t>
      </w:r>
      <w:r>
        <w:rPr>
          <w:rFonts w:ascii="Arial" w:hAnsi="Arial" w:cs="Arial" w:eastAsia="仿宋_GB2312;仿宋"/>
          <w:bCs/>
          <w:color w:val="000000"/>
          <w:sz w:val="28"/>
          <w:szCs w:val="28"/>
        </w:rPr>
        <w:t>号），针对增值税小规模纳税人的优惠政策有：①增值税政策增值税小规模纳税人发生增值税应税销售行为，合计月销售额未超过</w:t>
      </w:r>
      <w:r>
        <w:rPr>
          <w:rFonts w:eastAsia="仿宋_GB2312;仿宋" w:cs="Arial" w:ascii="Arial" w:hAnsi="Arial"/>
          <w:bCs/>
          <w:color w:val="000000"/>
          <w:sz w:val="28"/>
          <w:szCs w:val="28"/>
        </w:rPr>
        <w:t>10</w:t>
      </w:r>
      <w:r>
        <w:rPr>
          <w:rFonts w:ascii="Arial" w:hAnsi="Arial" w:cs="Arial" w:eastAsia="仿宋_GB2312;仿宋"/>
          <w:bCs/>
          <w:color w:val="000000"/>
          <w:sz w:val="28"/>
          <w:szCs w:val="28"/>
        </w:rPr>
        <w:t>万元（以</w:t>
      </w:r>
      <w:r>
        <w:rPr>
          <w:rFonts w:eastAsia="仿宋_GB2312;仿宋" w:cs="Arial" w:ascii="Arial" w:hAnsi="Arial"/>
          <w:bCs/>
          <w:color w:val="000000"/>
          <w:sz w:val="28"/>
          <w:szCs w:val="28"/>
        </w:rPr>
        <w:t>1</w:t>
      </w:r>
      <w:r>
        <w:rPr>
          <w:rFonts w:ascii="Arial" w:hAnsi="Arial" w:cs="Arial" w:eastAsia="仿宋_GB2312;仿宋"/>
          <w:bCs/>
          <w:color w:val="000000"/>
          <w:sz w:val="28"/>
          <w:szCs w:val="28"/>
        </w:rPr>
        <w:t>个季度为</w:t>
      </w:r>
      <w:r>
        <w:rPr>
          <w:rFonts w:eastAsia="仿宋_GB2312;仿宋" w:cs="Arial" w:ascii="Arial" w:hAnsi="Arial"/>
          <w:bCs/>
          <w:color w:val="000000"/>
          <w:sz w:val="28"/>
          <w:szCs w:val="28"/>
        </w:rPr>
        <w:t>1</w:t>
      </w:r>
      <w:r>
        <w:rPr>
          <w:rFonts w:ascii="Arial" w:hAnsi="Arial" w:cs="Arial" w:eastAsia="仿宋_GB2312;仿宋"/>
          <w:bCs/>
          <w:color w:val="000000"/>
          <w:sz w:val="28"/>
          <w:szCs w:val="28"/>
        </w:rPr>
        <w:t>个纳税期的，季度销售额未超过</w:t>
      </w:r>
      <w:r>
        <w:rPr>
          <w:rFonts w:eastAsia="仿宋_GB2312;仿宋" w:cs="Arial" w:ascii="Arial" w:hAnsi="Arial"/>
          <w:bCs/>
          <w:color w:val="000000"/>
          <w:sz w:val="28"/>
          <w:szCs w:val="28"/>
        </w:rPr>
        <w:t>30</w:t>
      </w:r>
      <w:r>
        <w:rPr>
          <w:rFonts w:ascii="Arial" w:hAnsi="Arial" w:cs="Arial" w:eastAsia="仿宋_GB2312;仿宋"/>
          <w:bCs/>
          <w:color w:val="000000"/>
          <w:sz w:val="28"/>
          <w:szCs w:val="28"/>
        </w:rPr>
        <w:t>万元，下同）的，免征增值税。②自</w:t>
      </w:r>
      <w:r>
        <w:rPr>
          <w:rFonts w:eastAsia="仿宋_GB2312;仿宋" w:cs="Arial" w:ascii="Arial" w:hAnsi="Arial"/>
          <w:bCs/>
          <w:color w:val="000000"/>
          <w:sz w:val="28"/>
          <w:szCs w:val="28"/>
        </w:rPr>
        <w:t>2023</w:t>
      </w:r>
      <w:r>
        <w:rPr>
          <w:rFonts w:ascii="Arial" w:hAnsi="Arial" w:cs="Arial" w:eastAsia="仿宋_GB2312;仿宋"/>
          <w:bCs/>
          <w:color w:val="000000"/>
          <w:sz w:val="28"/>
          <w:szCs w:val="28"/>
        </w:rPr>
        <w:t>年</w:t>
      </w:r>
      <w:r>
        <w:rPr>
          <w:rFonts w:eastAsia="仿宋_GB2312;仿宋" w:cs="Arial" w:ascii="Arial" w:hAnsi="Arial"/>
          <w:bCs/>
          <w:color w:val="000000"/>
          <w:sz w:val="28"/>
          <w:szCs w:val="28"/>
        </w:rPr>
        <w:t>1</w:t>
      </w:r>
      <w:r>
        <w:rPr>
          <w:rFonts w:ascii="Arial" w:hAnsi="Arial" w:cs="Arial" w:eastAsia="仿宋_GB2312;仿宋"/>
          <w:bCs/>
          <w:color w:val="000000"/>
          <w:sz w:val="28"/>
          <w:szCs w:val="28"/>
        </w:rPr>
        <w:t>月</w:t>
      </w:r>
      <w:r>
        <w:rPr>
          <w:rFonts w:eastAsia="仿宋_GB2312;仿宋" w:cs="Arial" w:ascii="Arial" w:hAnsi="Arial"/>
          <w:bCs/>
          <w:color w:val="000000"/>
          <w:sz w:val="28"/>
          <w:szCs w:val="28"/>
        </w:rPr>
        <w:t>1</w:t>
      </w:r>
      <w:r>
        <w:rPr>
          <w:rFonts w:ascii="Arial" w:hAnsi="Arial" w:cs="Arial" w:eastAsia="仿宋_GB2312;仿宋"/>
          <w:bCs/>
          <w:color w:val="000000"/>
          <w:sz w:val="28"/>
          <w:szCs w:val="28"/>
        </w:rPr>
        <w:t>日至</w:t>
      </w:r>
      <w:r>
        <w:rPr>
          <w:rFonts w:eastAsia="仿宋_GB2312;仿宋" w:cs="Arial" w:ascii="Arial" w:hAnsi="Arial"/>
          <w:bCs/>
          <w:color w:val="000000"/>
          <w:sz w:val="28"/>
          <w:szCs w:val="28"/>
        </w:rPr>
        <w:t>2023</w:t>
      </w:r>
      <w:r>
        <w:rPr>
          <w:rFonts w:ascii="Arial" w:hAnsi="Arial" w:cs="Arial" w:eastAsia="仿宋_GB2312;仿宋"/>
          <w:bCs/>
          <w:color w:val="000000"/>
          <w:sz w:val="28"/>
          <w:szCs w:val="28"/>
        </w:rPr>
        <w:t>年</w:t>
      </w:r>
      <w:r>
        <w:rPr>
          <w:rFonts w:eastAsia="仿宋_GB2312;仿宋" w:cs="Arial" w:ascii="Arial" w:hAnsi="Arial"/>
          <w:bCs/>
          <w:color w:val="000000"/>
          <w:sz w:val="28"/>
          <w:szCs w:val="28"/>
        </w:rPr>
        <w:t>12</w:t>
      </w:r>
      <w:r>
        <w:rPr>
          <w:rFonts w:ascii="Arial" w:hAnsi="Arial" w:cs="Arial" w:eastAsia="仿宋_GB2312;仿宋"/>
          <w:bCs/>
          <w:color w:val="000000"/>
          <w:sz w:val="28"/>
          <w:szCs w:val="28"/>
        </w:rPr>
        <w:t>月</w:t>
      </w:r>
      <w:r>
        <w:rPr>
          <w:rFonts w:eastAsia="仿宋_GB2312;仿宋" w:cs="Arial" w:ascii="Arial" w:hAnsi="Arial"/>
          <w:bCs/>
          <w:color w:val="000000"/>
          <w:sz w:val="28"/>
          <w:szCs w:val="28"/>
        </w:rPr>
        <w:t>31</w:t>
      </w:r>
      <w:r>
        <w:rPr>
          <w:rFonts w:ascii="Arial" w:hAnsi="Arial" w:cs="Arial" w:eastAsia="仿宋_GB2312;仿宋"/>
          <w:bCs/>
          <w:color w:val="000000"/>
          <w:sz w:val="28"/>
          <w:szCs w:val="28"/>
        </w:rPr>
        <w:t>日，增值税小规模纳税人适用</w:t>
      </w:r>
      <w:r>
        <w:rPr>
          <w:rFonts w:eastAsia="仿宋_GB2312;仿宋" w:cs="Arial" w:ascii="Arial" w:hAnsi="Arial"/>
          <w:bCs/>
          <w:color w:val="000000"/>
          <w:sz w:val="28"/>
          <w:szCs w:val="28"/>
        </w:rPr>
        <w:t>3%</w:t>
      </w:r>
      <w:r>
        <w:rPr>
          <w:rFonts w:ascii="Arial" w:hAnsi="Arial" w:cs="Arial" w:eastAsia="仿宋_GB2312;仿宋"/>
          <w:bCs/>
          <w:color w:val="000000"/>
          <w:sz w:val="28"/>
          <w:szCs w:val="28"/>
        </w:rPr>
        <w:t>征收率的应税销售收入，减按</w:t>
      </w:r>
      <w:r>
        <w:rPr>
          <w:rFonts w:eastAsia="仿宋_GB2312;仿宋" w:cs="Arial" w:ascii="Arial" w:hAnsi="Arial"/>
          <w:bCs/>
          <w:color w:val="000000"/>
          <w:sz w:val="28"/>
          <w:szCs w:val="28"/>
        </w:rPr>
        <w:t>1%</w:t>
      </w:r>
      <w:r>
        <w:rPr>
          <w:rFonts w:ascii="Arial" w:hAnsi="Arial" w:cs="Arial" w:eastAsia="仿宋_GB2312;仿宋"/>
          <w:bCs/>
          <w:color w:val="000000"/>
          <w:sz w:val="28"/>
          <w:szCs w:val="28"/>
        </w:rPr>
        <w:t>征收率征收增值税；适用</w:t>
      </w:r>
      <w:r>
        <w:rPr>
          <w:rFonts w:eastAsia="仿宋_GB2312;仿宋" w:cs="Arial" w:ascii="Arial" w:hAnsi="Arial"/>
          <w:bCs/>
          <w:color w:val="000000"/>
          <w:sz w:val="28"/>
          <w:szCs w:val="28"/>
        </w:rPr>
        <w:t>3%</w:t>
      </w:r>
      <w:r>
        <w:rPr>
          <w:rFonts w:ascii="Arial" w:hAnsi="Arial" w:cs="Arial" w:eastAsia="仿宋_GB2312;仿宋"/>
          <w:bCs/>
          <w:color w:val="000000"/>
          <w:sz w:val="28"/>
          <w:szCs w:val="28"/>
        </w:rPr>
        <w:t>预征率的预缴增值税项目，减按</w:t>
      </w:r>
      <w:r>
        <w:rPr>
          <w:rFonts w:eastAsia="仿宋_GB2312;仿宋" w:cs="Arial" w:ascii="Arial" w:hAnsi="Arial"/>
          <w:bCs/>
          <w:color w:val="000000"/>
          <w:sz w:val="28"/>
          <w:szCs w:val="28"/>
        </w:rPr>
        <w:t>1%</w:t>
      </w:r>
      <w:r>
        <w:rPr>
          <w:rFonts w:ascii="Arial" w:hAnsi="Arial" w:cs="Arial" w:eastAsia="仿宋_GB2312;仿宋"/>
          <w:bCs/>
          <w:color w:val="000000"/>
          <w:sz w:val="28"/>
          <w:szCs w:val="28"/>
        </w:rPr>
        <w:t>预征率预缴增值税。</w:t>
      </w:r>
    </w:p>
    <w:p>
      <w:pPr>
        <w:pStyle w:val="Normal"/>
        <w:overflowPunct w:val="false"/>
        <w:spacing w:lineRule="auto" w:line="360"/>
        <w:jc w:val="both"/>
        <w:textAlignment w:val="auto"/>
        <w:rPr>
          <w:rFonts w:ascii="Arial" w:hAnsi="Arial" w:eastAsia="仿宋_GB2312;仿宋" w:cs="Arial"/>
          <w:b/>
          <w:b/>
          <w:bCs/>
          <w:color w:val="000000"/>
          <w:sz w:val="28"/>
          <w:szCs w:val="28"/>
        </w:rPr>
      </w:pPr>
      <w:r>
        <w:rPr>
          <w:rFonts w:ascii="MS Gothic;ＭＳ ゴシック" w:hAnsi="MS Gothic;ＭＳ ゴシック" w:cs="MS Gothic;ＭＳ ゴシック" w:eastAsia="MS Gothic;ＭＳ ゴシック"/>
          <w:b/>
          <w:bCs/>
          <w:color w:val="000000"/>
          <w:sz w:val="28"/>
          <w:szCs w:val="28"/>
        </w:rPr>
        <w:t xml:space="preserve">◆  </w:t>
      </w:r>
      <w:r>
        <w:rPr>
          <w:rFonts w:ascii="Arial" w:hAnsi="Arial" w:cs="Arial" w:eastAsia="仿宋_GB2312;仿宋"/>
          <w:b/>
          <w:bCs/>
          <w:color w:val="000000"/>
          <w:sz w:val="28"/>
          <w:szCs w:val="28"/>
        </w:rPr>
        <w:t>金融政策：</w:t>
      </w:r>
    </w:p>
    <w:p>
      <w:pPr>
        <w:pStyle w:val="Normal"/>
        <w:widowControl/>
        <w:spacing w:lineRule="auto" w:line="360"/>
        <w:ind w:firstLine="560"/>
        <w:jc w:val="both"/>
        <w:rPr>
          <w:rFonts w:ascii="Arial" w:hAnsi="Arial" w:eastAsia="仿宋_GB2312;仿宋" w:cs="Arial"/>
          <w:bCs/>
          <w:color w:val="000000"/>
          <w:sz w:val="28"/>
          <w:szCs w:val="28"/>
        </w:rPr>
      </w:pPr>
      <w:r>
        <w:rPr>
          <w:rFonts w:eastAsia="仿宋_GB2312;仿宋" w:cs="Arial" w:ascii="Arial" w:hAnsi="Arial"/>
          <w:bCs/>
          <w:color w:val="000000"/>
          <w:sz w:val="28"/>
          <w:szCs w:val="28"/>
        </w:rPr>
        <w:t>2022</w:t>
      </w:r>
      <w:r>
        <w:rPr>
          <w:rFonts w:ascii="Arial" w:hAnsi="Arial" w:cs="Arial" w:eastAsia="仿宋_GB2312;仿宋"/>
          <w:bCs/>
          <w:color w:val="000000"/>
          <w:sz w:val="28"/>
          <w:szCs w:val="28"/>
        </w:rPr>
        <w:t>年</w:t>
      </w:r>
      <w:r>
        <w:rPr>
          <w:rFonts w:eastAsia="仿宋_GB2312;仿宋" w:cs="Arial" w:ascii="Arial" w:hAnsi="Arial"/>
          <w:bCs/>
          <w:color w:val="000000"/>
          <w:sz w:val="28"/>
          <w:szCs w:val="28"/>
        </w:rPr>
        <w:t>5</w:t>
      </w:r>
      <w:r>
        <w:rPr>
          <w:rFonts w:ascii="Arial" w:hAnsi="Arial" w:cs="Arial" w:eastAsia="仿宋_GB2312;仿宋"/>
          <w:bCs/>
          <w:color w:val="000000"/>
          <w:sz w:val="28"/>
          <w:szCs w:val="28"/>
        </w:rPr>
        <w:t>月，北京市发布《</w:t>
      </w:r>
      <w:r>
        <w:rPr>
          <w:rFonts w:eastAsia="仿宋_GB2312;仿宋" w:cs="Arial" w:ascii="Arial" w:hAnsi="Arial"/>
          <w:bCs/>
          <w:color w:val="000000"/>
          <w:sz w:val="28"/>
          <w:szCs w:val="28"/>
        </w:rPr>
        <w:t>2022</w:t>
      </w:r>
      <w:r>
        <w:rPr>
          <w:rFonts w:ascii="Arial" w:hAnsi="Arial" w:cs="Arial" w:eastAsia="仿宋_GB2312;仿宋"/>
          <w:bCs/>
          <w:color w:val="000000"/>
          <w:sz w:val="28"/>
          <w:szCs w:val="28"/>
        </w:rPr>
        <w:t>年度高精尖产业发展资金实施指南》（以下简称‘实施指南’），进一步加大普惠性产业资金支持力度。《实施指南》明确，</w:t>
      </w:r>
      <w:r>
        <w:rPr>
          <w:rFonts w:eastAsia="仿宋_GB2312;仿宋" w:cs="Arial" w:ascii="Arial" w:hAnsi="Arial"/>
          <w:bCs/>
          <w:color w:val="000000"/>
          <w:sz w:val="28"/>
          <w:szCs w:val="28"/>
        </w:rPr>
        <w:t>2022</w:t>
      </w:r>
      <w:r>
        <w:rPr>
          <w:rFonts w:ascii="Arial" w:hAnsi="Arial" w:cs="Arial" w:eastAsia="仿宋_GB2312;仿宋"/>
          <w:bCs/>
          <w:color w:val="000000"/>
          <w:sz w:val="28"/>
          <w:szCs w:val="28"/>
        </w:rPr>
        <w:t>年支持方向主要是高端智能绿色发展和高精尖产业平稳发展两方面，具体分为重点新材料首批次应用奖励、医药创新品种首试产奖励等</w:t>
      </w:r>
      <w:r>
        <w:rPr>
          <w:rFonts w:eastAsia="仿宋_GB2312;仿宋" w:cs="Arial" w:ascii="Arial" w:hAnsi="Arial"/>
          <w:bCs/>
          <w:color w:val="000000"/>
          <w:sz w:val="28"/>
          <w:szCs w:val="28"/>
        </w:rPr>
        <w:t>12</w:t>
      </w:r>
      <w:r>
        <w:rPr>
          <w:rFonts w:ascii="Arial" w:hAnsi="Arial" w:cs="Arial" w:eastAsia="仿宋_GB2312;仿宋"/>
          <w:bCs/>
          <w:color w:val="000000"/>
          <w:sz w:val="28"/>
          <w:szCs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pPr>
        <w:pStyle w:val="Normal"/>
        <w:widowControl/>
        <w:spacing w:lineRule="auto" w:line="360"/>
        <w:ind w:firstLine="560"/>
        <w:jc w:val="both"/>
        <w:rPr>
          <w:rFonts w:ascii="Arial" w:hAnsi="Arial" w:eastAsia="仿宋_GB2312;仿宋" w:cs="Arial"/>
          <w:bCs/>
          <w:sz w:val="28"/>
          <w:szCs w:val="28"/>
        </w:rPr>
      </w:pPr>
      <w:r>
        <w:rPr>
          <w:rFonts w:eastAsia="仿宋_GB2312;仿宋" w:cs="Arial" w:ascii="Arial" w:hAnsi="Arial"/>
          <w:bCs/>
          <w:sz w:val="28"/>
          <w:szCs w:val="28"/>
        </w:rPr>
        <w:t>4.</w:t>
      </w:r>
      <w:r>
        <w:rPr>
          <w:rFonts w:ascii="Arial" w:hAnsi="Arial" w:cs="Arial" w:eastAsia="仿宋_GB2312;仿宋"/>
          <w:bCs/>
          <w:sz w:val="28"/>
          <w:szCs w:val="28"/>
        </w:rPr>
        <w:t>城市规划与发展目标</w:t>
      </w:r>
    </w:p>
    <w:p>
      <w:pPr>
        <w:pStyle w:val="Normal"/>
        <w:spacing w:lineRule="auto" w:line="360"/>
        <w:ind w:firstLine="560"/>
        <w:jc w:val="both"/>
        <w:rPr>
          <w:rFonts w:ascii="Arial" w:hAnsi="Arial" w:eastAsia="仿宋_GB2312;仿宋" w:cs="Arial"/>
          <w:bCs/>
          <w:sz w:val="28"/>
          <w:szCs w:val="28"/>
        </w:rPr>
      </w:pPr>
      <w:r>
        <w:rPr>
          <w:rFonts w:ascii="Arial" w:hAnsi="Arial" w:cs="Arial" w:eastAsia="仿宋_GB2312;仿宋"/>
          <w:bCs/>
          <w:sz w:val="28"/>
          <w:szCs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pStyle w:val="Normal"/>
        <w:spacing w:lineRule="auto" w:line="360"/>
        <w:ind w:firstLine="560"/>
        <w:jc w:val="both"/>
        <w:rPr>
          <w:rFonts w:ascii="Arial" w:hAnsi="Arial" w:eastAsia="仿宋_GB2312;仿宋" w:cs="Arial"/>
          <w:bCs/>
          <w:sz w:val="28"/>
          <w:szCs w:val="28"/>
        </w:rPr>
      </w:pPr>
      <w:r>
        <w:rPr>
          <w:rFonts w:ascii="Arial" w:hAnsi="Arial" w:cs="Arial" w:eastAsia="仿宋_GB2312;仿宋"/>
          <w:bCs/>
          <w:sz w:val="28"/>
          <w:szCs w:val="28"/>
        </w:rPr>
        <w:t>《纲要》提出，“十四五”时期要坚决落实创新在现代化建设全局中的核心地位。加快建设“三城一区”主平台和中关村示范区主阵地：</w:t>
      </w:r>
      <w:r>
        <w:rPr>
          <w:rFonts w:eastAsia="仿宋_GB2312;仿宋" w:cs="Arial" w:ascii="Arial" w:hAnsi="Arial"/>
          <w:bCs/>
          <w:sz w:val="28"/>
          <w:szCs w:val="28"/>
        </w:rPr>
        <w:t>1.</w:t>
      </w:r>
      <w:r>
        <w:rPr>
          <w:rFonts w:ascii="Arial" w:hAnsi="Arial" w:cs="Arial" w:eastAsia="仿宋_GB2312;仿宋"/>
          <w:bCs/>
          <w:sz w:val="28"/>
          <w:szCs w:val="28"/>
        </w:rPr>
        <w:t>聚焦中关村科学城，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eastAsia="仿宋_GB2312;仿宋" w:cs="Arial" w:ascii="Arial" w:hAnsi="Arial"/>
          <w:bCs/>
          <w:sz w:val="28"/>
          <w:szCs w:val="28"/>
        </w:rPr>
        <w:t>2.</w:t>
      </w:r>
      <w:r>
        <w:rPr>
          <w:rFonts w:ascii="Arial" w:hAnsi="Arial" w:cs="Arial" w:eastAsia="仿宋_GB2312;仿宋"/>
          <w:bCs/>
          <w:sz w:val="28"/>
          <w:szCs w:val="28"/>
        </w:rPr>
        <w:t>突破怀柔科学城</w:t>
      </w:r>
      <w:r>
        <w:rPr>
          <w:rFonts w:ascii="Arial" w:hAnsi="Arial" w:cs="Arial" w:eastAsia="仿宋_GB2312;仿宋"/>
          <w:bCs/>
          <w:sz w:val="28"/>
          <w:szCs w:val="28"/>
        </w:rPr>
        <w:t>，</w:t>
      </w:r>
      <w:r>
        <w:rPr>
          <w:rFonts w:ascii="Arial" w:hAnsi="Arial" w:cs="Arial" w:eastAsia="仿宋_GB2312;仿宋"/>
          <w:bCs/>
          <w:sz w:val="28"/>
          <w:szCs w:val="28"/>
        </w:rPr>
        <w:t>以支撑北京怀柔综合性国家科学中心建设为核心，体系化布局一批设施平台、创新主体。突出科学功能适度集聚与城市发展集约高效的有机融合。聚焦“一心一核”，实施城市客厅等一批城市框架起步区品质提升工程。完善“三片”功能布局。推进怀柔南站交通接驳工程</w:t>
      </w:r>
      <w:r>
        <w:rPr>
          <w:rFonts w:ascii="Arial" w:hAnsi="Arial" w:cs="Arial" w:eastAsia="仿宋_GB2312;仿宋"/>
          <w:bCs/>
          <w:sz w:val="28"/>
          <w:szCs w:val="28"/>
        </w:rPr>
        <w:t>，</w:t>
      </w:r>
      <w:r>
        <w:rPr>
          <w:rFonts w:ascii="Arial" w:hAnsi="Arial" w:cs="Arial" w:eastAsia="仿宋_GB2312;仿宋"/>
          <w:bCs/>
          <w:sz w:val="28"/>
          <w:szCs w:val="28"/>
        </w:rPr>
        <w:t>布局雁栖小镇等重大项目，推进雁栖国际人才社区建设，完善多类型分层次住房保障体系。</w:t>
      </w:r>
      <w:r>
        <w:rPr>
          <w:rFonts w:eastAsia="仿宋_GB2312;仿宋" w:cs="Arial" w:ascii="Arial" w:hAnsi="Arial"/>
          <w:bCs/>
          <w:sz w:val="28"/>
          <w:szCs w:val="28"/>
        </w:rPr>
        <w:t>3.</w:t>
      </w:r>
      <w:r>
        <w:rPr>
          <w:rFonts w:eastAsia="仿宋_GB2312;仿宋" w:cs="Arial" w:ascii="Arial" w:hAnsi="Arial"/>
          <w:bCs/>
          <w:sz w:val="28"/>
          <w:szCs w:val="28"/>
        </w:rPr>
        <w:t xml:space="preserve"> </w:t>
      </w:r>
      <w:r>
        <w:rPr>
          <w:rFonts w:ascii="Arial" w:hAnsi="Arial" w:cs="Arial" w:eastAsia="仿宋_GB2312;仿宋"/>
          <w:bCs/>
          <w:sz w:val="28"/>
          <w:szCs w:val="28"/>
        </w:rPr>
        <w:t>搞活未来科学城</w:t>
      </w:r>
      <w:r>
        <w:rPr>
          <w:rFonts w:ascii="Arial" w:hAnsi="Arial" w:cs="Arial" w:eastAsia="仿宋_GB2312;仿宋"/>
          <w:bCs/>
          <w:sz w:val="28"/>
          <w:szCs w:val="28"/>
        </w:rPr>
        <w:t>，</w:t>
      </w:r>
      <w:r>
        <w:rPr>
          <w:rFonts w:ascii="Arial" w:hAnsi="Arial" w:cs="Arial" w:eastAsia="仿宋_GB2312;仿宋"/>
          <w:bCs/>
          <w:sz w:val="28"/>
          <w:szCs w:val="28"/>
        </w:rPr>
        <w:t>依托“两谷一园”，积极营造“龙头企业</w:t>
      </w:r>
      <w:r>
        <w:rPr>
          <w:rFonts w:eastAsia="仿宋_GB2312;仿宋" w:cs="Arial" w:ascii="Arial" w:hAnsi="Arial"/>
          <w:bCs/>
          <w:sz w:val="28"/>
          <w:szCs w:val="28"/>
        </w:rPr>
        <w:t>+</w:t>
      </w:r>
      <w:r>
        <w:rPr>
          <w:rFonts w:ascii="Arial" w:hAnsi="Arial" w:cs="Arial" w:eastAsia="仿宋_GB2312;仿宋"/>
          <w:bCs/>
          <w:sz w:val="28"/>
          <w:szCs w:val="28"/>
        </w:rPr>
        <w:t>中小创新企业</w:t>
      </w:r>
      <w:r>
        <w:rPr>
          <w:rFonts w:ascii="Arial" w:hAnsi="Arial" w:cs="Arial" w:eastAsia="Arial"/>
          <w:bCs/>
          <w:sz w:val="28"/>
          <w:szCs w:val="28"/>
        </w:rPr>
        <w:t xml:space="preserve"> </w:t>
      </w:r>
      <w:r>
        <w:rPr>
          <w:rFonts w:eastAsia="仿宋_GB2312;仿宋" w:cs="Arial" w:ascii="Arial" w:hAnsi="Arial"/>
          <w:bCs/>
          <w:sz w:val="28"/>
          <w:szCs w:val="28"/>
        </w:rPr>
        <w:t>+</w:t>
      </w:r>
      <w:r>
        <w:rPr>
          <w:rFonts w:ascii="Arial" w:hAnsi="Arial" w:cs="Arial" w:eastAsia="仿宋_GB2312;仿宋"/>
          <w:bCs/>
          <w:sz w:val="28"/>
          <w:szCs w:val="28"/>
        </w:rPr>
        <w:t>公共服务平台</w:t>
      </w:r>
      <w:r>
        <w:rPr>
          <w:rFonts w:eastAsia="仿宋_GB2312;仿宋" w:cs="Arial" w:ascii="Arial" w:hAnsi="Arial"/>
          <w:bCs/>
          <w:sz w:val="28"/>
          <w:szCs w:val="28"/>
        </w:rPr>
        <w:t>+</w:t>
      </w:r>
      <w:r>
        <w:rPr>
          <w:rFonts w:ascii="Arial" w:hAnsi="Arial" w:cs="Arial" w:eastAsia="仿宋_GB2312;仿宋"/>
          <w:bCs/>
          <w:sz w:val="28"/>
          <w:szCs w:val="28"/>
        </w:rPr>
        <w:t>高校”的创新生态。加快“能源谷”建设，“一企一策”盘活央企存量资源，加速形成更具活力的创新空间。提</w:t>
      </w:r>
      <w:r>
        <w:rPr>
          <w:rFonts w:ascii="Arial" w:hAnsi="Arial" w:cs="Arial" w:eastAsia="Arial"/>
          <w:bCs/>
          <w:sz w:val="28"/>
          <w:szCs w:val="28"/>
        </w:rPr>
        <w:t xml:space="preserve"> </w:t>
      </w:r>
      <w:r>
        <w:rPr>
          <w:rFonts w:ascii="Arial" w:hAnsi="Arial" w:cs="Arial" w:eastAsia="仿宋_GB2312;仿宋"/>
          <w:bCs/>
          <w:sz w:val="28"/>
          <w:szCs w:val="28"/>
        </w:rPr>
        <w:t>升“生命谷”创新能级，推进生命园三期建设，进一步拓展居住、产业和商业配套空间。</w:t>
      </w:r>
    </w:p>
    <w:p>
      <w:pPr>
        <w:pStyle w:val="Normal"/>
        <w:spacing w:lineRule="auto" w:line="360"/>
        <w:ind w:firstLine="560"/>
        <w:jc w:val="both"/>
        <w:rPr>
          <w:rFonts w:ascii="Arial" w:hAnsi="Arial" w:eastAsia="仿宋_GB2312;仿宋" w:cs="Arial"/>
          <w:bCs/>
          <w:sz w:val="28"/>
          <w:szCs w:val="28"/>
        </w:rPr>
      </w:pPr>
      <w:r>
        <w:rPr>
          <w:rFonts w:ascii="Arial" w:hAnsi="Arial" w:cs="Arial" w:eastAsia="仿宋_GB2312;仿宋"/>
          <w:bCs/>
          <w:sz w:val="28"/>
          <w:szCs w:val="28"/>
        </w:rPr>
        <w:t>纵深推动京津冀协同发展，推动形成更加紧密协同发展格局，</w:t>
      </w:r>
      <w:r>
        <w:rPr>
          <w:rFonts w:ascii="Arial" w:hAnsi="Arial" w:cs="Arial" w:eastAsia="仿宋_GB2312;仿宋"/>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pPr>
        <w:pStyle w:val="Normal"/>
        <w:spacing w:lineRule="auto" w:line="360"/>
        <w:ind w:firstLine="560"/>
        <w:jc w:val="both"/>
        <w:rPr>
          <w:rFonts w:ascii="Arial" w:hAnsi="Arial" w:eastAsia="仿宋_GB2312;仿宋" w:cs="Arial"/>
          <w:bCs/>
          <w:sz w:val="28"/>
          <w:szCs w:val="28"/>
        </w:rPr>
      </w:pPr>
      <w:r>
        <w:rPr>
          <w:rFonts w:ascii="Arial" w:hAnsi="Arial" w:cs="Arial" w:eastAsia="仿宋_GB2312;仿宋"/>
          <w:bCs/>
          <w:sz w:val="28"/>
          <w:szCs w:val="28"/>
        </w:rPr>
        <w:t>构建特色与活力兼备的现代化经济体系，探索构建新发展格局的有效路径，激发“两区”新活力，全方位打造“产业</w:t>
      </w:r>
      <w:r>
        <w:rPr>
          <w:rFonts w:eastAsia="仿宋_GB2312;仿宋" w:cs="Arial" w:ascii="Arial" w:hAnsi="Arial"/>
          <w:bCs/>
          <w:sz w:val="28"/>
          <w:szCs w:val="28"/>
        </w:rPr>
        <w:t>+</w:t>
      </w:r>
      <w:r>
        <w:rPr>
          <w:rFonts w:ascii="Arial" w:hAnsi="Arial" w:cs="Arial" w:eastAsia="仿宋_GB2312;仿宋"/>
          <w:bCs/>
          <w:sz w:val="28"/>
          <w:szCs w:val="28"/>
        </w:rPr>
        <w:t>园区”协同开放，优化产业空间布局；</w:t>
      </w:r>
      <w:r>
        <w:rPr>
          <w:rFonts w:ascii="Arial" w:hAnsi="Arial" w:cs="Arial" w:eastAsia="仿宋_GB2312;仿宋"/>
          <w:bCs/>
          <w:sz w:val="28"/>
          <w:szCs w:val="28"/>
        </w:rPr>
        <w:t>全力建设好国家服务业扩大开放综合示范区和中国</w:t>
      </w:r>
      <w:r>
        <w:rPr>
          <w:rFonts w:eastAsia="仿宋_GB2312;仿宋" w:cs="Arial" w:ascii="Arial" w:hAnsi="Arial"/>
          <w:bCs/>
          <w:sz w:val="28"/>
          <w:szCs w:val="28"/>
        </w:rPr>
        <w:t>(</w:t>
      </w:r>
      <w:r>
        <w:rPr>
          <w:rFonts w:ascii="Arial" w:hAnsi="Arial" w:cs="Arial" w:eastAsia="仿宋_GB2312;仿宋"/>
          <w:bCs/>
          <w:sz w:val="28"/>
          <w:szCs w:val="28"/>
        </w:rPr>
        <w:t>北京</w:t>
      </w:r>
      <w:r>
        <w:rPr>
          <w:rFonts w:eastAsia="仿宋_GB2312;仿宋" w:cs="Arial" w:ascii="Arial" w:hAnsi="Arial"/>
          <w:bCs/>
          <w:sz w:val="28"/>
          <w:szCs w:val="28"/>
        </w:rPr>
        <w:t>)</w:t>
      </w:r>
      <w:r>
        <w:rPr>
          <w:rFonts w:ascii="Arial" w:hAnsi="Arial" w:cs="Arial" w:eastAsia="仿宋_GB2312;仿宋"/>
          <w:bCs/>
          <w:sz w:val="28"/>
          <w:szCs w:val="28"/>
        </w:rPr>
        <w:t>自由贸易试验区</w:t>
      </w:r>
      <w:r>
        <w:rPr>
          <w:rFonts w:ascii="Arial" w:hAnsi="Arial" w:cs="Arial" w:eastAsia="仿宋_GB2312;仿宋"/>
          <w:bCs/>
          <w:sz w:val="28"/>
          <w:szCs w:val="28"/>
        </w:rPr>
        <w:t>。</w:t>
      </w:r>
      <w:r>
        <w:rPr>
          <w:rFonts w:ascii="Arial" w:hAnsi="Arial" w:cs="Arial" w:eastAsia="仿宋_GB2312;仿宋"/>
          <w:bCs/>
          <w:sz w:val="28"/>
          <w:szCs w:val="28"/>
        </w:rPr>
        <w:t>国家服务业扩大开放综合示范区</w:t>
      </w:r>
      <w:r>
        <w:rPr>
          <w:rFonts w:ascii="Arial" w:hAnsi="Arial" w:cs="Arial" w:eastAsia="Arial"/>
          <w:bCs/>
          <w:sz w:val="28"/>
          <w:szCs w:val="28"/>
        </w:rPr>
        <w:t xml:space="preserve"> </w:t>
      </w:r>
      <w:r>
        <w:rPr>
          <w:rFonts w:ascii="Arial" w:hAnsi="Arial" w:cs="Arial" w:eastAsia="仿宋_GB2312;仿宋"/>
          <w:bCs/>
          <w:sz w:val="28"/>
          <w:szCs w:val="28"/>
        </w:rPr>
        <w:t>突出金融街、丽泽金融商务区、通州文旅区、</w:t>
      </w:r>
      <w:r>
        <w:rPr>
          <w:rFonts w:eastAsia="仿宋_GB2312;仿宋" w:cs="Arial" w:ascii="Arial" w:hAnsi="Arial"/>
          <w:bCs/>
          <w:sz w:val="28"/>
          <w:szCs w:val="28"/>
        </w:rPr>
        <w:t xml:space="preserve">CBD </w:t>
      </w:r>
      <w:r>
        <w:rPr>
          <w:rFonts w:ascii="Arial" w:hAnsi="Arial" w:cs="Arial" w:eastAsia="仿宋_GB2312;仿宋"/>
          <w:bCs/>
          <w:sz w:val="28"/>
          <w:szCs w:val="28"/>
        </w:rPr>
        <w:t>等重点园</w:t>
      </w:r>
      <w:r>
        <w:rPr>
          <w:rFonts w:ascii="Arial" w:hAnsi="Arial" w:cs="Arial" w:eastAsia="Arial"/>
          <w:bCs/>
          <w:sz w:val="28"/>
          <w:szCs w:val="28"/>
        </w:rPr>
        <w:t xml:space="preserve"> </w:t>
      </w:r>
      <w:r>
        <w:rPr>
          <w:rFonts w:ascii="Arial" w:hAnsi="Arial" w:cs="Arial" w:eastAsia="仿宋_GB2312;仿宋"/>
          <w:bCs/>
          <w:sz w:val="28"/>
          <w:szCs w:val="28"/>
        </w:rPr>
        <w:t>区建设，与自贸区三个片区衔接联动。</w:t>
      </w:r>
    </w:p>
    <w:p>
      <w:pPr>
        <w:pStyle w:val="Normal"/>
        <w:widowControl/>
        <w:spacing w:lineRule="auto" w:line="360"/>
        <w:ind w:firstLine="560"/>
        <w:jc w:val="both"/>
        <w:rPr>
          <w:rFonts w:ascii="Arial" w:hAnsi="Arial" w:eastAsia="仿宋_GB2312;仿宋" w:cs="Arial"/>
          <w:bCs/>
          <w:sz w:val="28"/>
          <w:szCs w:val="28"/>
        </w:rPr>
      </w:pPr>
      <w:r>
        <w:rPr>
          <w:rFonts w:eastAsia="仿宋_GB2312;仿宋" w:cs="Arial" w:ascii="Arial" w:hAnsi="Arial"/>
          <w:bCs/>
          <w:sz w:val="28"/>
          <w:szCs w:val="28"/>
        </w:rPr>
        <w:t>5.</w:t>
      </w:r>
      <w:r>
        <w:rPr>
          <w:rFonts w:ascii="Arial" w:hAnsi="Arial" w:cs="Arial" w:eastAsia="仿宋_GB2312;仿宋"/>
          <w:bCs/>
          <w:sz w:val="28"/>
          <w:szCs w:val="28"/>
        </w:rPr>
        <w:t>城市经济发展运行状况</w:t>
      </w:r>
    </w:p>
    <w:p>
      <w:pPr>
        <w:pStyle w:val="Normal"/>
        <w:spacing w:lineRule="auto" w:line="360"/>
        <w:ind w:right="205" w:firstLine="560"/>
        <w:jc w:val="both"/>
        <w:rPr>
          <w:rFonts w:ascii="Arial" w:hAnsi="Arial" w:eastAsia="仿宋_GB2312;仿宋" w:cs="Arial"/>
          <w:bCs/>
          <w:sz w:val="28"/>
          <w:szCs w:val="28"/>
        </w:rPr>
      </w:pPr>
      <w:r>
        <w:rPr>
          <w:rFonts w:ascii="Arial" w:hAnsi="Arial" w:cs="Arial" w:eastAsia="仿宋_GB2312;仿宋"/>
          <w:bCs/>
          <w:sz w:val="28"/>
          <w:szCs w:val="28"/>
        </w:rPr>
        <w:t>根据北京市统计局地区生产总值统一核算结果，</w:t>
      </w:r>
      <w:r>
        <w:rPr>
          <w:rFonts w:eastAsia="仿宋_GB2312;仿宋" w:cs="Arial" w:ascii="Arial" w:hAnsi="Arial"/>
          <w:bCs/>
          <w:sz w:val="28"/>
          <w:szCs w:val="28"/>
        </w:rPr>
        <w:t>2023</w:t>
      </w:r>
      <w:r>
        <w:rPr>
          <w:rFonts w:ascii="Arial" w:hAnsi="Arial" w:cs="Arial" w:eastAsia="仿宋_GB2312;仿宋"/>
          <w:bCs/>
          <w:sz w:val="28"/>
          <w:szCs w:val="28"/>
        </w:rPr>
        <w:t>年全年，北京市实现地区生产总值</w:t>
      </w:r>
      <w:r>
        <w:rPr>
          <w:rFonts w:eastAsia="仿宋_GB2312;仿宋" w:cs="Arial" w:ascii="Arial" w:hAnsi="Arial"/>
          <w:bCs/>
          <w:sz w:val="28"/>
          <w:szCs w:val="28"/>
        </w:rPr>
        <w:t>43760.7</w:t>
      </w:r>
      <w:r>
        <w:rPr>
          <w:rFonts w:ascii="Arial" w:hAnsi="Arial" w:cs="Arial" w:eastAsia="仿宋_GB2312;仿宋"/>
          <w:bCs/>
          <w:sz w:val="28"/>
          <w:szCs w:val="28"/>
        </w:rPr>
        <w:t>亿元，按不变价格计算，比上年增长</w:t>
      </w:r>
      <w:r>
        <w:rPr>
          <w:rFonts w:eastAsia="仿宋_GB2312;仿宋" w:cs="Arial" w:ascii="Arial" w:hAnsi="Arial"/>
          <w:bCs/>
          <w:sz w:val="28"/>
          <w:szCs w:val="28"/>
        </w:rPr>
        <w:t>5.2%</w:t>
      </w:r>
      <w:r>
        <w:rPr>
          <w:rFonts w:ascii="Arial" w:hAnsi="Arial" w:cs="Arial" w:eastAsia="仿宋_GB2312;仿宋"/>
          <w:bCs/>
          <w:sz w:val="28"/>
          <w:szCs w:val="28"/>
        </w:rPr>
        <w:t>。分产业看，第一产业实现增加值</w:t>
      </w:r>
      <w:r>
        <w:rPr>
          <w:rFonts w:eastAsia="仿宋_GB2312;仿宋" w:cs="Arial" w:ascii="Arial" w:hAnsi="Arial"/>
          <w:bCs/>
          <w:sz w:val="28"/>
          <w:szCs w:val="28"/>
        </w:rPr>
        <w:t>105.5</w:t>
      </w:r>
      <w:r>
        <w:rPr>
          <w:rFonts w:ascii="Arial" w:hAnsi="Arial" w:cs="Arial" w:eastAsia="仿宋_GB2312;仿宋"/>
          <w:bCs/>
          <w:sz w:val="28"/>
          <w:szCs w:val="28"/>
        </w:rPr>
        <w:t>亿元，下降</w:t>
      </w:r>
      <w:r>
        <w:rPr>
          <w:rFonts w:eastAsia="仿宋_GB2312;仿宋" w:cs="Arial" w:ascii="Arial" w:hAnsi="Arial"/>
          <w:bCs/>
          <w:sz w:val="28"/>
          <w:szCs w:val="28"/>
        </w:rPr>
        <w:t>4.6%</w:t>
      </w:r>
      <w:r>
        <w:rPr>
          <w:rFonts w:ascii="Arial" w:hAnsi="Arial" w:cs="Arial" w:eastAsia="仿宋_GB2312;仿宋"/>
          <w:bCs/>
          <w:sz w:val="28"/>
          <w:szCs w:val="28"/>
        </w:rPr>
        <w:t>；第二产业实现增加值</w:t>
      </w:r>
      <w:r>
        <w:rPr>
          <w:rFonts w:eastAsia="仿宋_GB2312;仿宋" w:cs="Arial" w:ascii="Arial" w:hAnsi="Arial"/>
          <w:bCs/>
          <w:sz w:val="28"/>
          <w:szCs w:val="28"/>
        </w:rPr>
        <w:t>6525.6</w:t>
      </w:r>
      <w:r>
        <w:rPr>
          <w:rFonts w:ascii="Arial" w:hAnsi="Arial" w:cs="Arial" w:eastAsia="仿宋_GB2312;仿宋"/>
          <w:bCs/>
          <w:sz w:val="28"/>
          <w:szCs w:val="28"/>
        </w:rPr>
        <w:t>亿元，增长</w:t>
      </w:r>
      <w:r>
        <w:rPr>
          <w:rFonts w:eastAsia="仿宋_GB2312;仿宋" w:cs="Arial" w:ascii="Arial" w:hAnsi="Arial"/>
          <w:bCs/>
          <w:sz w:val="28"/>
          <w:szCs w:val="28"/>
        </w:rPr>
        <w:t>0.4%</w:t>
      </w:r>
      <w:r>
        <w:rPr>
          <w:rFonts w:ascii="Arial" w:hAnsi="Arial" w:cs="Arial" w:eastAsia="仿宋_GB2312;仿宋"/>
          <w:bCs/>
          <w:sz w:val="28"/>
          <w:szCs w:val="28"/>
        </w:rPr>
        <w:t>；第三产业实现增加值</w:t>
      </w:r>
      <w:r>
        <w:rPr>
          <w:rFonts w:eastAsia="仿宋_GB2312;仿宋" w:cs="Arial" w:ascii="Arial" w:hAnsi="Arial"/>
          <w:bCs/>
          <w:sz w:val="28"/>
          <w:szCs w:val="28"/>
        </w:rPr>
        <w:t>37129.6</w:t>
      </w:r>
      <w:r>
        <w:rPr>
          <w:rFonts w:ascii="Arial" w:hAnsi="Arial" w:cs="Arial" w:eastAsia="仿宋_GB2312;仿宋"/>
          <w:bCs/>
          <w:sz w:val="28"/>
          <w:szCs w:val="28"/>
        </w:rPr>
        <w:t>亿元，增长</w:t>
      </w:r>
      <w:r>
        <w:rPr>
          <w:rFonts w:eastAsia="仿宋_GB2312;仿宋" w:cs="Arial" w:ascii="Arial" w:hAnsi="Arial"/>
          <w:bCs/>
          <w:sz w:val="28"/>
          <w:szCs w:val="28"/>
        </w:rPr>
        <w:t>6.1%</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ascii="Arial" w:hAnsi="Arial" w:cs="Arial" w:eastAsia="仿宋_GB2312;仿宋"/>
          <w:bCs/>
          <w:sz w:val="28"/>
          <w:szCs w:val="28"/>
        </w:rPr>
        <w:t>（</w:t>
      </w:r>
      <w:r>
        <w:rPr>
          <w:rFonts w:eastAsia="仿宋_GB2312;仿宋" w:cs="Arial" w:ascii="Arial" w:hAnsi="Arial"/>
          <w:bCs/>
          <w:sz w:val="28"/>
          <w:szCs w:val="28"/>
        </w:rPr>
        <w:t>1</w:t>
      </w:r>
      <w:r>
        <w:rPr>
          <w:rFonts w:ascii="Arial" w:hAnsi="Arial" w:cs="Arial" w:eastAsia="仿宋_GB2312;仿宋"/>
          <w:bCs/>
          <w:sz w:val="28"/>
          <w:szCs w:val="28"/>
        </w:rPr>
        <w:t>）粮食、蔬菜生产保持稳定，休闲农业和乡村旅游持续复苏</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年，全市实现农林牧渔业总产值</w:t>
      </w:r>
      <w:r>
        <w:rPr>
          <w:rFonts w:eastAsia="仿宋_GB2312;仿宋" w:cs="Arial" w:ascii="Arial" w:hAnsi="Arial"/>
          <w:bCs/>
          <w:sz w:val="28"/>
          <w:szCs w:val="28"/>
        </w:rPr>
        <w:t>252.5</w:t>
      </w:r>
      <w:r>
        <w:rPr>
          <w:rFonts w:ascii="Arial" w:hAnsi="Arial" w:cs="Arial" w:eastAsia="仿宋_GB2312;仿宋"/>
          <w:bCs/>
          <w:sz w:val="28"/>
          <w:szCs w:val="28"/>
        </w:rPr>
        <w:t>亿元，按可比价格计算，比上年下降</w:t>
      </w:r>
      <w:r>
        <w:rPr>
          <w:rFonts w:eastAsia="仿宋_GB2312;仿宋" w:cs="Arial" w:ascii="Arial" w:hAnsi="Arial"/>
          <w:bCs/>
          <w:sz w:val="28"/>
          <w:szCs w:val="28"/>
        </w:rPr>
        <w:t>4.6%</w:t>
      </w:r>
      <w:r>
        <w:rPr>
          <w:rFonts w:ascii="Arial" w:hAnsi="Arial" w:cs="Arial" w:eastAsia="仿宋_GB2312;仿宋"/>
          <w:bCs/>
          <w:sz w:val="28"/>
          <w:szCs w:val="28"/>
        </w:rPr>
        <w:t>。其中，实现农业（种植业）产值</w:t>
      </w:r>
      <w:r>
        <w:rPr>
          <w:rFonts w:eastAsia="仿宋_GB2312;仿宋" w:cs="Arial" w:ascii="Arial" w:hAnsi="Arial"/>
          <w:bCs/>
          <w:sz w:val="28"/>
          <w:szCs w:val="28"/>
        </w:rPr>
        <w:t>135.6</w:t>
      </w:r>
      <w:r>
        <w:rPr>
          <w:rFonts w:ascii="Arial" w:hAnsi="Arial" w:cs="Arial" w:eastAsia="仿宋_GB2312;仿宋"/>
          <w:bCs/>
          <w:sz w:val="28"/>
          <w:szCs w:val="28"/>
        </w:rPr>
        <w:t>亿元，增长</w:t>
      </w:r>
      <w:r>
        <w:rPr>
          <w:rFonts w:eastAsia="仿宋_GB2312;仿宋" w:cs="Arial" w:ascii="Arial" w:hAnsi="Arial"/>
          <w:bCs/>
          <w:sz w:val="28"/>
          <w:szCs w:val="28"/>
        </w:rPr>
        <w:t>5.1%</w:t>
      </w:r>
      <w:r>
        <w:rPr>
          <w:rFonts w:ascii="Arial" w:hAnsi="Arial" w:cs="Arial" w:eastAsia="仿宋_GB2312;仿宋"/>
          <w:bCs/>
          <w:sz w:val="28"/>
          <w:szCs w:val="28"/>
        </w:rPr>
        <w:t>，粮食播种面积</w:t>
      </w:r>
      <w:r>
        <w:rPr>
          <w:rFonts w:eastAsia="仿宋_GB2312;仿宋" w:cs="Arial" w:ascii="Arial" w:hAnsi="Arial"/>
          <w:bCs/>
          <w:sz w:val="28"/>
          <w:szCs w:val="28"/>
        </w:rPr>
        <w:t>134.2</w:t>
      </w:r>
      <w:r>
        <w:rPr>
          <w:rFonts w:ascii="Arial" w:hAnsi="Arial" w:cs="Arial" w:eastAsia="仿宋_GB2312;仿宋"/>
          <w:bCs/>
          <w:sz w:val="28"/>
          <w:szCs w:val="28"/>
        </w:rPr>
        <w:t>万亩、产量</w:t>
      </w:r>
      <w:r>
        <w:rPr>
          <w:rFonts w:eastAsia="仿宋_GB2312;仿宋" w:cs="Arial" w:ascii="Arial" w:hAnsi="Arial"/>
          <w:bCs/>
          <w:sz w:val="28"/>
          <w:szCs w:val="28"/>
        </w:rPr>
        <w:t>47.8</w:t>
      </w:r>
      <w:r>
        <w:rPr>
          <w:rFonts w:ascii="Arial" w:hAnsi="Arial" w:cs="Arial" w:eastAsia="仿宋_GB2312;仿宋"/>
          <w:bCs/>
          <w:sz w:val="28"/>
          <w:szCs w:val="28"/>
        </w:rPr>
        <w:t>万吨，分别增长</w:t>
      </w:r>
      <w:r>
        <w:rPr>
          <w:rFonts w:eastAsia="仿宋_GB2312;仿宋" w:cs="Arial" w:ascii="Arial" w:hAnsi="Arial"/>
          <w:bCs/>
          <w:sz w:val="28"/>
          <w:szCs w:val="28"/>
        </w:rPr>
        <w:t>16.6%</w:t>
      </w:r>
      <w:r>
        <w:rPr>
          <w:rFonts w:ascii="Arial" w:hAnsi="Arial" w:cs="Arial" w:eastAsia="仿宋_GB2312;仿宋"/>
          <w:bCs/>
          <w:sz w:val="28"/>
          <w:szCs w:val="28"/>
        </w:rPr>
        <w:t>和</w:t>
      </w:r>
      <w:r>
        <w:rPr>
          <w:rFonts w:eastAsia="仿宋_GB2312;仿宋" w:cs="Arial" w:ascii="Arial" w:hAnsi="Arial"/>
          <w:bCs/>
          <w:sz w:val="28"/>
          <w:szCs w:val="28"/>
        </w:rPr>
        <w:t>5.3%</w:t>
      </w:r>
      <w:r>
        <w:rPr>
          <w:rFonts w:ascii="Arial" w:hAnsi="Arial" w:cs="Arial" w:eastAsia="仿宋_GB2312;仿宋"/>
          <w:bCs/>
          <w:sz w:val="28"/>
          <w:szCs w:val="28"/>
        </w:rPr>
        <w:t>；蔬菜及食用菌播种面积</w:t>
      </w:r>
      <w:r>
        <w:rPr>
          <w:rFonts w:eastAsia="仿宋_GB2312;仿宋" w:cs="Arial" w:ascii="Arial" w:hAnsi="Arial"/>
          <w:bCs/>
          <w:sz w:val="28"/>
          <w:szCs w:val="28"/>
        </w:rPr>
        <w:t>79.5</w:t>
      </w:r>
      <w:r>
        <w:rPr>
          <w:rFonts w:ascii="Arial" w:hAnsi="Arial" w:cs="Arial" w:eastAsia="仿宋_GB2312;仿宋"/>
          <w:bCs/>
          <w:sz w:val="28"/>
          <w:szCs w:val="28"/>
        </w:rPr>
        <w:t>万亩，与上年基本持平，产量</w:t>
      </w:r>
      <w:r>
        <w:rPr>
          <w:rFonts w:eastAsia="仿宋_GB2312;仿宋" w:cs="Arial" w:ascii="Arial" w:hAnsi="Arial"/>
          <w:bCs/>
          <w:sz w:val="28"/>
          <w:szCs w:val="28"/>
        </w:rPr>
        <w:t>207.5</w:t>
      </w:r>
      <w:r>
        <w:rPr>
          <w:rFonts w:ascii="Arial" w:hAnsi="Arial" w:cs="Arial" w:eastAsia="仿宋_GB2312;仿宋"/>
          <w:bCs/>
          <w:sz w:val="28"/>
          <w:szCs w:val="28"/>
        </w:rPr>
        <w:t>万吨，增长</w:t>
      </w:r>
      <w:r>
        <w:rPr>
          <w:rFonts w:eastAsia="仿宋_GB2312;仿宋" w:cs="Arial" w:ascii="Arial" w:hAnsi="Arial"/>
          <w:bCs/>
          <w:sz w:val="28"/>
          <w:szCs w:val="28"/>
        </w:rPr>
        <w:t>4.3%</w:t>
      </w:r>
      <w:r>
        <w:rPr>
          <w:rFonts w:ascii="Arial" w:hAnsi="Arial" w:cs="Arial" w:eastAsia="仿宋_GB2312;仿宋"/>
          <w:bCs/>
          <w:sz w:val="28"/>
          <w:szCs w:val="28"/>
        </w:rPr>
        <w:t>；受</w:t>
      </w:r>
      <w:r>
        <w:rPr>
          <w:rFonts w:eastAsia="仿宋_GB2312;仿宋" w:cs="Arial" w:ascii="Arial" w:hAnsi="Arial"/>
          <w:bCs/>
          <w:sz w:val="28"/>
          <w:szCs w:val="28"/>
        </w:rPr>
        <w:t>2022</w:t>
      </w:r>
      <w:r>
        <w:rPr>
          <w:rFonts w:ascii="Arial" w:hAnsi="Arial" w:cs="Arial" w:eastAsia="仿宋_GB2312;仿宋"/>
          <w:bCs/>
          <w:sz w:val="28"/>
          <w:szCs w:val="28"/>
        </w:rPr>
        <w:t>年新一轮百万亩造林绿化工程收官、基数较高影响，林业实现产值</w:t>
      </w:r>
      <w:r>
        <w:rPr>
          <w:rFonts w:eastAsia="仿宋_GB2312;仿宋" w:cs="Arial" w:ascii="Arial" w:hAnsi="Arial"/>
          <w:bCs/>
          <w:sz w:val="28"/>
          <w:szCs w:val="28"/>
        </w:rPr>
        <w:t>65.9</w:t>
      </w:r>
      <w:r>
        <w:rPr>
          <w:rFonts w:ascii="Arial" w:hAnsi="Arial" w:cs="Arial" w:eastAsia="仿宋_GB2312;仿宋"/>
          <w:bCs/>
          <w:sz w:val="28"/>
          <w:szCs w:val="28"/>
        </w:rPr>
        <w:t>亿元，下降</w:t>
      </w:r>
      <w:r>
        <w:rPr>
          <w:rFonts w:eastAsia="仿宋_GB2312;仿宋" w:cs="Arial" w:ascii="Arial" w:hAnsi="Arial"/>
          <w:bCs/>
          <w:sz w:val="28"/>
          <w:szCs w:val="28"/>
        </w:rPr>
        <w:t>20.6%</w:t>
      </w:r>
      <w:r>
        <w:rPr>
          <w:rFonts w:ascii="Arial" w:hAnsi="Arial" w:cs="Arial" w:eastAsia="仿宋_GB2312;仿宋"/>
          <w:bCs/>
          <w:sz w:val="28"/>
          <w:szCs w:val="28"/>
        </w:rPr>
        <w:t>。全市休闲农业和乡村旅游接待游客</w:t>
      </w:r>
      <w:r>
        <w:rPr>
          <w:rFonts w:eastAsia="仿宋_GB2312;仿宋" w:cs="Arial" w:ascii="Arial" w:hAnsi="Arial"/>
          <w:bCs/>
          <w:sz w:val="28"/>
          <w:szCs w:val="28"/>
        </w:rPr>
        <w:t>2210.1</w:t>
      </w:r>
      <w:r>
        <w:rPr>
          <w:rFonts w:ascii="Arial" w:hAnsi="Arial" w:cs="Arial" w:eastAsia="仿宋_GB2312;仿宋"/>
          <w:bCs/>
          <w:sz w:val="28"/>
          <w:szCs w:val="28"/>
        </w:rPr>
        <w:t>万人次，比上年增长</w:t>
      </w:r>
      <w:r>
        <w:rPr>
          <w:rFonts w:eastAsia="仿宋_GB2312;仿宋" w:cs="Arial" w:ascii="Arial" w:hAnsi="Arial"/>
          <w:bCs/>
          <w:sz w:val="28"/>
          <w:szCs w:val="28"/>
        </w:rPr>
        <w:t>23.6%</w:t>
      </w:r>
      <w:r>
        <w:rPr>
          <w:rFonts w:ascii="Arial" w:hAnsi="Arial" w:cs="Arial" w:eastAsia="仿宋_GB2312;仿宋"/>
          <w:bCs/>
          <w:sz w:val="28"/>
          <w:szCs w:val="28"/>
        </w:rPr>
        <w:t>，实现收入</w:t>
      </w:r>
      <w:r>
        <w:rPr>
          <w:rFonts w:eastAsia="仿宋_GB2312;仿宋" w:cs="Arial" w:ascii="Arial" w:hAnsi="Arial"/>
          <w:bCs/>
          <w:sz w:val="28"/>
          <w:szCs w:val="28"/>
        </w:rPr>
        <w:t>36.2</w:t>
      </w:r>
      <w:r>
        <w:rPr>
          <w:rFonts w:ascii="Arial" w:hAnsi="Arial" w:cs="Arial" w:eastAsia="仿宋_GB2312;仿宋"/>
          <w:bCs/>
          <w:sz w:val="28"/>
          <w:szCs w:val="28"/>
        </w:rPr>
        <w:t>亿元，增长</w:t>
      </w:r>
      <w:r>
        <w:rPr>
          <w:rFonts w:eastAsia="仿宋_GB2312;仿宋" w:cs="Arial" w:ascii="Arial" w:hAnsi="Arial"/>
          <w:bCs/>
          <w:sz w:val="28"/>
          <w:szCs w:val="28"/>
        </w:rPr>
        <w:t>12.7%</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ascii="Arial" w:hAnsi="Arial" w:cs="Arial" w:eastAsia="仿宋_GB2312;仿宋"/>
          <w:bCs/>
          <w:sz w:val="28"/>
          <w:szCs w:val="28"/>
        </w:rPr>
        <w:t>（</w:t>
      </w:r>
      <w:r>
        <w:rPr>
          <w:rFonts w:eastAsia="仿宋_GB2312;仿宋" w:cs="Arial" w:ascii="Arial" w:hAnsi="Arial"/>
          <w:bCs/>
          <w:sz w:val="28"/>
          <w:szCs w:val="28"/>
        </w:rPr>
        <w:t>2</w:t>
      </w:r>
      <w:r>
        <w:rPr>
          <w:rFonts w:ascii="Arial" w:hAnsi="Arial" w:cs="Arial" w:eastAsia="仿宋_GB2312;仿宋"/>
          <w:bCs/>
          <w:sz w:val="28"/>
          <w:szCs w:val="28"/>
        </w:rPr>
        <w:t>）工业生产稳步回升，电力、装备、汽车行业增势较好</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年，全市规模以上工业增加值按可比价格计算，比上年增长</w:t>
      </w:r>
      <w:r>
        <w:rPr>
          <w:rFonts w:eastAsia="仿宋_GB2312;仿宋" w:cs="Arial" w:ascii="Arial" w:hAnsi="Arial"/>
          <w:bCs/>
          <w:sz w:val="28"/>
          <w:szCs w:val="28"/>
        </w:rPr>
        <w:t>0.4%</w:t>
      </w:r>
      <w:r>
        <w:rPr>
          <w:rFonts w:ascii="Arial" w:hAnsi="Arial" w:cs="Arial" w:eastAsia="仿宋_GB2312;仿宋"/>
          <w:bCs/>
          <w:sz w:val="28"/>
          <w:szCs w:val="28"/>
        </w:rPr>
        <w:t>，扭转年内下降态势；剔除新冠疫苗生产因素，增长</w:t>
      </w:r>
      <w:r>
        <w:rPr>
          <w:rFonts w:eastAsia="仿宋_GB2312;仿宋" w:cs="Arial" w:ascii="Arial" w:hAnsi="Arial"/>
          <w:bCs/>
          <w:sz w:val="28"/>
          <w:szCs w:val="28"/>
        </w:rPr>
        <w:t>3.1%</w:t>
      </w:r>
      <w:r>
        <w:rPr>
          <w:rFonts w:ascii="Arial" w:hAnsi="Arial" w:cs="Arial" w:eastAsia="仿宋_GB2312;仿宋"/>
          <w:bCs/>
          <w:sz w:val="28"/>
          <w:szCs w:val="28"/>
        </w:rPr>
        <w:t>。重点行业中，电力、热力生产和供应业增长</w:t>
      </w:r>
      <w:r>
        <w:rPr>
          <w:rFonts w:eastAsia="仿宋_GB2312;仿宋" w:cs="Arial" w:ascii="Arial" w:hAnsi="Arial"/>
          <w:bCs/>
          <w:sz w:val="28"/>
          <w:szCs w:val="28"/>
        </w:rPr>
        <w:t>7.9%</w:t>
      </w:r>
      <w:r>
        <w:rPr>
          <w:rFonts w:ascii="Arial" w:hAnsi="Arial" w:cs="Arial" w:eastAsia="仿宋_GB2312;仿宋"/>
          <w:bCs/>
          <w:sz w:val="28"/>
          <w:szCs w:val="28"/>
        </w:rPr>
        <w:t>，五大装备制造业</w:t>
      </w:r>
      <w:r>
        <w:rPr>
          <w:rFonts w:eastAsia="仿宋_GB2312;仿宋" w:cs="Arial" w:ascii="Arial" w:hAnsi="Arial"/>
          <w:bCs/>
          <w:sz w:val="28"/>
          <w:szCs w:val="28"/>
        </w:rPr>
        <w:t>[1]</w:t>
      </w:r>
      <w:r>
        <w:rPr>
          <w:rFonts w:ascii="Arial" w:hAnsi="Arial" w:cs="Arial" w:eastAsia="仿宋_GB2312;仿宋"/>
          <w:bCs/>
          <w:sz w:val="28"/>
          <w:szCs w:val="28"/>
        </w:rPr>
        <w:t>增长</w:t>
      </w:r>
      <w:r>
        <w:rPr>
          <w:rFonts w:eastAsia="仿宋_GB2312;仿宋" w:cs="Arial" w:ascii="Arial" w:hAnsi="Arial"/>
          <w:bCs/>
          <w:sz w:val="28"/>
          <w:szCs w:val="28"/>
        </w:rPr>
        <w:t>10.6%</w:t>
      </w:r>
      <w:r>
        <w:rPr>
          <w:rFonts w:ascii="Arial" w:hAnsi="Arial" w:cs="Arial" w:eastAsia="仿宋_GB2312;仿宋"/>
          <w:bCs/>
          <w:sz w:val="28"/>
          <w:szCs w:val="28"/>
        </w:rPr>
        <w:t>，汽车制造业增长</w:t>
      </w:r>
      <w:r>
        <w:rPr>
          <w:rFonts w:eastAsia="仿宋_GB2312;仿宋" w:cs="Arial" w:ascii="Arial" w:hAnsi="Arial"/>
          <w:bCs/>
          <w:sz w:val="28"/>
          <w:szCs w:val="28"/>
        </w:rPr>
        <w:t>5.2%</w:t>
      </w:r>
      <w:r>
        <w:rPr>
          <w:rFonts w:ascii="Arial" w:hAnsi="Arial" w:cs="Arial" w:eastAsia="仿宋_GB2312;仿宋"/>
          <w:bCs/>
          <w:sz w:val="28"/>
          <w:szCs w:val="28"/>
        </w:rPr>
        <w:t>，计算机、通信和其他电子设备制造业下降</w:t>
      </w:r>
      <w:r>
        <w:rPr>
          <w:rFonts w:eastAsia="仿宋_GB2312;仿宋" w:cs="Arial" w:ascii="Arial" w:hAnsi="Arial"/>
          <w:bCs/>
          <w:sz w:val="28"/>
          <w:szCs w:val="28"/>
        </w:rPr>
        <w:t>0.9%</w:t>
      </w:r>
      <w:r>
        <w:rPr>
          <w:rFonts w:ascii="Arial" w:hAnsi="Arial" w:cs="Arial" w:eastAsia="仿宋_GB2312;仿宋"/>
          <w:bCs/>
          <w:sz w:val="28"/>
          <w:szCs w:val="28"/>
        </w:rPr>
        <w:t>，医药制造业下降</w:t>
      </w:r>
      <w:r>
        <w:rPr>
          <w:rFonts w:eastAsia="仿宋_GB2312;仿宋" w:cs="Arial" w:ascii="Arial" w:hAnsi="Arial"/>
          <w:bCs/>
          <w:sz w:val="28"/>
          <w:szCs w:val="28"/>
        </w:rPr>
        <w:t>21.7%</w:t>
      </w:r>
      <w:r>
        <w:rPr>
          <w:rFonts w:ascii="Arial" w:hAnsi="Arial" w:cs="Arial" w:eastAsia="仿宋_GB2312;仿宋"/>
          <w:bCs/>
          <w:sz w:val="28"/>
          <w:szCs w:val="28"/>
        </w:rPr>
        <w:t>（剔除新冠疫苗生产因素，下降</w:t>
      </w:r>
      <w:r>
        <w:rPr>
          <w:rFonts w:eastAsia="仿宋_GB2312;仿宋" w:cs="Arial" w:ascii="Arial" w:hAnsi="Arial"/>
          <w:bCs/>
          <w:sz w:val="28"/>
          <w:szCs w:val="28"/>
        </w:rPr>
        <w:t>4.3%</w:t>
      </w:r>
      <w:r>
        <w:rPr>
          <w:rFonts w:ascii="Arial" w:hAnsi="Arial" w:cs="Arial" w:eastAsia="仿宋_GB2312;仿宋"/>
          <w:bCs/>
          <w:sz w:val="28"/>
          <w:szCs w:val="28"/>
        </w:rPr>
        <w:t>），电子和医药行业降幅均逐步收窄。高端或新兴领域产品生产快速增长，风力发电机组、液晶显示模组、新能源汽车、医疗仪器设备及器械产量分别增长</w:t>
      </w:r>
      <w:r>
        <w:rPr>
          <w:rFonts w:eastAsia="仿宋_GB2312;仿宋" w:cs="Arial" w:ascii="Arial" w:hAnsi="Arial"/>
          <w:bCs/>
          <w:sz w:val="28"/>
          <w:szCs w:val="28"/>
        </w:rPr>
        <w:t>68.8%</w:t>
      </w:r>
      <w:r>
        <w:rPr>
          <w:rFonts w:ascii="Arial" w:hAnsi="Arial" w:cs="Arial" w:eastAsia="仿宋_GB2312;仿宋"/>
          <w:bCs/>
          <w:sz w:val="28"/>
          <w:szCs w:val="28"/>
        </w:rPr>
        <w:t>、</w:t>
      </w:r>
      <w:r>
        <w:rPr>
          <w:rFonts w:eastAsia="仿宋_GB2312;仿宋" w:cs="Arial" w:ascii="Arial" w:hAnsi="Arial"/>
          <w:bCs/>
          <w:sz w:val="28"/>
          <w:szCs w:val="28"/>
        </w:rPr>
        <w:t>39.2%</w:t>
      </w:r>
      <w:r>
        <w:rPr>
          <w:rFonts w:ascii="Arial" w:hAnsi="Arial" w:cs="Arial" w:eastAsia="仿宋_GB2312;仿宋"/>
          <w:bCs/>
          <w:sz w:val="28"/>
          <w:szCs w:val="28"/>
        </w:rPr>
        <w:t>、</w:t>
      </w:r>
      <w:r>
        <w:rPr>
          <w:rFonts w:eastAsia="仿宋_GB2312;仿宋" w:cs="Arial" w:ascii="Arial" w:hAnsi="Arial"/>
          <w:bCs/>
          <w:sz w:val="28"/>
          <w:szCs w:val="28"/>
        </w:rPr>
        <w:t>35.6%</w:t>
      </w:r>
      <w:r>
        <w:rPr>
          <w:rFonts w:ascii="Arial" w:hAnsi="Arial" w:cs="Arial" w:eastAsia="仿宋_GB2312;仿宋"/>
          <w:bCs/>
          <w:sz w:val="28"/>
          <w:szCs w:val="28"/>
        </w:rPr>
        <w:t>和</w:t>
      </w:r>
      <w:r>
        <w:rPr>
          <w:rFonts w:eastAsia="仿宋_GB2312;仿宋" w:cs="Arial" w:ascii="Arial" w:hAnsi="Arial"/>
          <w:bCs/>
          <w:sz w:val="28"/>
          <w:szCs w:val="28"/>
        </w:rPr>
        <w:t>26.7%</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ascii="Arial" w:hAnsi="Arial" w:cs="Arial" w:eastAsia="仿宋_GB2312;仿宋"/>
          <w:bCs/>
          <w:sz w:val="28"/>
          <w:szCs w:val="28"/>
        </w:rPr>
        <w:t>（</w:t>
      </w:r>
      <w:r>
        <w:rPr>
          <w:rFonts w:eastAsia="仿宋_GB2312;仿宋" w:cs="Arial" w:ascii="Arial" w:hAnsi="Arial"/>
          <w:bCs/>
          <w:sz w:val="28"/>
          <w:szCs w:val="28"/>
        </w:rPr>
        <w:t>3</w:t>
      </w:r>
      <w:r>
        <w:rPr>
          <w:rFonts w:ascii="Arial" w:hAnsi="Arial" w:cs="Arial" w:eastAsia="仿宋_GB2312;仿宋"/>
          <w:bCs/>
          <w:sz w:val="28"/>
          <w:szCs w:val="28"/>
        </w:rPr>
        <w:t>）服务业运行向好，重点行业、接触性服务业共同带动</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年，全市第三产业增加值按不变价格计算，比上年增长</w:t>
      </w:r>
      <w:r>
        <w:rPr>
          <w:rFonts w:eastAsia="仿宋_GB2312;仿宋" w:cs="Arial" w:ascii="Arial" w:hAnsi="Arial"/>
          <w:bCs/>
          <w:sz w:val="28"/>
          <w:szCs w:val="28"/>
        </w:rPr>
        <w:t>6.1%</w:t>
      </w:r>
      <w:r>
        <w:rPr>
          <w:rFonts w:ascii="Arial" w:hAnsi="Arial" w:cs="Arial" w:eastAsia="仿宋_GB2312;仿宋"/>
          <w:bCs/>
          <w:sz w:val="28"/>
          <w:szCs w:val="28"/>
        </w:rPr>
        <w:t>。其中，金融业实现增加值</w:t>
      </w:r>
      <w:r>
        <w:rPr>
          <w:rFonts w:eastAsia="仿宋_GB2312;仿宋" w:cs="Arial" w:ascii="Arial" w:hAnsi="Arial"/>
          <w:bCs/>
          <w:sz w:val="28"/>
          <w:szCs w:val="28"/>
        </w:rPr>
        <w:t>8663.1</w:t>
      </w:r>
      <w:r>
        <w:rPr>
          <w:rFonts w:ascii="Arial" w:hAnsi="Arial" w:cs="Arial" w:eastAsia="仿宋_GB2312;仿宋"/>
          <w:bCs/>
          <w:sz w:val="28"/>
          <w:szCs w:val="28"/>
        </w:rPr>
        <w:t>亿元，增长</w:t>
      </w:r>
      <w:r>
        <w:rPr>
          <w:rFonts w:eastAsia="仿宋_GB2312;仿宋" w:cs="Arial" w:ascii="Arial" w:hAnsi="Arial"/>
          <w:bCs/>
          <w:sz w:val="28"/>
          <w:szCs w:val="28"/>
        </w:rPr>
        <w:t>6.7%</w:t>
      </w:r>
      <w:r>
        <w:rPr>
          <w:rFonts w:ascii="Arial" w:hAnsi="Arial" w:cs="Arial" w:eastAsia="仿宋_GB2312;仿宋"/>
          <w:bCs/>
          <w:sz w:val="28"/>
          <w:szCs w:val="28"/>
        </w:rPr>
        <w:t>；信息传输、软件和信息技术服务业实现增加值</w:t>
      </w:r>
      <w:r>
        <w:rPr>
          <w:rFonts w:eastAsia="仿宋_GB2312;仿宋" w:cs="Arial" w:ascii="Arial" w:hAnsi="Arial"/>
          <w:bCs/>
          <w:sz w:val="28"/>
          <w:szCs w:val="28"/>
        </w:rPr>
        <w:t>8514.4</w:t>
      </w:r>
      <w:r>
        <w:rPr>
          <w:rFonts w:ascii="Arial" w:hAnsi="Arial" w:cs="Arial" w:eastAsia="仿宋_GB2312;仿宋"/>
          <w:bCs/>
          <w:sz w:val="28"/>
          <w:szCs w:val="28"/>
        </w:rPr>
        <w:t>亿元，增长</w:t>
      </w:r>
      <w:r>
        <w:rPr>
          <w:rFonts w:eastAsia="仿宋_GB2312;仿宋" w:cs="Arial" w:ascii="Arial" w:hAnsi="Arial"/>
          <w:bCs/>
          <w:sz w:val="28"/>
          <w:szCs w:val="28"/>
        </w:rPr>
        <w:t>13.5%</w:t>
      </w:r>
      <w:r>
        <w:rPr>
          <w:rFonts w:ascii="Arial" w:hAnsi="Arial" w:cs="Arial" w:eastAsia="仿宋_GB2312;仿宋"/>
          <w:bCs/>
          <w:sz w:val="28"/>
          <w:szCs w:val="28"/>
        </w:rPr>
        <w:t>；接触性行业明显恢复，交通运输、仓储和邮政业实现增加值</w:t>
      </w:r>
      <w:r>
        <w:rPr>
          <w:rFonts w:eastAsia="仿宋_GB2312;仿宋" w:cs="Arial" w:ascii="Arial" w:hAnsi="Arial"/>
          <w:bCs/>
          <w:sz w:val="28"/>
          <w:szCs w:val="28"/>
        </w:rPr>
        <w:t>1065.3</w:t>
      </w:r>
      <w:r>
        <w:rPr>
          <w:rFonts w:ascii="Arial" w:hAnsi="Arial" w:cs="Arial" w:eastAsia="仿宋_GB2312;仿宋"/>
          <w:bCs/>
          <w:sz w:val="28"/>
          <w:szCs w:val="28"/>
        </w:rPr>
        <w:t>亿元，增长</w:t>
      </w:r>
      <w:r>
        <w:rPr>
          <w:rFonts w:eastAsia="仿宋_GB2312;仿宋" w:cs="Arial" w:ascii="Arial" w:hAnsi="Arial"/>
          <w:bCs/>
          <w:sz w:val="28"/>
          <w:szCs w:val="28"/>
        </w:rPr>
        <w:t>20.3%</w:t>
      </w:r>
      <w:r>
        <w:rPr>
          <w:rFonts w:ascii="Arial" w:hAnsi="Arial" w:cs="Arial" w:eastAsia="仿宋_GB2312;仿宋"/>
          <w:bCs/>
          <w:sz w:val="28"/>
          <w:szCs w:val="28"/>
        </w:rPr>
        <w:t>；住宿和餐饮业实现增加值</w:t>
      </w:r>
      <w:r>
        <w:rPr>
          <w:rFonts w:eastAsia="仿宋_GB2312;仿宋" w:cs="Arial" w:ascii="Arial" w:hAnsi="Arial"/>
          <w:bCs/>
          <w:sz w:val="28"/>
          <w:szCs w:val="28"/>
        </w:rPr>
        <w:t>453.1</w:t>
      </w:r>
      <w:r>
        <w:rPr>
          <w:rFonts w:ascii="Arial" w:hAnsi="Arial" w:cs="Arial" w:eastAsia="仿宋_GB2312;仿宋"/>
          <w:bCs/>
          <w:sz w:val="28"/>
          <w:szCs w:val="28"/>
        </w:rPr>
        <w:t>亿元，增长</w:t>
      </w:r>
      <w:r>
        <w:rPr>
          <w:rFonts w:eastAsia="仿宋_GB2312;仿宋" w:cs="Arial" w:ascii="Arial" w:hAnsi="Arial"/>
          <w:bCs/>
          <w:sz w:val="28"/>
          <w:szCs w:val="28"/>
        </w:rPr>
        <w:t>21.1%</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ascii="Arial" w:hAnsi="Arial" w:cs="Arial" w:eastAsia="仿宋_GB2312;仿宋"/>
          <w:bCs/>
          <w:sz w:val="28"/>
          <w:szCs w:val="28"/>
        </w:rPr>
        <w:t>（</w:t>
      </w:r>
      <w:r>
        <w:rPr>
          <w:rFonts w:eastAsia="仿宋_GB2312;仿宋" w:cs="Arial" w:ascii="Arial" w:hAnsi="Arial"/>
          <w:bCs/>
          <w:sz w:val="28"/>
          <w:szCs w:val="28"/>
        </w:rPr>
        <w:t>4</w:t>
      </w:r>
      <w:r>
        <w:rPr>
          <w:rFonts w:ascii="Arial" w:hAnsi="Arial" w:cs="Arial" w:eastAsia="仿宋_GB2312;仿宋"/>
          <w:bCs/>
          <w:sz w:val="28"/>
          <w:szCs w:val="28"/>
        </w:rPr>
        <w:t>）固定资产投资稳定增长，创新投资保持活跃</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年，全市固定资产投资（不含农户）比上年增长</w:t>
      </w:r>
      <w:r>
        <w:rPr>
          <w:rFonts w:eastAsia="仿宋_GB2312;仿宋" w:cs="Arial" w:ascii="Arial" w:hAnsi="Arial"/>
          <w:bCs/>
          <w:sz w:val="28"/>
          <w:szCs w:val="28"/>
        </w:rPr>
        <w:t>4.9%</w:t>
      </w:r>
      <w:r>
        <w:rPr>
          <w:rFonts w:ascii="Arial" w:hAnsi="Arial" w:cs="Arial" w:eastAsia="仿宋_GB2312;仿宋"/>
          <w:bCs/>
          <w:sz w:val="28"/>
          <w:szCs w:val="28"/>
        </w:rPr>
        <w:t>。其中，基础设施投资增长</w:t>
      </w:r>
      <w:r>
        <w:rPr>
          <w:rFonts w:eastAsia="仿宋_GB2312;仿宋" w:cs="Arial" w:ascii="Arial" w:hAnsi="Arial"/>
          <w:bCs/>
          <w:sz w:val="28"/>
          <w:szCs w:val="28"/>
        </w:rPr>
        <w:t>0.9%</w:t>
      </w:r>
      <w:r>
        <w:rPr>
          <w:rFonts w:ascii="Arial" w:hAnsi="Arial" w:cs="Arial" w:eastAsia="仿宋_GB2312;仿宋"/>
          <w:bCs/>
          <w:sz w:val="28"/>
          <w:szCs w:val="28"/>
        </w:rPr>
        <w:t>，房地产开发投资增长</w:t>
      </w:r>
      <w:r>
        <w:rPr>
          <w:rFonts w:eastAsia="仿宋_GB2312;仿宋" w:cs="Arial" w:ascii="Arial" w:hAnsi="Arial"/>
          <w:bCs/>
          <w:sz w:val="28"/>
          <w:szCs w:val="28"/>
        </w:rPr>
        <w:t>0.4%</w:t>
      </w:r>
      <w:r>
        <w:rPr>
          <w:rFonts w:ascii="Arial" w:hAnsi="Arial" w:cs="Arial" w:eastAsia="仿宋_GB2312;仿宋"/>
          <w:bCs/>
          <w:sz w:val="28"/>
          <w:szCs w:val="28"/>
        </w:rPr>
        <w:t>，反映企业扩大生产能力的设备购置投资增长</w:t>
      </w:r>
      <w:r>
        <w:rPr>
          <w:rFonts w:eastAsia="仿宋_GB2312;仿宋" w:cs="Arial" w:ascii="Arial" w:hAnsi="Arial"/>
          <w:bCs/>
          <w:sz w:val="28"/>
          <w:szCs w:val="28"/>
        </w:rPr>
        <w:t>24.4%</w:t>
      </w:r>
      <w:r>
        <w:rPr>
          <w:rFonts w:ascii="Arial" w:hAnsi="Arial" w:cs="Arial" w:eastAsia="仿宋_GB2312;仿宋"/>
          <w:bCs/>
          <w:sz w:val="28"/>
          <w:szCs w:val="28"/>
        </w:rPr>
        <w:t>。分产业看，第一产业投资下降</w:t>
      </w:r>
      <w:r>
        <w:rPr>
          <w:rFonts w:eastAsia="仿宋_GB2312;仿宋" w:cs="Arial" w:ascii="Arial" w:hAnsi="Arial"/>
          <w:bCs/>
          <w:sz w:val="28"/>
          <w:szCs w:val="28"/>
        </w:rPr>
        <w:t>45.7%</w:t>
      </w:r>
      <w:r>
        <w:rPr>
          <w:rFonts w:ascii="Arial" w:hAnsi="Arial" w:cs="Arial" w:eastAsia="仿宋_GB2312;仿宋"/>
          <w:bCs/>
          <w:sz w:val="28"/>
          <w:szCs w:val="28"/>
        </w:rPr>
        <w:t>；第二产业投资下降</w:t>
      </w:r>
      <w:r>
        <w:rPr>
          <w:rFonts w:eastAsia="仿宋_GB2312;仿宋" w:cs="Arial" w:ascii="Arial" w:hAnsi="Arial"/>
          <w:bCs/>
          <w:sz w:val="28"/>
          <w:szCs w:val="28"/>
        </w:rPr>
        <w:t>1.1%</w:t>
      </w:r>
      <w:r>
        <w:rPr>
          <w:rFonts w:ascii="Arial" w:hAnsi="Arial" w:cs="Arial" w:eastAsia="仿宋_GB2312;仿宋"/>
          <w:bCs/>
          <w:sz w:val="28"/>
          <w:szCs w:val="28"/>
        </w:rPr>
        <w:t>；第三产业投资增长</w:t>
      </w:r>
      <w:r>
        <w:rPr>
          <w:rFonts w:eastAsia="仿宋_GB2312;仿宋" w:cs="Arial" w:ascii="Arial" w:hAnsi="Arial"/>
          <w:bCs/>
          <w:sz w:val="28"/>
          <w:szCs w:val="28"/>
        </w:rPr>
        <w:t>6.0%</w:t>
      </w:r>
      <w:r>
        <w:rPr>
          <w:rFonts w:ascii="Arial" w:hAnsi="Arial" w:cs="Arial" w:eastAsia="仿宋_GB2312;仿宋"/>
          <w:bCs/>
          <w:sz w:val="28"/>
          <w:szCs w:val="28"/>
        </w:rPr>
        <w:t>，其中，信息传输、软件和信息技术服务业，文化、体育和娱乐业，交通运输、仓储和邮政业投资分别增长</w:t>
      </w:r>
      <w:r>
        <w:rPr>
          <w:rFonts w:eastAsia="仿宋_GB2312;仿宋" w:cs="Arial" w:ascii="Arial" w:hAnsi="Arial"/>
          <w:bCs/>
          <w:sz w:val="28"/>
          <w:szCs w:val="28"/>
        </w:rPr>
        <w:t>47.1%</w:t>
      </w:r>
      <w:r>
        <w:rPr>
          <w:rFonts w:ascii="Arial" w:hAnsi="Arial" w:cs="Arial" w:eastAsia="仿宋_GB2312;仿宋"/>
          <w:bCs/>
          <w:sz w:val="28"/>
          <w:szCs w:val="28"/>
        </w:rPr>
        <w:t>、</w:t>
      </w:r>
      <w:r>
        <w:rPr>
          <w:rFonts w:eastAsia="仿宋_GB2312;仿宋" w:cs="Arial" w:ascii="Arial" w:hAnsi="Arial"/>
          <w:bCs/>
          <w:sz w:val="28"/>
          <w:szCs w:val="28"/>
        </w:rPr>
        <w:t>11.4%</w:t>
      </w:r>
      <w:r>
        <w:rPr>
          <w:rFonts w:ascii="Arial" w:hAnsi="Arial" w:cs="Arial" w:eastAsia="仿宋_GB2312;仿宋"/>
          <w:bCs/>
          <w:sz w:val="28"/>
          <w:szCs w:val="28"/>
        </w:rPr>
        <w:t>和</w:t>
      </w:r>
      <w:r>
        <w:rPr>
          <w:rFonts w:eastAsia="仿宋_GB2312;仿宋" w:cs="Arial" w:ascii="Arial" w:hAnsi="Arial"/>
          <w:bCs/>
          <w:sz w:val="28"/>
          <w:szCs w:val="28"/>
        </w:rPr>
        <w:t>10.1%</w:t>
      </w:r>
      <w:r>
        <w:rPr>
          <w:rFonts w:ascii="Arial" w:hAnsi="Arial" w:cs="Arial" w:eastAsia="仿宋_GB2312;仿宋"/>
          <w:bCs/>
          <w:sz w:val="28"/>
          <w:szCs w:val="28"/>
        </w:rPr>
        <w:t>。高技术产业投资增长</w:t>
      </w:r>
      <w:r>
        <w:rPr>
          <w:rFonts w:eastAsia="仿宋_GB2312;仿宋" w:cs="Arial" w:ascii="Arial" w:hAnsi="Arial"/>
          <w:bCs/>
          <w:sz w:val="28"/>
          <w:szCs w:val="28"/>
        </w:rPr>
        <w:t>16.2%</w:t>
      </w:r>
      <w:r>
        <w:rPr>
          <w:rFonts w:ascii="Arial" w:hAnsi="Arial" w:cs="Arial" w:eastAsia="仿宋_GB2312;仿宋"/>
          <w:bCs/>
          <w:sz w:val="28"/>
          <w:szCs w:val="28"/>
        </w:rPr>
        <w:t>，其中，高技术服务业投资增长</w:t>
      </w:r>
      <w:r>
        <w:rPr>
          <w:rFonts w:eastAsia="仿宋_GB2312;仿宋" w:cs="Arial" w:ascii="Arial" w:hAnsi="Arial"/>
          <w:bCs/>
          <w:sz w:val="28"/>
          <w:szCs w:val="28"/>
        </w:rPr>
        <w:t>36.1%</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年末，全市房屋施工面积</w:t>
      </w:r>
      <w:r>
        <w:rPr>
          <w:rFonts w:eastAsia="仿宋_GB2312;仿宋" w:cs="Arial" w:ascii="Arial" w:hAnsi="Arial"/>
          <w:bCs/>
          <w:sz w:val="28"/>
          <w:szCs w:val="28"/>
        </w:rPr>
        <w:t>12531.3</w:t>
      </w:r>
      <w:r>
        <w:rPr>
          <w:rFonts w:ascii="Arial" w:hAnsi="Arial" w:cs="Arial" w:eastAsia="仿宋_GB2312;仿宋"/>
          <w:bCs/>
          <w:sz w:val="28"/>
          <w:szCs w:val="28"/>
        </w:rPr>
        <w:t>万</w:t>
      </w:r>
      <w:r>
        <w:rPr>
          <w:rFonts w:ascii="Arial" w:hAnsi="Arial" w:cs="Arial" w:eastAsia="仿宋_GB2312;仿宋"/>
          <w:bCs/>
          <w:color w:val="000000"/>
          <w:sz w:val="28"/>
          <w:szCs w:val="28"/>
        </w:rPr>
        <w:t>㎡</w:t>
      </w:r>
      <w:r>
        <w:rPr>
          <w:rFonts w:ascii="Arial" w:hAnsi="Arial" w:cs="Arial" w:eastAsia="仿宋_GB2312;仿宋"/>
          <w:bCs/>
          <w:sz w:val="28"/>
          <w:szCs w:val="28"/>
        </w:rPr>
        <w:t>，比上年末下降</w:t>
      </w:r>
      <w:r>
        <w:rPr>
          <w:rFonts w:eastAsia="仿宋_GB2312;仿宋" w:cs="Arial" w:ascii="Arial" w:hAnsi="Arial"/>
          <w:bCs/>
          <w:sz w:val="28"/>
          <w:szCs w:val="28"/>
        </w:rPr>
        <w:t>6.0%</w:t>
      </w:r>
      <w:r>
        <w:rPr>
          <w:rFonts w:ascii="Arial" w:hAnsi="Arial" w:cs="Arial" w:eastAsia="仿宋_GB2312;仿宋"/>
          <w:bCs/>
          <w:sz w:val="28"/>
          <w:szCs w:val="28"/>
        </w:rPr>
        <w:t>，其中，住宅施工面积</w:t>
      </w:r>
      <w:r>
        <w:rPr>
          <w:rFonts w:eastAsia="仿宋_GB2312;仿宋" w:cs="Arial" w:ascii="Arial" w:hAnsi="Arial"/>
          <w:bCs/>
          <w:sz w:val="28"/>
          <w:szCs w:val="28"/>
        </w:rPr>
        <w:t>6255.5</w:t>
      </w:r>
      <w:r>
        <w:rPr>
          <w:rFonts w:ascii="Arial" w:hAnsi="Arial" w:cs="Arial" w:eastAsia="仿宋_GB2312;仿宋"/>
          <w:bCs/>
          <w:sz w:val="28"/>
          <w:szCs w:val="28"/>
        </w:rPr>
        <w:t>万</w:t>
      </w:r>
      <w:r>
        <w:rPr>
          <w:rFonts w:ascii="Arial" w:hAnsi="Arial" w:cs="Arial" w:eastAsia="仿宋_GB2312;仿宋"/>
          <w:bCs/>
          <w:color w:val="000000"/>
          <w:sz w:val="28"/>
          <w:szCs w:val="28"/>
        </w:rPr>
        <w:t>㎡</w:t>
      </w:r>
      <w:r>
        <w:rPr>
          <w:rFonts w:ascii="Arial" w:hAnsi="Arial" w:cs="Arial" w:eastAsia="仿宋_GB2312;仿宋"/>
          <w:bCs/>
          <w:sz w:val="28"/>
          <w:szCs w:val="28"/>
        </w:rPr>
        <w:t>，下降</w:t>
      </w:r>
      <w:r>
        <w:rPr>
          <w:rFonts w:eastAsia="仿宋_GB2312;仿宋" w:cs="Arial" w:ascii="Arial" w:hAnsi="Arial"/>
          <w:bCs/>
          <w:sz w:val="28"/>
          <w:szCs w:val="28"/>
        </w:rPr>
        <w:t>6.8%</w:t>
      </w:r>
      <w:r>
        <w:rPr>
          <w:rFonts w:ascii="Arial" w:hAnsi="Arial" w:cs="Arial" w:eastAsia="仿宋_GB2312;仿宋"/>
          <w:bCs/>
          <w:sz w:val="28"/>
          <w:szCs w:val="28"/>
        </w:rPr>
        <w:t>。全年商品房销售面积</w:t>
      </w:r>
      <w:r>
        <w:rPr>
          <w:rFonts w:eastAsia="仿宋_GB2312;仿宋" w:cs="Arial" w:ascii="Arial" w:hAnsi="Arial"/>
          <w:bCs/>
          <w:sz w:val="28"/>
          <w:szCs w:val="28"/>
        </w:rPr>
        <w:t>1122.6</w:t>
      </w:r>
      <w:r>
        <w:rPr>
          <w:rFonts w:ascii="Arial" w:hAnsi="Arial" w:cs="Arial" w:eastAsia="仿宋_GB2312;仿宋"/>
          <w:bCs/>
          <w:sz w:val="28"/>
          <w:szCs w:val="28"/>
        </w:rPr>
        <w:t>万</w:t>
      </w:r>
      <w:r>
        <w:rPr>
          <w:rFonts w:ascii="Arial" w:hAnsi="Arial" w:cs="Arial" w:eastAsia="仿宋_GB2312;仿宋"/>
          <w:bCs/>
          <w:color w:val="000000"/>
          <w:sz w:val="28"/>
          <w:szCs w:val="28"/>
        </w:rPr>
        <w:t>㎡</w:t>
      </w:r>
      <w:r>
        <w:rPr>
          <w:rFonts w:ascii="Arial" w:hAnsi="Arial" w:cs="Arial" w:eastAsia="仿宋_GB2312;仿宋"/>
          <w:bCs/>
          <w:sz w:val="28"/>
          <w:szCs w:val="28"/>
        </w:rPr>
        <w:t>，增长</w:t>
      </w:r>
      <w:r>
        <w:rPr>
          <w:rFonts w:eastAsia="仿宋_GB2312;仿宋" w:cs="Arial" w:ascii="Arial" w:hAnsi="Arial"/>
          <w:bCs/>
          <w:sz w:val="28"/>
          <w:szCs w:val="28"/>
        </w:rPr>
        <w:t>7.9%</w:t>
      </w:r>
      <w:r>
        <w:rPr>
          <w:rFonts w:ascii="Arial" w:hAnsi="Arial" w:cs="Arial" w:eastAsia="仿宋_GB2312;仿宋"/>
          <w:bCs/>
          <w:sz w:val="28"/>
          <w:szCs w:val="28"/>
        </w:rPr>
        <w:t>，其中，住宅销售面积</w:t>
      </w:r>
      <w:r>
        <w:rPr>
          <w:rFonts w:eastAsia="仿宋_GB2312;仿宋" w:cs="Arial" w:ascii="Arial" w:hAnsi="Arial"/>
          <w:bCs/>
          <w:sz w:val="28"/>
          <w:szCs w:val="28"/>
        </w:rPr>
        <w:t>811.1</w:t>
      </w:r>
      <w:r>
        <w:rPr>
          <w:rFonts w:ascii="Arial" w:hAnsi="Arial" w:cs="Arial" w:eastAsia="仿宋_GB2312;仿宋"/>
          <w:bCs/>
          <w:sz w:val="28"/>
          <w:szCs w:val="28"/>
        </w:rPr>
        <w:t>万</w:t>
      </w:r>
      <w:r>
        <w:rPr>
          <w:rFonts w:ascii="Arial" w:hAnsi="Arial" w:cs="Arial" w:eastAsia="仿宋_GB2312;仿宋"/>
          <w:bCs/>
          <w:color w:val="000000"/>
          <w:sz w:val="28"/>
          <w:szCs w:val="28"/>
        </w:rPr>
        <w:t>㎡</w:t>
      </w:r>
      <w:r>
        <w:rPr>
          <w:rFonts w:ascii="Arial" w:hAnsi="Arial" w:cs="Arial" w:eastAsia="仿宋_GB2312;仿宋"/>
          <w:bCs/>
          <w:sz w:val="28"/>
          <w:szCs w:val="28"/>
        </w:rPr>
        <w:t>，增长</w:t>
      </w:r>
      <w:r>
        <w:rPr>
          <w:rFonts w:eastAsia="仿宋_GB2312;仿宋" w:cs="Arial" w:ascii="Arial" w:hAnsi="Arial"/>
          <w:bCs/>
          <w:sz w:val="28"/>
          <w:szCs w:val="28"/>
        </w:rPr>
        <w:t>9.3%</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ascii="Arial" w:hAnsi="Arial" w:cs="Arial" w:eastAsia="仿宋_GB2312;仿宋"/>
          <w:bCs/>
          <w:sz w:val="28"/>
          <w:szCs w:val="28"/>
        </w:rPr>
        <w:t>（</w:t>
      </w:r>
      <w:r>
        <w:rPr>
          <w:rFonts w:eastAsia="仿宋_GB2312;仿宋" w:cs="Arial" w:ascii="Arial" w:hAnsi="Arial"/>
          <w:bCs/>
          <w:sz w:val="28"/>
          <w:szCs w:val="28"/>
        </w:rPr>
        <w:t>5</w:t>
      </w:r>
      <w:r>
        <w:rPr>
          <w:rFonts w:ascii="Arial" w:hAnsi="Arial" w:cs="Arial" w:eastAsia="仿宋_GB2312;仿宋"/>
          <w:bCs/>
          <w:sz w:val="28"/>
          <w:szCs w:val="28"/>
        </w:rPr>
        <w:t>）市场消费持续回暖，服务性消费、升级类商品消费快速增长</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年，全市市场总消费额比上年增长</w:t>
      </w:r>
      <w:r>
        <w:rPr>
          <w:rFonts w:eastAsia="仿宋_GB2312;仿宋" w:cs="Arial" w:ascii="Arial" w:hAnsi="Arial"/>
          <w:bCs/>
          <w:sz w:val="28"/>
          <w:szCs w:val="28"/>
        </w:rPr>
        <w:t>10.2%</w:t>
      </w:r>
      <w:r>
        <w:rPr>
          <w:rFonts w:ascii="Arial" w:hAnsi="Arial" w:cs="Arial" w:eastAsia="仿宋_GB2312;仿宋"/>
          <w:bCs/>
          <w:sz w:val="28"/>
          <w:szCs w:val="28"/>
        </w:rPr>
        <w:t>。其中，服务性消费额在交通、文体娱乐等领域带动下增长</w:t>
      </w:r>
      <w:r>
        <w:rPr>
          <w:rFonts w:eastAsia="仿宋_GB2312;仿宋" w:cs="Arial" w:ascii="Arial" w:hAnsi="Arial"/>
          <w:bCs/>
          <w:sz w:val="28"/>
          <w:szCs w:val="28"/>
        </w:rPr>
        <w:t>14.6%</w:t>
      </w:r>
      <w:r>
        <w:rPr>
          <w:rFonts w:ascii="Arial" w:hAnsi="Arial" w:cs="Arial" w:eastAsia="仿宋_GB2312;仿宋"/>
          <w:bCs/>
          <w:sz w:val="28"/>
          <w:szCs w:val="28"/>
        </w:rPr>
        <w:t>；实现社会消费品零售总额</w:t>
      </w:r>
      <w:r>
        <w:rPr>
          <w:rFonts w:eastAsia="仿宋_GB2312;仿宋" w:cs="Arial" w:ascii="Arial" w:hAnsi="Arial"/>
          <w:bCs/>
          <w:sz w:val="28"/>
          <w:szCs w:val="28"/>
        </w:rPr>
        <w:t>14462.7</w:t>
      </w:r>
      <w:r>
        <w:rPr>
          <w:rFonts w:ascii="Arial" w:hAnsi="Arial" w:cs="Arial" w:eastAsia="仿宋_GB2312;仿宋"/>
          <w:bCs/>
          <w:sz w:val="28"/>
          <w:szCs w:val="28"/>
        </w:rPr>
        <w:t>亿元，增长</w:t>
      </w:r>
      <w:r>
        <w:rPr>
          <w:rFonts w:eastAsia="仿宋_GB2312;仿宋" w:cs="Arial" w:ascii="Arial" w:hAnsi="Arial"/>
          <w:bCs/>
          <w:sz w:val="28"/>
          <w:szCs w:val="28"/>
        </w:rPr>
        <w:t>4.8%</w:t>
      </w:r>
      <w:r>
        <w:rPr>
          <w:rFonts w:ascii="Arial" w:hAnsi="Arial" w:cs="Arial" w:eastAsia="仿宋_GB2312;仿宋"/>
          <w:bCs/>
          <w:sz w:val="28"/>
          <w:szCs w:val="28"/>
        </w:rPr>
        <w:t>。社会消费品零售总额中，按消费形态分，商品零售</w:t>
      </w:r>
      <w:r>
        <w:rPr>
          <w:rFonts w:eastAsia="仿宋_GB2312;仿宋" w:cs="Arial" w:ascii="Arial" w:hAnsi="Arial"/>
          <w:bCs/>
          <w:sz w:val="28"/>
          <w:szCs w:val="28"/>
        </w:rPr>
        <w:t>13148.1</w:t>
      </w:r>
      <w:r>
        <w:rPr>
          <w:rFonts w:ascii="Arial" w:hAnsi="Arial" w:cs="Arial" w:eastAsia="仿宋_GB2312;仿宋"/>
          <w:bCs/>
          <w:sz w:val="28"/>
          <w:szCs w:val="28"/>
        </w:rPr>
        <w:t>亿元，增长</w:t>
      </w:r>
      <w:r>
        <w:rPr>
          <w:rFonts w:eastAsia="仿宋_GB2312;仿宋" w:cs="Arial" w:ascii="Arial" w:hAnsi="Arial"/>
          <w:bCs/>
          <w:sz w:val="28"/>
          <w:szCs w:val="28"/>
        </w:rPr>
        <w:t>2.7%</w:t>
      </w:r>
      <w:r>
        <w:rPr>
          <w:rFonts w:ascii="Arial" w:hAnsi="Arial" w:cs="Arial" w:eastAsia="仿宋_GB2312;仿宋"/>
          <w:bCs/>
          <w:sz w:val="28"/>
          <w:szCs w:val="28"/>
        </w:rPr>
        <w:t>，餐饮收入</w:t>
      </w:r>
      <w:r>
        <w:rPr>
          <w:rFonts w:eastAsia="仿宋_GB2312;仿宋" w:cs="Arial" w:ascii="Arial" w:hAnsi="Arial"/>
          <w:bCs/>
          <w:sz w:val="28"/>
          <w:szCs w:val="28"/>
        </w:rPr>
        <w:t>1314.6</w:t>
      </w:r>
      <w:r>
        <w:rPr>
          <w:rFonts w:ascii="Arial" w:hAnsi="Arial" w:cs="Arial" w:eastAsia="仿宋_GB2312;仿宋"/>
          <w:bCs/>
          <w:sz w:val="28"/>
          <w:szCs w:val="28"/>
        </w:rPr>
        <w:t>亿元，增长</w:t>
      </w:r>
      <w:r>
        <w:rPr>
          <w:rFonts w:eastAsia="仿宋_GB2312;仿宋" w:cs="Arial" w:ascii="Arial" w:hAnsi="Arial"/>
          <w:bCs/>
          <w:sz w:val="28"/>
          <w:szCs w:val="28"/>
        </w:rPr>
        <w:t>32.5%</w:t>
      </w:r>
      <w:r>
        <w:rPr>
          <w:rFonts w:ascii="Arial" w:hAnsi="Arial" w:cs="Arial" w:eastAsia="仿宋_GB2312;仿宋"/>
          <w:bCs/>
          <w:sz w:val="28"/>
          <w:szCs w:val="28"/>
        </w:rPr>
        <w:t>。按商品类别分，限额以上批发和零售业中，金银珠宝类、体育娱乐用品类、服装鞋帽针纺织类商品零售额分别增长</w:t>
      </w:r>
      <w:r>
        <w:rPr>
          <w:rFonts w:eastAsia="仿宋_GB2312;仿宋" w:cs="Arial" w:ascii="Arial" w:hAnsi="Arial"/>
          <w:bCs/>
          <w:sz w:val="28"/>
          <w:szCs w:val="28"/>
        </w:rPr>
        <w:t>35.0%</w:t>
      </w:r>
      <w:r>
        <w:rPr>
          <w:rFonts w:ascii="Arial" w:hAnsi="Arial" w:cs="Arial" w:eastAsia="仿宋_GB2312;仿宋"/>
          <w:bCs/>
          <w:sz w:val="28"/>
          <w:szCs w:val="28"/>
        </w:rPr>
        <w:t>、</w:t>
      </w:r>
      <w:r>
        <w:rPr>
          <w:rFonts w:eastAsia="仿宋_GB2312;仿宋" w:cs="Arial" w:ascii="Arial" w:hAnsi="Arial"/>
          <w:bCs/>
          <w:sz w:val="28"/>
          <w:szCs w:val="28"/>
        </w:rPr>
        <w:t>29.8%</w:t>
      </w:r>
      <w:r>
        <w:rPr>
          <w:rFonts w:ascii="Arial" w:hAnsi="Arial" w:cs="Arial" w:eastAsia="仿宋_GB2312;仿宋"/>
          <w:bCs/>
          <w:sz w:val="28"/>
          <w:szCs w:val="28"/>
        </w:rPr>
        <w:t>和</w:t>
      </w:r>
      <w:r>
        <w:rPr>
          <w:rFonts w:eastAsia="仿宋_GB2312;仿宋" w:cs="Arial" w:ascii="Arial" w:hAnsi="Arial"/>
          <w:bCs/>
          <w:sz w:val="28"/>
          <w:szCs w:val="28"/>
        </w:rPr>
        <w:t>23.4%</w:t>
      </w:r>
      <w:r>
        <w:rPr>
          <w:rFonts w:ascii="Arial" w:hAnsi="Arial" w:cs="Arial" w:eastAsia="仿宋_GB2312;仿宋"/>
          <w:bCs/>
          <w:sz w:val="28"/>
          <w:szCs w:val="28"/>
        </w:rPr>
        <w:t>，汽车类商品零售额增长</w:t>
      </w:r>
      <w:r>
        <w:rPr>
          <w:rFonts w:eastAsia="仿宋_GB2312;仿宋" w:cs="Arial" w:ascii="Arial" w:hAnsi="Arial"/>
          <w:bCs/>
          <w:sz w:val="28"/>
          <w:szCs w:val="28"/>
        </w:rPr>
        <w:t>13.5%</w:t>
      </w:r>
      <w:r>
        <w:rPr>
          <w:rFonts w:ascii="Arial" w:hAnsi="Arial" w:cs="Arial" w:eastAsia="仿宋_GB2312;仿宋"/>
          <w:bCs/>
          <w:sz w:val="28"/>
          <w:szCs w:val="28"/>
        </w:rPr>
        <w:t>，其中，新能源汽车增长</w:t>
      </w:r>
      <w:r>
        <w:rPr>
          <w:rFonts w:eastAsia="仿宋_GB2312;仿宋" w:cs="Arial" w:ascii="Arial" w:hAnsi="Arial"/>
          <w:bCs/>
          <w:sz w:val="28"/>
          <w:szCs w:val="28"/>
        </w:rPr>
        <w:t>38.0%</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ascii="Arial" w:hAnsi="Arial" w:cs="Arial" w:eastAsia="仿宋_GB2312;仿宋"/>
          <w:bCs/>
          <w:sz w:val="28"/>
          <w:szCs w:val="28"/>
        </w:rPr>
        <w:t>（</w:t>
      </w:r>
      <w:r>
        <w:rPr>
          <w:rFonts w:eastAsia="仿宋_GB2312;仿宋" w:cs="Arial" w:ascii="Arial" w:hAnsi="Arial"/>
          <w:bCs/>
          <w:sz w:val="28"/>
          <w:szCs w:val="28"/>
        </w:rPr>
        <w:t>6</w:t>
      </w:r>
      <w:r>
        <w:rPr>
          <w:rFonts w:ascii="Arial" w:hAnsi="Arial" w:cs="Arial" w:eastAsia="仿宋_GB2312;仿宋"/>
          <w:bCs/>
          <w:sz w:val="28"/>
          <w:szCs w:val="28"/>
        </w:rPr>
        <w:t>）居民消费价格平稳运行，工业生产者出厂价格同比下降</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年，全市居民消费价格比上年上涨</w:t>
      </w:r>
      <w:r>
        <w:rPr>
          <w:rFonts w:eastAsia="仿宋_GB2312;仿宋" w:cs="Arial" w:ascii="Arial" w:hAnsi="Arial"/>
          <w:bCs/>
          <w:sz w:val="28"/>
          <w:szCs w:val="28"/>
        </w:rPr>
        <w:t>0.4%</w:t>
      </w:r>
      <w:r>
        <w:rPr>
          <w:rFonts w:ascii="Arial" w:hAnsi="Arial" w:cs="Arial" w:eastAsia="仿宋_GB2312;仿宋"/>
          <w:bCs/>
          <w:sz w:val="28"/>
          <w:szCs w:val="28"/>
        </w:rPr>
        <w:t>。其中，消费品价格下降</w:t>
      </w:r>
      <w:r>
        <w:rPr>
          <w:rFonts w:eastAsia="仿宋_GB2312;仿宋" w:cs="Arial" w:ascii="Arial" w:hAnsi="Arial"/>
          <w:bCs/>
          <w:sz w:val="28"/>
          <w:szCs w:val="28"/>
        </w:rPr>
        <w:t>0.3%</w:t>
      </w:r>
      <w:r>
        <w:rPr>
          <w:rFonts w:ascii="Arial" w:hAnsi="Arial" w:cs="Arial" w:eastAsia="仿宋_GB2312;仿宋"/>
          <w:bCs/>
          <w:sz w:val="28"/>
          <w:szCs w:val="28"/>
        </w:rPr>
        <w:t>，服务价格上涨</w:t>
      </w:r>
      <w:r>
        <w:rPr>
          <w:rFonts w:eastAsia="仿宋_GB2312;仿宋" w:cs="Arial" w:ascii="Arial" w:hAnsi="Arial"/>
          <w:bCs/>
          <w:sz w:val="28"/>
          <w:szCs w:val="28"/>
        </w:rPr>
        <w:t>1.2%</w:t>
      </w:r>
      <w:r>
        <w:rPr>
          <w:rFonts w:ascii="Arial" w:hAnsi="Arial" w:cs="Arial" w:eastAsia="仿宋_GB2312;仿宋"/>
          <w:bCs/>
          <w:sz w:val="28"/>
          <w:szCs w:val="28"/>
        </w:rPr>
        <w:t>。八大类商品和服务项目中，其他用品及服务类价格上涨</w:t>
      </w:r>
      <w:r>
        <w:rPr>
          <w:rFonts w:eastAsia="仿宋_GB2312;仿宋" w:cs="Arial" w:ascii="Arial" w:hAnsi="Arial"/>
          <w:bCs/>
          <w:sz w:val="28"/>
          <w:szCs w:val="28"/>
        </w:rPr>
        <w:t>4.2%</w:t>
      </w:r>
      <w:r>
        <w:rPr>
          <w:rFonts w:ascii="Arial" w:hAnsi="Arial" w:cs="Arial" w:eastAsia="仿宋_GB2312;仿宋"/>
          <w:bCs/>
          <w:sz w:val="28"/>
          <w:szCs w:val="28"/>
        </w:rPr>
        <w:t>，教育文化娱乐类价格上涨</w:t>
      </w:r>
      <w:r>
        <w:rPr>
          <w:rFonts w:eastAsia="仿宋_GB2312;仿宋" w:cs="Arial" w:ascii="Arial" w:hAnsi="Arial"/>
          <w:bCs/>
          <w:sz w:val="28"/>
          <w:szCs w:val="28"/>
        </w:rPr>
        <w:t>2.8%</w:t>
      </w:r>
      <w:r>
        <w:rPr>
          <w:rFonts w:ascii="Arial" w:hAnsi="Arial" w:cs="Arial" w:eastAsia="仿宋_GB2312;仿宋"/>
          <w:bCs/>
          <w:sz w:val="28"/>
          <w:szCs w:val="28"/>
        </w:rPr>
        <w:t>，衣着类价格上涨</w:t>
      </w:r>
      <w:r>
        <w:rPr>
          <w:rFonts w:eastAsia="仿宋_GB2312;仿宋" w:cs="Arial" w:ascii="Arial" w:hAnsi="Arial"/>
          <w:bCs/>
          <w:sz w:val="28"/>
          <w:szCs w:val="28"/>
        </w:rPr>
        <w:t>0.6%</w:t>
      </w:r>
      <w:r>
        <w:rPr>
          <w:rFonts w:ascii="Arial" w:hAnsi="Arial" w:cs="Arial" w:eastAsia="仿宋_GB2312;仿宋"/>
          <w:bCs/>
          <w:sz w:val="28"/>
          <w:szCs w:val="28"/>
        </w:rPr>
        <w:t>，居住类价格上涨</w:t>
      </w:r>
      <w:r>
        <w:rPr>
          <w:rFonts w:eastAsia="仿宋_GB2312;仿宋" w:cs="Arial" w:ascii="Arial" w:hAnsi="Arial"/>
          <w:bCs/>
          <w:sz w:val="28"/>
          <w:szCs w:val="28"/>
        </w:rPr>
        <w:t>0.3%</w:t>
      </w:r>
      <w:r>
        <w:rPr>
          <w:rFonts w:ascii="Arial" w:hAnsi="Arial" w:cs="Arial" w:eastAsia="仿宋_GB2312;仿宋"/>
          <w:bCs/>
          <w:sz w:val="28"/>
          <w:szCs w:val="28"/>
        </w:rPr>
        <w:t>，生活用品及服务类价格上涨</w:t>
      </w:r>
      <w:r>
        <w:rPr>
          <w:rFonts w:eastAsia="仿宋_GB2312;仿宋" w:cs="Arial" w:ascii="Arial" w:hAnsi="Arial"/>
          <w:bCs/>
          <w:sz w:val="28"/>
          <w:szCs w:val="28"/>
        </w:rPr>
        <w:t>0.3%</w:t>
      </w:r>
      <w:r>
        <w:rPr>
          <w:rFonts w:ascii="Arial" w:hAnsi="Arial" w:cs="Arial" w:eastAsia="仿宋_GB2312;仿宋"/>
          <w:bCs/>
          <w:sz w:val="28"/>
          <w:szCs w:val="28"/>
        </w:rPr>
        <w:t>，医疗保健类价格上涨</w:t>
      </w:r>
      <w:r>
        <w:rPr>
          <w:rFonts w:eastAsia="仿宋_GB2312;仿宋" w:cs="Arial" w:ascii="Arial" w:hAnsi="Arial"/>
          <w:bCs/>
          <w:sz w:val="28"/>
          <w:szCs w:val="28"/>
        </w:rPr>
        <w:t>0.2%</w:t>
      </w:r>
      <w:r>
        <w:rPr>
          <w:rFonts w:ascii="Arial" w:hAnsi="Arial" w:cs="Arial" w:eastAsia="仿宋_GB2312;仿宋"/>
          <w:bCs/>
          <w:sz w:val="28"/>
          <w:szCs w:val="28"/>
        </w:rPr>
        <w:t>，食品烟酒类价格上涨</w:t>
      </w:r>
      <w:r>
        <w:rPr>
          <w:rFonts w:eastAsia="仿宋_GB2312;仿宋" w:cs="Arial" w:ascii="Arial" w:hAnsi="Arial"/>
          <w:bCs/>
          <w:sz w:val="28"/>
          <w:szCs w:val="28"/>
        </w:rPr>
        <w:t>0.1%</w:t>
      </w:r>
      <w:r>
        <w:rPr>
          <w:rFonts w:ascii="Arial" w:hAnsi="Arial" w:cs="Arial" w:eastAsia="仿宋_GB2312;仿宋"/>
          <w:bCs/>
          <w:sz w:val="28"/>
          <w:szCs w:val="28"/>
        </w:rPr>
        <w:t>，交通通信类价格下降</w:t>
      </w:r>
      <w:r>
        <w:rPr>
          <w:rFonts w:eastAsia="仿宋_GB2312;仿宋" w:cs="Arial" w:ascii="Arial" w:hAnsi="Arial"/>
          <w:bCs/>
          <w:sz w:val="28"/>
          <w:szCs w:val="28"/>
        </w:rPr>
        <w:t>1.7%</w:t>
      </w:r>
      <w:r>
        <w:rPr>
          <w:rFonts w:ascii="Arial" w:hAnsi="Arial" w:cs="Arial" w:eastAsia="仿宋_GB2312;仿宋"/>
          <w:bCs/>
          <w:sz w:val="28"/>
          <w:szCs w:val="28"/>
        </w:rPr>
        <w:t>。</w:t>
      </w:r>
      <w:r>
        <w:rPr>
          <w:rFonts w:eastAsia="仿宋_GB2312;仿宋" w:cs="Arial" w:ascii="Arial" w:hAnsi="Arial"/>
          <w:bCs/>
          <w:sz w:val="28"/>
          <w:szCs w:val="28"/>
        </w:rPr>
        <w:t>12</w:t>
      </w:r>
      <w:r>
        <w:rPr>
          <w:rFonts w:ascii="Arial" w:hAnsi="Arial" w:cs="Arial" w:eastAsia="仿宋_GB2312;仿宋"/>
          <w:bCs/>
          <w:sz w:val="28"/>
          <w:szCs w:val="28"/>
        </w:rPr>
        <w:t>月份，居民消费价格同比下降</w:t>
      </w:r>
      <w:r>
        <w:rPr>
          <w:rFonts w:eastAsia="仿宋_GB2312;仿宋" w:cs="Arial" w:ascii="Arial" w:hAnsi="Arial"/>
          <w:bCs/>
          <w:sz w:val="28"/>
          <w:szCs w:val="28"/>
        </w:rPr>
        <w:t>0.5%</w:t>
      </w:r>
      <w:r>
        <w:rPr>
          <w:rFonts w:ascii="Arial" w:hAnsi="Arial" w:cs="Arial" w:eastAsia="仿宋_GB2312;仿宋"/>
          <w:bCs/>
          <w:sz w:val="28"/>
          <w:szCs w:val="28"/>
        </w:rPr>
        <w:t>，环比上涨</w:t>
      </w:r>
      <w:r>
        <w:rPr>
          <w:rFonts w:eastAsia="仿宋_GB2312;仿宋" w:cs="Arial" w:ascii="Arial" w:hAnsi="Arial"/>
          <w:bCs/>
          <w:sz w:val="28"/>
          <w:szCs w:val="28"/>
        </w:rPr>
        <w:t>0.1%</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年，全市工业生产者出厂价格比上年下降</w:t>
      </w:r>
      <w:r>
        <w:rPr>
          <w:rFonts w:eastAsia="仿宋_GB2312;仿宋" w:cs="Arial" w:ascii="Arial" w:hAnsi="Arial"/>
          <w:bCs/>
          <w:sz w:val="28"/>
          <w:szCs w:val="28"/>
        </w:rPr>
        <w:t>0.8%</w:t>
      </w:r>
      <w:r>
        <w:rPr>
          <w:rFonts w:ascii="Arial" w:hAnsi="Arial" w:cs="Arial" w:eastAsia="仿宋_GB2312;仿宋"/>
          <w:bCs/>
          <w:sz w:val="28"/>
          <w:szCs w:val="28"/>
        </w:rPr>
        <w:t>，购进价格比上年下降</w:t>
      </w:r>
      <w:r>
        <w:rPr>
          <w:rFonts w:eastAsia="仿宋_GB2312;仿宋" w:cs="Arial" w:ascii="Arial" w:hAnsi="Arial"/>
          <w:bCs/>
          <w:sz w:val="28"/>
          <w:szCs w:val="28"/>
        </w:rPr>
        <w:t>1.3%</w:t>
      </w:r>
      <w:r>
        <w:rPr>
          <w:rFonts w:ascii="Arial" w:hAnsi="Arial" w:cs="Arial" w:eastAsia="仿宋_GB2312;仿宋"/>
          <w:bCs/>
          <w:sz w:val="28"/>
          <w:szCs w:val="28"/>
        </w:rPr>
        <w:t>。</w:t>
      </w:r>
      <w:r>
        <w:rPr>
          <w:rFonts w:eastAsia="仿宋_GB2312;仿宋" w:cs="Arial" w:ascii="Arial" w:hAnsi="Arial"/>
          <w:bCs/>
          <w:sz w:val="28"/>
          <w:szCs w:val="28"/>
        </w:rPr>
        <w:t>12</w:t>
      </w:r>
      <w:r>
        <w:rPr>
          <w:rFonts w:ascii="Arial" w:hAnsi="Arial" w:cs="Arial" w:eastAsia="仿宋_GB2312;仿宋"/>
          <w:bCs/>
          <w:sz w:val="28"/>
          <w:szCs w:val="28"/>
        </w:rPr>
        <w:t>月份，工业生产者出厂价格同比下降</w:t>
      </w:r>
      <w:r>
        <w:rPr>
          <w:rFonts w:eastAsia="仿宋_GB2312;仿宋" w:cs="Arial" w:ascii="Arial" w:hAnsi="Arial"/>
          <w:bCs/>
          <w:sz w:val="28"/>
          <w:szCs w:val="28"/>
        </w:rPr>
        <w:t>0.6%</w:t>
      </w:r>
      <w:r>
        <w:rPr>
          <w:rFonts w:ascii="Arial" w:hAnsi="Arial" w:cs="Arial" w:eastAsia="仿宋_GB2312;仿宋"/>
          <w:bCs/>
          <w:sz w:val="28"/>
          <w:szCs w:val="28"/>
        </w:rPr>
        <w:t>，环比下降</w:t>
      </w:r>
      <w:r>
        <w:rPr>
          <w:rFonts w:eastAsia="仿宋_GB2312;仿宋" w:cs="Arial" w:ascii="Arial" w:hAnsi="Arial"/>
          <w:bCs/>
          <w:sz w:val="28"/>
          <w:szCs w:val="28"/>
        </w:rPr>
        <w:t>0.4%</w:t>
      </w:r>
      <w:r>
        <w:rPr>
          <w:rFonts w:ascii="Arial" w:hAnsi="Arial" w:cs="Arial" w:eastAsia="仿宋_GB2312;仿宋"/>
          <w:bCs/>
          <w:sz w:val="28"/>
          <w:szCs w:val="28"/>
        </w:rPr>
        <w:t>；购进价格同比下降</w:t>
      </w:r>
      <w:r>
        <w:rPr>
          <w:rFonts w:eastAsia="仿宋_GB2312;仿宋" w:cs="Arial" w:ascii="Arial" w:hAnsi="Arial"/>
          <w:bCs/>
          <w:sz w:val="28"/>
          <w:szCs w:val="28"/>
        </w:rPr>
        <w:t>1.1%</w:t>
      </w:r>
      <w:r>
        <w:rPr>
          <w:rFonts w:ascii="Arial" w:hAnsi="Arial" w:cs="Arial" w:eastAsia="仿宋_GB2312;仿宋"/>
          <w:bCs/>
          <w:sz w:val="28"/>
          <w:szCs w:val="28"/>
        </w:rPr>
        <w:t>，环比上涨</w:t>
      </w:r>
      <w:r>
        <w:rPr>
          <w:rFonts w:eastAsia="仿宋_GB2312;仿宋" w:cs="Arial" w:ascii="Arial" w:hAnsi="Arial"/>
          <w:bCs/>
          <w:sz w:val="28"/>
          <w:szCs w:val="28"/>
        </w:rPr>
        <w:t>0.2%</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ascii="Arial" w:hAnsi="Arial" w:cs="Arial" w:eastAsia="仿宋_GB2312;仿宋"/>
          <w:bCs/>
          <w:sz w:val="28"/>
          <w:szCs w:val="28"/>
        </w:rPr>
        <w:t>（</w:t>
      </w:r>
      <w:r>
        <w:rPr>
          <w:rFonts w:eastAsia="仿宋_GB2312;仿宋" w:cs="Arial" w:ascii="Arial" w:hAnsi="Arial"/>
          <w:bCs/>
          <w:sz w:val="28"/>
          <w:szCs w:val="28"/>
        </w:rPr>
        <w:t>7</w:t>
      </w:r>
      <w:r>
        <w:rPr>
          <w:rFonts w:ascii="Arial" w:hAnsi="Arial" w:cs="Arial" w:eastAsia="仿宋_GB2312;仿宋"/>
          <w:bCs/>
          <w:sz w:val="28"/>
          <w:szCs w:val="28"/>
        </w:rPr>
        <w:t>）就业形势总体稳定，居民收入稳步增加</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年，全市城镇调查失业率均值为</w:t>
      </w:r>
      <w:r>
        <w:rPr>
          <w:rFonts w:eastAsia="仿宋_GB2312;仿宋" w:cs="Arial" w:ascii="Arial" w:hAnsi="Arial"/>
          <w:bCs/>
          <w:sz w:val="28"/>
          <w:szCs w:val="28"/>
        </w:rPr>
        <w:t>4.4%</w:t>
      </w:r>
      <w:r>
        <w:rPr>
          <w:rFonts w:ascii="Arial" w:hAnsi="Arial" w:cs="Arial" w:eastAsia="仿宋_GB2312;仿宋"/>
          <w:bCs/>
          <w:sz w:val="28"/>
          <w:szCs w:val="28"/>
        </w:rPr>
        <w:t>，比上年下降</w:t>
      </w:r>
      <w:r>
        <w:rPr>
          <w:rFonts w:eastAsia="仿宋_GB2312;仿宋" w:cs="Arial" w:ascii="Arial" w:hAnsi="Arial"/>
          <w:bCs/>
          <w:sz w:val="28"/>
          <w:szCs w:val="28"/>
        </w:rPr>
        <w:t>0.3</w:t>
      </w:r>
      <w:r>
        <w:rPr>
          <w:rFonts w:ascii="Arial" w:hAnsi="Arial" w:cs="Arial" w:eastAsia="仿宋_GB2312;仿宋"/>
          <w:bCs/>
          <w:sz w:val="28"/>
          <w:szCs w:val="28"/>
        </w:rPr>
        <w:t>个百分点；</w:t>
      </w:r>
      <w:r>
        <w:rPr>
          <w:rFonts w:eastAsia="仿宋_GB2312;仿宋" w:cs="Arial" w:ascii="Arial" w:hAnsi="Arial"/>
          <w:bCs/>
          <w:sz w:val="28"/>
          <w:szCs w:val="28"/>
        </w:rPr>
        <w:t>12</w:t>
      </w:r>
      <w:r>
        <w:rPr>
          <w:rFonts w:ascii="Arial" w:hAnsi="Arial" w:cs="Arial" w:eastAsia="仿宋_GB2312;仿宋"/>
          <w:bCs/>
          <w:sz w:val="28"/>
          <w:szCs w:val="28"/>
        </w:rPr>
        <w:t>月份，全市城镇调查失业率为</w:t>
      </w:r>
      <w:r>
        <w:rPr>
          <w:rFonts w:eastAsia="仿宋_GB2312;仿宋" w:cs="Arial" w:ascii="Arial" w:hAnsi="Arial"/>
          <w:bCs/>
          <w:sz w:val="28"/>
          <w:szCs w:val="28"/>
        </w:rPr>
        <w:t>4.2%</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年，全市居民人均可支配收入</w:t>
      </w:r>
      <w:r>
        <w:rPr>
          <w:rFonts w:eastAsia="仿宋_GB2312;仿宋" w:cs="Arial" w:ascii="Arial" w:hAnsi="Arial"/>
          <w:bCs/>
          <w:sz w:val="28"/>
          <w:szCs w:val="28"/>
        </w:rPr>
        <w:t>81752</w:t>
      </w:r>
      <w:r>
        <w:rPr>
          <w:rFonts w:ascii="Arial" w:hAnsi="Arial" w:cs="Arial" w:eastAsia="仿宋_GB2312;仿宋"/>
          <w:bCs/>
          <w:sz w:val="28"/>
          <w:szCs w:val="28"/>
        </w:rPr>
        <w:t>元，比上年名义增长</w:t>
      </w:r>
      <w:r>
        <w:rPr>
          <w:rFonts w:eastAsia="仿宋_GB2312;仿宋" w:cs="Arial" w:ascii="Arial" w:hAnsi="Arial"/>
          <w:bCs/>
          <w:sz w:val="28"/>
          <w:szCs w:val="28"/>
        </w:rPr>
        <w:t>5.6%</w:t>
      </w:r>
      <w:r>
        <w:rPr>
          <w:rFonts w:ascii="Arial" w:hAnsi="Arial" w:cs="Arial" w:eastAsia="仿宋_GB2312;仿宋"/>
          <w:bCs/>
          <w:sz w:val="28"/>
          <w:szCs w:val="28"/>
        </w:rPr>
        <w:t>，扣除价格因素实际增长</w:t>
      </w:r>
      <w:r>
        <w:rPr>
          <w:rFonts w:eastAsia="仿宋_GB2312;仿宋" w:cs="Arial" w:ascii="Arial" w:hAnsi="Arial"/>
          <w:bCs/>
          <w:sz w:val="28"/>
          <w:szCs w:val="28"/>
        </w:rPr>
        <w:t>5.2%</w:t>
      </w:r>
      <w:r>
        <w:rPr>
          <w:rFonts w:ascii="Arial" w:hAnsi="Arial" w:cs="Arial" w:eastAsia="仿宋_GB2312;仿宋"/>
          <w:bCs/>
          <w:sz w:val="28"/>
          <w:szCs w:val="28"/>
        </w:rPr>
        <w:t>。其中，工资性收入增长</w:t>
      </w:r>
      <w:r>
        <w:rPr>
          <w:rFonts w:eastAsia="仿宋_GB2312;仿宋" w:cs="Arial" w:ascii="Arial" w:hAnsi="Arial"/>
          <w:bCs/>
          <w:sz w:val="28"/>
          <w:szCs w:val="28"/>
        </w:rPr>
        <w:t>8.1%</w:t>
      </w:r>
      <w:r>
        <w:rPr>
          <w:rFonts w:ascii="Arial" w:hAnsi="Arial" w:cs="Arial" w:eastAsia="仿宋_GB2312;仿宋"/>
          <w:bCs/>
          <w:sz w:val="28"/>
          <w:szCs w:val="28"/>
        </w:rPr>
        <w:t>，经营净收入增长</w:t>
      </w:r>
      <w:r>
        <w:rPr>
          <w:rFonts w:eastAsia="仿宋_GB2312;仿宋" w:cs="Arial" w:ascii="Arial" w:hAnsi="Arial"/>
          <w:bCs/>
          <w:sz w:val="28"/>
          <w:szCs w:val="28"/>
        </w:rPr>
        <w:t>13.6%</w:t>
      </w:r>
      <w:r>
        <w:rPr>
          <w:rFonts w:ascii="Arial" w:hAnsi="Arial" w:cs="Arial" w:eastAsia="仿宋_GB2312;仿宋"/>
          <w:bCs/>
          <w:sz w:val="28"/>
          <w:szCs w:val="28"/>
        </w:rPr>
        <w:t>，转移净收入增长</w:t>
      </w:r>
      <w:r>
        <w:rPr>
          <w:rFonts w:eastAsia="仿宋_GB2312;仿宋" w:cs="Arial" w:ascii="Arial" w:hAnsi="Arial"/>
          <w:bCs/>
          <w:sz w:val="28"/>
          <w:szCs w:val="28"/>
        </w:rPr>
        <w:t>2.9%</w:t>
      </w:r>
      <w:r>
        <w:rPr>
          <w:rFonts w:ascii="Arial" w:hAnsi="Arial" w:cs="Arial" w:eastAsia="仿宋_GB2312;仿宋"/>
          <w:bCs/>
          <w:sz w:val="28"/>
          <w:szCs w:val="28"/>
        </w:rPr>
        <w:t>，财产净收入下降</w:t>
      </w:r>
      <w:r>
        <w:rPr>
          <w:rFonts w:eastAsia="仿宋_GB2312;仿宋" w:cs="Arial" w:ascii="Arial" w:hAnsi="Arial"/>
          <w:bCs/>
          <w:sz w:val="28"/>
          <w:szCs w:val="28"/>
        </w:rPr>
        <w:t>1.1%</w:t>
      </w:r>
      <w:r>
        <w:rPr>
          <w:rFonts w:ascii="Arial" w:hAnsi="Arial" w:cs="Arial" w:eastAsia="仿宋_GB2312;仿宋"/>
          <w:bCs/>
          <w:sz w:val="28"/>
          <w:szCs w:val="28"/>
        </w:rPr>
        <w:t>。城镇居民人均可支配收入</w:t>
      </w:r>
      <w:r>
        <w:rPr>
          <w:rFonts w:eastAsia="仿宋_GB2312;仿宋" w:cs="Arial" w:ascii="Arial" w:hAnsi="Arial"/>
          <w:bCs/>
          <w:sz w:val="28"/>
          <w:szCs w:val="28"/>
        </w:rPr>
        <w:t>88650</w:t>
      </w:r>
      <w:r>
        <w:rPr>
          <w:rFonts w:ascii="Arial" w:hAnsi="Arial" w:cs="Arial" w:eastAsia="仿宋_GB2312;仿宋"/>
          <w:bCs/>
          <w:sz w:val="28"/>
          <w:szCs w:val="28"/>
        </w:rPr>
        <w:t>元，比上年增长</w:t>
      </w:r>
      <w:r>
        <w:rPr>
          <w:rFonts w:eastAsia="仿宋_GB2312;仿宋" w:cs="Arial" w:ascii="Arial" w:hAnsi="Arial"/>
          <w:bCs/>
          <w:sz w:val="28"/>
          <w:szCs w:val="28"/>
        </w:rPr>
        <w:t>5.5%</w:t>
      </w:r>
      <w:r>
        <w:rPr>
          <w:rFonts w:ascii="Arial" w:hAnsi="Arial" w:cs="Arial" w:eastAsia="仿宋_GB2312;仿宋"/>
          <w:bCs/>
          <w:sz w:val="28"/>
          <w:szCs w:val="28"/>
        </w:rPr>
        <w:t>，农村居民人均可支配收入</w:t>
      </w:r>
      <w:r>
        <w:rPr>
          <w:rFonts w:eastAsia="仿宋_GB2312;仿宋" w:cs="Arial" w:ascii="Arial" w:hAnsi="Arial"/>
          <w:bCs/>
          <w:sz w:val="28"/>
          <w:szCs w:val="28"/>
        </w:rPr>
        <w:t>37358</w:t>
      </w:r>
      <w:r>
        <w:rPr>
          <w:rFonts w:ascii="Arial" w:hAnsi="Arial" w:cs="Arial" w:eastAsia="仿宋_GB2312;仿宋"/>
          <w:bCs/>
          <w:sz w:val="28"/>
          <w:szCs w:val="28"/>
        </w:rPr>
        <w:t>元，比上年增长</w:t>
      </w:r>
      <w:r>
        <w:rPr>
          <w:rFonts w:eastAsia="仿宋_GB2312;仿宋" w:cs="Arial" w:ascii="Arial" w:hAnsi="Arial"/>
          <w:bCs/>
          <w:sz w:val="28"/>
          <w:szCs w:val="28"/>
        </w:rPr>
        <w:t>7.5%</w:t>
      </w:r>
      <w:r>
        <w:rPr>
          <w:rFonts w:ascii="Arial" w:hAnsi="Arial" w:cs="Arial" w:eastAsia="仿宋_GB2312;仿宋"/>
          <w:bCs/>
          <w:sz w:val="28"/>
          <w:szCs w:val="28"/>
        </w:rPr>
        <w:t>。</w:t>
      </w:r>
    </w:p>
    <w:p>
      <w:pPr>
        <w:pStyle w:val="Normal"/>
        <w:spacing w:lineRule="auto" w:line="360"/>
        <w:ind w:right="205" w:firstLine="560"/>
        <w:jc w:val="both"/>
        <w:rPr>
          <w:rFonts w:ascii="Arial" w:hAnsi="Arial" w:eastAsia="仿宋_GB2312;仿宋" w:cs="Arial"/>
          <w:bCs/>
          <w:sz w:val="28"/>
          <w:szCs w:val="28"/>
        </w:rPr>
      </w:pPr>
      <w:r>
        <w:rPr>
          <w:rFonts w:eastAsia="仿宋_GB2312;仿宋" w:cs="Arial" w:ascii="Arial" w:hAnsi="Arial"/>
          <w:bCs/>
          <w:sz w:val="28"/>
          <w:szCs w:val="28"/>
        </w:rPr>
        <w:t>2023</w:t>
      </w:r>
      <w:r>
        <w:rPr>
          <w:rFonts w:ascii="Arial" w:hAnsi="Arial" w:cs="Arial" w:eastAsia="仿宋_GB2312;仿宋"/>
          <w:bCs/>
          <w:sz w:val="28"/>
          <w:szCs w:val="28"/>
        </w:rPr>
        <w:t>年，全市居民人均消费支出</w:t>
      </w:r>
      <w:r>
        <w:rPr>
          <w:rFonts w:eastAsia="仿宋_GB2312;仿宋" w:cs="Arial" w:ascii="Arial" w:hAnsi="Arial"/>
          <w:bCs/>
          <w:sz w:val="28"/>
          <w:szCs w:val="28"/>
        </w:rPr>
        <w:t>47586</w:t>
      </w:r>
      <w:r>
        <w:rPr>
          <w:rFonts w:ascii="Arial" w:hAnsi="Arial" w:cs="Arial" w:eastAsia="仿宋_GB2312;仿宋"/>
          <w:bCs/>
          <w:sz w:val="28"/>
          <w:szCs w:val="28"/>
        </w:rPr>
        <w:t>元，比上年增长</w:t>
      </w:r>
      <w:r>
        <w:rPr>
          <w:rFonts w:eastAsia="仿宋_GB2312;仿宋" w:cs="Arial" w:ascii="Arial" w:hAnsi="Arial"/>
          <w:bCs/>
          <w:sz w:val="28"/>
          <w:szCs w:val="28"/>
        </w:rPr>
        <w:t>11.5%,</w:t>
      </w:r>
      <w:r>
        <w:rPr>
          <w:rFonts w:ascii="Arial" w:hAnsi="Arial" w:cs="Arial" w:eastAsia="仿宋_GB2312;仿宋"/>
          <w:bCs/>
          <w:sz w:val="28"/>
          <w:szCs w:val="28"/>
        </w:rPr>
        <w:t>其中，城镇居民人均消费支出</w:t>
      </w:r>
      <w:r>
        <w:rPr>
          <w:rFonts w:eastAsia="仿宋_GB2312;仿宋" w:cs="Arial" w:ascii="Arial" w:hAnsi="Arial"/>
          <w:bCs/>
          <w:sz w:val="28"/>
          <w:szCs w:val="28"/>
        </w:rPr>
        <w:t>50897</w:t>
      </w:r>
      <w:r>
        <w:rPr>
          <w:rFonts w:ascii="Arial" w:hAnsi="Arial" w:cs="Arial" w:eastAsia="仿宋_GB2312;仿宋"/>
          <w:bCs/>
          <w:sz w:val="28"/>
          <w:szCs w:val="28"/>
        </w:rPr>
        <w:t>元，增长</w:t>
      </w:r>
      <w:r>
        <w:rPr>
          <w:rFonts w:eastAsia="仿宋_GB2312;仿宋" w:cs="Arial" w:ascii="Arial" w:hAnsi="Arial"/>
          <w:bCs/>
          <w:sz w:val="28"/>
          <w:szCs w:val="28"/>
        </w:rPr>
        <w:t>11.6%</w:t>
      </w:r>
      <w:r>
        <w:rPr>
          <w:rFonts w:ascii="Arial" w:hAnsi="Arial" w:cs="Arial" w:eastAsia="仿宋_GB2312;仿宋"/>
          <w:bCs/>
          <w:sz w:val="28"/>
          <w:szCs w:val="28"/>
        </w:rPr>
        <w:t>，农村居民人均消费支出</w:t>
      </w:r>
      <w:r>
        <w:rPr>
          <w:rFonts w:eastAsia="仿宋_GB2312;仿宋" w:cs="Arial" w:ascii="Arial" w:hAnsi="Arial"/>
          <w:bCs/>
          <w:sz w:val="28"/>
          <w:szCs w:val="28"/>
        </w:rPr>
        <w:t>26277</w:t>
      </w:r>
      <w:r>
        <w:rPr>
          <w:rFonts w:ascii="Arial" w:hAnsi="Arial" w:cs="Arial" w:eastAsia="仿宋_GB2312;仿宋"/>
          <w:bCs/>
          <w:sz w:val="28"/>
          <w:szCs w:val="28"/>
        </w:rPr>
        <w:t>元，增长</w:t>
      </w:r>
      <w:r>
        <w:rPr>
          <w:rFonts w:eastAsia="仿宋_GB2312;仿宋" w:cs="Arial" w:ascii="Arial" w:hAnsi="Arial"/>
          <w:bCs/>
          <w:sz w:val="28"/>
          <w:szCs w:val="28"/>
        </w:rPr>
        <w:t>10.7%</w:t>
      </w:r>
      <w:r>
        <w:rPr>
          <w:rFonts w:ascii="Arial" w:hAnsi="Arial" w:cs="Arial" w:eastAsia="仿宋_GB2312;仿宋"/>
          <w:bCs/>
          <w:sz w:val="28"/>
          <w:szCs w:val="28"/>
        </w:rPr>
        <w:t>。</w:t>
      </w:r>
    </w:p>
    <w:p>
      <w:pPr>
        <w:pStyle w:val="Normal"/>
        <w:overflowPunct w:val="false"/>
        <w:spacing w:lineRule="auto" w:line="360"/>
        <w:ind w:firstLine="560"/>
        <w:jc w:val="both"/>
        <w:rPr>
          <w:rFonts w:ascii="Arial" w:hAnsi="Arial" w:eastAsia="仿宋_GB2312;仿宋" w:cs="Arial"/>
          <w:bCs/>
          <w:color w:val="000000"/>
          <w:sz w:val="28"/>
          <w:szCs w:val="28"/>
        </w:rPr>
      </w:pPr>
      <w:r>
        <w:rPr>
          <w:rFonts w:ascii="Arial" w:hAnsi="Arial" w:cs="Arial" w:eastAsia="仿宋_GB2312;仿宋"/>
          <w:bCs/>
          <w:sz w:val="28"/>
          <w:szCs w:val="28"/>
        </w:rPr>
        <w:t>总的来看，</w:t>
      </w:r>
      <w:r>
        <w:rPr>
          <w:rFonts w:eastAsia="仿宋_GB2312;仿宋" w:cs="Arial" w:ascii="Arial" w:hAnsi="Arial"/>
          <w:bCs/>
          <w:sz w:val="28"/>
          <w:szCs w:val="28"/>
        </w:rPr>
        <w:t>2023</w:t>
      </w:r>
      <w:r>
        <w:rPr>
          <w:rFonts w:ascii="Arial" w:hAnsi="Arial" w:cs="Arial" w:eastAsia="仿宋_GB2312;仿宋"/>
          <w:bCs/>
          <w:sz w:val="28"/>
          <w:szCs w:val="28"/>
        </w:rPr>
        <w:t>年北京市生产需求逐步改善，民生保障坚实有力，发展质量不断提升，经济保持回升向好态势</w:t>
      </w:r>
      <w:r>
        <w:rPr>
          <w:rFonts w:ascii="Arial" w:hAnsi="Arial" w:cs="Arial" w:eastAsia="仿宋_GB2312;仿宋"/>
          <w:bCs/>
          <w:color w:val="000000"/>
          <w:sz w:val="28"/>
          <w:szCs w:val="28"/>
        </w:rPr>
        <w:t>。</w:t>
      </w:r>
    </w:p>
    <w:p>
      <w:pPr>
        <w:pStyle w:val="Normal"/>
        <w:spacing w:lineRule="auto" w:line="360"/>
        <w:jc w:val="both"/>
        <w:rPr>
          <w:rFonts w:ascii="Arial" w:hAnsi="Arial" w:eastAsia="仿宋_GB2312;仿宋" w:cs="Arial"/>
          <w:sz w:val="28"/>
        </w:rPr>
      </w:pPr>
      <w:r>
        <w:rPr>
          <w:rFonts w:ascii="Arial" w:hAnsi="Arial" w:cs="Arial" w:eastAsia="仿宋_GB2312;仿宋"/>
          <w:sz w:val="28"/>
        </w:rPr>
        <w:t>（二）区域因素</w:t>
      </w:r>
    </w:p>
    <w:p>
      <w:pPr>
        <w:pStyle w:val="Normal"/>
        <w:spacing w:lineRule="auto" w:line="360"/>
        <w:ind w:firstLine="560"/>
        <w:rPr>
          <w:rFonts w:ascii="Arial" w:hAnsi="Arial" w:eastAsia="仿宋_GB2312;仿宋" w:cs="Arial"/>
          <w:sz w:val="28"/>
        </w:rPr>
      </w:pPr>
      <w:r>
        <w:rPr>
          <w:rFonts w:eastAsia="仿宋_GB2312;仿宋" w:cs="Arial" w:ascii="Arial" w:hAnsi="Arial"/>
          <w:sz w:val="28"/>
        </w:rPr>
        <w:t xml:space="preserve">1. </w:t>
      </w:r>
      <w:r>
        <w:rPr>
          <w:rFonts w:ascii="Arial" w:hAnsi="Arial" w:cs="Arial" w:eastAsia="仿宋_GB2312;仿宋"/>
          <w:sz w:val="28"/>
        </w:rPr>
        <w:t>位置状况</w:t>
      </w:r>
    </w:p>
    <w:p>
      <w:pPr>
        <w:pStyle w:val="Normal"/>
        <w:spacing w:lineRule="auto" w:line="360"/>
        <w:ind w:firstLine="560"/>
        <w:jc w:val="both"/>
        <w:rPr/>
      </w:pPr>
      <w:r>
        <w:rPr>
          <w:rFonts w:eastAsia="仿宋_GB2312;仿宋" w:cs="楷体_GB2312;楷体" w:ascii="Arial" w:hAnsi="Arial"/>
          <w:sz w:val="28"/>
        </w:rPr>
        <w:t>1</w:t>
      </w:r>
      <w:r>
        <w:rPr>
          <w:rFonts w:eastAsia="仿宋_GB2312;仿宋" w:cs="楷体_GB2312;楷体" w:ascii="仿宋_GB2312;仿宋" w:hAnsi="仿宋_GB2312;仿宋"/>
          <w:sz w:val="28"/>
        </w:rPr>
        <w:t>.</w:t>
      </w:r>
      <w:r>
        <w:rPr>
          <w:rFonts w:ascii="仿宋_GB2312;仿宋" w:hAnsi="仿宋_GB2312;仿宋" w:cs="楷体_GB2312;楷体" w:eastAsia="仿宋_GB2312;仿宋"/>
          <w:sz w:val="28"/>
        </w:rPr>
        <w:t>区域概况</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估价对象所属西三旗地区，区域内交通畅达，地铁</w:t>
      </w:r>
      <w:r>
        <w:rPr>
          <w:rFonts w:eastAsia="仿宋_GB2312;仿宋" w:cs="Arial" w:ascii="Arial" w:hAnsi="Arial"/>
          <w:sz w:val="28"/>
        </w:rPr>
        <w:t>5</w:t>
      </w:r>
      <w:r>
        <w:rPr>
          <w:rFonts w:ascii="Arial" w:hAnsi="Arial" w:cs="Arial" w:eastAsia="仿宋_GB2312;仿宋"/>
          <w:sz w:val="28"/>
        </w:rPr>
        <w:t>号线、</w:t>
      </w:r>
      <w:r>
        <w:rPr>
          <w:rFonts w:eastAsia="仿宋_GB2312;仿宋" w:cs="Arial" w:ascii="Arial" w:hAnsi="Arial"/>
          <w:sz w:val="28"/>
        </w:rPr>
        <w:t>8</w:t>
      </w:r>
      <w:r>
        <w:rPr>
          <w:rFonts w:ascii="Arial" w:hAnsi="Arial" w:cs="Arial" w:eastAsia="仿宋_GB2312;仿宋"/>
          <w:sz w:val="28"/>
        </w:rPr>
        <w:t>号线、</w:t>
      </w:r>
      <w:r>
        <w:rPr>
          <w:rFonts w:eastAsia="仿宋_GB2312;仿宋" w:cs="Arial" w:ascii="Arial" w:hAnsi="Arial"/>
          <w:sz w:val="28"/>
        </w:rPr>
        <w:t>13</w:t>
      </w:r>
      <w:r>
        <w:rPr>
          <w:rFonts w:ascii="Arial" w:hAnsi="Arial" w:cs="Arial" w:eastAsia="仿宋_GB2312;仿宋"/>
          <w:sz w:val="28"/>
        </w:rPr>
        <w:t>号线以及</w:t>
      </w:r>
      <w:r>
        <w:rPr>
          <w:rFonts w:eastAsia="仿宋_GB2312;仿宋" w:cs="Arial" w:ascii="Arial" w:hAnsi="Arial"/>
          <w:sz w:val="28"/>
        </w:rPr>
        <w:t>10</w:t>
      </w:r>
      <w:r>
        <w:rPr>
          <w:rFonts w:ascii="Arial" w:hAnsi="Arial" w:cs="Arial" w:eastAsia="仿宋_GB2312;仿宋"/>
          <w:sz w:val="28"/>
        </w:rPr>
        <w:t>余条公交线交汇而行。林萃路、安立路、京藏高速直达北京中心城区。配套较齐全，回龙观、清河、奥运村三大商圈环绕，随着北京大学人民医院（海淀分院）入驻该地区，使得该地区配套设施更加完备。海淀教育资源丰富，清华大学、北京大学、北京航空航天大学、北京科技大学等八大学府环伺；北京师大二附中国际部、北京石油学院附属实验小学、龙岗路幼儿园周边林立，优质教育资源自成一脉。</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估价对象位于北京市海淀区西三旗建材城中路</w:t>
      </w:r>
      <w:r>
        <w:rPr>
          <w:rFonts w:eastAsia="仿宋_GB2312;仿宋" w:cs="Arial" w:ascii="Arial" w:hAnsi="Arial"/>
          <w:sz w:val="28"/>
        </w:rPr>
        <w:t>2</w:t>
      </w:r>
      <w:r>
        <w:rPr>
          <w:rFonts w:ascii="Arial" w:hAnsi="Arial" w:cs="Arial" w:eastAsia="仿宋_GB2312;仿宋"/>
          <w:sz w:val="28"/>
        </w:rPr>
        <w:t>号，地铁</w:t>
      </w:r>
      <w:r>
        <w:rPr>
          <w:rFonts w:eastAsia="仿宋_GB2312;仿宋" w:cs="Arial" w:ascii="Arial" w:hAnsi="Arial"/>
          <w:sz w:val="28"/>
        </w:rPr>
        <w:t>13</w:t>
      </w:r>
      <w:r>
        <w:rPr>
          <w:rFonts w:ascii="Arial" w:hAnsi="Arial" w:cs="Arial" w:eastAsia="仿宋_GB2312;仿宋"/>
          <w:sz w:val="28"/>
        </w:rPr>
        <w:t>号线霍营站东南侧。属于海淀区西三旗街道，靠近昌平区与朝阳区边界。</w:t>
      </w:r>
    </w:p>
    <w:p>
      <w:pPr>
        <w:pStyle w:val="Normal"/>
        <w:spacing w:lineRule="auto" w:line="360"/>
        <w:ind w:firstLine="560"/>
        <w:rPr>
          <w:rFonts w:ascii="Arial" w:hAnsi="Arial" w:eastAsia="仿宋_GB2312;仿宋" w:cs="Arial"/>
          <w:sz w:val="28"/>
        </w:rPr>
      </w:pPr>
      <w:r>
        <w:rPr>
          <w:rFonts w:eastAsia="仿宋_GB2312;仿宋" w:cs="Arial" w:ascii="Arial" w:hAnsi="Arial"/>
          <w:sz w:val="28"/>
        </w:rPr>
        <w:t>2.</w:t>
      </w:r>
      <w:r>
        <w:rPr>
          <w:rFonts w:ascii="Arial" w:hAnsi="Arial" w:cs="Arial" w:eastAsia="仿宋_GB2312;仿宋"/>
          <w:sz w:val="28"/>
        </w:rPr>
        <w:t>产业聚集度</w:t>
      </w:r>
    </w:p>
    <w:p>
      <w:pPr>
        <w:pStyle w:val="Normal"/>
        <w:spacing w:lineRule="auto" w:line="360"/>
        <w:ind w:firstLine="560"/>
        <w:rPr>
          <w:rFonts w:ascii="Arial" w:hAnsi="Arial" w:eastAsia="仿宋_GB2312;仿宋" w:cs="Arial"/>
          <w:sz w:val="28"/>
        </w:rPr>
      </w:pPr>
      <w:r>
        <w:rPr>
          <w:rFonts w:ascii="Arial" w:hAnsi="Arial" w:cs="Arial" w:eastAsia="仿宋_GB2312;仿宋"/>
          <w:sz w:val="28"/>
        </w:rPr>
        <w:t>估价对象位于北五环外，工业六级</w:t>
      </w:r>
      <w:r>
        <w:rPr>
          <w:rFonts w:eastAsia="仿宋_GB2312;仿宋" w:cs="Arial" w:ascii="Arial" w:hAnsi="Arial"/>
          <w:sz w:val="28"/>
        </w:rPr>
        <w:t>VI-01</w:t>
      </w:r>
      <w:r>
        <w:rPr>
          <w:rFonts w:ascii="Arial" w:hAnsi="Arial" w:cs="Arial" w:eastAsia="仿宋_GB2312;仿宋"/>
          <w:sz w:val="28"/>
        </w:rPr>
        <w:t>地价片区</w:t>
      </w:r>
      <w:r>
        <w:rPr>
          <w:rFonts w:ascii="Arial" w:hAnsi="Arial" w:cs="Arial" w:eastAsia="仿宋_GB2312;仿宋"/>
          <w:sz w:val="28"/>
        </w:rPr>
        <w:t>，受城市经济发展扩大的影响，该区域有少量工业用地，如永丰高新技术产业园、东升科技园等产业园区，规模一般，</w:t>
      </w:r>
      <w:r>
        <w:rPr>
          <w:rFonts w:ascii="Arial" w:hAnsi="Arial" w:cs="Arial" w:eastAsia="仿宋_GB2312;仿宋"/>
          <w:sz w:val="28"/>
        </w:rPr>
        <w:t>产业集聚程度</w:t>
      </w:r>
      <w:r>
        <w:rPr>
          <w:rFonts w:ascii="Arial" w:hAnsi="Arial" w:cs="Arial" w:eastAsia="仿宋_GB2312;仿宋"/>
          <w:sz w:val="28"/>
        </w:rPr>
        <w:t>一般</w:t>
      </w:r>
      <w:r>
        <w:rPr>
          <w:rFonts w:ascii="Arial" w:hAnsi="Arial" w:cs="Arial" w:eastAsia="仿宋_GB2312;仿宋"/>
          <w:sz w:val="28"/>
        </w:rPr>
        <w:t>。</w:t>
      </w:r>
    </w:p>
    <w:p>
      <w:pPr>
        <w:pStyle w:val="Normal"/>
        <w:spacing w:lineRule="auto" w:line="360"/>
        <w:ind w:firstLine="560"/>
        <w:rPr>
          <w:rFonts w:ascii="Arial" w:hAnsi="Arial" w:eastAsia="仿宋_GB2312;仿宋" w:cs="Arial"/>
          <w:sz w:val="28"/>
        </w:rPr>
      </w:pPr>
      <w:r>
        <w:rPr>
          <w:rFonts w:eastAsia="仿宋_GB2312;仿宋" w:cs="Arial" w:ascii="Arial" w:hAnsi="Arial"/>
          <w:sz w:val="28"/>
        </w:rPr>
        <w:t>3.</w:t>
      </w:r>
      <w:r>
        <w:rPr>
          <w:rFonts w:ascii="Arial" w:hAnsi="Arial" w:cs="Arial" w:eastAsia="仿宋_GB2312;仿宋"/>
          <w:sz w:val="28"/>
        </w:rPr>
        <w:t>交通便捷度</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估价对象所在区域交通道路有</w:t>
      </w:r>
      <w:r>
        <w:rPr>
          <w:rFonts w:eastAsia="仿宋_GB2312;仿宋" w:cs="Arial" w:ascii="Arial" w:hAnsi="Arial"/>
          <w:sz w:val="28"/>
        </w:rPr>
        <w:t>G6</w:t>
      </w:r>
      <w:r>
        <w:rPr>
          <w:rFonts w:ascii="Arial" w:hAnsi="Arial" w:cs="Arial" w:eastAsia="仿宋_GB2312;仿宋"/>
          <w:sz w:val="28"/>
        </w:rPr>
        <w:t>高速公路、建材城西路、后屯路、黄平路等，区域路网密集程度好，对外交通状况较好。</w:t>
      </w:r>
    </w:p>
    <w:p>
      <w:pPr>
        <w:pStyle w:val="Normal"/>
        <w:spacing w:lineRule="auto" w:line="360"/>
        <w:ind w:firstLine="560"/>
        <w:rPr>
          <w:rFonts w:ascii="Arial" w:hAnsi="Arial" w:eastAsia="仿宋_GB2312;仿宋" w:cs="Arial"/>
          <w:sz w:val="28"/>
        </w:rPr>
      </w:pPr>
      <w:r>
        <w:rPr>
          <w:rFonts w:ascii="Arial" w:hAnsi="Arial" w:cs="Arial" w:eastAsia="仿宋_GB2312;仿宋"/>
          <w:sz w:val="28"/>
        </w:rPr>
        <w:t>估价对象的周边有</w:t>
      </w:r>
      <w:r>
        <w:rPr>
          <w:rFonts w:eastAsia="仿宋_GB2312;仿宋" w:cs="Arial" w:ascii="Arial" w:hAnsi="Arial"/>
          <w:sz w:val="28"/>
        </w:rPr>
        <w:t>315</w:t>
      </w:r>
      <w:r>
        <w:rPr>
          <w:rFonts w:ascii="Arial" w:hAnsi="Arial" w:cs="Arial" w:eastAsia="仿宋_GB2312;仿宋"/>
          <w:sz w:val="28"/>
        </w:rPr>
        <w:t>路、</w:t>
      </w:r>
      <w:r>
        <w:rPr>
          <w:rFonts w:eastAsia="仿宋_GB2312;仿宋" w:cs="Arial" w:ascii="Arial" w:hAnsi="Arial"/>
          <w:sz w:val="28"/>
        </w:rPr>
        <w:t>462</w:t>
      </w:r>
      <w:r>
        <w:rPr>
          <w:rFonts w:ascii="Arial" w:hAnsi="Arial" w:cs="Arial" w:eastAsia="仿宋_GB2312;仿宋"/>
          <w:sz w:val="28"/>
        </w:rPr>
        <w:t>路、</w:t>
      </w:r>
      <w:r>
        <w:rPr>
          <w:rFonts w:eastAsia="仿宋_GB2312;仿宋" w:cs="Arial" w:ascii="Arial" w:hAnsi="Arial"/>
          <w:sz w:val="28"/>
        </w:rPr>
        <w:t>520</w:t>
      </w:r>
      <w:r>
        <w:rPr>
          <w:rFonts w:ascii="Arial" w:hAnsi="Arial" w:cs="Arial" w:eastAsia="仿宋_GB2312;仿宋"/>
          <w:sz w:val="28"/>
        </w:rPr>
        <w:t>路、运通</w:t>
      </w:r>
      <w:r>
        <w:rPr>
          <w:rFonts w:eastAsia="仿宋_GB2312;仿宋" w:cs="Arial" w:ascii="Arial" w:hAnsi="Arial"/>
          <w:sz w:val="28"/>
        </w:rPr>
        <w:t>119</w:t>
      </w:r>
      <w:r>
        <w:rPr>
          <w:rFonts w:ascii="Arial" w:hAnsi="Arial" w:cs="Arial" w:eastAsia="仿宋_GB2312;仿宋"/>
          <w:sz w:val="28"/>
        </w:rPr>
        <w:t>路</w:t>
      </w:r>
      <w:r>
        <w:rPr>
          <w:rFonts w:ascii="Arial" w:hAnsi="Arial" w:cs="Arial" w:eastAsia="仿宋_GB2312;仿宋"/>
          <w:sz w:val="28"/>
        </w:rPr>
        <w:t>等多</w:t>
      </w:r>
      <w:r>
        <w:rPr>
          <w:rFonts w:ascii="Arial" w:hAnsi="Arial" w:cs="Arial" w:eastAsia="仿宋_GB2312;仿宋"/>
          <w:sz w:val="28"/>
        </w:rPr>
        <w:t>条公交线路经过，</w:t>
      </w:r>
      <w:r>
        <w:rPr>
          <w:rFonts w:ascii="Arial" w:hAnsi="Arial" w:cs="Arial" w:eastAsia="仿宋_GB2312;仿宋"/>
          <w:sz w:val="28"/>
        </w:rPr>
        <w:t>距地铁</w:t>
      </w:r>
      <w:r>
        <w:rPr>
          <w:rFonts w:eastAsia="仿宋_GB2312;仿宋" w:cs="Arial" w:ascii="Arial" w:hAnsi="Arial"/>
          <w:sz w:val="28"/>
        </w:rPr>
        <w:t>13</w:t>
      </w:r>
      <w:r>
        <w:rPr>
          <w:rFonts w:ascii="Arial" w:hAnsi="Arial" w:cs="Arial" w:eastAsia="仿宋_GB2312;仿宋"/>
          <w:sz w:val="28"/>
        </w:rPr>
        <w:t>号线霍营站约</w:t>
      </w:r>
      <w:r>
        <w:rPr>
          <w:rFonts w:eastAsia="仿宋_GB2312;仿宋" w:cs="Arial" w:ascii="Arial" w:hAnsi="Arial"/>
          <w:sz w:val="28"/>
        </w:rPr>
        <w:t>0.8</w:t>
      </w:r>
      <w:r>
        <w:rPr>
          <w:rFonts w:ascii="Arial" w:hAnsi="Arial" w:cs="Arial" w:eastAsia="仿宋_GB2312;仿宋"/>
          <w:sz w:val="28"/>
        </w:rPr>
        <w:t>公里，</w:t>
      </w:r>
      <w:r>
        <w:rPr>
          <w:rFonts w:ascii="Arial" w:hAnsi="Arial" w:cs="Arial" w:eastAsia="仿宋_GB2312;仿宋"/>
          <w:sz w:val="28"/>
        </w:rPr>
        <w:t>综合评价交通便捷度较好。</w:t>
      </w:r>
    </w:p>
    <w:p>
      <w:pPr>
        <w:pStyle w:val="Normal"/>
        <w:spacing w:lineRule="auto" w:line="360"/>
        <w:ind w:firstLine="560"/>
        <w:rPr>
          <w:rFonts w:ascii="Arial" w:hAnsi="Arial" w:eastAsia="仿宋_GB2312;仿宋" w:cs="Arial"/>
          <w:sz w:val="28"/>
        </w:rPr>
      </w:pPr>
      <w:r>
        <w:rPr>
          <w:rFonts w:eastAsia="仿宋_GB2312;仿宋" w:cs="Arial" w:ascii="Arial" w:hAnsi="Arial"/>
          <w:sz w:val="28"/>
        </w:rPr>
        <w:t>4.</w:t>
      </w:r>
      <w:r>
        <w:rPr>
          <w:rFonts w:ascii="Arial" w:hAnsi="Arial" w:cs="Arial" w:eastAsia="仿宋_GB2312;仿宋"/>
          <w:sz w:val="28"/>
        </w:rPr>
        <w:t>环境状况</w:t>
      </w:r>
    </w:p>
    <w:p>
      <w:pPr>
        <w:pStyle w:val="Normal"/>
        <w:spacing w:lineRule="auto" w:line="360"/>
        <w:ind w:firstLine="560"/>
        <w:rPr>
          <w:rFonts w:ascii="Arial" w:hAnsi="Arial" w:eastAsia="仿宋_GB2312;仿宋" w:cs="Arial"/>
          <w:sz w:val="28"/>
        </w:rPr>
      </w:pPr>
      <w:r>
        <w:rPr>
          <w:rFonts w:ascii="Arial" w:hAnsi="Arial" w:cs="Arial" w:eastAsia="仿宋_GB2312;仿宋"/>
          <w:sz w:val="28"/>
        </w:rPr>
        <w:t>估价对象所在区域内有东小口森林公园等绿地，该区域内无重污染型企业，绿化条件较好，卫生条件良好，整体环境状况良好。</w:t>
      </w:r>
    </w:p>
    <w:p>
      <w:pPr>
        <w:pStyle w:val="Normal"/>
        <w:spacing w:lineRule="auto" w:line="360"/>
        <w:ind w:firstLine="560"/>
        <w:rPr>
          <w:rFonts w:ascii="Arial" w:hAnsi="Arial" w:eastAsia="仿宋_GB2312;仿宋" w:cs="Arial"/>
          <w:sz w:val="28"/>
        </w:rPr>
      </w:pPr>
      <w:r>
        <w:rPr>
          <w:rFonts w:eastAsia="仿宋_GB2312;仿宋" w:cs="Arial" w:ascii="Arial" w:hAnsi="Arial"/>
          <w:sz w:val="28"/>
        </w:rPr>
        <w:t>5.</w:t>
      </w:r>
      <w:r>
        <w:rPr>
          <w:rFonts w:ascii="Arial" w:hAnsi="Arial" w:cs="Arial" w:eastAsia="仿宋_GB2312;仿宋"/>
          <w:sz w:val="28"/>
        </w:rPr>
        <w:t>公共配套设施状况</w:t>
      </w:r>
    </w:p>
    <w:p>
      <w:pPr>
        <w:pStyle w:val="Normal"/>
        <w:spacing w:lineRule="auto" w:line="360"/>
        <w:ind w:firstLine="560"/>
        <w:rPr>
          <w:rFonts w:ascii="Arial" w:hAnsi="Arial" w:eastAsia="仿宋_GB2312;仿宋" w:cs="Arial"/>
          <w:sz w:val="28"/>
        </w:rPr>
      </w:pPr>
      <w:r>
        <w:rPr>
          <w:rFonts w:ascii="Arial" w:hAnsi="Arial" w:cs="Arial" w:eastAsia="仿宋_GB2312;仿宋"/>
          <w:sz w:val="28"/>
        </w:rPr>
        <w:t>估价对象所处区域目前已拥有</w:t>
      </w:r>
      <w:r>
        <w:rPr>
          <w:rFonts w:ascii="Arial" w:hAnsi="Arial" w:cs="Arial" w:eastAsia="仿宋_GB2312;仿宋"/>
          <w:sz w:val="28"/>
        </w:rPr>
        <w:t>较</w:t>
      </w:r>
      <w:r>
        <w:rPr>
          <w:rFonts w:ascii="Arial" w:hAnsi="Arial" w:cs="Arial" w:eastAsia="仿宋_GB2312;仿宋"/>
          <w:sz w:val="28"/>
        </w:rPr>
        <w:t>完善的基础设施配套保障，区内大部分区域基础设施配套目前可达到</w:t>
      </w:r>
      <w:r>
        <w:rPr>
          <w:rFonts w:ascii="Arial" w:hAnsi="Arial" w:cs="Arial" w:eastAsia="仿宋_GB2312;仿宋"/>
          <w:sz w:val="28"/>
        </w:rPr>
        <w:t>”七通”（即通路、通上水、通下水、通燃气、通电、通讯、通热）</w:t>
      </w:r>
      <w:r>
        <w:rPr>
          <w:rFonts w:ascii="Arial" w:hAnsi="Arial" w:cs="Arial" w:eastAsia="仿宋_GB2312;仿宋"/>
          <w:sz w:val="28"/>
        </w:rPr>
        <w:t>条件，保证程度</w:t>
      </w:r>
      <w:r>
        <w:rPr>
          <w:rFonts w:ascii="Arial" w:hAnsi="Arial" w:cs="Arial" w:eastAsia="仿宋_GB2312;仿宋"/>
          <w:sz w:val="28"/>
        </w:rPr>
        <w:t>好</w:t>
      </w:r>
      <w:r>
        <w:rPr>
          <w:rFonts w:ascii="Arial" w:hAnsi="Arial" w:cs="Arial" w:eastAsia="仿宋_GB2312;仿宋"/>
          <w:sz w:val="28"/>
        </w:rPr>
        <w:t>。</w:t>
      </w:r>
    </w:p>
    <w:p>
      <w:pPr>
        <w:pStyle w:val="Normal"/>
        <w:spacing w:lineRule="auto" w:line="360"/>
        <w:ind w:firstLine="560"/>
        <w:jc w:val="both"/>
        <w:rPr>
          <w:rFonts w:ascii="Arial" w:hAnsi="Arial" w:eastAsia="仿宋_GB2312;仿宋" w:cs="Arial"/>
          <w:sz w:val="28"/>
        </w:rPr>
      </w:pPr>
      <w:r>
        <w:rPr>
          <w:rFonts w:ascii="仿宋_GB2312;仿宋" w:hAnsi="仿宋_GB2312;仿宋" w:cs="楷体_GB2312;楷体" w:eastAsia="仿宋_GB2312;仿宋"/>
          <w:sz w:val="28"/>
        </w:rPr>
        <w:t>综上</w:t>
      </w:r>
      <w:r>
        <w:rPr>
          <w:rFonts w:ascii="仿宋_GB2312;仿宋" w:hAnsi="仿宋_GB2312;仿宋" w:cs="楷体_GB2312;楷体" w:eastAsia="仿宋_GB2312;仿宋"/>
          <w:sz w:val="28"/>
        </w:rPr>
        <w:t>所述</w:t>
      </w:r>
      <w:r>
        <w:rPr>
          <w:rFonts w:ascii="仿宋_GB2312;仿宋" w:hAnsi="仿宋_GB2312;仿宋" w:cs="楷体_GB2312;楷体" w:eastAsia="仿宋_GB2312;仿宋"/>
          <w:sz w:val="28"/>
        </w:rPr>
        <w:t>，估价对象所处区域区位条件</w:t>
      </w:r>
      <w:r>
        <w:rPr>
          <w:rFonts w:ascii="仿宋_GB2312;仿宋" w:hAnsi="仿宋_GB2312;仿宋" w:cs="楷体_GB2312;楷体" w:eastAsia="仿宋_GB2312;仿宋"/>
          <w:sz w:val="28"/>
        </w:rPr>
        <w:t>状况好，</w:t>
      </w:r>
      <w:r>
        <w:rPr>
          <w:rFonts w:ascii="Arial" w:hAnsi="Arial" w:cs="Arial" w:eastAsia="仿宋_GB2312;仿宋"/>
          <w:sz w:val="28"/>
        </w:rPr>
        <w:t>交通便捷度</w:t>
      </w:r>
      <w:r>
        <w:rPr>
          <w:rFonts w:ascii="Arial" w:hAnsi="Arial" w:cs="Arial" w:eastAsia="仿宋_GB2312;仿宋"/>
          <w:sz w:val="28"/>
        </w:rPr>
        <w:t>较好</w:t>
      </w:r>
      <w:r>
        <w:rPr>
          <w:rFonts w:ascii="仿宋_GB2312;仿宋" w:hAnsi="仿宋_GB2312;仿宋" w:cs="楷体_GB2312;楷体" w:eastAsia="仿宋_GB2312;仿宋"/>
          <w:sz w:val="28"/>
        </w:rPr>
        <w:t>，环境状况较好，</w:t>
      </w:r>
      <w:r>
        <w:rPr>
          <w:rFonts w:ascii="Arial" w:hAnsi="Arial" w:cs="Arial" w:eastAsia="仿宋_GB2312;仿宋"/>
          <w:sz w:val="28"/>
        </w:rPr>
        <w:t>基础设施配套完善度好，</w:t>
      </w:r>
      <w:r>
        <w:rPr>
          <w:rFonts w:ascii="Arial" w:hAnsi="Arial" w:cs="Arial" w:eastAsia="仿宋_GB2312;仿宋"/>
          <w:sz w:val="28"/>
        </w:rPr>
        <w:t>产业集聚程度</w:t>
      </w:r>
      <w:r>
        <w:rPr>
          <w:rFonts w:ascii="Arial" w:hAnsi="Arial" w:cs="Arial" w:eastAsia="仿宋_GB2312;仿宋"/>
          <w:sz w:val="28"/>
        </w:rPr>
        <w:t>一般</w:t>
      </w:r>
      <w:r>
        <w:rPr>
          <w:rFonts w:ascii="仿宋_GB2312;仿宋" w:hAnsi="仿宋_GB2312;仿宋" w:cs="楷体_GB2312;楷体" w:eastAsia="仿宋_GB2312;仿宋"/>
          <w:sz w:val="28"/>
        </w:rPr>
        <w:t>，</w:t>
      </w:r>
      <w:r>
        <w:rPr>
          <w:rFonts w:ascii="Arial" w:hAnsi="Arial" w:cs="Arial" w:eastAsia="仿宋_GB2312;仿宋"/>
          <w:sz w:val="28"/>
        </w:rPr>
        <w:t>区域土地利用方向</w:t>
      </w:r>
      <w:r>
        <w:rPr>
          <w:rFonts w:ascii="Arial" w:hAnsi="Arial" w:cs="Arial" w:eastAsia="仿宋_GB2312;仿宋"/>
          <w:sz w:val="28"/>
        </w:rPr>
        <w:t>一般，</w:t>
      </w:r>
      <w:r>
        <w:rPr>
          <w:rFonts w:ascii="仿宋_GB2312;仿宋" w:hAnsi="仿宋_GB2312;仿宋" w:cs="楷体_GB2312;楷体" w:eastAsia="仿宋_GB2312;仿宋"/>
          <w:sz w:val="28"/>
        </w:rPr>
        <w:t>总体评价影响估价对象的区域因素</w:t>
      </w:r>
      <w:r>
        <w:rPr>
          <w:rFonts w:ascii="仿宋_GB2312;仿宋" w:hAnsi="仿宋_GB2312;仿宋" w:cs="楷体_GB2312;楷体" w:eastAsia="仿宋_GB2312;仿宋"/>
          <w:sz w:val="28"/>
        </w:rPr>
        <w:t>较</w:t>
      </w:r>
      <w:r>
        <w:rPr>
          <w:rFonts w:ascii="仿宋_GB2312;仿宋" w:hAnsi="仿宋_GB2312;仿宋" w:cs="楷体_GB2312;楷体" w:eastAsia="仿宋_GB2312;仿宋"/>
          <w:sz w:val="28"/>
        </w:rPr>
        <w:t>优。</w:t>
      </w:r>
    </w:p>
    <w:p>
      <w:pPr>
        <w:pStyle w:val="Normal"/>
        <w:spacing w:lineRule="auto" w:line="360"/>
        <w:jc w:val="both"/>
        <w:rPr>
          <w:rFonts w:ascii="Arial" w:hAnsi="Arial" w:eastAsia="仿宋_GB2312;仿宋" w:cs="Arial"/>
          <w:sz w:val="28"/>
        </w:rPr>
      </w:pPr>
      <w:r>
        <w:rPr>
          <w:rFonts w:ascii="Arial" w:hAnsi="Arial" w:cs="Arial" w:eastAsia="仿宋_GB2312;仿宋"/>
          <w:sz w:val="28"/>
        </w:rPr>
        <w:t>（三）个别因素</w:t>
      </w:r>
    </w:p>
    <w:p>
      <w:pPr>
        <w:pStyle w:val="Normal"/>
        <w:spacing w:lineRule="auto" w:line="360"/>
        <w:ind w:firstLine="560"/>
        <w:jc w:val="both"/>
        <w:rPr/>
      </w:pPr>
      <w:r>
        <w:rPr>
          <w:rFonts w:eastAsia="仿宋_GB2312;仿宋" w:cs="Arial" w:ascii="Arial" w:hAnsi="Arial"/>
          <w:sz w:val="28"/>
        </w:rPr>
        <w:t>1.</w:t>
      </w:r>
      <w:r>
        <w:rPr>
          <w:rFonts w:ascii="Arial" w:hAnsi="Arial" w:cs="Arial" w:eastAsia="仿宋_GB2312;仿宋"/>
          <w:sz w:val="28"/>
        </w:rPr>
        <w:t>估价对象位置：估价对象位于海淀区建材城中路</w:t>
      </w:r>
      <w:r>
        <w:rPr>
          <w:rFonts w:eastAsia="仿宋_GB2312;仿宋" w:cs="Arial" w:ascii="Arial" w:hAnsi="Arial"/>
          <w:sz w:val="28"/>
        </w:rPr>
        <w:t>2</w:t>
      </w:r>
      <w:r>
        <w:rPr>
          <w:rFonts w:ascii="Arial" w:hAnsi="Arial" w:cs="Arial" w:eastAsia="仿宋_GB2312;仿宋"/>
          <w:sz w:val="28"/>
        </w:rPr>
        <w:t>号。根据《北京市人民政府关于更新出让国有建设用地使用权基准地价的通知》</w:t>
      </w:r>
      <w:r>
        <w:rPr>
          <w:rFonts w:eastAsia="仿宋_GB2312;仿宋" w:cs="Arial" w:ascii="Arial" w:hAnsi="Arial"/>
          <w:sz w:val="28"/>
        </w:rPr>
        <w:t>[</w:t>
      </w:r>
      <w:r>
        <w:rPr>
          <w:rFonts w:ascii="Arial" w:hAnsi="Arial" w:cs="Arial" w:eastAsia="仿宋_GB2312;仿宋"/>
          <w:sz w:val="28"/>
        </w:rPr>
        <w:t>京政发（</w:t>
      </w:r>
      <w:r>
        <w:rPr>
          <w:rFonts w:eastAsia="仿宋_GB2312;仿宋" w:cs="Arial" w:ascii="Arial" w:hAnsi="Arial"/>
          <w:sz w:val="28"/>
        </w:rPr>
        <w:t>2022</w:t>
      </w:r>
      <w:r>
        <w:rPr>
          <w:rFonts w:ascii="Arial" w:hAnsi="Arial" w:cs="Arial" w:eastAsia="仿宋_GB2312;仿宋"/>
          <w:sz w:val="28"/>
        </w:rPr>
        <w:t>）</w:t>
      </w:r>
      <w:r>
        <w:rPr>
          <w:rFonts w:eastAsia="仿宋_GB2312;仿宋" w:cs="Arial" w:ascii="Arial" w:hAnsi="Arial"/>
          <w:sz w:val="28"/>
        </w:rPr>
        <w:t>12</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的规定，估价对象属于工业类六级地价区</w:t>
      </w:r>
      <w:r>
        <w:rPr>
          <w:rFonts w:eastAsia="仿宋_GB2312;仿宋" w:cs="Arial" w:ascii="Arial" w:hAnsi="Arial"/>
          <w:sz w:val="28"/>
        </w:rPr>
        <w:t>VI-01</w:t>
      </w:r>
      <w:r>
        <w:rPr>
          <w:rFonts w:ascii="Arial" w:hAnsi="Arial" w:cs="Arial" w:eastAsia="仿宋_GB2312;仿宋"/>
          <w:sz w:val="28"/>
        </w:rPr>
        <w:t>区片。</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2.</w:t>
      </w:r>
      <w:r>
        <w:rPr>
          <w:rFonts w:ascii="Arial" w:hAnsi="Arial" w:cs="Arial" w:eastAsia="仿宋_GB2312;仿宋"/>
          <w:sz w:val="28"/>
        </w:rPr>
        <w:t>宗地规划用途、面积</w:t>
      </w:r>
    </w:p>
    <w:p>
      <w:pPr>
        <w:pStyle w:val="Normal"/>
        <w:spacing w:lineRule="auto" w:line="360"/>
        <w:ind w:firstLine="560"/>
        <w:jc w:val="both"/>
        <w:rPr/>
      </w:pPr>
      <w:r>
        <w:rPr>
          <w:rFonts w:ascii="Arial" w:hAnsi="Arial" w:cs="Arial" w:eastAsia="仿宋_GB2312;仿宋"/>
          <w:sz w:val="28"/>
        </w:rPr>
        <w:t>估价对象登记土地用途为工业，为最佳最有效用途。</w:t>
      </w:r>
    </w:p>
    <w:p>
      <w:pPr>
        <w:pStyle w:val="Normal"/>
        <w:spacing w:lineRule="auto" w:line="360"/>
        <w:ind w:firstLine="512"/>
        <w:jc w:val="both"/>
        <w:rPr>
          <w:rFonts w:ascii="Arial" w:hAnsi="Arial" w:eastAsia="仿宋_GB2312;仿宋" w:cs="Arial"/>
          <w:bCs/>
          <w:kern w:val="2"/>
          <w:sz w:val="28"/>
        </w:rPr>
      </w:pPr>
      <w:r>
        <w:rPr>
          <w:rFonts w:ascii="Arial" w:hAnsi="Arial" w:cs="Arial" w:eastAsia="仿宋_GB2312;仿宋"/>
          <w:spacing w:val="-12"/>
          <w:sz w:val="28"/>
        </w:rPr>
        <w:t>根据委托估价方提供的《国有土地使用证》</w:t>
      </w:r>
      <w:r>
        <w:rPr>
          <w:rFonts w:eastAsia="仿宋_GB2312;仿宋" w:cs="Arial" w:ascii="Arial" w:hAnsi="Arial"/>
          <w:spacing w:val="-12"/>
          <w:sz w:val="28"/>
        </w:rPr>
        <w:t>[</w:t>
      </w:r>
      <w:r>
        <w:rPr>
          <w:rFonts w:ascii="Arial" w:hAnsi="Arial" w:cs="Arial" w:eastAsia="仿宋_GB2312;仿宋"/>
          <w:spacing w:val="-12"/>
          <w:sz w:val="28"/>
        </w:rPr>
        <w:t>京海国用（</w:t>
      </w:r>
      <w:r>
        <w:rPr>
          <w:rFonts w:eastAsia="仿宋_GB2312;仿宋" w:cs="Arial" w:ascii="Arial" w:hAnsi="Arial"/>
          <w:spacing w:val="-12"/>
          <w:sz w:val="28"/>
        </w:rPr>
        <w:t>2004</w:t>
      </w:r>
      <w:r>
        <w:rPr>
          <w:rFonts w:ascii="Arial" w:hAnsi="Arial" w:cs="Arial" w:eastAsia="仿宋_GB2312;仿宋"/>
          <w:spacing w:val="-12"/>
          <w:sz w:val="28"/>
        </w:rPr>
        <w:t>划）字第</w:t>
      </w:r>
      <w:r>
        <w:rPr>
          <w:rFonts w:eastAsia="仿宋_GB2312;仿宋" w:cs="Arial" w:ascii="Arial" w:hAnsi="Arial"/>
          <w:spacing w:val="-12"/>
          <w:sz w:val="28"/>
        </w:rPr>
        <w:t>2880</w:t>
      </w:r>
      <w:r>
        <w:rPr>
          <w:rFonts w:ascii="Arial" w:hAnsi="Arial" w:cs="Arial" w:eastAsia="仿宋_GB2312;仿宋"/>
          <w:spacing w:val="-12"/>
          <w:sz w:val="28"/>
        </w:rPr>
        <w:t>号</w:t>
      </w:r>
      <w:r>
        <w:rPr>
          <w:rFonts w:eastAsia="仿宋_GB2312;仿宋" w:cs="Arial" w:ascii="Arial" w:hAnsi="Arial"/>
          <w:spacing w:val="-12"/>
          <w:sz w:val="28"/>
        </w:rPr>
        <w:t>]</w:t>
      </w:r>
      <w:r>
        <w:rPr>
          <w:rFonts w:ascii="Arial" w:hAnsi="Arial" w:cs="Arial" w:eastAsia="仿宋_GB2312;仿宋"/>
          <w:spacing w:val="-12"/>
          <w:sz w:val="28"/>
        </w:rPr>
        <w:t>、</w:t>
      </w:r>
      <w:r>
        <w:rPr>
          <w:rFonts w:ascii="Arial" w:hAnsi="Arial" w:cs="Arial" w:eastAsia="仿宋_GB2312;仿宋"/>
          <w:spacing w:val="-12"/>
          <w:sz w:val="28"/>
        </w:rPr>
        <w:t>《土地权属审查告知书》</w:t>
      </w:r>
      <w:r>
        <w:rPr>
          <w:rFonts w:eastAsia="仿宋_GB2312;仿宋" w:cs="Arial" w:ascii="Arial" w:hAnsi="Arial"/>
          <w:spacing w:val="-12"/>
          <w:sz w:val="28"/>
        </w:rPr>
        <w:t>[</w:t>
      </w:r>
      <w:r>
        <w:rPr>
          <w:rFonts w:ascii="Arial" w:hAnsi="Arial" w:cs="Arial" w:eastAsia="仿宋_GB2312;仿宋"/>
          <w:spacing w:val="-12"/>
          <w:sz w:val="28"/>
        </w:rPr>
        <w:t>编号：海权属审（</w:t>
      </w:r>
      <w:r>
        <w:rPr>
          <w:rFonts w:eastAsia="仿宋_GB2312;仿宋" w:cs="Arial" w:ascii="Arial" w:hAnsi="Arial"/>
          <w:spacing w:val="-12"/>
          <w:sz w:val="28"/>
        </w:rPr>
        <w:t>2020</w:t>
      </w:r>
      <w:r>
        <w:rPr>
          <w:rFonts w:ascii="Arial" w:hAnsi="Arial" w:cs="Arial" w:eastAsia="仿宋_GB2312;仿宋"/>
          <w:spacing w:val="-12"/>
          <w:sz w:val="28"/>
        </w:rPr>
        <w:t>）字第</w:t>
      </w:r>
      <w:r>
        <w:rPr>
          <w:rFonts w:eastAsia="仿宋_GB2312;仿宋" w:cs="Arial" w:ascii="Arial" w:hAnsi="Arial"/>
          <w:spacing w:val="-12"/>
          <w:sz w:val="28"/>
        </w:rPr>
        <w:t>1172</w:t>
      </w:r>
      <w:r>
        <w:rPr>
          <w:rFonts w:ascii="Arial" w:hAnsi="Arial" w:cs="Arial" w:eastAsia="仿宋_GB2312;仿宋"/>
          <w:spacing w:val="-12"/>
          <w:sz w:val="28"/>
        </w:rPr>
        <w:t>号</w:t>
      </w:r>
      <w:r>
        <w:rPr>
          <w:rFonts w:eastAsia="仿宋_GB2312;仿宋" w:cs="Arial" w:ascii="Arial" w:hAnsi="Arial"/>
          <w:spacing w:val="-12"/>
          <w:sz w:val="28"/>
        </w:rPr>
        <w:t>]</w:t>
      </w:r>
      <w:r>
        <w:rPr>
          <w:rFonts w:ascii="Arial" w:hAnsi="Arial" w:cs="Arial" w:eastAsia="仿宋_GB2312;仿宋"/>
          <w:spacing w:val="-12"/>
          <w:sz w:val="28"/>
        </w:rPr>
        <w:t>，估价对象土地面积为</w:t>
      </w:r>
      <w:r>
        <w:rPr>
          <w:rFonts w:eastAsia="仿宋_GB2312;仿宋" w:cs="Arial" w:ascii="Arial" w:hAnsi="Arial"/>
          <w:bCs/>
          <w:kern w:val="2"/>
          <w:sz w:val="28"/>
        </w:rPr>
        <w:t>10738.85</w:t>
      </w:r>
      <w:r>
        <w:rPr>
          <w:rFonts w:ascii="Arial" w:hAnsi="Arial" w:cs="Arial" w:eastAsia="仿宋_GB2312;仿宋"/>
          <w:bCs/>
          <w:kern w:val="2"/>
          <w:sz w:val="28"/>
        </w:rPr>
        <w:t>平方</w:t>
      </w:r>
      <w:r>
        <w:rPr>
          <w:rFonts w:ascii="Arial" w:hAnsi="Arial" w:cs="Arial" w:eastAsia="仿宋_GB2312;仿宋"/>
          <w:sz w:val="28"/>
        </w:rPr>
        <w:t>米。</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3.</w:t>
      </w:r>
      <w:r>
        <w:rPr>
          <w:rFonts w:ascii="Arial" w:hAnsi="Arial" w:cs="Arial" w:eastAsia="仿宋_GB2312;仿宋"/>
          <w:sz w:val="28"/>
        </w:rPr>
        <w:t>宗地容积率及可利用情况</w:t>
      </w:r>
    </w:p>
    <w:p>
      <w:pPr>
        <w:pStyle w:val="Normal"/>
        <w:spacing w:lineRule="auto" w:line="360"/>
        <w:ind w:firstLine="560"/>
        <w:jc w:val="both"/>
        <w:rPr/>
      </w:pPr>
      <w:r>
        <w:rPr>
          <w:rFonts w:ascii="Arial" w:hAnsi="Arial" w:cs="Arial" w:eastAsia="仿宋_GB2312;仿宋"/>
          <w:sz w:val="28"/>
        </w:rPr>
        <w:t>估价对象土地面积</w:t>
      </w:r>
      <w:r>
        <w:rPr>
          <w:rFonts w:eastAsia="仿宋_GB2312;仿宋" w:cs="Arial" w:ascii="Arial" w:hAnsi="Arial"/>
          <w:sz w:val="28"/>
        </w:rPr>
        <w:t>10738.85</w:t>
      </w:r>
      <w:r>
        <w:rPr>
          <w:rFonts w:ascii="Arial" w:hAnsi="Arial" w:cs="Arial" w:eastAsia="仿宋_GB2312;仿宋"/>
          <w:sz w:val="28"/>
        </w:rPr>
        <w:t>平方米，宗地内房屋建筑面积为</w:t>
      </w:r>
      <w:r>
        <w:rPr>
          <w:rFonts w:eastAsia="仿宋_GB2312;仿宋" w:cs="Arial" w:ascii="Arial" w:hAnsi="Arial"/>
          <w:sz w:val="28"/>
        </w:rPr>
        <w:t>677.9</w:t>
      </w:r>
      <w:r>
        <w:rPr>
          <w:rFonts w:ascii="Arial" w:hAnsi="Arial" w:cs="Arial" w:eastAsia="仿宋_GB2312;仿宋"/>
          <w:sz w:val="28"/>
        </w:rPr>
        <w:t>平方米，实际容积率为</w:t>
      </w:r>
      <w:r>
        <w:rPr>
          <w:rFonts w:eastAsia="仿宋_GB2312;仿宋" w:cs="Arial" w:ascii="Arial" w:hAnsi="Arial"/>
          <w:sz w:val="28"/>
        </w:rPr>
        <w:t>0.06</w:t>
      </w:r>
      <w:r>
        <w:rPr>
          <w:rFonts w:ascii="Arial" w:hAnsi="Arial" w:cs="Arial" w:eastAsia="仿宋_GB2312;仿宋"/>
          <w:sz w:val="28"/>
        </w:rPr>
        <w:t>。国有建设用地使用权的收购补偿价格评估中，参照《北京市企业国有建设用地使用权收购补偿价格评估技术指引》</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2018</w:t>
      </w:r>
      <w:r>
        <w:rPr>
          <w:rFonts w:ascii="Arial" w:hAnsi="Arial" w:cs="Arial" w:eastAsia="仿宋_GB2312;仿宋"/>
          <w:sz w:val="28"/>
        </w:rPr>
        <w:t>）</w:t>
      </w:r>
      <w:r>
        <w:rPr>
          <w:rFonts w:eastAsia="仿宋_GB2312;仿宋" w:cs="Arial" w:ascii="Arial" w:hAnsi="Arial"/>
          <w:sz w:val="28"/>
        </w:rPr>
        <w:t>004</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w:t>
      </w:r>
      <w:r>
        <w:rPr>
          <w:rFonts w:ascii="Arial" w:hAnsi="Arial" w:cs="Arial" w:eastAsia="仿宋_GB2312;仿宋"/>
          <w:sz w:val="28"/>
        </w:rPr>
        <w:t>《关于发布</w:t>
      </w:r>
      <w:r>
        <w:rPr>
          <w:rFonts w:eastAsia="仿宋_GB2312;仿宋" w:cs="Arial" w:ascii="Arial" w:hAnsi="Arial"/>
          <w:sz w:val="28"/>
        </w:rPr>
        <w:t>&lt;</w:t>
      </w:r>
      <w:r>
        <w:rPr>
          <w:rFonts w:ascii="Arial" w:hAnsi="Arial" w:cs="Arial" w:eastAsia="仿宋_GB2312;仿宋"/>
          <w:sz w:val="28"/>
        </w:rPr>
        <w:t>北京市企业国有建设用地使用权收购补偿价格评估技术指引</w:t>
      </w:r>
      <w:r>
        <w:rPr>
          <w:rFonts w:eastAsia="仿宋_GB2312;仿宋" w:cs="Arial" w:ascii="Arial" w:hAnsi="Arial"/>
          <w:sz w:val="28"/>
        </w:rPr>
        <w:t>&gt;</w:t>
      </w:r>
      <w:r>
        <w:rPr>
          <w:rFonts w:ascii="Arial" w:hAnsi="Arial" w:cs="Arial" w:eastAsia="仿宋_GB2312;仿宋"/>
          <w:sz w:val="28"/>
        </w:rPr>
        <w:t>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2021</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（以下简称《指引》），当采用房地分开评估时，实际容积率小于</w:t>
      </w:r>
      <w:r>
        <w:rPr>
          <w:rFonts w:eastAsia="仿宋_GB2312;仿宋" w:cs="Arial" w:ascii="Arial" w:hAnsi="Arial"/>
          <w:sz w:val="28"/>
        </w:rPr>
        <w:t>1.0</w:t>
      </w:r>
      <w:r>
        <w:rPr>
          <w:rFonts w:ascii="Arial" w:hAnsi="Arial" w:cs="Arial" w:eastAsia="仿宋_GB2312;仿宋"/>
          <w:sz w:val="28"/>
        </w:rPr>
        <w:t>的，设定容积率为</w:t>
      </w:r>
      <w:r>
        <w:rPr>
          <w:rFonts w:eastAsia="仿宋_GB2312;仿宋" w:cs="Arial" w:ascii="Arial" w:hAnsi="Arial"/>
          <w:sz w:val="28"/>
        </w:rPr>
        <w:t>1.0</w:t>
      </w:r>
      <w:r>
        <w:rPr>
          <w:rFonts w:ascii="Arial" w:hAnsi="Arial" w:cs="Arial" w:eastAsia="仿宋_GB2312;仿宋"/>
          <w:sz w:val="28"/>
        </w:rPr>
        <w:t>进行土地使用权价格评估。本次评估设定容积率为</w:t>
      </w:r>
      <w:r>
        <w:rPr>
          <w:rFonts w:eastAsia="仿宋_GB2312;仿宋" w:cs="Arial" w:ascii="Arial" w:hAnsi="Arial"/>
          <w:sz w:val="28"/>
        </w:rPr>
        <w:t>1.0</w:t>
      </w:r>
      <w:r>
        <w:rPr>
          <w:rFonts w:ascii="Arial" w:hAnsi="Arial" w:cs="Arial" w:eastAsia="仿宋_GB2312;仿宋"/>
          <w:sz w:val="28"/>
        </w:rPr>
        <w:t>。</w:t>
      </w:r>
    </w:p>
    <w:p>
      <w:pPr>
        <w:pStyle w:val="Normal"/>
        <w:spacing w:lineRule="auto" w:line="360"/>
        <w:ind w:firstLine="560"/>
        <w:jc w:val="both"/>
        <w:rPr>
          <w:rFonts w:eastAsia="仿宋_GB2312;仿宋"/>
        </w:rPr>
      </w:pPr>
      <w:r>
        <w:rPr>
          <w:rFonts w:eastAsia="仿宋_GB2312;仿宋" w:cs="Arial" w:ascii="Arial" w:hAnsi="Arial"/>
          <w:sz w:val="28"/>
        </w:rPr>
        <w:t>4.</w:t>
      </w:r>
      <w:r>
        <w:rPr>
          <w:rFonts w:ascii="Arial" w:hAnsi="Arial" w:cs="Arial" w:eastAsia="仿宋_GB2312;仿宋"/>
          <w:sz w:val="28"/>
        </w:rPr>
        <w:t>宗地基础设施</w:t>
      </w:r>
      <w:r>
        <w:rPr>
          <w:rFonts w:ascii="Arial" w:hAnsi="Arial" w:cs="Arial" w:eastAsia="Arial"/>
          <w:sz w:val="28"/>
        </w:rPr>
        <w:t xml:space="preserve"> </w:t>
      </w:r>
    </w:p>
    <w:p>
      <w:pPr>
        <w:pStyle w:val="Normal"/>
        <w:spacing w:lineRule="auto" w:line="360"/>
        <w:ind w:firstLine="512"/>
        <w:jc w:val="both"/>
        <w:rPr>
          <w:rFonts w:eastAsia="仿宋_GB2312;仿宋"/>
        </w:rPr>
      </w:pPr>
      <w:r>
        <w:rPr>
          <w:rFonts w:ascii="Arial" w:hAnsi="Arial" w:cs="Arial" w:eastAsia="仿宋_GB2312;仿宋"/>
          <w:spacing w:val="-12"/>
          <w:sz w:val="28"/>
        </w:rPr>
        <w:t>宗地红线外基础设施已达到”七通”（</w:t>
      </w:r>
      <w:r>
        <w:rPr>
          <w:rFonts w:ascii="仿宋_GB2312;仿宋" w:hAnsi="仿宋_GB2312;仿宋" w:cs="仿宋" w:eastAsia="仿宋_GB2312;仿宋"/>
          <w:sz w:val="28"/>
        </w:rPr>
        <w:t>即通路、通上水、通下水、通燃气、通电、通讯、通热</w:t>
      </w:r>
      <w:r>
        <w:rPr>
          <w:rFonts w:ascii="Arial" w:hAnsi="Arial" w:cs="Arial" w:eastAsia="仿宋_GB2312;仿宋"/>
          <w:spacing w:val="-12"/>
          <w:sz w:val="28"/>
        </w:rPr>
        <w:t>），具体状况如下：</w:t>
      </w:r>
      <w:r>
        <w:rPr>
          <w:rFonts w:ascii="Arial" w:hAnsi="Arial" w:cs="Arial" w:eastAsia="Arial"/>
          <w:spacing w:val="-12"/>
          <w:sz w:val="28"/>
        </w:rPr>
        <w:t xml:space="preserve"> </w:t>
      </w:r>
    </w:p>
    <w:p>
      <w:pPr>
        <w:pStyle w:val="Normal"/>
        <w:spacing w:lineRule="auto" w:line="360"/>
        <w:ind w:firstLine="512"/>
        <w:jc w:val="both"/>
        <w:rPr>
          <w:rFonts w:eastAsia="仿宋_GB2312;仿宋"/>
        </w:rPr>
      </w:pPr>
      <w:r>
        <w:rPr>
          <w:rFonts w:ascii="Arial" w:hAnsi="Arial" w:cs="Arial" w:eastAsia="仿宋_GB2312;仿宋"/>
          <w:spacing w:val="-12"/>
          <w:sz w:val="28"/>
        </w:rPr>
        <w:t>通路：</w:t>
      </w:r>
      <w:r>
        <w:rPr>
          <w:rFonts w:ascii="Arial" w:hAnsi="Arial" w:cs="Arial" w:eastAsia="仿宋_GB2312;仿宋"/>
          <w:spacing w:val="-12"/>
          <w:sz w:val="28"/>
        </w:rPr>
        <w:t>无名市政道路，为城市支路</w:t>
      </w:r>
      <w:r>
        <w:rPr>
          <w:rFonts w:ascii="Arial" w:hAnsi="Arial" w:cs="Arial" w:eastAsia="仿宋_GB2312;仿宋"/>
          <w:spacing w:val="-12"/>
          <w:sz w:val="28"/>
        </w:rPr>
        <w:t>；</w:t>
      </w:r>
      <w:r>
        <w:rPr>
          <w:rFonts w:ascii="Arial" w:hAnsi="Arial" w:cs="Arial" w:eastAsia="Arial"/>
          <w:spacing w:val="-12"/>
          <w:sz w:val="28"/>
        </w:rPr>
        <w:t xml:space="preserve"> </w:t>
      </w:r>
    </w:p>
    <w:p>
      <w:pPr>
        <w:pStyle w:val="Normal"/>
        <w:spacing w:lineRule="auto" w:line="360"/>
        <w:ind w:firstLine="512"/>
        <w:jc w:val="both"/>
        <w:rPr/>
      </w:pPr>
      <w:r>
        <w:rPr>
          <w:rFonts w:ascii="Arial" w:hAnsi="Arial" w:cs="Arial" w:eastAsia="仿宋_GB2312;仿宋"/>
          <w:spacing w:val="-12"/>
          <w:sz w:val="28"/>
        </w:rPr>
        <w:t>通电：市政供电网络</w:t>
      </w:r>
      <w:r>
        <w:rPr>
          <w:rFonts w:ascii="Arial" w:hAnsi="Arial" w:cs="Arial" w:eastAsia="仿宋_GB2312;仿宋"/>
          <w:spacing w:val="-12"/>
          <w:sz w:val="28"/>
        </w:rPr>
        <w:t>；</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通上水：</w:t>
      </w:r>
      <w:r>
        <w:rPr>
          <w:rFonts w:ascii="Arial" w:hAnsi="Arial" w:cs="Arial" w:eastAsia="仿宋_GB2312;仿宋"/>
          <w:spacing w:val="-12"/>
          <w:sz w:val="28"/>
        </w:rPr>
        <w:t>市政管网供水</w:t>
      </w:r>
      <w:r>
        <w:rPr>
          <w:rFonts w:ascii="Arial" w:hAnsi="Arial" w:cs="Arial" w:eastAsia="仿宋_GB2312;仿宋"/>
          <w:spacing w:val="-12"/>
          <w:sz w:val="28"/>
        </w:rPr>
        <w:t>，设施完备，水源稳定；</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通下水：市政管网排水；</w:t>
      </w:r>
    </w:p>
    <w:p>
      <w:pPr>
        <w:pStyle w:val="Normal"/>
        <w:spacing w:lineRule="auto" w:line="360"/>
        <w:ind w:firstLine="512"/>
        <w:jc w:val="both"/>
        <w:rPr/>
      </w:pPr>
      <w:r>
        <w:rPr>
          <w:rFonts w:ascii="Arial" w:hAnsi="Arial" w:cs="Arial" w:eastAsia="仿宋_GB2312;仿宋"/>
          <w:spacing w:val="-12"/>
          <w:sz w:val="28"/>
        </w:rPr>
        <w:t>通热力：</w:t>
      </w:r>
      <w:r>
        <w:rPr>
          <w:rFonts w:ascii="Arial" w:hAnsi="Arial" w:cs="Arial" w:eastAsia="仿宋_GB2312;仿宋"/>
          <w:spacing w:val="-12"/>
          <w:sz w:val="28"/>
        </w:rPr>
        <w:t>集中</w:t>
      </w:r>
      <w:r>
        <w:rPr>
          <w:rFonts w:ascii="Arial" w:hAnsi="Arial" w:cs="Arial" w:eastAsia="仿宋_GB2312;仿宋"/>
          <w:spacing w:val="-12"/>
          <w:sz w:val="28"/>
        </w:rPr>
        <w:t>供暖；</w:t>
      </w:r>
    </w:p>
    <w:p>
      <w:pPr>
        <w:pStyle w:val="Normal"/>
        <w:spacing w:lineRule="auto" w:line="360"/>
        <w:ind w:firstLine="512"/>
        <w:jc w:val="both"/>
        <w:rPr>
          <w:rFonts w:ascii="Arial" w:hAnsi="Arial" w:eastAsia="仿宋_GB2312;仿宋" w:cs="Arial"/>
          <w:spacing w:val="-12"/>
          <w:sz w:val="28"/>
        </w:rPr>
      </w:pPr>
      <w:r>
        <w:rPr>
          <w:rFonts w:ascii="Arial" w:hAnsi="Arial" w:cs="Arial" w:eastAsia="仿宋_GB2312;仿宋"/>
          <w:spacing w:val="-12"/>
          <w:sz w:val="28"/>
        </w:rPr>
        <w:t>通燃气：</w:t>
      </w:r>
      <w:r>
        <w:rPr>
          <w:rFonts w:ascii="Arial" w:hAnsi="Arial" w:cs="Arial" w:eastAsia="仿宋_GB2312;仿宋"/>
          <w:spacing w:val="-12"/>
          <w:sz w:val="28"/>
        </w:rPr>
        <w:t>项目用地有天然气管道</w:t>
      </w:r>
      <w:r>
        <w:rPr>
          <w:rFonts w:ascii="Arial" w:hAnsi="Arial" w:cs="Arial" w:eastAsia="仿宋_GB2312;仿宋"/>
          <w:spacing w:val="-12"/>
          <w:sz w:val="28"/>
        </w:rPr>
        <w:t>；</w:t>
      </w:r>
    </w:p>
    <w:p>
      <w:pPr>
        <w:sectPr>
          <w:headerReference w:type="default" r:id="rId64"/>
          <w:footerReference w:type="default" r:id="rId65"/>
          <w:type w:val="nextPage"/>
          <w:pgSz w:w="11906" w:h="16838"/>
          <w:pgMar w:left="1474" w:right="1134" w:header="1134" w:top="1843" w:footer="907" w:bottom="1134" w:gutter="0"/>
          <w:pgNumType w:fmt="decimal"/>
          <w:formProt w:val="false"/>
          <w:textDirection w:val="lrTb"/>
          <w:docGrid w:type="default" w:linePitch="326" w:charSpace="0"/>
        </w:sectPr>
        <w:pStyle w:val="Normal"/>
        <w:spacing w:lineRule="auto" w:line="360"/>
        <w:ind w:firstLine="512"/>
        <w:rPr>
          <w:rFonts w:ascii="Arial" w:hAnsi="Arial" w:eastAsia="仿宋_GB2312;仿宋" w:cs="Arial"/>
          <w:sz w:val="28"/>
        </w:rPr>
      </w:pPr>
      <w:r>
        <w:rPr>
          <w:rFonts w:ascii="Arial" w:hAnsi="Arial" w:cs="Arial" w:eastAsia="仿宋_GB2312;仿宋"/>
          <w:spacing w:val="-12"/>
          <w:sz w:val="28"/>
        </w:rPr>
        <w:t>通讯：项目用地有电信管道。</w:t>
      </w:r>
    </w:p>
    <w:p>
      <w:pPr>
        <w:pStyle w:val="Normal"/>
        <w:numPr>
          <w:ilvl w:val="0"/>
          <w:numId w:val="0"/>
        </w:numPr>
        <w:spacing w:lineRule="auto" w:line="360"/>
        <w:jc w:val="center"/>
        <w:outlineLvl w:val="0"/>
        <w:rPr>
          <w:rFonts w:ascii="Arial" w:hAnsi="Arial" w:cs="Arial"/>
          <w:sz w:val="32"/>
        </w:rPr>
      </w:pPr>
      <w:bookmarkStart w:id="47" w:name="__RefHeading___Toc530042256"/>
      <w:r>
        <w:rPr>
          <w:rFonts w:ascii="Arial" w:hAnsi="Arial" w:cs="Arial"/>
          <w:b/>
          <w:sz w:val="32"/>
        </w:rPr>
        <w:t>第三部分</w:t>
      </w:r>
      <w:r>
        <w:rPr>
          <w:rFonts w:ascii="Arial" w:hAnsi="Arial" w:cs="Arial" w:eastAsia="Arial"/>
          <w:b/>
          <w:sz w:val="32"/>
        </w:rPr>
        <w:t xml:space="preserve">  </w:t>
      </w:r>
      <w:bookmarkEnd w:id="47"/>
      <w:r>
        <w:rPr>
          <w:rFonts w:ascii="Arial" w:hAnsi="Arial" w:cs="Arial"/>
          <w:b/>
          <w:sz w:val="32"/>
        </w:rPr>
        <w:t>土地估价</w:t>
      </w:r>
    </w:p>
    <w:p>
      <w:pPr>
        <w:pStyle w:val="Normal"/>
        <w:spacing w:lineRule="auto" w:line="360"/>
        <w:rPr>
          <w:rFonts w:ascii="Arial" w:hAnsi="Arial" w:eastAsia="仿宋_GB2312;仿宋" w:cs="Arial"/>
          <w:b/>
          <w:b/>
          <w:sz w:val="28"/>
        </w:rPr>
      </w:pPr>
      <w:r>
        <w:rPr>
          <w:rFonts w:eastAsia="仿宋_GB2312;仿宋" w:cs="Arial" w:ascii="Arial" w:hAnsi="Arial"/>
          <w:b/>
          <w:sz w:val="28"/>
        </w:rPr>
      </w:r>
    </w:p>
    <w:p>
      <w:pPr>
        <w:pStyle w:val="Normal"/>
        <w:numPr>
          <w:ilvl w:val="0"/>
          <w:numId w:val="0"/>
        </w:numPr>
        <w:spacing w:lineRule="auto" w:line="360"/>
        <w:outlineLvl w:val="1"/>
        <w:rPr>
          <w:rFonts w:ascii="Arial" w:hAnsi="Arial" w:eastAsia="仿宋_GB2312;仿宋" w:cs="Arial"/>
          <w:sz w:val="28"/>
        </w:rPr>
      </w:pPr>
      <w:bookmarkStart w:id="48" w:name="__RefHeading___Toc530042257"/>
      <w:bookmarkEnd w:id="48"/>
      <w:r>
        <w:rPr>
          <w:rFonts w:ascii="Arial" w:hAnsi="Arial" w:cs="Arial" w:eastAsia="仿宋_GB2312;仿宋"/>
          <w:b/>
          <w:sz w:val="28"/>
        </w:rPr>
        <w:t>一、估价原则</w:t>
      </w:r>
    </w:p>
    <w:p>
      <w:pPr>
        <w:pStyle w:val="Normal"/>
        <w:spacing w:lineRule="auto" w:line="360"/>
        <w:ind w:firstLine="630"/>
        <w:jc w:val="both"/>
        <w:rPr>
          <w:rFonts w:eastAsia="仿宋_GB2312;仿宋"/>
        </w:rPr>
      </w:pPr>
      <w:r>
        <w:rPr>
          <w:rFonts w:ascii="Arial" w:hAnsi="Arial" w:cs="Arial" w:eastAsia="仿宋_GB2312;仿宋"/>
          <w:sz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eastAsia="仿宋_GB2312;仿宋" w:cs="Arial" w:ascii="Arial" w:hAnsi="Arial"/>
          <w:sz w:val="28"/>
        </w:rPr>
        <w:t>:</w:t>
      </w:r>
      <w:r>
        <w:rPr>
          <w:rFonts w:ascii="Arial" w:hAnsi="Arial" w:cs="Arial" w:eastAsia="仿宋_GB2312;仿宋"/>
          <w:sz w:val="28"/>
        </w:rPr>
        <w:t>合法原则、替代原则、最有效利用原则、供需原则、贡献原则、谨慎性原则等。</w:t>
      </w:r>
      <w:r>
        <w:rPr>
          <w:rFonts w:ascii="Arial" w:hAnsi="Arial" w:cs="Arial" w:eastAsia="Arial"/>
          <w:sz w:val="28"/>
        </w:rPr>
        <w:t xml:space="preserve"> </w:t>
      </w:r>
    </w:p>
    <w:p>
      <w:pPr>
        <w:pStyle w:val="Normal"/>
        <w:spacing w:lineRule="auto" w:line="360"/>
        <w:ind w:firstLine="630"/>
        <w:jc w:val="both"/>
        <w:rPr>
          <w:rFonts w:eastAsia="仿宋_GB2312;仿宋"/>
        </w:rPr>
      </w:pPr>
      <w:r>
        <w:rPr>
          <w:rFonts w:eastAsia="仿宋_GB2312;仿宋" w:cs="Arial" w:ascii="Arial" w:hAnsi="Arial"/>
          <w:sz w:val="28"/>
        </w:rPr>
        <w:t>1.</w:t>
      </w:r>
      <w:r>
        <w:rPr>
          <w:rFonts w:ascii="Arial" w:hAnsi="Arial" w:cs="Arial" w:eastAsia="仿宋_GB2312;仿宋"/>
          <w:sz w:val="28"/>
        </w:rPr>
        <w:t>合法原则</w:t>
      </w:r>
      <w:r>
        <w:rPr>
          <w:rFonts w:ascii="Arial" w:hAnsi="Arial" w:cs="Arial" w:eastAsia="Arial"/>
          <w:sz w:val="28"/>
        </w:rPr>
        <w:t xml:space="preserve"> </w:t>
      </w:r>
    </w:p>
    <w:p>
      <w:pPr>
        <w:pStyle w:val="Normal"/>
        <w:spacing w:lineRule="auto" w:line="360"/>
        <w:ind w:firstLine="630"/>
        <w:jc w:val="both"/>
        <w:rPr>
          <w:rFonts w:eastAsia="仿宋_GB2312;仿宋"/>
        </w:rPr>
      </w:pPr>
      <w:r>
        <w:rPr>
          <w:rFonts w:ascii="Arial" w:hAnsi="Arial" w:cs="Arial" w:eastAsia="仿宋_GB2312;仿宋"/>
          <w:sz w:val="28"/>
        </w:rPr>
        <w:t>合法原则是指土地使用权价格评估必须以估价对象的合法利用为前提。由于我国所有制特点，土地流转过程是土地使用权的流转，土地使用权的取得、使用年限、利用方式、利用规划等方面有严格控制，所以进行土地使用权价格评估时，必须确保估价对象来源合法、利用合法。同时，土地估价还有遵循相关法律法规的规定。</w:t>
      </w:r>
      <w:r>
        <w:rPr>
          <w:rFonts w:ascii="Arial" w:hAnsi="Arial" w:cs="Arial" w:eastAsia="Arial"/>
          <w:sz w:val="28"/>
        </w:rPr>
        <w:t xml:space="preserve"> </w:t>
      </w:r>
    </w:p>
    <w:p>
      <w:pPr>
        <w:pStyle w:val="Normal"/>
        <w:spacing w:lineRule="auto" w:line="360"/>
        <w:ind w:firstLine="630"/>
        <w:jc w:val="both"/>
        <w:rPr>
          <w:rFonts w:eastAsia="仿宋_GB2312;仿宋"/>
        </w:rPr>
      </w:pPr>
      <w:r>
        <w:rPr>
          <w:rFonts w:ascii="Arial" w:hAnsi="Arial" w:cs="Arial" w:eastAsia="仿宋_GB2312;仿宋"/>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w:t>
      </w:r>
      <w:r>
        <w:rPr>
          <w:rFonts w:ascii="Arial" w:hAnsi="Arial" w:cs="Arial" w:eastAsia="仿宋_GB2312;仿宋"/>
          <w:sz w:val="28"/>
        </w:rPr>
        <w:t>估算</w:t>
      </w:r>
      <w:r>
        <w:rPr>
          <w:rFonts w:ascii="Arial" w:hAnsi="Arial" w:cs="Arial" w:eastAsia="仿宋_GB2312;仿宋"/>
          <w:sz w:val="28"/>
        </w:rPr>
        <w:t>时，土地的权益不是可以由委托人或估价人员假设确定的，而是应当具有合法的依据。</w:t>
      </w:r>
      <w:r>
        <w:rPr>
          <w:rFonts w:ascii="Arial" w:hAnsi="Arial" w:cs="Arial" w:eastAsia="Arial"/>
          <w:sz w:val="28"/>
        </w:rPr>
        <w:t xml:space="preserve"> </w:t>
      </w:r>
    </w:p>
    <w:p>
      <w:pPr>
        <w:pStyle w:val="Normal"/>
        <w:spacing w:lineRule="auto" w:line="360"/>
        <w:ind w:firstLine="630"/>
        <w:jc w:val="both"/>
        <w:rPr>
          <w:rFonts w:eastAsia="仿宋_GB2312;仿宋"/>
        </w:rPr>
      </w:pPr>
      <w:r>
        <w:rPr>
          <w:rFonts w:eastAsia="仿宋_GB2312;仿宋" w:cs="Arial" w:ascii="Arial" w:hAnsi="Arial"/>
          <w:sz w:val="28"/>
        </w:rPr>
        <w:t>2.</w:t>
      </w:r>
      <w:r>
        <w:rPr>
          <w:rFonts w:ascii="Arial" w:hAnsi="Arial" w:cs="Arial" w:eastAsia="仿宋_GB2312;仿宋"/>
          <w:sz w:val="28"/>
        </w:rPr>
        <w:t>替代原则</w:t>
      </w:r>
      <w:r>
        <w:rPr>
          <w:rFonts w:ascii="Arial" w:hAnsi="Arial" w:cs="Arial" w:eastAsia="Arial"/>
          <w:sz w:val="28"/>
        </w:rPr>
        <w:t xml:space="preserve"> </w:t>
      </w:r>
    </w:p>
    <w:p>
      <w:pPr>
        <w:pStyle w:val="Normal"/>
        <w:spacing w:lineRule="auto" w:line="360"/>
        <w:ind w:firstLine="630"/>
        <w:jc w:val="both"/>
        <w:rPr>
          <w:rFonts w:eastAsia="仿宋_GB2312;仿宋"/>
        </w:rPr>
      </w:pPr>
      <w:r>
        <w:rPr>
          <w:rFonts w:ascii="Arial" w:hAnsi="Arial" w:cs="Arial" w:eastAsia="仿宋_GB2312;仿宋"/>
          <w:sz w:val="28"/>
        </w:rPr>
        <w:t>替代原则是指土地估价应以相邻地区或类似地区功能相同、条件相似的土地市场交易价格为依据，估价结果不得明显偏离具有替代性质的土地正常价格。</w:t>
      </w:r>
      <w:r>
        <w:rPr>
          <w:rFonts w:ascii="Arial" w:hAnsi="Arial" w:cs="Arial" w:eastAsia="Arial"/>
          <w:sz w:val="28"/>
        </w:rPr>
        <w:t xml:space="preserve"> </w:t>
      </w:r>
    </w:p>
    <w:p>
      <w:pPr>
        <w:pStyle w:val="Normal"/>
        <w:spacing w:lineRule="auto" w:line="360"/>
        <w:ind w:firstLine="630"/>
        <w:jc w:val="both"/>
        <w:rPr>
          <w:rFonts w:eastAsia="仿宋_GB2312;仿宋"/>
        </w:rPr>
      </w:pPr>
      <w:r>
        <w:rPr>
          <w:rFonts w:ascii="Arial" w:hAnsi="Arial" w:cs="Arial" w:eastAsia="仿宋_GB2312;仿宋"/>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r>
        <w:rPr>
          <w:rFonts w:ascii="Arial" w:hAnsi="Arial" w:cs="Arial" w:eastAsia="Arial"/>
          <w:sz w:val="28"/>
        </w:rPr>
        <w:t xml:space="preserve">     </w:t>
      </w:r>
    </w:p>
    <w:p>
      <w:pPr>
        <w:pStyle w:val="Normal"/>
        <w:spacing w:lineRule="auto" w:line="360"/>
        <w:ind w:firstLine="630"/>
        <w:jc w:val="both"/>
        <w:rPr>
          <w:rFonts w:eastAsia="仿宋_GB2312;仿宋"/>
        </w:rPr>
      </w:pPr>
      <w:r>
        <w:rPr>
          <w:rFonts w:ascii="Arial" w:hAnsi="Arial" w:cs="Arial" w:eastAsia="仿宋_GB2312;仿宋"/>
          <w:sz w:val="28"/>
        </w:rPr>
        <w:t>替代原则可以概括为三点：（</w:t>
      </w:r>
      <w:r>
        <w:rPr>
          <w:rFonts w:eastAsia="仿宋_GB2312;仿宋" w:cs="Arial" w:ascii="Arial" w:hAnsi="Arial"/>
          <w:sz w:val="28"/>
        </w:rPr>
        <w:t>1</w:t>
      </w:r>
      <w:r>
        <w:rPr>
          <w:rFonts w:ascii="Arial" w:hAnsi="Arial" w:cs="Arial" w:eastAsia="仿宋_GB2312;仿宋"/>
          <w:sz w:val="28"/>
        </w:rPr>
        <w:t>）土地价格水平由具有相同性质的替代性土地的价格所决定；（</w:t>
      </w:r>
      <w:r>
        <w:rPr>
          <w:rFonts w:eastAsia="仿宋_GB2312;仿宋" w:cs="Arial" w:ascii="Arial" w:hAnsi="Arial"/>
          <w:sz w:val="28"/>
        </w:rPr>
        <w:t>2</w:t>
      </w:r>
      <w:r>
        <w:rPr>
          <w:rFonts w:ascii="Arial" w:hAnsi="Arial" w:cs="Arial" w:eastAsia="仿宋_GB2312;仿宋"/>
          <w:sz w:val="28"/>
        </w:rPr>
        <w:t>）土地价格水平是由最了解行情的买卖者按市场交易实例相互比较后决定；（</w:t>
      </w:r>
      <w:r>
        <w:rPr>
          <w:rFonts w:eastAsia="仿宋_GB2312;仿宋" w:cs="Arial" w:ascii="Arial" w:hAnsi="Arial"/>
          <w:sz w:val="28"/>
        </w:rPr>
        <w:t>3</w:t>
      </w:r>
      <w:r>
        <w:rPr>
          <w:rFonts w:ascii="Arial" w:hAnsi="Arial" w:cs="Arial" w:eastAsia="仿宋_GB2312;仿宋"/>
          <w:sz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r>
        <w:rPr>
          <w:rFonts w:ascii="Arial" w:hAnsi="Arial" w:cs="Arial" w:eastAsia="Arial"/>
          <w:sz w:val="28"/>
        </w:rPr>
        <w:t xml:space="preserve">     </w:t>
      </w:r>
    </w:p>
    <w:p>
      <w:pPr>
        <w:pStyle w:val="Normal"/>
        <w:spacing w:lineRule="auto" w:line="360"/>
        <w:ind w:firstLine="630"/>
        <w:jc w:val="both"/>
        <w:rPr>
          <w:rFonts w:eastAsia="仿宋_GB2312;仿宋"/>
        </w:rPr>
      </w:pPr>
      <w:r>
        <w:rPr>
          <w:rFonts w:ascii="Arial" w:hAnsi="Arial" w:cs="Arial" w:eastAsia="仿宋_GB2312;仿宋"/>
          <w:sz w:val="28"/>
        </w:rPr>
        <w:t>替代原则的适用范围广，是本次评估成本逼近法中土地取得费的理论基础。</w:t>
      </w:r>
      <w:r>
        <w:rPr>
          <w:rFonts w:ascii="Arial" w:hAnsi="Arial" w:cs="Arial" w:eastAsia="Arial"/>
          <w:sz w:val="28"/>
        </w:rPr>
        <w:t xml:space="preserve"> </w:t>
      </w:r>
    </w:p>
    <w:p>
      <w:pPr>
        <w:pStyle w:val="Normal"/>
        <w:spacing w:lineRule="auto" w:line="360"/>
        <w:ind w:firstLine="630"/>
        <w:jc w:val="both"/>
        <w:rPr>
          <w:rFonts w:eastAsia="仿宋_GB2312;仿宋"/>
        </w:rPr>
      </w:pPr>
      <w:r>
        <w:rPr>
          <w:rFonts w:eastAsia="仿宋_GB2312;仿宋" w:cs="Arial" w:ascii="Arial" w:hAnsi="Arial"/>
          <w:sz w:val="28"/>
        </w:rPr>
        <w:t>3.</w:t>
      </w:r>
      <w:r>
        <w:rPr>
          <w:rFonts w:ascii="Arial" w:hAnsi="Arial" w:cs="Arial" w:eastAsia="仿宋_GB2312;仿宋"/>
          <w:sz w:val="28"/>
        </w:rPr>
        <w:t>最有效利用原则</w:t>
      </w:r>
      <w:r>
        <w:rPr>
          <w:rFonts w:ascii="Arial" w:hAnsi="Arial" w:cs="Arial" w:eastAsia="Arial"/>
          <w:sz w:val="28"/>
        </w:rPr>
        <w:t xml:space="preserve"> </w:t>
      </w:r>
    </w:p>
    <w:p>
      <w:pPr>
        <w:pStyle w:val="Normal"/>
        <w:spacing w:lineRule="auto" w:line="360"/>
        <w:ind w:firstLine="630"/>
        <w:jc w:val="both"/>
        <w:rPr>
          <w:rFonts w:eastAsia="仿宋_GB2312;仿宋"/>
        </w:rPr>
      </w:pPr>
      <w:r>
        <w:rPr>
          <w:rFonts w:ascii="Arial" w:hAnsi="Arial" w:cs="Arial" w:eastAsia="仿宋_GB2312;仿宋"/>
          <w:sz w:val="28"/>
        </w:rPr>
        <w:t>最有效利用原则是指土地估价应以估价对象的最有效利用为前提条件。判断土地的最有效利用以土地利用符合其自身利用条件、法律法规政策及规划限制、市场要求和最佳利用程度等。</w:t>
      </w:r>
      <w:r>
        <w:rPr>
          <w:rFonts w:ascii="Arial" w:hAnsi="Arial" w:cs="Arial" w:eastAsia="Arial"/>
          <w:sz w:val="28"/>
        </w:rPr>
        <w:t xml:space="preserve"> </w:t>
      </w:r>
    </w:p>
    <w:p>
      <w:pPr>
        <w:pStyle w:val="Normal"/>
        <w:spacing w:lineRule="auto" w:line="360"/>
        <w:ind w:firstLine="630"/>
        <w:jc w:val="both"/>
        <w:rPr>
          <w:rFonts w:eastAsia="仿宋_GB2312;仿宋"/>
        </w:rPr>
      </w:pPr>
      <w:r>
        <w:rPr>
          <w:rFonts w:ascii="Arial" w:hAnsi="Arial" w:cs="Arial" w:eastAsia="仿宋_GB2312;仿宋"/>
          <w:sz w:val="28"/>
        </w:rPr>
        <w:t>最有效利用原则是经济学中效用最大化原理在土地估价中的具体运用。土地具有用途的多样性，土地不同的利用方式会给权利人带来不同的收益，而土地权利人都期望从其占有的土地上获取更大的收益，并以此作为确定土地利用方式的依据。因此，土地价格应该是土地在获利最大的利用方式下的价格。</w:t>
      </w:r>
      <w:r>
        <w:rPr>
          <w:rFonts w:ascii="Arial" w:hAnsi="Arial" w:cs="Arial" w:eastAsia="Arial"/>
          <w:sz w:val="28"/>
        </w:rPr>
        <w:t xml:space="preserve">      </w:t>
      </w:r>
    </w:p>
    <w:p>
      <w:pPr>
        <w:pStyle w:val="Normal"/>
        <w:spacing w:lineRule="auto" w:line="360"/>
        <w:ind w:firstLine="630"/>
        <w:jc w:val="both"/>
        <w:rPr>
          <w:rFonts w:eastAsia="仿宋_GB2312;仿宋"/>
        </w:rPr>
      </w:pPr>
      <w:r>
        <w:rPr>
          <w:rFonts w:ascii="Arial" w:hAnsi="Arial" w:cs="Arial" w:eastAsia="仿宋_GB2312;仿宋"/>
          <w:sz w:val="28"/>
        </w:rPr>
        <w:t>根据最有效利用原则，土地估价不应受土地现实利用状况所限制，应该对最有效利用进行正确的判断。依据四项准则：（</w:t>
      </w:r>
      <w:r>
        <w:rPr>
          <w:rFonts w:eastAsia="仿宋_GB2312;仿宋" w:cs="Arial" w:ascii="Arial" w:hAnsi="Arial"/>
          <w:sz w:val="28"/>
        </w:rPr>
        <w:t>1</w:t>
      </w:r>
      <w:r>
        <w:rPr>
          <w:rFonts w:ascii="Arial" w:hAnsi="Arial" w:cs="Arial" w:eastAsia="仿宋_GB2312;仿宋"/>
          <w:sz w:val="28"/>
        </w:rPr>
        <w:t>）法律上许可，即最有效利用应以合法利用为前提，在法律法规政策及规划限制内利用；（</w:t>
      </w:r>
      <w:r>
        <w:rPr>
          <w:rFonts w:eastAsia="仿宋_GB2312;仿宋" w:cs="Arial" w:ascii="Arial" w:hAnsi="Arial"/>
          <w:sz w:val="28"/>
        </w:rPr>
        <w:t>2</w:t>
      </w:r>
      <w:r>
        <w:rPr>
          <w:rFonts w:ascii="Arial" w:hAnsi="Arial" w:cs="Arial" w:eastAsia="仿宋_GB2312;仿宋"/>
          <w:sz w:val="28"/>
        </w:rPr>
        <w:t>）工程技术上可行，现在的工程技术水平能满足土地利用方式的技术需求，土地利用应符合其自身利用条件；（</w:t>
      </w:r>
      <w:r>
        <w:rPr>
          <w:rFonts w:eastAsia="仿宋_GB2312;仿宋" w:cs="Arial" w:ascii="Arial" w:hAnsi="Arial"/>
          <w:sz w:val="28"/>
        </w:rPr>
        <w:t>3</w:t>
      </w:r>
      <w:r>
        <w:rPr>
          <w:rFonts w:ascii="Arial" w:hAnsi="Arial" w:cs="Arial" w:eastAsia="仿宋_GB2312;仿宋"/>
          <w:sz w:val="28"/>
        </w:rPr>
        <w:t>）经济上可行，土地的利用方式具有市场需求及能否获利；（</w:t>
      </w:r>
      <w:r>
        <w:rPr>
          <w:rFonts w:eastAsia="仿宋_GB2312;仿宋" w:cs="Arial" w:ascii="Arial" w:hAnsi="Arial"/>
          <w:sz w:val="28"/>
        </w:rPr>
        <w:t>4</w:t>
      </w:r>
      <w:r>
        <w:rPr>
          <w:rFonts w:ascii="Arial" w:hAnsi="Arial" w:cs="Arial" w:eastAsia="仿宋_GB2312;仿宋"/>
          <w:sz w:val="28"/>
        </w:rPr>
        <w:t>）价值最大化，在具备上述三项条件的前提下，将具有经济可行性的各种可能利用方式进行比较，回报最大的利用方式即最有效利用方式。</w:t>
      </w:r>
      <w:r>
        <w:rPr>
          <w:rFonts w:ascii="Arial" w:hAnsi="Arial" w:cs="Arial" w:eastAsia="Arial"/>
          <w:sz w:val="28"/>
        </w:rPr>
        <w:t xml:space="preserve">      </w:t>
      </w:r>
    </w:p>
    <w:p>
      <w:pPr>
        <w:pStyle w:val="Normal"/>
        <w:spacing w:lineRule="auto" w:line="360"/>
        <w:ind w:firstLine="630"/>
        <w:jc w:val="both"/>
        <w:rPr>
          <w:rFonts w:eastAsia="仿宋_GB2312;仿宋"/>
        </w:rPr>
      </w:pPr>
      <w:r>
        <w:rPr>
          <w:rFonts w:ascii="Arial" w:hAnsi="Arial" w:cs="Arial" w:eastAsia="仿宋_GB2312;仿宋"/>
          <w:sz w:val="28"/>
        </w:rPr>
        <w:t>实际中的应用有两种情况：一是假定为空地条件下的最有效利用，适用于土地开发或房地产开发；二是保持现状条件下的最有效利用，一般是指已建成的房地产在继续利用状态下的土地估价。</w:t>
      </w:r>
      <w:r>
        <w:rPr>
          <w:rFonts w:ascii="Arial" w:hAnsi="Arial" w:cs="Arial" w:eastAsia="Arial"/>
          <w:sz w:val="28"/>
        </w:rPr>
        <w:t xml:space="preserve"> </w:t>
      </w:r>
      <w:r>
        <w:rPr>
          <w:rFonts w:ascii="Arial" w:hAnsi="Arial" w:cs="Arial" w:eastAsia="仿宋_GB2312;仿宋"/>
          <w:sz w:val="28"/>
        </w:rPr>
        <w:t>最有效利用原则是土地估价的基本原则，土地估价应以土地的最有效利用为前提。最有效利用原则与变动原则和预期收益原则关系密切，在判断最有效利用时，以变动原则和预期收益原则为基础，即土地最有效利用是对土地的过去，现在和将来作长远考虑后确定。</w:t>
      </w:r>
      <w:r>
        <w:rPr>
          <w:rFonts w:ascii="Arial" w:hAnsi="Arial" w:cs="Arial" w:eastAsia="Arial"/>
          <w:sz w:val="28"/>
        </w:rPr>
        <w:t xml:space="preserve"> </w:t>
      </w:r>
    </w:p>
    <w:p>
      <w:pPr>
        <w:pStyle w:val="Normal"/>
        <w:spacing w:lineRule="auto" w:line="360"/>
        <w:ind w:firstLine="630"/>
        <w:jc w:val="both"/>
        <w:rPr>
          <w:rFonts w:ascii="Arial" w:hAnsi="Arial" w:eastAsia="仿宋_GB2312;仿宋" w:cs="Arial"/>
          <w:sz w:val="28"/>
        </w:rPr>
      </w:pPr>
      <w:r>
        <w:rPr>
          <w:rFonts w:eastAsia="仿宋_GB2312;仿宋" w:cs="Arial" w:ascii="Arial" w:hAnsi="Arial"/>
          <w:sz w:val="28"/>
        </w:rPr>
        <w:t>4.</w:t>
      </w:r>
      <w:r>
        <w:rPr>
          <w:rFonts w:ascii="Arial" w:hAnsi="Arial" w:cs="Arial" w:eastAsia="仿宋_GB2312;仿宋"/>
          <w:sz w:val="28"/>
        </w:rPr>
        <w:t>供需原则</w:t>
      </w:r>
    </w:p>
    <w:p>
      <w:pPr>
        <w:pStyle w:val="Normal"/>
        <w:spacing w:lineRule="auto" w:line="360"/>
        <w:ind w:firstLine="630"/>
        <w:jc w:val="both"/>
        <w:rPr/>
      </w:pPr>
      <w:r>
        <w:rPr>
          <w:rFonts w:ascii="Arial" w:hAnsi="Arial" w:cs="Arial" w:eastAsia="仿宋_GB2312;仿宋"/>
          <w:sz w:val="28"/>
        </w:rPr>
        <w:t>土地估价应以市场供需决定土地价格为依据，并充分考虑土地供需的特殊性和土地市场的地域性。</w:t>
      </w:r>
    </w:p>
    <w:p>
      <w:pPr>
        <w:pStyle w:val="Normal"/>
        <w:spacing w:lineRule="auto" w:line="360"/>
        <w:ind w:firstLine="630"/>
        <w:jc w:val="both"/>
        <w:rPr>
          <w:rFonts w:ascii="Arial" w:hAnsi="Arial" w:eastAsia="仿宋_GB2312;仿宋" w:cs="Arial"/>
          <w:sz w:val="28"/>
        </w:rPr>
      </w:pPr>
      <w:r>
        <w:rPr>
          <w:rFonts w:ascii="Arial" w:hAnsi="Arial" w:cs="Arial" w:eastAsia="仿宋_GB2312;仿宋"/>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pPr>
        <w:pStyle w:val="Normal"/>
        <w:spacing w:lineRule="auto" w:line="360"/>
        <w:ind w:firstLine="630"/>
        <w:jc w:val="both"/>
        <w:rPr>
          <w:rFonts w:ascii="Arial" w:hAnsi="Arial" w:eastAsia="仿宋_GB2312;仿宋" w:cs="Arial"/>
          <w:sz w:val="28"/>
        </w:rPr>
      </w:pPr>
      <w:r>
        <w:rPr>
          <w:rFonts w:ascii="Arial" w:hAnsi="Arial" w:cs="Arial" w:eastAsia="仿宋_GB2312;仿宋"/>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pPr>
        <w:pStyle w:val="Normal"/>
        <w:spacing w:lineRule="auto" w:line="360"/>
        <w:ind w:firstLine="630"/>
        <w:jc w:val="both"/>
        <w:rPr>
          <w:rFonts w:ascii="Arial" w:hAnsi="Arial" w:eastAsia="仿宋_GB2312;仿宋" w:cs="Arial"/>
          <w:sz w:val="28"/>
        </w:rPr>
      </w:pPr>
      <w:r>
        <w:rPr>
          <w:rFonts w:ascii="Arial" w:hAnsi="Arial" w:cs="Arial" w:eastAsia="仿宋_GB2312;仿宋"/>
          <w:sz w:val="28"/>
        </w:rPr>
        <w:t>因此，土地不能仅根据均衡法则来决定价格。尤其在我国城市土地属国家所有，市场中能够流动的仅是有限年期的土地使用权，土地供方主要由国家控制，这一因素对地价具有至关重要的影响。</w:t>
      </w:r>
    </w:p>
    <w:p>
      <w:pPr>
        <w:pStyle w:val="Normal"/>
        <w:spacing w:lineRule="auto" w:line="360"/>
        <w:ind w:firstLine="630"/>
        <w:jc w:val="both"/>
        <w:rPr>
          <w:rFonts w:eastAsia="仿宋_GB2312;仿宋"/>
        </w:rPr>
      </w:pPr>
      <w:r>
        <w:rPr>
          <w:rFonts w:eastAsia="仿宋_GB2312;仿宋" w:cs="Arial" w:ascii="Arial" w:hAnsi="Arial"/>
          <w:sz w:val="28"/>
        </w:rPr>
        <w:t>5.</w:t>
      </w:r>
      <w:r>
        <w:rPr>
          <w:rFonts w:ascii="Arial" w:hAnsi="Arial" w:cs="Arial" w:eastAsia="仿宋_GB2312;仿宋"/>
          <w:sz w:val="28"/>
        </w:rPr>
        <w:t>贡献原则</w:t>
      </w:r>
      <w:r>
        <w:rPr>
          <w:rFonts w:ascii="Arial" w:hAnsi="Arial" w:cs="Arial" w:eastAsia="Arial"/>
          <w:sz w:val="28"/>
        </w:rPr>
        <w:t xml:space="preserve"> </w:t>
      </w:r>
    </w:p>
    <w:p>
      <w:pPr>
        <w:pStyle w:val="Normal"/>
        <w:spacing w:lineRule="auto" w:line="360"/>
        <w:ind w:firstLine="630"/>
        <w:jc w:val="both"/>
        <w:rPr>
          <w:rFonts w:eastAsia="仿宋_GB2312;仿宋"/>
        </w:rPr>
      </w:pPr>
      <w:r>
        <w:rPr>
          <w:rFonts w:ascii="Arial" w:hAnsi="Arial" w:cs="Arial" w:eastAsia="仿宋_GB2312;仿宋"/>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hAnsi="Arial" w:cs="Arial" w:eastAsia="Arial"/>
          <w:sz w:val="28"/>
        </w:rPr>
        <w:t xml:space="preserve"> </w:t>
      </w:r>
    </w:p>
    <w:p>
      <w:pPr>
        <w:pStyle w:val="Normal"/>
        <w:spacing w:lineRule="auto" w:line="360"/>
        <w:ind w:firstLine="630"/>
        <w:jc w:val="both"/>
        <w:rPr>
          <w:rFonts w:eastAsia="仿宋_GB2312;仿宋"/>
        </w:rPr>
      </w:pPr>
      <w:r>
        <w:rPr>
          <w:rFonts w:eastAsia="仿宋_GB2312;仿宋" w:cs="Arial" w:ascii="Arial" w:hAnsi="Arial"/>
          <w:sz w:val="28"/>
        </w:rPr>
        <w:t>6</w:t>
      </w:r>
      <w:r>
        <w:rPr>
          <w:rFonts w:eastAsia="仿宋_GB2312;仿宋" w:cs="Arial" w:ascii="Arial" w:hAnsi="Arial"/>
          <w:sz w:val="28"/>
        </w:rPr>
        <w:t>.</w:t>
      </w:r>
      <w:r>
        <w:rPr>
          <w:rFonts w:ascii="Arial" w:hAnsi="Arial" w:cs="Arial" w:eastAsia="仿宋_GB2312;仿宋"/>
          <w:sz w:val="28"/>
        </w:rPr>
        <w:t>谨慎性原则</w:t>
      </w:r>
      <w:r>
        <w:rPr>
          <w:rFonts w:ascii="Arial" w:hAnsi="Arial" w:cs="Arial" w:eastAsia="Arial"/>
          <w:sz w:val="28"/>
        </w:rPr>
        <w:t xml:space="preserve">  </w:t>
      </w:r>
    </w:p>
    <w:p>
      <w:pPr>
        <w:pStyle w:val="Normal"/>
        <w:spacing w:lineRule="auto" w:line="360"/>
        <w:ind w:firstLine="630"/>
        <w:jc w:val="both"/>
        <w:rPr>
          <w:rFonts w:eastAsia="仿宋_GB2312;仿宋"/>
        </w:rPr>
      </w:pPr>
      <w:r>
        <w:rPr>
          <w:rFonts w:ascii="Arial" w:hAnsi="Arial" w:cs="Arial" w:eastAsia="仿宋_GB2312;仿宋"/>
          <w:sz w:val="28"/>
        </w:rPr>
        <w:t>谨慎性原则是指在评估中确定相关参数和结果时，应分析并充分考虑土地市场运行状况、有关行业发展状况，以及存在的风险。在不确定性条件下做出估计和判断时要保持一定程度的谨慎性，以便不高估也不低估估价对象的价值。</w:t>
      </w:r>
      <w:r>
        <w:rPr>
          <w:rFonts w:ascii="Arial" w:hAnsi="Arial" w:cs="Arial" w:eastAsia="Arial"/>
          <w:sz w:val="28"/>
        </w:rPr>
        <w:t xml:space="preserve"> </w:t>
      </w:r>
    </w:p>
    <w:p>
      <w:pPr>
        <w:pStyle w:val="Normal"/>
        <w:overflowPunct w:val="false"/>
        <w:snapToGrid w:val="false"/>
        <w:spacing w:lineRule="auto" w:line="300" w:before="60" w:after="60"/>
        <w:ind w:firstLine="560"/>
        <w:jc w:val="both"/>
        <w:rPr/>
      </w:pPr>
      <w:r>
        <w:rPr>
          <w:rFonts w:eastAsia="仿宋_GB2312;仿宋" w:cs="Arial" w:ascii="Arial" w:hAnsi="Arial"/>
          <w:sz w:val="28"/>
        </w:rPr>
        <w:t>7</w:t>
      </w:r>
      <w:r>
        <w:rPr>
          <w:rFonts w:eastAsia="仿宋_GB2312;仿宋" w:cs="Arial" w:ascii="Arial" w:hAnsi="Arial"/>
          <w:sz w:val="28"/>
        </w:rPr>
        <w:t>.</w:t>
      </w:r>
      <w:r>
        <w:rPr>
          <w:rFonts w:ascii="Arial" w:hAnsi="Arial" w:cs="Arial" w:eastAsia="仿宋_GB2312;仿宋"/>
          <w:sz w:val="28"/>
        </w:rPr>
        <w:t>预期收益原则</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w:t>
      </w:r>
    </w:p>
    <w:p>
      <w:pPr>
        <w:pStyle w:val="Normal"/>
        <w:spacing w:lineRule="auto" w:line="360"/>
        <w:ind w:firstLine="560"/>
        <w:jc w:val="both"/>
        <w:rPr>
          <w:rFonts w:ascii="Arial" w:hAnsi="Arial" w:eastAsia="仿宋_GB2312;仿宋" w:cs="Arial"/>
          <w:b/>
          <w:b/>
          <w:sz w:val="28"/>
        </w:rPr>
      </w:pPr>
      <w:r>
        <w:rPr>
          <w:rFonts w:ascii="Arial" w:hAnsi="Arial" w:cs="Arial" w:eastAsia="仿宋_GB2312;仿宋"/>
          <w:sz w:val="28"/>
        </w:rPr>
        <w:t>本次评估考虑估价对象的具体情况，结合估价目的，在估价过程中确定相关参数和结果时，仔细分析并充分考虑土地市场运行状况、有关行业发展状况、存在的风险，严格遵循着谨慎性原则。</w:t>
      </w:r>
    </w:p>
    <w:p>
      <w:pPr>
        <w:pStyle w:val="Normal"/>
        <w:numPr>
          <w:ilvl w:val="0"/>
          <w:numId w:val="0"/>
        </w:numPr>
        <w:spacing w:lineRule="auto" w:line="360"/>
        <w:jc w:val="both"/>
        <w:outlineLvl w:val="1"/>
        <w:rPr>
          <w:rFonts w:ascii="Arial" w:hAnsi="Arial" w:eastAsia="仿宋_GB2312;仿宋" w:cs="Arial"/>
          <w:b/>
          <w:b/>
          <w:sz w:val="28"/>
        </w:rPr>
      </w:pPr>
      <w:bookmarkStart w:id="49" w:name="__RefHeading___Toc530042258"/>
      <w:bookmarkEnd w:id="49"/>
      <w:r>
        <w:rPr>
          <w:rFonts w:ascii="Arial" w:hAnsi="Arial" w:cs="Arial" w:eastAsia="仿宋_GB2312;仿宋"/>
          <w:b/>
          <w:sz w:val="28"/>
        </w:rPr>
        <w:t>二、估价方法与估价过程</w:t>
      </w:r>
    </w:p>
    <w:p>
      <w:pPr>
        <w:pStyle w:val="Normal1"/>
        <w:autoSpaceDE w:val="false"/>
        <w:spacing w:lineRule="auto" w:line="360"/>
        <w:ind w:right="140" w:hanging="0"/>
        <w:jc w:val="both"/>
        <w:textAlignment w:val="bottom"/>
        <w:rPr>
          <w:rFonts w:ascii="Arial" w:hAnsi="Arial" w:eastAsia="仿宋_GB2312;仿宋" w:cs="Arial"/>
          <w:bCs/>
          <w:sz w:val="28"/>
        </w:rPr>
      </w:pPr>
      <w:r>
        <w:rPr>
          <w:rFonts w:ascii="Arial" w:hAnsi="Arial" w:cs="Arial" w:eastAsia="仿宋_GB2312;仿宋"/>
          <w:bCs/>
          <w:sz w:val="28"/>
        </w:rPr>
        <w:t>（一）估价方法</w:t>
      </w:r>
    </w:p>
    <w:p>
      <w:pPr>
        <w:pStyle w:val="Normal"/>
        <w:spacing w:lineRule="auto" w:line="360"/>
        <w:ind w:firstLine="630"/>
        <w:jc w:val="both"/>
        <w:rPr>
          <w:rFonts w:ascii="Arial" w:hAnsi="Arial" w:eastAsia="仿宋_GB2312;仿宋" w:cs="Arial"/>
          <w:sz w:val="28"/>
        </w:rPr>
      </w:pPr>
      <w:r>
        <w:rPr>
          <w:rFonts w:eastAsia="仿宋_GB2312;仿宋" w:cs="Arial" w:ascii="Arial" w:hAnsi="Arial"/>
          <w:sz w:val="28"/>
        </w:rPr>
        <w:t>1.</w:t>
      </w:r>
      <w:r>
        <w:rPr>
          <w:rFonts w:ascii="Arial" w:hAnsi="Arial" w:cs="Arial" w:eastAsia="仿宋_GB2312;仿宋"/>
          <w:sz w:val="28"/>
        </w:rPr>
        <w:t>方法选择</w:t>
      </w:r>
    </w:p>
    <w:p>
      <w:pPr>
        <w:pStyle w:val="Normal"/>
        <w:spacing w:lineRule="auto" w:line="360"/>
        <w:ind w:firstLine="630"/>
        <w:jc w:val="both"/>
        <w:rPr/>
      </w:pPr>
      <w:r>
        <w:rPr>
          <w:rFonts w:ascii="Arial" w:hAnsi="Arial" w:cs="Arial" w:eastAsia="仿宋_GB2312;仿宋"/>
          <w:sz w:val="28"/>
        </w:rPr>
        <w:t>本报告估价目的是</w:t>
      </w:r>
      <w:r>
        <w:rPr>
          <w:rFonts w:ascii="Arial" w:hAnsi="Arial" w:cs="Arial" w:eastAsia="仿宋_GB2312;仿宋"/>
          <w:sz w:val="28"/>
        </w:rPr>
        <w:t>为北京市海淀区规划和自然资源综合事务中心收购的国有建设用地使用权的补偿提供依据，评估被收购国有建设用地使用权的收购补偿价格</w:t>
      </w:r>
      <w:r>
        <w:rPr>
          <w:rFonts w:ascii="Arial" w:hAnsi="Arial" w:cs="Arial" w:eastAsia="仿宋_GB2312;仿宋"/>
          <w:sz w:val="28"/>
        </w:rPr>
        <w:t>。根据估价对象现状条件及《关于发布</w:t>
      </w:r>
      <w:r>
        <w:rPr>
          <w:rFonts w:eastAsia="仿宋_GB2312;仿宋" w:cs="Arial" w:ascii="Arial" w:hAnsi="Arial"/>
          <w:sz w:val="28"/>
        </w:rPr>
        <w:t>&lt;</w:t>
      </w:r>
      <w:r>
        <w:rPr>
          <w:rFonts w:ascii="Arial" w:hAnsi="Arial" w:cs="Arial" w:eastAsia="仿宋_GB2312;仿宋"/>
          <w:sz w:val="28"/>
        </w:rPr>
        <w:t>北京市企业国有建设用地使用权收购补偿价格评估技术指引</w:t>
      </w:r>
      <w:r>
        <w:rPr>
          <w:rFonts w:eastAsia="仿宋_GB2312;仿宋" w:cs="Arial" w:ascii="Arial" w:hAnsi="Arial"/>
          <w:sz w:val="28"/>
        </w:rPr>
        <w:t>&gt;</w:t>
      </w:r>
      <w:r>
        <w:rPr>
          <w:rFonts w:ascii="Arial" w:hAnsi="Arial" w:cs="Arial" w:eastAsia="仿宋_GB2312;仿宋"/>
          <w:sz w:val="28"/>
        </w:rPr>
        <w:t>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2018</w:t>
      </w:r>
      <w:r>
        <w:rPr>
          <w:rFonts w:ascii="Arial" w:hAnsi="Arial" w:cs="Arial" w:eastAsia="仿宋_GB2312;仿宋"/>
          <w:sz w:val="28"/>
        </w:rPr>
        <w:t>）</w:t>
      </w:r>
      <w:r>
        <w:rPr>
          <w:rFonts w:eastAsia="仿宋_GB2312;仿宋" w:cs="Arial" w:ascii="Arial" w:hAnsi="Arial"/>
          <w:sz w:val="28"/>
        </w:rPr>
        <w:t>004</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、《关于发布</w:t>
      </w:r>
      <w:r>
        <w:rPr>
          <w:rFonts w:ascii="仿宋" w:hAnsi="仿宋" w:cs="Arial" w:eastAsia="仿宋"/>
          <w:sz w:val="28"/>
        </w:rPr>
        <w:t>〈</w:t>
      </w:r>
      <w:r>
        <w:rPr>
          <w:rFonts w:ascii="Arial" w:hAnsi="Arial" w:cs="Arial" w:eastAsia="仿宋_GB2312;仿宋"/>
          <w:sz w:val="28"/>
        </w:rPr>
        <w:t>北京市企业国有建设用地使用权收购补偿价格评估技术指引</w:t>
      </w:r>
      <w:r>
        <w:rPr>
          <w:rFonts w:ascii="仿宋" w:hAnsi="仿宋" w:cs="Arial" w:eastAsia="仿宋"/>
          <w:sz w:val="28"/>
        </w:rPr>
        <w:t>〉</w:t>
      </w:r>
      <w:r>
        <w:rPr>
          <w:rFonts w:ascii="Arial" w:hAnsi="Arial" w:cs="Arial" w:eastAsia="仿宋_GB2312;仿宋"/>
          <w:sz w:val="28"/>
        </w:rPr>
        <w:t>应用有关说明的通知》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2021</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，确定评估思路如下：</w:t>
      </w:r>
    </w:p>
    <w:p>
      <w:pPr>
        <w:pStyle w:val="Normal"/>
        <w:autoSpaceDE w:val="false"/>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土地收购补偿价格</w:t>
      </w:r>
      <w:r>
        <w:rPr>
          <w:rFonts w:eastAsia="仿宋_GB2312;仿宋" w:cs="Arial" w:ascii="Arial" w:hAnsi="Arial"/>
          <w:sz w:val="28"/>
        </w:rPr>
        <w:t>=</w:t>
      </w:r>
      <w:r>
        <w:rPr>
          <w:rFonts w:ascii="Arial" w:hAnsi="Arial" w:cs="Arial" w:eastAsia="仿宋_GB2312;仿宋"/>
          <w:sz w:val="28"/>
        </w:rPr>
        <w:t>土地使用权价格</w:t>
      </w:r>
      <w:r>
        <w:rPr>
          <w:rFonts w:eastAsia="仿宋_GB2312;仿宋" w:cs="Arial" w:ascii="Arial" w:hAnsi="Arial"/>
          <w:sz w:val="28"/>
        </w:rPr>
        <w:t>+</w:t>
      </w:r>
      <w:r>
        <w:rPr>
          <w:rFonts w:ascii="Arial" w:hAnsi="Arial" w:cs="Arial" w:eastAsia="仿宋_GB2312;仿宋"/>
          <w:sz w:val="28"/>
        </w:rPr>
        <w:t>房屋重置成新价</w:t>
      </w:r>
      <w:r>
        <w:rPr>
          <w:rFonts w:eastAsia="仿宋_GB2312;仿宋" w:cs="Arial" w:ascii="Arial" w:hAnsi="Arial"/>
          <w:sz w:val="28"/>
        </w:rPr>
        <w:t>+</w:t>
      </w:r>
      <w:r>
        <w:rPr>
          <w:rFonts w:ascii="Arial" w:hAnsi="Arial" w:cs="Arial" w:eastAsia="仿宋_GB2312;仿宋"/>
          <w:sz w:val="28"/>
        </w:rPr>
        <w:t>附属物价格</w:t>
      </w:r>
      <w:r>
        <w:rPr>
          <w:rFonts w:eastAsia="仿宋_GB2312;仿宋" w:cs="Arial" w:ascii="Arial" w:hAnsi="Arial"/>
          <w:sz w:val="28"/>
        </w:rPr>
        <w:t>+</w:t>
      </w:r>
      <w:r>
        <w:rPr>
          <w:rFonts w:ascii="Arial" w:hAnsi="Arial" w:cs="Arial" w:eastAsia="仿宋_GB2312;仿宋"/>
          <w:sz w:val="28"/>
        </w:rPr>
        <w:t>无法恢复使用的设施设备补偿价</w:t>
      </w:r>
      <w:r>
        <w:rPr>
          <w:rFonts w:eastAsia="仿宋_GB2312;仿宋" w:cs="Arial" w:ascii="Arial" w:hAnsi="Arial"/>
          <w:sz w:val="28"/>
        </w:rPr>
        <w:t>+</w:t>
      </w:r>
      <w:r>
        <w:rPr>
          <w:rFonts w:ascii="Arial" w:hAnsi="Arial" w:cs="Arial" w:eastAsia="仿宋_GB2312;仿宋"/>
          <w:sz w:val="28"/>
        </w:rPr>
        <w:t>停产停业损失补偿费用</w:t>
      </w:r>
      <w:r>
        <w:rPr>
          <w:rFonts w:eastAsia="仿宋_GB2312;仿宋" w:cs="Arial" w:ascii="Arial" w:hAnsi="Arial"/>
          <w:sz w:val="28"/>
        </w:rPr>
        <w:t>+</w:t>
      </w:r>
      <w:r>
        <w:rPr>
          <w:rFonts w:ascii="Arial" w:hAnsi="Arial" w:cs="Arial" w:eastAsia="仿宋_GB2312;仿宋"/>
          <w:sz w:val="28"/>
        </w:rPr>
        <w:t>搬迁、临时安置补偿费用</w:t>
      </w:r>
    </w:p>
    <w:p>
      <w:pPr>
        <w:pStyle w:val="Normal"/>
        <w:autoSpaceDE w:val="false"/>
        <w:spacing w:lineRule="auto" w:line="360"/>
        <w:ind w:firstLine="560"/>
        <w:jc w:val="both"/>
        <w:textAlignment w:val="bottom"/>
        <w:rPr/>
      </w:pPr>
      <w:r>
        <w:rPr>
          <w:rFonts w:ascii="Arial" w:hAnsi="Arial" w:cs="Arial" w:eastAsia="仿宋_GB2312;仿宋"/>
          <w:sz w:val="28"/>
        </w:rPr>
        <w:t>根据《城镇土地估价规程》</w:t>
      </w:r>
      <w:r>
        <w:rPr>
          <w:rFonts w:eastAsia="仿宋_GB2312;仿宋" w:cs="Arial" w:ascii="Arial" w:hAnsi="Arial"/>
          <w:sz w:val="28"/>
        </w:rPr>
        <w:t>[GB/T 18508-2014]</w:t>
      </w:r>
      <w:r>
        <w:rPr>
          <w:rFonts w:ascii="Arial" w:hAnsi="Arial" w:cs="Arial" w:eastAsia="仿宋_GB2312;仿宋"/>
          <w:sz w:val="28"/>
        </w:rPr>
        <w:t>以及估价对象的具体条件、用地性质及估价目的，结合评估专业人员收集的有关资料，考虑到当地地产市场发育程度，选择评估方法。</w:t>
      </w:r>
    </w:p>
    <w:p>
      <w:pPr>
        <w:pStyle w:val="Normal"/>
        <w:autoSpaceDE w:val="false"/>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w:t>
      </w:r>
      <w:r>
        <w:rPr>
          <w:rFonts w:eastAsia="仿宋_GB2312;仿宋" w:cs="Arial" w:ascii="Arial" w:hAnsi="Arial"/>
          <w:sz w:val="28"/>
        </w:rPr>
        <w:t>1</w:t>
      </w:r>
      <w:r>
        <w:rPr>
          <w:rFonts w:ascii="Arial" w:hAnsi="Arial" w:cs="Arial" w:eastAsia="仿宋_GB2312;仿宋"/>
          <w:sz w:val="28"/>
        </w:rPr>
        <w:t>）土地使用权价格的评估方法</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根据《划拨国有建设用地使用权地价评估指导意见》（试行）（自然资办函</w:t>
      </w:r>
      <w:r>
        <w:rPr>
          <w:rFonts w:eastAsia="仿宋_GB2312;仿宋" w:cs="Arial" w:ascii="Arial" w:hAnsi="Arial"/>
          <w:sz w:val="28"/>
        </w:rPr>
        <w:t>[2019]922</w:t>
      </w:r>
      <w:r>
        <w:rPr>
          <w:rFonts w:ascii="Arial" w:hAnsi="Arial" w:cs="Arial" w:eastAsia="仿宋_GB2312;仿宋"/>
          <w:sz w:val="28"/>
        </w:rPr>
        <w:t>号），划拨土地评估方法包括成本逼近法、市场比较法、公示地价系数修正法、收益还原法、剩余（增值收益扣减）法，划拨地价评估至少应当选用以上评估方法中的两种。</w:t>
      </w:r>
      <w:r>
        <w:rPr>
          <w:rFonts w:ascii="Arial" w:hAnsi="Arial" w:cs="Arial" w:eastAsia="仿宋_GB2312;仿宋"/>
          <w:sz w:val="28"/>
        </w:rPr>
        <w:t>五种方法的定义及适用条件如下：</w:t>
      </w:r>
    </w:p>
    <w:p>
      <w:pPr>
        <w:pStyle w:val="Normal1"/>
        <w:autoSpaceDE w:val="false"/>
        <w:spacing w:lineRule="auto" w:line="360"/>
        <w:ind w:right="6" w:firstLine="560"/>
        <w:jc w:val="both"/>
        <w:textAlignment w:val="bottom"/>
        <w:rPr>
          <w:rFonts w:ascii="Arial" w:hAnsi="Arial" w:eastAsia="仿宋_GB2312;仿宋" w:cs="Arial"/>
          <w:sz w:val="28"/>
        </w:rPr>
      </w:pPr>
      <w:r>
        <w:rPr>
          <w:rFonts w:ascii="Arial" w:hAnsi="Arial" w:cs="Arial" w:eastAsia="仿宋_GB2312;仿宋"/>
          <w:sz w:val="28"/>
        </w:rPr>
        <w:t>市场比较法：市场比较法是选取一定数量的可比实例，将它们与估价对象进行比较，根据其间的差异对可比实例成交价格进行处理后得到估价对象价值或价格的方法。市场比较法主要用于</w:t>
      </w:r>
      <w:r>
        <w:rPr>
          <w:rFonts w:ascii="Arial" w:hAnsi="Arial" w:cs="Arial" w:eastAsia="仿宋_GB2312;仿宋"/>
          <w:sz w:val="28"/>
        </w:rPr>
        <w:t>有</w:t>
      </w:r>
      <w:r>
        <w:rPr>
          <w:rFonts w:ascii="Arial" w:hAnsi="Arial" w:cs="Arial" w:eastAsia="仿宋_GB2312;仿宋"/>
          <w:sz w:val="28"/>
        </w:rPr>
        <w:t>同类房地产交易</w:t>
      </w:r>
      <w:r>
        <w:rPr>
          <w:rFonts w:ascii="Arial" w:hAnsi="Arial" w:cs="Arial" w:eastAsia="仿宋_GB2312;仿宋"/>
          <w:sz w:val="28"/>
        </w:rPr>
        <w:t>，</w:t>
      </w:r>
      <w:r>
        <w:rPr>
          <w:rFonts w:ascii="Arial" w:hAnsi="Arial" w:cs="Arial" w:eastAsia="仿宋_GB2312;仿宋"/>
          <w:sz w:val="28"/>
        </w:rPr>
        <w:t>且具有一定可比性的房地产。</w:t>
      </w:r>
    </w:p>
    <w:p>
      <w:pPr>
        <w:pStyle w:val="Normal"/>
        <w:spacing w:lineRule="auto" w:line="360"/>
        <w:ind w:firstLine="560"/>
        <w:jc w:val="both"/>
        <w:rPr/>
      </w:pPr>
      <w:r>
        <w:rPr>
          <w:rFonts w:ascii="Arial" w:hAnsi="Arial" w:cs="Arial" w:eastAsia="仿宋_GB2312;仿宋"/>
          <w:sz w:val="28"/>
        </w:rPr>
        <w:t>收益还原法：收益还原法是预测估价对象的未来收益，利用报酬率或资本化率、收益乘数将未来收益转换为价值得到估价价值或价格的方法。收益还原法适用于估价对象或其同类房地产通常有租金等经济收入的收益性房地产。</w:t>
      </w:r>
    </w:p>
    <w:p>
      <w:pPr>
        <w:pStyle w:val="Normal"/>
        <w:spacing w:lineRule="auto" w:line="360"/>
        <w:ind w:left="-2" w:firstLine="560"/>
        <w:jc w:val="both"/>
        <w:rPr/>
      </w:pPr>
      <w:r>
        <w:rPr>
          <w:rFonts w:ascii="Arial" w:hAnsi="Arial" w:cs="Arial" w:eastAsia="仿宋_GB2312;仿宋"/>
          <w:sz w:val="28"/>
        </w:rPr>
        <w:t>成本逼近法：成本逼近法是以取得和开发土地所耗费的各项费用之和为主要依据，再加上一定的利润、利息、应缴纳的税金和</w:t>
      </w:r>
      <w:hyperlink r:id="rId66" w:tgtFrame="_blank">
        <w:r>
          <w:rPr>
            <w:rStyle w:val="Internet"/>
            <w:rFonts w:ascii="Arial" w:hAnsi="Arial" w:cs="Arial" w:eastAsia="仿宋_GB2312;仿宋"/>
            <w:sz w:val="28"/>
          </w:rPr>
          <w:t>土地所有权</w:t>
        </w:r>
      </w:hyperlink>
      <w:r>
        <w:rPr>
          <w:rFonts w:ascii="Arial" w:hAnsi="Arial" w:cs="Arial" w:eastAsia="仿宋_GB2312;仿宋"/>
          <w:sz w:val="28"/>
        </w:rPr>
        <w:t>收益来确定</w:t>
      </w:r>
      <w:hyperlink r:id="rId67" w:tgtFrame="_blank">
        <w:r>
          <w:rPr>
            <w:rStyle w:val="Internet"/>
            <w:rFonts w:ascii="Arial" w:hAnsi="Arial" w:cs="Arial" w:eastAsia="仿宋_GB2312;仿宋"/>
            <w:sz w:val="28"/>
          </w:rPr>
          <w:t>土地价格</w:t>
        </w:r>
      </w:hyperlink>
      <w:r>
        <w:rPr>
          <w:rFonts w:ascii="Arial" w:hAnsi="Arial" w:cs="Arial" w:eastAsia="仿宋_GB2312;仿宋"/>
          <w:sz w:val="28"/>
        </w:rPr>
        <w:t>的估价方法。</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剩余（增值收益扣减）法</w:t>
      </w:r>
      <w:r>
        <w:rPr>
          <w:rFonts w:ascii="Arial" w:hAnsi="Arial" w:cs="Arial" w:eastAsia="仿宋_GB2312;仿宋"/>
          <w:sz w:val="28"/>
        </w:rPr>
        <w:t>：</w:t>
      </w:r>
      <w:r>
        <w:rPr>
          <w:rFonts w:ascii="Arial" w:hAnsi="Arial" w:cs="Arial" w:eastAsia="仿宋_GB2312;仿宋"/>
          <w:sz w:val="28"/>
        </w:rPr>
        <w:t>是在《城镇土地估价规程》剩余法思路上衍生技术路线，通过出让土地使用权价格扣减土地增值收益的方法评估划拨地价。估价对象周边市场满足出让土地使用权价格评估，北京市暂未公布土地增值收益，可以通过招拍挂市场成交价与土地一级开发成本差额计算土地增值收益，但与收储市场存在一定差异难以量化。</w:t>
      </w:r>
    </w:p>
    <w:p>
      <w:pPr>
        <w:pStyle w:val="Normal"/>
        <w:spacing w:lineRule="auto" w:line="360"/>
        <w:ind w:firstLine="560"/>
        <w:jc w:val="both"/>
        <w:rPr/>
      </w:pPr>
      <w:r>
        <w:rPr>
          <w:rFonts w:ascii="Arial" w:hAnsi="Arial" w:cs="Arial" w:eastAsia="仿宋_GB2312;仿宋"/>
          <w:sz w:val="28"/>
        </w:rPr>
        <w:t>基准地价系数修正法：该方法适用于政府或其有关部门已公布基准地价地区的土地估价。</w:t>
      </w:r>
    </w:p>
    <w:p>
      <w:pPr>
        <w:pStyle w:val="BodyTextIndent2"/>
        <w:widowControl/>
        <w:tabs>
          <w:tab w:val="clear" w:pos="420"/>
          <w:tab w:val="right" w:pos="8840" w:leader="none"/>
        </w:tabs>
        <w:spacing w:lineRule="auto" w:line="360"/>
        <w:ind w:firstLine="560"/>
        <w:textAlignment w:val="bottom"/>
        <w:rPr/>
      </w:pPr>
      <w:r>
        <w:rPr>
          <w:rFonts w:ascii="Arial" w:hAnsi="Arial" w:cs="Arial" w:eastAsia="仿宋_GB2312;仿宋"/>
          <w:kern w:val="2"/>
        </w:rPr>
        <w:t>依据《关于发布</w:t>
      </w:r>
      <w:r>
        <w:rPr>
          <w:rFonts w:eastAsia="仿宋_GB2312;仿宋" w:cs="Arial" w:ascii="Arial" w:hAnsi="Arial"/>
          <w:kern w:val="2"/>
        </w:rPr>
        <w:t>&lt;</w:t>
      </w:r>
      <w:r>
        <w:rPr>
          <w:rFonts w:ascii="Arial" w:hAnsi="Arial" w:cs="Arial" w:eastAsia="仿宋_GB2312;仿宋"/>
          <w:kern w:val="2"/>
        </w:rPr>
        <w:t>北京市企业国有建设用地使用权收购补偿价格评估技术指引</w:t>
      </w:r>
      <w:r>
        <w:rPr>
          <w:rFonts w:eastAsia="仿宋_GB2312;仿宋" w:cs="Arial" w:ascii="Arial" w:hAnsi="Arial"/>
          <w:kern w:val="2"/>
        </w:rPr>
        <w:t>&gt;</w:t>
      </w:r>
      <w:r>
        <w:rPr>
          <w:rFonts w:ascii="Arial" w:hAnsi="Arial" w:cs="Arial" w:eastAsia="仿宋_GB2312;仿宋"/>
          <w:kern w:val="2"/>
        </w:rPr>
        <w:t>的通知》</w:t>
      </w:r>
      <w:r>
        <w:rPr>
          <w:rFonts w:eastAsia="仿宋_GB2312;仿宋" w:cs="Arial" w:ascii="Arial" w:hAnsi="Arial"/>
          <w:kern w:val="2"/>
        </w:rPr>
        <w:t>[</w:t>
      </w:r>
      <w:r>
        <w:rPr>
          <w:rFonts w:ascii="Arial" w:hAnsi="Arial" w:cs="Arial" w:eastAsia="仿宋_GB2312;仿宋"/>
          <w:kern w:val="2"/>
        </w:rPr>
        <w:t>北估秘（</w:t>
      </w:r>
      <w:r>
        <w:rPr>
          <w:rFonts w:eastAsia="仿宋_GB2312;仿宋" w:cs="Arial" w:ascii="Arial" w:hAnsi="Arial"/>
          <w:kern w:val="2"/>
        </w:rPr>
        <w:t>2018</w:t>
      </w:r>
      <w:r>
        <w:rPr>
          <w:rFonts w:ascii="Arial" w:hAnsi="Arial" w:cs="Arial" w:eastAsia="仿宋_GB2312;仿宋"/>
          <w:kern w:val="2"/>
        </w:rPr>
        <w:t>）</w:t>
      </w:r>
      <w:r>
        <w:rPr>
          <w:rFonts w:eastAsia="仿宋_GB2312;仿宋" w:cs="Arial" w:ascii="Arial" w:hAnsi="Arial"/>
          <w:kern w:val="2"/>
        </w:rPr>
        <w:t>004</w:t>
      </w:r>
      <w:r>
        <w:rPr>
          <w:rFonts w:ascii="Arial" w:hAnsi="Arial" w:cs="Arial" w:eastAsia="仿宋_GB2312;仿宋"/>
          <w:kern w:val="2"/>
        </w:rPr>
        <w:t>号</w:t>
      </w:r>
      <w:r>
        <w:rPr>
          <w:rFonts w:eastAsia="仿宋_GB2312;仿宋" w:cs="Arial" w:ascii="Arial" w:hAnsi="Arial"/>
          <w:kern w:val="2"/>
        </w:rPr>
        <w:t>]</w:t>
      </w:r>
      <w:r>
        <w:rPr>
          <w:rFonts w:ascii="Arial" w:hAnsi="Arial" w:cs="Arial" w:eastAsia="仿宋_GB2312;仿宋"/>
          <w:kern w:val="2"/>
        </w:rPr>
        <w:t>、</w:t>
      </w:r>
      <w:r>
        <w:rPr>
          <w:rFonts w:ascii="Arial" w:hAnsi="Arial" w:cs="Arial" w:eastAsia="仿宋_GB2312;仿宋"/>
        </w:rPr>
        <w:t>《关于发布</w:t>
      </w:r>
      <w:r>
        <w:rPr>
          <w:rFonts w:ascii="仿宋" w:hAnsi="仿宋" w:cs="Arial" w:eastAsia="仿宋"/>
        </w:rPr>
        <w:t>〈</w:t>
      </w:r>
      <w:r>
        <w:rPr>
          <w:rFonts w:ascii="Arial" w:hAnsi="Arial" w:cs="Arial" w:eastAsia="仿宋_GB2312;仿宋"/>
        </w:rPr>
        <w:t>北京市企业国有建设用地使用权收购补偿价格评估技术指引</w:t>
      </w:r>
      <w:r>
        <w:rPr>
          <w:rFonts w:ascii="仿宋" w:hAnsi="仿宋" w:cs="Arial" w:eastAsia="仿宋"/>
        </w:rPr>
        <w:t>〉</w:t>
      </w:r>
      <w:r>
        <w:rPr>
          <w:rFonts w:ascii="Arial" w:hAnsi="Arial" w:cs="Arial" w:eastAsia="仿宋_GB2312;仿宋"/>
        </w:rPr>
        <w:t>应用有关说明的通知》</w:t>
      </w:r>
      <w:r>
        <w:rPr>
          <w:rFonts w:eastAsia="仿宋_GB2312;仿宋" w:cs="Arial" w:ascii="Arial" w:hAnsi="Arial"/>
        </w:rPr>
        <w:t>[</w:t>
      </w:r>
      <w:r>
        <w:rPr>
          <w:rFonts w:ascii="Arial" w:hAnsi="Arial" w:cs="Arial" w:eastAsia="仿宋_GB2312;仿宋"/>
        </w:rPr>
        <w:t>北估秘（</w:t>
      </w:r>
      <w:r>
        <w:rPr>
          <w:rFonts w:eastAsia="仿宋_GB2312;仿宋" w:cs="Arial" w:ascii="Arial" w:hAnsi="Arial"/>
        </w:rPr>
        <w:t>2021</w:t>
      </w:r>
      <w:r>
        <w:rPr>
          <w:rFonts w:ascii="Arial" w:hAnsi="Arial" w:cs="Arial" w:eastAsia="仿宋_GB2312;仿宋"/>
        </w:rPr>
        <w:t>）</w:t>
      </w:r>
      <w:r>
        <w:rPr>
          <w:rFonts w:eastAsia="仿宋_GB2312;仿宋" w:cs="Arial" w:ascii="Arial" w:hAnsi="Arial"/>
        </w:rPr>
        <w:t>001</w:t>
      </w:r>
      <w:r>
        <w:rPr>
          <w:rFonts w:ascii="Arial" w:hAnsi="Arial" w:cs="Arial" w:eastAsia="仿宋_GB2312;仿宋"/>
        </w:rPr>
        <w:t>号</w:t>
      </w:r>
      <w:r>
        <w:rPr>
          <w:rFonts w:eastAsia="仿宋_GB2312;仿宋" w:cs="Arial" w:ascii="Arial" w:hAnsi="Arial"/>
        </w:rPr>
        <w:t>]</w:t>
      </w:r>
      <w:r>
        <w:rPr>
          <w:rFonts w:ascii="Arial" w:hAnsi="Arial" w:cs="Arial" w:eastAsia="仿宋_GB2312;仿宋"/>
          <w:kern w:val="2"/>
        </w:rPr>
        <w:t>，</w:t>
      </w:r>
      <w:r>
        <w:rPr>
          <w:rFonts w:ascii="Arial" w:hAnsi="Arial" w:cs="Arial" w:eastAsia="仿宋_GB2312;仿宋"/>
        </w:rPr>
        <w:t>土地估价师应综合考虑区位、用途、土地使用权类型、土地开发程度等价格影响因素，对</w:t>
      </w:r>
      <w:r>
        <w:rPr>
          <w:rFonts w:ascii="Arial" w:hAnsi="Arial" w:cs="Arial" w:eastAsia="仿宋_GB2312;仿宋"/>
        </w:rPr>
        <w:t>估价方法</w:t>
      </w:r>
      <w:r>
        <w:rPr>
          <w:rFonts w:ascii="Arial" w:hAnsi="Arial" w:cs="Arial" w:eastAsia="仿宋_GB2312;仿宋"/>
        </w:rPr>
        <w:t>进行适用性分析后，选用两种以上评估方法</w:t>
      </w:r>
      <w:r>
        <w:rPr>
          <w:rFonts w:ascii="Arial" w:hAnsi="Arial" w:cs="Arial" w:eastAsia="仿宋_GB2312;仿宋"/>
          <w:kern w:val="2"/>
        </w:rPr>
        <w:t>。</w:t>
      </w:r>
    </w:p>
    <w:p>
      <w:pPr>
        <w:pStyle w:val="Normal"/>
        <w:spacing w:lineRule="auto" w:line="360"/>
        <w:ind w:left="-2" w:firstLine="560"/>
        <w:jc w:val="both"/>
        <w:rPr>
          <w:rFonts w:cs="Arial"/>
        </w:rPr>
      </w:pPr>
      <w:r>
        <w:rPr>
          <w:rFonts w:ascii="Arial" w:hAnsi="Arial" w:cs="Arial" w:eastAsia="仿宋_GB2312;仿宋"/>
          <w:sz w:val="28"/>
        </w:rPr>
        <w:t>评估专业人员在认真分析所掌握的资料并进行了实地勘查之后，根据估价对象土地的特点及开发项目本身的实际状况，选取市场比较法和成本逼近法作为本次评估的基本方法。分析如下：</w:t>
      </w:r>
    </w:p>
    <w:tbl>
      <w:tblPr>
        <w:tblW w:w="8890" w:type="dxa"/>
        <w:jc w:val="left"/>
        <w:tblInd w:w="-113" w:type="dxa"/>
        <w:tblCellMar>
          <w:top w:w="0" w:type="dxa"/>
          <w:left w:w="108" w:type="dxa"/>
          <w:bottom w:w="0" w:type="dxa"/>
          <w:right w:w="108" w:type="dxa"/>
        </w:tblCellMar>
      </w:tblPr>
      <w:tblGrid>
        <w:gridCol w:w="1875"/>
        <w:gridCol w:w="5174"/>
        <w:gridCol w:w="1841"/>
      </w:tblGrid>
      <w:tr>
        <w:trPr>
          <w:cantSplit w:val="true"/>
        </w:trPr>
        <w:tc>
          <w:tcPr>
            <w:tcW w:w="1875" w:type="dxa"/>
            <w:tcBorders>
              <w:top w:val="single" w:sz="4" w:space="0" w:color="000000"/>
              <w:left w:val="single" w:sz="4" w:space="0" w:color="000000"/>
              <w:bottom w:val="single" w:sz="4" w:space="0" w:color="000000"/>
            </w:tcBorders>
            <w:shd w:fill="auto" w:val="clear"/>
            <w:vAlign w:val="center"/>
          </w:tcPr>
          <w:p>
            <w:pPr>
              <w:pStyle w:val="13"/>
              <w:spacing w:lineRule="auto" w:line="240"/>
              <w:ind w:right="6" w:hanging="0"/>
              <w:jc w:val="center"/>
              <w:textAlignment w:val="bottom"/>
              <w:rPr>
                <w:rFonts w:ascii="Arial" w:hAnsi="Arial" w:eastAsia="仿宋_GB2312;仿宋" w:cs="Arial"/>
                <w:b/>
                <w:b/>
                <w:sz w:val="28"/>
                <w:szCs w:val="28"/>
              </w:rPr>
            </w:pPr>
            <w:r>
              <w:rPr>
                <w:rFonts w:ascii="Arial" w:hAnsi="Arial" w:cs="Arial" w:eastAsia="仿宋_GB2312;仿宋"/>
                <w:b/>
                <w:sz w:val="28"/>
                <w:szCs w:val="28"/>
              </w:rPr>
              <w:t>估价方法</w:t>
            </w:r>
          </w:p>
        </w:tc>
        <w:tc>
          <w:tcPr>
            <w:tcW w:w="5174" w:type="dxa"/>
            <w:tcBorders>
              <w:top w:val="single" w:sz="4" w:space="0" w:color="000000"/>
              <w:left w:val="single" w:sz="4" w:space="0" w:color="000000"/>
              <w:bottom w:val="single" w:sz="4" w:space="0" w:color="000000"/>
            </w:tcBorders>
            <w:shd w:fill="auto" w:val="clear"/>
            <w:vAlign w:val="center"/>
          </w:tcPr>
          <w:p>
            <w:pPr>
              <w:pStyle w:val="13"/>
              <w:autoSpaceDE w:val="false"/>
              <w:spacing w:lineRule="auto" w:line="240" w:before="120" w:after="120"/>
              <w:ind w:right="6" w:hanging="0"/>
              <w:jc w:val="center"/>
              <w:textAlignment w:val="bottom"/>
              <w:rPr>
                <w:rFonts w:ascii="Arial" w:hAnsi="Arial" w:eastAsia="仿宋_GB2312;仿宋" w:cs="Arial"/>
                <w:b/>
                <w:b/>
                <w:sz w:val="28"/>
                <w:szCs w:val="28"/>
              </w:rPr>
            </w:pPr>
            <w:r>
              <w:rPr>
                <w:rFonts w:ascii="Arial" w:hAnsi="Arial" w:cs="Arial" w:eastAsia="仿宋_GB2312;仿宋"/>
                <w:b/>
                <w:sz w:val="28"/>
                <w:szCs w:val="28"/>
              </w:rPr>
              <w:t>适用性分析</w:t>
            </w:r>
          </w:p>
        </w:tc>
        <w:tc>
          <w:tcPr>
            <w:tcW w:w="1841" w:type="dxa"/>
            <w:tcBorders>
              <w:top w:val="single" w:sz="4" w:space="0" w:color="000000"/>
              <w:left w:val="single" w:sz="4" w:space="0" w:color="000000"/>
              <w:bottom w:val="single" w:sz="4" w:space="0" w:color="000000"/>
              <w:right w:val="single" w:sz="4" w:space="0" w:color="000000"/>
            </w:tcBorders>
            <w:shd w:fill="auto" w:val="clear"/>
            <w:vAlign w:val="center"/>
          </w:tcPr>
          <w:p>
            <w:pPr>
              <w:pStyle w:val="13"/>
              <w:autoSpaceDE w:val="false"/>
              <w:spacing w:lineRule="auto" w:line="240" w:before="120" w:after="120"/>
              <w:ind w:right="6" w:hanging="0"/>
              <w:jc w:val="center"/>
              <w:textAlignment w:val="bottom"/>
              <w:rPr>
                <w:rFonts w:ascii="Arial" w:hAnsi="Arial" w:eastAsia="仿宋_GB2312;仿宋" w:cs="Arial"/>
                <w:b/>
                <w:b/>
                <w:sz w:val="28"/>
                <w:szCs w:val="28"/>
              </w:rPr>
            </w:pPr>
            <w:r>
              <w:rPr>
                <w:rFonts w:ascii="Arial" w:hAnsi="Arial" w:cs="Arial" w:eastAsia="仿宋_GB2312;仿宋"/>
                <w:b/>
                <w:sz w:val="28"/>
                <w:szCs w:val="28"/>
              </w:rPr>
              <w:t>是否选用</w:t>
            </w:r>
          </w:p>
        </w:tc>
      </w:tr>
      <w:tr>
        <w:trPr>
          <w:trHeight w:val="1218" w:hRule="atLeast"/>
          <w:cantSplit w:val="true"/>
        </w:trPr>
        <w:tc>
          <w:tcPr>
            <w:tcW w:w="1875" w:type="dxa"/>
            <w:tcBorders>
              <w:top w:val="single" w:sz="4" w:space="0" w:color="000000"/>
              <w:left w:val="single" w:sz="4" w:space="0" w:color="000000"/>
              <w:bottom w:val="single" w:sz="4" w:space="0" w:color="000000"/>
            </w:tcBorders>
            <w:shd w:fill="auto" w:val="clear"/>
            <w:vAlign w:val="center"/>
          </w:tcPr>
          <w:p>
            <w:pPr>
              <w:pStyle w:val="13"/>
              <w:autoSpaceDE w:val="false"/>
              <w:spacing w:lineRule="auto" w:line="240" w:before="120" w:after="120"/>
              <w:ind w:right="6" w:hanging="0"/>
              <w:jc w:val="center"/>
              <w:textAlignment w:val="bottom"/>
              <w:rPr>
                <w:rFonts w:ascii="Arial" w:hAnsi="Arial" w:eastAsia="仿宋_GB2312;仿宋" w:cs="Arial"/>
                <w:kern w:val="2"/>
                <w:sz w:val="24"/>
                <w:szCs w:val="24"/>
                <w:lang w:val="zh-CN"/>
              </w:rPr>
            </w:pPr>
            <w:r>
              <w:rPr>
                <w:rFonts w:ascii="Arial" w:hAnsi="Arial" w:cs="Arial" w:eastAsia="仿宋_GB2312;仿宋"/>
                <w:kern w:val="2"/>
                <w:sz w:val="24"/>
                <w:szCs w:val="24"/>
                <w:lang w:val="zh-CN"/>
              </w:rPr>
              <w:t>市场比较法</w:t>
            </w:r>
          </w:p>
        </w:tc>
        <w:tc>
          <w:tcPr>
            <w:tcW w:w="5174" w:type="dxa"/>
            <w:tcBorders>
              <w:top w:val="single" w:sz="4" w:space="0" w:color="000000"/>
              <w:left w:val="single" w:sz="4" w:space="0" w:color="000000"/>
              <w:bottom w:val="single" w:sz="4" w:space="0" w:color="000000"/>
            </w:tcBorders>
            <w:shd w:fill="auto" w:val="clear"/>
            <w:vAlign w:val="center"/>
          </w:tcPr>
          <w:p>
            <w:pPr>
              <w:pStyle w:val="24"/>
              <w:spacing w:lineRule="auto" w:line="240"/>
              <w:ind w:hanging="0"/>
              <w:jc w:val="center"/>
              <w:rPr>
                <w:rFonts w:ascii="Arial" w:hAnsi="Arial" w:cs="Arial"/>
                <w:kern w:val="2"/>
                <w:sz w:val="24"/>
                <w:szCs w:val="24"/>
                <w:lang w:eastAsia="zh-CN"/>
              </w:rPr>
            </w:pPr>
            <w:r>
              <w:rPr>
                <w:rFonts w:ascii="Arial" w:hAnsi="Arial" w:cs="Arial"/>
                <w:kern w:val="2"/>
                <w:sz w:val="24"/>
                <w:szCs w:val="24"/>
              </w:rPr>
              <w:t>估价对象位于</w:t>
            </w:r>
            <w:r>
              <w:rPr>
                <w:rFonts w:ascii="Arial" w:hAnsi="Arial" w:cs="Arial"/>
                <w:kern w:val="2"/>
                <w:sz w:val="24"/>
                <w:szCs w:val="24"/>
                <w:lang w:eastAsia="zh-CN"/>
              </w:rPr>
              <w:t>海淀</w:t>
            </w:r>
            <w:r>
              <w:rPr>
                <w:rFonts w:ascii="Arial" w:hAnsi="Arial" w:cs="Arial"/>
                <w:kern w:val="2"/>
                <w:sz w:val="24"/>
                <w:szCs w:val="24"/>
              </w:rPr>
              <w:t>区</w:t>
            </w:r>
            <w:r>
              <w:rPr>
                <w:rFonts w:ascii="Arial" w:hAnsi="Arial" w:cs="Arial"/>
                <w:kern w:val="2"/>
                <w:sz w:val="24"/>
                <w:szCs w:val="24"/>
                <w:lang w:eastAsia="zh-CN"/>
              </w:rPr>
              <w:t>，为划拨用地。估价师调查到</w:t>
            </w:r>
            <w:r>
              <w:rPr>
                <w:rFonts w:ascii="Arial" w:hAnsi="Arial" w:cs="Arial"/>
                <w:kern w:val="2"/>
                <w:sz w:val="24"/>
                <w:szCs w:val="24"/>
                <w:lang w:eastAsia="zh-CN"/>
              </w:rPr>
              <w:t>同一圈层相邻地区</w:t>
            </w:r>
            <w:r>
              <w:rPr>
                <w:rFonts w:ascii="Arial" w:hAnsi="Arial" w:cs="Arial"/>
                <w:kern w:val="2"/>
                <w:sz w:val="24"/>
                <w:szCs w:val="24"/>
                <w:lang w:eastAsia="zh-CN"/>
              </w:rPr>
              <w:t>划拨用地的</w:t>
            </w:r>
            <w:r>
              <w:rPr>
                <w:rFonts w:ascii="Arial" w:hAnsi="Arial" w:cs="Arial"/>
                <w:kern w:val="2"/>
                <w:sz w:val="24"/>
                <w:szCs w:val="24"/>
                <w:lang w:eastAsia="zh-CN"/>
              </w:rPr>
              <w:t>交易</w:t>
            </w:r>
            <w:r>
              <w:rPr>
                <w:rFonts w:ascii="Arial" w:hAnsi="Arial" w:cs="Arial"/>
                <w:kern w:val="2"/>
                <w:sz w:val="24"/>
                <w:szCs w:val="24"/>
                <w:lang w:eastAsia="zh-CN"/>
              </w:rPr>
              <w:t>实例</w:t>
            </w:r>
            <w:r>
              <w:rPr>
                <w:rFonts w:ascii="Arial" w:hAnsi="Arial" w:cs="Arial"/>
                <w:kern w:val="2"/>
                <w:sz w:val="24"/>
                <w:szCs w:val="24"/>
                <w:lang w:eastAsia="zh-CN"/>
              </w:rPr>
              <w:t>，具有一定的可比性，符合</w:t>
            </w:r>
            <w:r>
              <w:rPr>
                <w:rFonts w:ascii="Arial" w:hAnsi="Arial" w:cs="Arial"/>
                <w:kern w:val="2"/>
                <w:sz w:val="24"/>
                <w:szCs w:val="24"/>
              </w:rPr>
              <w:t>市场比较法的要求。</w:t>
            </w:r>
            <w:r>
              <w:rPr>
                <w:rFonts w:ascii="Arial" w:hAnsi="Arial" w:cs="Arial"/>
                <w:kern w:val="2"/>
                <w:sz w:val="24"/>
                <w:szCs w:val="24"/>
                <w:lang w:eastAsia="zh-CN"/>
              </w:rPr>
              <w:t>故选取</w:t>
            </w:r>
            <w:r>
              <w:rPr>
                <w:rFonts w:ascii="Arial" w:hAnsi="Arial" w:cs="Arial"/>
                <w:kern w:val="2"/>
                <w:sz w:val="24"/>
                <w:szCs w:val="24"/>
              </w:rPr>
              <w:t>市场比较法</w:t>
            </w:r>
            <w:r>
              <w:rPr>
                <w:rFonts w:ascii="Arial" w:hAnsi="Arial" w:cs="Arial"/>
                <w:kern w:val="2"/>
                <w:sz w:val="24"/>
                <w:szCs w:val="24"/>
                <w:lang w:eastAsia="zh-CN"/>
              </w:rPr>
              <w:t>进行评估。</w:t>
            </w:r>
          </w:p>
        </w:tc>
        <w:tc>
          <w:tcPr>
            <w:tcW w:w="1841" w:type="dxa"/>
            <w:tcBorders>
              <w:top w:val="single" w:sz="4" w:space="0" w:color="000000"/>
              <w:left w:val="single" w:sz="4" w:space="0" w:color="000000"/>
              <w:bottom w:val="single" w:sz="4" w:space="0" w:color="000000"/>
              <w:right w:val="single" w:sz="4" w:space="0" w:color="000000"/>
            </w:tcBorders>
            <w:shd w:fill="auto" w:val="clear"/>
            <w:vAlign w:val="center"/>
          </w:tcPr>
          <w:p>
            <w:pPr>
              <w:pStyle w:val="13"/>
              <w:autoSpaceDE w:val="false"/>
              <w:spacing w:lineRule="auto" w:line="240" w:before="120" w:after="120"/>
              <w:ind w:right="6" w:hanging="0"/>
              <w:jc w:val="center"/>
              <w:textAlignment w:val="bottom"/>
              <w:rPr>
                <w:rFonts w:ascii="Arial" w:hAnsi="Arial" w:eastAsia="仿宋_GB2312;仿宋" w:cs="Arial"/>
                <w:sz w:val="28"/>
                <w:szCs w:val="28"/>
              </w:rPr>
            </w:pPr>
            <w:r>
              <w:rPr>
                <w:rFonts w:ascii="Arial" w:hAnsi="Arial" w:cs="Arial" w:eastAsia="仿宋_GB2312;仿宋"/>
                <w:sz w:val="28"/>
                <w:szCs w:val="28"/>
              </w:rPr>
              <w:t>是</w:t>
            </w:r>
          </w:p>
        </w:tc>
      </w:tr>
      <w:tr>
        <w:trPr>
          <w:cantSplit w:val="true"/>
        </w:trPr>
        <w:tc>
          <w:tcPr>
            <w:tcW w:w="1875" w:type="dxa"/>
            <w:tcBorders>
              <w:top w:val="single" w:sz="4" w:space="0" w:color="000000"/>
              <w:left w:val="single" w:sz="4" w:space="0" w:color="000000"/>
              <w:bottom w:val="single" w:sz="4" w:space="0" w:color="000000"/>
            </w:tcBorders>
            <w:shd w:fill="auto" w:val="clear"/>
            <w:vAlign w:val="center"/>
          </w:tcPr>
          <w:p>
            <w:pPr>
              <w:pStyle w:val="13"/>
              <w:autoSpaceDE w:val="false"/>
              <w:spacing w:lineRule="auto" w:line="240" w:before="120" w:after="120"/>
              <w:ind w:right="6" w:hanging="0"/>
              <w:jc w:val="center"/>
              <w:textAlignment w:val="bottom"/>
              <w:rPr>
                <w:rFonts w:ascii="Arial" w:hAnsi="Arial" w:eastAsia="仿宋_GB2312;仿宋" w:cs="Arial"/>
                <w:kern w:val="2"/>
                <w:sz w:val="24"/>
                <w:szCs w:val="24"/>
                <w:lang w:val="zh-CN"/>
              </w:rPr>
            </w:pPr>
            <w:r>
              <w:rPr>
                <w:rFonts w:ascii="Arial" w:hAnsi="Arial" w:cs="Arial" w:eastAsia="仿宋_GB2312;仿宋"/>
                <w:kern w:val="2"/>
                <w:sz w:val="24"/>
                <w:szCs w:val="24"/>
                <w:lang w:val="zh-CN"/>
              </w:rPr>
              <w:t>收益还原法</w:t>
            </w:r>
          </w:p>
        </w:tc>
        <w:tc>
          <w:tcPr>
            <w:tcW w:w="5174" w:type="dxa"/>
            <w:tcBorders>
              <w:top w:val="single" w:sz="4" w:space="0" w:color="000000"/>
              <w:left w:val="single" w:sz="4" w:space="0" w:color="000000"/>
              <w:bottom w:val="single" w:sz="4" w:space="0" w:color="000000"/>
            </w:tcBorders>
            <w:shd w:fill="auto" w:val="clear"/>
            <w:vAlign w:val="center"/>
          </w:tcPr>
          <w:p>
            <w:pPr>
              <w:pStyle w:val="13"/>
              <w:autoSpaceDE w:val="false"/>
              <w:spacing w:lineRule="auto" w:line="240" w:before="120" w:after="120"/>
              <w:ind w:right="6" w:hanging="0"/>
              <w:jc w:val="center"/>
              <w:textAlignment w:val="bottom"/>
              <w:rPr/>
            </w:pPr>
            <w:r>
              <w:rPr>
                <w:rFonts w:ascii="Arial" w:hAnsi="Arial" w:cs="Arial" w:eastAsia="仿宋_GB2312;仿宋"/>
                <w:kern w:val="2"/>
                <w:sz w:val="24"/>
                <w:szCs w:val="24"/>
              </w:rPr>
              <w:t>估价对象所在区域缺乏工业用途的土地出租实例，难以采用收益还原法反映估价对象在估价期日的收购补偿价格。故未采用。</w:t>
            </w:r>
          </w:p>
        </w:tc>
        <w:tc>
          <w:tcPr>
            <w:tcW w:w="1841" w:type="dxa"/>
            <w:tcBorders>
              <w:top w:val="single" w:sz="4" w:space="0" w:color="000000"/>
              <w:left w:val="single" w:sz="4" w:space="0" w:color="000000"/>
              <w:bottom w:val="single" w:sz="4" w:space="0" w:color="000000"/>
              <w:right w:val="single" w:sz="4" w:space="0" w:color="000000"/>
            </w:tcBorders>
            <w:shd w:fill="auto" w:val="clear"/>
            <w:vAlign w:val="center"/>
          </w:tcPr>
          <w:p>
            <w:pPr>
              <w:pStyle w:val="13"/>
              <w:autoSpaceDE w:val="false"/>
              <w:spacing w:lineRule="auto" w:line="240" w:before="120" w:after="120"/>
              <w:ind w:right="6" w:hanging="0"/>
              <w:jc w:val="center"/>
              <w:textAlignment w:val="bottom"/>
              <w:rPr>
                <w:rFonts w:ascii="Arial" w:hAnsi="Arial" w:eastAsia="仿宋_GB2312;仿宋" w:cs="Arial"/>
                <w:sz w:val="28"/>
                <w:szCs w:val="28"/>
              </w:rPr>
            </w:pPr>
            <w:r>
              <w:rPr>
                <w:rFonts w:ascii="Arial" w:hAnsi="Arial" w:cs="Arial" w:eastAsia="仿宋_GB2312;仿宋"/>
                <w:sz w:val="28"/>
                <w:szCs w:val="28"/>
              </w:rPr>
              <w:t>否</w:t>
            </w:r>
          </w:p>
        </w:tc>
      </w:tr>
      <w:tr>
        <w:trPr>
          <w:cantSplit w:val="true"/>
        </w:trPr>
        <w:tc>
          <w:tcPr>
            <w:tcW w:w="1875" w:type="dxa"/>
            <w:tcBorders>
              <w:top w:val="single" w:sz="4" w:space="0" w:color="000000"/>
              <w:left w:val="single" w:sz="4" w:space="0" w:color="000000"/>
              <w:bottom w:val="single" w:sz="4" w:space="0" w:color="000000"/>
            </w:tcBorders>
            <w:shd w:fill="auto" w:val="clear"/>
            <w:vAlign w:val="center"/>
          </w:tcPr>
          <w:p>
            <w:pPr>
              <w:pStyle w:val="13"/>
              <w:autoSpaceDE w:val="false"/>
              <w:spacing w:lineRule="auto" w:line="240" w:before="120" w:after="120"/>
              <w:ind w:right="6" w:hanging="0"/>
              <w:jc w:val="center"/>
              <w:textAlignment w:val="bottom"/>
              <w:rPr>
                <w:rFonts w:ascii="Arial" w:hAnsi="Arial" w:eastAsia="仿宋_GB2312;仿宋" w:cs="Arial"/>
                <w:kern w:val="2"/>
                <w:sz w:val="24"/>
                <w:szCs w:val="24"/>
              </w:rPr>
            </w:pPr>
            <w:r>
              <w:rPr>
                <w:rFonts w:ascii="Arial" w:hAnsi="Arial" w:cs="Arial" w:eastAsia="仿宋_GB2312;仿宋"/>
                <w:kern w:val="2"/>
                <w:sz w:val="24"/>
                <w:szCs w:val="24"/>
              </w:rPr>
              <w:t>剩余（增值收益扣减）法</w:t>
            </w:r>
          </w:p>
        </w:tc>
        <w:tc>
          <w:tcPr>
            <w:tcW w:w="5174" w:type="dxa"/>
            <w:tcBorders>
              <w:top w:val="single" w:sz="4" w:space="0" w:color="000000"/>
              <w:left w:val="single" w:sz="4" w:space="0" w:color="000000"/>
              <w:bottom w:val="single" w:sz="4" w:space="0" w:color="000000"/>
            </w:tcBorders>
            <w:shd w:fill="auto" w:val="clear"/>
            <w:vAlign w:val="center"/>
          </w:tcPr>
          <w:p>
            <w:pPr>
              <w:pStyle w:val="Normal"/>
              <w:spacing w:lineRule="auto" w:line="240"/>
              <w:jc w:val="center"/>
              <w:rPr>
                <w:rFonts w:ascii="Arial" w:hAnsi="Arial" w:eastAsia="仿宋_GB2312;仿宋" w:cs="Arial"/>
                <w:kern w:val="2"/>
                <w:szCs w:val="24"/>
              </w:rPr>
            </w:pPr>
            <w:r>
              <w:rPr>
                <w:rFonts w:ascii="Arial" w:hAnsi="Arial" w:cs="Arial" w:eastAsia="仿宋_GB2312;仿宋"/>
                <w:kern w:val="2"/>
                <w:szCs w:val="24"/>
              </w:rPr>
              <w:t>是在《城镇土地估价规程》剩余法思路上衍生技术路线，通过出让土地使用权价格扣减土地增值收益的方法评估划拨地价。北京市暂未公布土地增值收益，且区域均值差异较大（顺义区</w:t>
            </w:r>
            <w:r>
              <w:rPr>
                <w:rFonts w:eastAsia="仿宋_GB2312;仿宋" w:cs="Arial" w:ascii="Arial" w:hAnsi="Arial"/>
                <w:kern w:val="2"/>
                <w:szCs w:val="24"/>
              </w:rPr>
              <w:t>13.0%</w:t>
            </w:r>
            <w:r>
              <w:rPr>
                <w:rFonts w:ascii="Arial" w:hAnsi="Arial" w:cs="Arial" w:eastAsia="仿宋_GB2312;仿宋"/>
                <w:kern w:val="2"/>
                <w:szCs w:val="24"/>
              </w:rPr>
              <w:t>，北京经济技术开发区</w:t>
            </w:r>
            <w:r>
              <w:rPr>
                <w:rFonts w:eastAsia="仿宋_GB2312;仿宋" w:cs="Arial" w:ascii="Arial" w:hAnsi="Arial"/>
                <w:kern w:val="2"/>
                <w:szCs w:val="24"/>
              </w:rPr>
              <w:t>15.0%</w:t>
            </w:r>
            <w:r>
              <w:rPr>
                <w:rFonts w:ascii="Arial" w:hAnsi="Arial" w:cs="Arial" w:eastAsia="仿宋_GB2312;仿宋"/>
                <w:kern w:val="2"/>
                <w:szCs w:val="24"/>
              </w:rPr>
              <w:t>，大兴区</w:t>
            </w:r>
            <w:r>
              <w:rPr>
                <w:rFonts w:eastAsia="仿宋_GB2312;仿宋" w:cs="Arial" w:ascii="Arial" w:hAnsi="Arial"/>
                <w:kern w:val="2"/>
                <w:szCs w:val="24"/>
              </w:rPr>
              <w:t>11.8%</w:t>
            </w:r>
            <w:r>
              <w:rPr>
                <w:rFonts w:ascii="Arial" w:hAnsi="Arial" w:cs="Arial" w:eastAsia="仿宋_GB2312;仿宋"/>
                <w:kern w:val="2"/>
                <w:szCs w:val="24"/>
              </w:rPr>
              <w:t>，房山区</w:t>
            </w:r>
            <w:r>
              <w:rPr>
                <w:rFonts w:eastAsia="仿宋_GB2312;仿宋" w:cs="Arial" w:ascii="Arial" w:hAnsi="Arial"/>
                <w:kern w:val="2"/>
                <w:szCs w:val="24"/>
              </w:rPr>
              <w:t>7.6%</w:t>
            </w:r>
            <w:r>
              <w:rPr>
                <w:rFonts w:ascii="Arial" w:hAnsi="Arial" w:cs="Arial" w:eastAsia="仿宋_GB2312;仿宋"/>
                <w:kern w:val="2"/>
                <w:szCs w:val="24"/>
              </w:rPr>
              <w:t>），难以客观量化。</w:t>
            </w:r>
            <w:r>
              <w:rPr>
                <w:rFonts w:ascii="Arial" w:hAnsi="Arial" w:cs="Arial" w:eastAsia="仿宋_GB2312;仿宋"/>
                <w:kern w:val="2"/>
                <w:szCs w:val="24"/>
              </w:rPr>
              <w:t>故未采用。</w:t>
            </w:r>
          </w:p>
        </w:tc>
        <w:tc>
          <w:tcPr>
            <w:tcW w:w="1841" w:type="dxa"/>
            <w:tcBorders>
              <w:top w:val="single" w:sz="4" w:space="0" w:color="000000"/>
              <w:left w:val="single" w:sz="4" w:space="0" w:color="000000"/>
              <w:bottom w:val="single" w:sz="4" w:space="0" w:color="000000"/>
              <w:right w:val="single" w:sz="4" w:space="0" w:color="000000"/>
            </w:tcBorders>
            <w:shd w:fill="auto" w:val="clear"/>
            <w:vAlign w:val="center"/>
          </w:tcPr>
          <w:p>
            <w:pPr>
              <w:pStyle w:val="13"/>
              <w:autoSpaceDE w:val="false"/>
              <w:spacing w:lineRule="auto" w:line="240" w:before="120" w:after="120"/>
              <w:ind w:right="6" w:hanging="0"/>
              <w:jc w:val="center"/>
              <w:textAlignment w:val="bottom"/>
              <w:rPr>
                <w:rFonts w:ascii="Arial" w:hAnsi="Arial" w:eastAsia="仿宋_GB2312;仿宋" w:cs="Arial"/>
                <w:sz w:val="28"/>
                <w:szCs w:val="28"/>
              </w:rPr>
            </w:pPr>
            <w:r>
              <w:rPr>
                <w:rFonts w:ascii="Arial" w:hAnsi="Arial" w:cs="Arial" w:eastAsia="仿宋_GB2312;仿宋"/>
                <w:sz w:val="28"/>
                <w:szCs w:val="28"/>
              </w:rPr>
              <w:t>否</w:t>
            </w:r>
          </w:p>
        </w:tc>
      </w:tr>
      <w:tr>
        <w:trPr>
          <w:trHeight w:val="2265" w:hRule="atLeast"/>
          <w:cantSplit w:val="true"/>
        </w:trPr>
        <w:tc>
          <w:tcPr>
            <w:tcW w:w="1875" w:type="dxa"/>
            <w:tcBorders>
              <w:top w:val="single" w:sz="4" w:space="0" w:color="000000"/>
              <w:left w:val="single" w:sz="4" w:space="0" w:color="000000"/>
              <w:bottom w:val="single" w:sz="4" w:space="0" w:color="000000"/>
            </w:tcBorders>
            <w:shd w:fill="auto" w:val="clear"/>
            <w:vAlign w:val="center"/>
          </w:tcPr>
          <w:p>
            <w:pPr>
              <w:pStyle w:val="13"/>
              <w:autoSpaceDE w:val="false"/>
              <w:spacing w:lineRule="auto" w:line="240" w:before="120" w:after="120"/>
              <w:ind w:right="6" w:hanging="0"/>
              <w:jc w:val="center"/>
              <w:textAlignment w:val="bottom"/>
              <w:rPr>
                <w:rFonts w:ascii="Arial" w:hAnsi="Arial" w:eastAsia="仿宋_GB2312;仿宋" w:cs="Arial"/>
                <w:kern w:val="2"/>
                <w:sz w:val="24"/>
                <w:szCs w:val="24"/>
              </w:rPr>
            </w:pPr>
            <w:r>
              <w:rPr>
                <w:rFonts w:ascii="Arial" w:hAnsi="Arial" w:cs="Arial" w:eastAsia="仿宋_GB2312;仿宋"/>
                <w:kern w:val="2"/>
                <w:sz w:val="24"/>
                <w:szCs w:val="24"/>
              </w:rPr>
              <w:t>成本逼近法</w:t>
            </w:r>
          </w:p>
        </w:tc>
        <w:tc>
          <w:tcPr>
            <w:tcW w:w="5174" w:type="dxa"/>
            <w:tcBorders>
              <w:top w:val="single" w:sz="4" w:space="0" w:color="000000"/>
              <w:left w:val="single" w:sz="4" w:space="0" w:color="000000"/>
              <w:bottom w:val="single" w:sz="4" w:space="0" w:color="000000"/>
            </w:tcBorders>
            <w:shd w:fill="auto" w:val="clear"/>
            <w:vAlign w:val="center"/>
          </w:tcPr>
          <w:p>
            <w:pPr>
              <w:pStyle w:val="Normal"/>
              <w:spacing w:lineRule="auto" w:line="240"/>
              <w:jc w:val="center"/>
              <w:rPr/>
            </w:pPr>
            <w:r>
              <w:rPr>
                <w:rFonts w:ascii="Arial" w:hAnsi="Arial" w:cs="Arial" w:eastAsia="仿宋_GB2312;仿宋"/>
                <w:szCs w:val="24"/>
              </w:rPr>
              <w:t>估价对象周边区域近几年来有类似土地一级开发项目的成本数据，且为划拨用地，可通过直接或间接的方式求取土地取得费、土地开发费、税费、利息、利润等相关成本费用且不用计取土地增值收益，故选取成本逼近法进行评估。</w:t>
            </w:r>
          </w:p>
        </w:tc>
        <w:tc>
          <w:tcPr>
            <w:tcW w:w="1841" w:type="dxa"/>
            <w:tcBorders>
              <w:top w:val="single" w:sz="4" w:space="0" w:color="000000"/>
              <w:left w:val="single" w:sz="4" w:space="0" w:color="000000"/>
              <w:bottom w:val="single" w:sz="4" w:space="0" w:color="000000"/>
              <w:right w:val="single" w:sz="4" w:space="0" w:color="000000"/>
            </w:tcBorders>
            <w:shd w:fill="auto" w:val="clear"/>
            <w:vAlign w:val="center"/>
          </w:tcPr>
          <w:p>
            <w:pPr>
              <w:pStyle w:val="13"/>
              <w:autoSpaceDE w:val="false"/>
              <w:spacing w:lineRule="auto" w:line="240" w:before="120" w:after="120"/>
              <w:ind w:right="6" w:hanging="0"/>
              <w:jc w:val="center"/>
              <w:textAlignment w:val="bottom"/>
              <w:rPr>
                <w:rFonts w:ascii="Arial" w:hAnsi="Arial" w:eastAsia="仿宋_GB2312;仿宋" w:cs="Arial"/>
                <w:sz w:val="28"/>
                <w:szCs w:val="28"/>
              </w:rPr>
            </w:pPr>
            <w:r>
              <w:rPr>
                <w:rFonts w:ascii="Arial" w:hAnsi="Arial" w:cs="Arial" w:eastAsia="仿宋_GB2312;仿宋"/>
                <w:sz w:val="28"/>
                <w:szCs w:val="28"/>
              </w:rPr>
              <w:t>是</w:t>
            </w:r>
          </w:p>
        </w:tc>
      </w:tr>
      <w:tr>
        <w:trPr>
          <w:cantSplit w:val="true"/>
        </w:trPr>
        <w:tc>
          <w:tcPr>
            <w:tcW w:w="1875" w:type="dxa"/>
            <w:tcBorders>
              <w:top w:val="single" w:sz="4" w:space="0" w:color="000000"/>
              <w:left w:val="single" w:sz="4" w:space="0" w:color="000000"/>
              <w:bottom w:val="single" w:sz="4" w:space="0" w:color="000000"/>
            </w:tcBorders>
            <w:shd w:fill="auto" w:val="clear"/>
            <w:vAlign w:val="center"/>
          </w:tcPr>
          <w:p>
            <w:pPr>
              <w:pStyle w:val="Normal"/>
              <w:spacing w:lineRule="auto" w:line="240"/>
              <w:jc w:val="center"/>
              <w:rPr>
                <w:rFonts w:ascii="Arial" w:hAnsi="Arial" w:eastAsia="仿宋_GB2312;仿宋" w:cs="Arial"/>
                <w:szCs w:val="24"/>
              </w:rPr>
            </w:pPr>
            <w:r>
              <w:rPr>
                <w:rFonts w:ascii="Arial" w:hAnsi="Arial" w:cs="Arial" w:eastAsia="仿宋_GB2312;仿宋"/>
                <w:szCs w:val="24"/>
              </w:rPr>
              <w:t>基准地价系数修正法</w:t>
            </w:r>
          </w:p>
        </w:tc>
        <w:tc>
          <w:tcPr>
            <w:tcW w:w="5174" w:type="dxa"/>
            <w:tcBorders>
              <w:top w:val="single" w:sz="4" w:space="0" w:color="000000"/>
              <w:left w:val="single" w:sz="4" w:space="0" w:color="000000"/>
              <w:bottom w:val="single" w:sz="4" w:space="0" w:color="000000"/>
            </w:tcBorders>
            <w:shd w:fill="auto" w:val="clear"/>
            <w:vAlign w:val="center"/>
          </w:tcPr>
          <w:p>
            <w:pPr>
              <w:pStyle w:val="13"/>
              <w:autoSpaceDE w:val="false"/>
              <w:spacing w:lineRule="auto" w:line="240" w:before="120" w:after="120"/>
              <w:ind w:right="6" w:hanging="0"/>
              <w:jc w:val="center"/>
              <w:textAlignment w:val="bottom"/>
              <w:rPr>
                <w:rFonts w:ascii="Arial" w:hAnsi="Arial" w:eastAsia="仿宋_GB2312;仿宋" w:cs="Arial"/>
                <w:sz w:val="24"/>
                <w:szCs w:val="24"/>
              </w:rPr>
            </w:pPr>
            <w:r>
              <w:rPr>
                <w:rFonts w:ascii="Arial" w:hAnsi="Arial" w:cs="Arial" w:eastAsia="仿宋_GB2312;仿宋"/>
                <w:sz w:val="24"/>
                <w:szCs w:val="24"/>
              </w:rPr>
              <w:t>待估宗地所在区域，政府暂未公布划拨土地使用权基准地价，也未公布划拨土地使用权标定地价。故本次未选用公示地价系数修正法进行地价测算。</w:t>
            </w:r>
          </w:p>
        </w:tc>
        <w:tc>
          <w:tcPr>
            <w:tcW w:w="1841" w:type="dxa"/>
            <w:tcBorders>
              <w:top w:val="single" w:sz="4" w:space="0" w:color="000000"/>
              <w:left w:val="single" w:sz="4" w:space="0" w:color="000000"/>
              <w:bottom w:val="single" w:sz="4" w:space="0" w:color="000000"/>
              <w:right w:val="single" w:sz="4" w:space="0" w:color="000000"/>
            </w:tcBorders>
            <w:shd w:fill="auto" w:val="clear"/>
            <w:vAlign w:val="center"/>
          </w:tcPr>
          <w:p>
            <w:pPr>
              <w:pStyle w:val="13"/>
              <w:autoSpaceDE w:val="false"/>
              <w:spacing w:lineRule="auto" w:line="240" w:before="120" w:after="120"/>
              <w:ind w:right="6" w:hanging="0"/>
              <w:jc w:val="center"/>
              <w:textAlignment w:val="bottom"/>
              <w:rPr>
                <w:rFonts w:ascii="Arial" w:hAnsi="Arial" w:eastAsia="仿宋_GB2312;仿宋" w:cs="Arial"/>
                <w:sz w:val="28"/>
                <w:szCs w:val="28"/>
              </w:rPr>
            </w:pPr>
            <w:r>
              <w:rPr>
                <w:rFonts w:ascii="Arial" w:hAnsi="Arial" w:cs="Arial" w:eastAsia="仿宋_GB2312;仿宋"/>
                <w:sz w:val="28"/>
                <w:szCs w:val="28"/>
              </w:rPr>
              <w:t>否</w:t>
            </w:r>
          </w:p>
        </w:tc>
      </w:tr>
    </w:tbl>
    <w:p>
      <w:pPr>
        <w:pStyle w:val="BodyTextIndent2"/>
        <w:widowControl/>
        <w:tabs>
          <w:tab w:val="clear" w:pos="420"/>
          <w:tab w:val="right" w:pos="8840" w:leader="none"/>
        </w:tabs>
        <w:spacing w:lineRule="auto" w:line="360" w:before="120" w:after="0"/>
        <w:ind w:firstLine="560"/>
        <w:textAlignment w:val="bottom"/>
        <w:rPr/>
      </w:pPr>
      <w:r>
        <w:rPr>
          <w:rFonts w:ascii="Arial" w:hAnsi="Arial" w:cs="Arial" w:eastAsia="仿宋_GB2312;仿宋"/>
          <w:szCs w:val="28"/>
        </w:rPr>
        <w:t>综上所述</w:t>
      </w:r>
      <w:r>
        <w:rPr>
          <w:rFonts w:ascii="Arial" w:hAnsi="Arial" w:cs="Arial" w:eastAsia="楷体_GB2312;楷体"/>
          <w:szCs w:val="28"/>
        </w:rPr>
        <w:t>，</w:t>
      </w:r>
      <w:r>
        <w:rPr>
          <w:rFonts w:ascii="Arial" w:hAnsi="Arial" w:cs="Arial" w:eastAsia="仿宋_GB2312;仿宋"/>
          <w:szCs w:val="28"/>
        </w:rPr>
        <w:t>根据估价对象实际状况和周边土地市场情况并结合谨慎性原则，本次估价方法选用</w:t>
      </w:r>
      <w:r>
        <w:rPr>
          <w:rFonts w:ascii="Arial" w:hAnsi="Arial" w:cs="Arial" w:eastAsia="仿宋_GB2312;仿宋"/>
          <w:szCs w:val="28"/>
        </w:rPr>
        <w:t>采用市场比较法和成本逼近法进行测算，评估划拨国有建设用地使用权收购补偿价格</w:t>
      </w:r>
    </w:p>
    <w:p>
      <w:pPr>
        <w:pStyle w:val="Normal"/>
        <w:snapToGrid w:val="false"/>
        <w:spacing w:lineRule="auto" w:line="360"/>
        <w:ind w:left="560" w:hanging="0"/>
        <w:rPr>
          <w:rFonts w:ascii="Arial" w:hAnsi="Arial" w:eastAsia="仿宋_GB2312;仿宋" w:cs="Arial"/>
          <w:sz w:val="28"/>
          <w:szCs w:val="28"/>
        </w:rPr>
      </w:pPr>
      <w:r>
        <w:rPr>
          <w:rFonts w:ascii="Arial" w:hAnsi="Arial" w:cs="Arial" w:eastAsia="仿宋_GB2312;仿宋"/>
          <w:sz w:val="28"/>
          <w:szCs w:val="28"/>
        </w:rPr>
        <w:t>（</w:t>
      </w:r>
      <w:r>
        <w:rPr>
          <w:rFonts w:eastAsia="仿宋_GB2312;仿宋" w:cs="Arial" w:ascii="Arial" w:hAnsi="Arial"/>
          <w:sz w:val="28"/>
          <w:szCs w:val="28"/>
        </w:rPr>
        <w:t>2</w:t>
      </w:r>
      <w:r>
        <w:rPr>
          <w:rFonts w:ascii="Arial" w:hAnsi="Arial" w:cs="Arial" w:eastAsia="仿宋_GB2312;仿宋"/>
          <w:sz w:val="28"/>
          <w:szCs w:val="28"/>
        </w:rPr>
        <w:t>）房屋重置成新价的评估方法</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按照《指引》，房地分开评估时，建（构）筑物价格的评估采用北京市相应的房屋重置成新价评估技术标准。补偿价格</w:t>
      </w:r>
      <w:r>
        <w:rPr>
          <w:rFonts w:ascii="Arial" w:hAnsi="Arial" w:cs="Arial" w:eastAsia="仿宋_GB2312;仿宋"/>
          <w:sz w:val="28"/>
          <w:szCs w:val="28"/>
        </w:rPr>
        <w:t>参考</w:t>
      </w:r>
      <w:r>
        <w:rPr>
          <w:rFonts w:ascii="Arial" w:hAnsi="Arial" w:cs="Arial" w:eastAsia="仿宋_GB2312;仿宋"/>
          <w:sz w:val="28"/>
        </w:rPr>
        <w:t>《北京市房屋重置成新价评估技术标准》</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2016</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、《关于调整</w:t>
      </w:r>
      <w:r>
        <w:rPr>
          <w:rFonts w:ascii="仿宋" w:hAnsi="仿宋" w:cs="Arial" w:eastAsia="仿宋"/>
          <w:sz w:val="28"/>
        </w:rPr>
        <w:t>〈</w:t>
      </w:r>
      <w:r>
        <w:rPr>
          <w:rFonts w:ascii="Arial" w:hAnsi="Arial" w:cs="Arial" w:eastAsia="仿宋_GB2312;仿宋"/>
          <w:sz w:val="28"/>
        </w:rPr>
        <w:t>北京市房屋重置成新价评估技术标准</w:t>
      </w:r>
      <w:r>
        <w:rPr>
          <w:rFonts w:ascii="仿宋" w:hAnsi="仿宋" w:cs="Arial" w:eastAsia="仿宋"/>
          <w:sz w:val="28"/>
        </w:rPr>
        <w:t>〉</w:t>
      </w:r>
      <w:r>
        <w:rPr>
          <w:rFonts w:ascii="Arial" w:hAnsi="Arial" w:cs="Arial" w:eastAsia="仿宋_GB2312;仿宋"/>
          <w:sz w:val="28"/>
        </w:rPr>
        <w:t>相关系数的通知》（</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10</w:t>
      </w:r>
      <w:r>
        <w:rPr>
          <w:rFonts w:ascii="Arial" w:hAnsi="Arial" w:cs="Arial" w:eastAsia="仿宋_GB2312;仿宋"/>
          <w:sz w:val="28"/>
        </w:rPr>
        <w:t>日发布）</w:t>
      </w:r>
      <w:r>
        <w:rPr>
          <w:rFonts w:ascii="Arial" w:hAnsi="Arial" w:cs="Arial" w:eastAsia="仿宋_GB2312;仿宋"/>
          <w:sz w:val="28"/>
          <w:szCs w:val="28"/>
        </w:rPr>
        <w:t>进行评估。</w:t>
      </w:r>
    </w:p>
    <w:p>
      <w:pPr>
        <w:pStyle w:val="Normal"/>
        <w:snapToGrid w:val="false"/>
        <w:spacing w:lineRule="auto" w:line="360"/>
        <w:ind w:firstLine="560"/>
        <w:rPr/>
      </w:pPr>
      <w:r>
        <w:rPr>
          <w:rFonts w:ascii="Arial" w:hAnsi="Arial" w:cs="Arial" w:eastAsia="仿宋_GB2312;仿宋"/>
          <w:sz w:val="28"/>
          <w:szCs w:val="28"/>
        </w:rPr>
        <w:t>（</w:t>
      </w:r>
      <w:r>
        <w:rPr>
          <w:rFonts w:eastAsia="仿宋_GB2312;仿宋" w:cs="Arial" w:ascii="Arial" w:hAnsi="Arial"/>
          <w:sz w:val="28"/>
          <w:szCs w:val="28"/>
        </w:rPr>
        <w:t>3</w:t>
      </w:r>
      <w:r>
        <w:rPr>
          <w:rFonts w:ascii="Arial" w:hAnsi="Arial" w:cs="Arial" w:eastAsia="仿宋_GB2312;仿宋"/>
          <w:sz w:val="28"/>
          <w:szCs w:val="28"/>
        </w:rPr>
        <w:t>）</w:t>
      </w:r>
      <w:r>
        <w:rPr>
          <w:rFonts w:ascii="Arial" w:hAnsi="Arial" w:cs="Arial" w:eastAsia="仿宋_GB2312;仿宋"/>
          <w:sz w:val="28"/>
        </w:rPr>
        <w:t>附属物价格</w:t>
      </w:r>
      <w:r>
        <w:rPr>
          <w:rFonts w:ascii="Arial" w:hAnsi="Arial" w:cs="Arial" w:eastAsia="仿宋_GB2312;仿宋"/>
          <w:sz w:val="28"/>
          <w:szCs w:val="28"/>
        </w:rPr>
        <w:t>的评估方法</w:t>
      </w:r>
    </w:p>
    <w:p>
      <w:pPr>
        <w:pStyle w:val="Normal"/>
        <w:spacing w:lineRule="auto" w:line="360"/>
        <w:ind w:firstLine="560"/>
        <w:jc w:val="both"/>
        <w:rPr/>
      </w:pPr>
      <w:r>
        <w:rPr>
          <w:rFonts w:ascii="Arial" w:hAnsi="Arial" w:cs="Arial" w:eastAsia="仿宋_GB2312;仿宋"/>
          <w:sz w:val="28"/>
        </w:rPr>
        <w:t>附属物包括树木及院地，补偿价格参照《北京市房屋重置成新价评估技术标准》</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2016</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w:t>
      </w:r>
      <w:r>
        <w:rPr>
          <w:rFonts w:ascii="Arial" w:hAnsi="Arial" w:cs="Arial" w:eastAsia="仿宋_GB2312;仿宋"/>
          <w:sz w:val="28"/>
        </w:rPr>
        <w:t>《关于调整</w:t>
      </w:r>
      <w:r>
        <w:rPr>
          <w:rFonts w:ascii="仿宋" w:hAnsi="仿宋" w:cs="Arial" w:eastAsia="仿宋"/>
          <w:sz w:val="28"/>
        </w:rPr>
        <w:t>〈</w:t>
      </w:r>
      <w:r>
        <w:rPr>
          <w:rFonts w:ascii="Arial" w:hAnsi="Arial" w:cs="Arial" w:eastAsia="仿宋_GB2312;仿宋"/>
          <w:sz w:val="28"/>
        </w:rPr>
        <w:t>北京市房屋重置成新价评估技术标准</w:t>
      </w:r>
      <w:r>
        <w:rPr>
          <w:rFonts w:ascii="仿宋" w:hAnsi="仿宋" w:cs="Arial" w:eastAsia="仿宋"/>
          <w:sz w:val="28"/>
        </w:rPr>
        <w:t>〉</w:t>
      </w:r>
      <w:r>
        <w:rPr>
          <w:rFonts w:ascii="Arial" w:hAnsi="Arial" w:cs="Arial" w:eastAsia="仿宋_GB2312;仿宋"/>
          <w:sz w:val="28"/>
        </w:rPr>
        <w:t>相关系数的通知》（</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10</w:t>
      </w:r>
      <w:r>
        <w:rPr>
          <w:rFonts w:ascii="Arial" w:hAnsi="Arial" w:cs="Arial" w:eastAsia="仿宋_GB2312;仿宋"/>
          <w:sz w:val="28"/>
        </w:rPr>
        <w:t>日发布）</w:t>
      </w:r>
      <w:r>
        <w:rPr>
          <w:rFonts w:ascii="Arial" w:hAnsi="Arial" w:cs="Arial" w:eastAsia="仿宋_GB2312;仿宋"/>
          <w:sz w:val="28"/>
        </w:rPr>
        <w:t>进行评估。</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w:t>
      </w:r>
      <w:r>
        <w:rPr>
          <w:rFonts w:eastAsia="仿宋_GB2312;仿宋" w:cs="Arial" w:ascii="Arial" w:hAnsi="Arial"/>
          <w:sz w:val="28"/>
        </w:rPr>
        <w:t>4</w:t>
      </w:r>
      <w:r>
        <w:rPr>
          <w:rFonts w:ascii="Arial" w:hAnsi="Arial" w:cs="Arial" w:eastAsia="仿宋_GB2312;仿宋"/>
          <w:sz w:val="28"/>
        </w:rPr>
        <w:t>）无法恢复使用的设施设备补偿价格的评估方法</w:t>
      </w:r>
    </w:p>
    <w:p>
      <w:pPr>
        <w:pStyle w:val="Normal"/>
        <w:spacing w:lineRule="auto" w:line="360"/>
        <w:ind w:firstLine="560"/>
        <w:jc w:val="both"/>
        <w:rPr/>
      </w:pPr>
      <w:r>
        <w:rPr>
          <w:rFonts w:ascii="Arial" w:hAnsi="Arial" w:cs="Arial" w:eastAsia="仿宋_GB2312;仿宋"/>
          <w:sz w:val="28"/>
        </w:rPr>
        <w:t>由于估价对象宗地并未进行生产，现状实际大部分土地闲置空地，且未能提供设施设备的权属证明。经评估专业人员现场勘察，本次评估设定不存在因土地收购造成的无法恢复使用的设施设备情况。</w:t>
      </w:r>
    </w:p>
    <w:p>
      <w:pPr>
        <w:pStyle w:val="Normal"/>
        <w:spacing w:lineRule="auto" w:line="360"/>
        <w:ind w:firstLine="560"/>
        <w:rPr/>
      </w:pPr>
      <w:r>
        <w:rPr>
          <w:rFonts w:ascii="Arial" w:hAnsi="Arial" w:cs="Arial" w:eastAsia="仿宋_GB2312;仿宋"/>
          <w:sz w:val="28"/>
          <w:szCs w:val="28"/>
        </w:rPr>
        <w:t>（</w:t>
      </w:r>
      <w:r>
        <w:rPr>
          <w:rFonts w:eastAsia="仿宋_GB2312;仿宋" w:cs="Arial" w:ascii="Arial" w:hAnsi="Arial"/>
          <w:sz w:val="28"/>
          <w:szCs w:val="28"/>
        </w:rPr>
        <w:t>5</w:t>
      </w:r>
      <w:r>
        <w:rPr>
          <w:rFonts w:ascii="Arial" w:hAnsi="Arial" w:cs="Arial" w:eastAsia="仿宋_GB2312;仿宋"/>
          <w:sz w:val="28"/>
          <w:szCs w:val="28"/>
        </w:rPr>
        <w:t>）</w:t>
      </w:r>
      <w:r>
        <w:rPr>
          <w:rFonts w:ascii="Arial" w:hAnsi="Arial" w:cs="Arial" w:eastAsia="仿宋_GB2312;仿宋"/>
          <w:sz w:val="28"/>
        </w:rPr>
        <w:t>停产停业损失补偿费用</w:t>
      </w:r>
    </w:p>
    <w:p>
      <w:pPr>
        <w:pStyle w:val="Normal"/>
        <w:spacing w:lineRule="auto" w:line="360"/>
        <w:ind w:left="-2" w:firstLine="560"/>
        <w:jc w:val="both"/>
        <w:rPr/>
      </w:pPr>
      <w:r>
        <w:rPr>
          <w:rFonts w:ascii="Arial" w:hAnsi="Arial" w:cs="Arial" w:eastAsia="仿宋_GB2312;仿宋"/>
          <w:sz w:val="28"/>
        </w:rPr>
        <w:t>停产停业损失补偿包括房屋停产停业期间租金、净利润损失、员工生活补助费，参照《北京市国有土地上房屋征收停产停业损失补偿暂行办法》</w:t>
      </w:r>
      <w:r>
        <w:rPr>
          <w:rFonts w:eastAsia="仿宋_GB2312;仿宋" w:cs="Arial" w:ascii="Arial" w:hAnsi="Arial"/>
          <w:sz w:val="28"/>
        </w:rPr>
        <w:t>[</w:t>
      </w:r>
      <w:r>
        <w:rPr>
          <w:rFonts w:ascii="Arial" w:hAnsi="Arial" w:cs="Arial" w:eastAsia="仿宋_GB2312;仿宋"/>
          <w:sz w:val="28"/>
        </w:rPr>
        <w:t>京建法（</w:t>
      </w:r>
      <w:r>
        <w:rPr>
          <w:rFonts w:eastAsia="仿宋_GB2312;仿宋" w:cs="Arial" w:ascii="Arial" w:hAnsi="Arial"/>
          <w:sz w:val="28"/>
        </w:rPr>
        <w:t>2011</w:t>
      </w:r>
      <w:r>
        <w:rPr>
          <w:rFonts w:ascii="Arial" w:hAnsi="Arial" w:cs="Arial" w:eastAsia="仿宋_GB2312;仿宋"/>
          <w:sz w:val="28"/>
        </w:rPr>
        <w:t>）</w:t>
      </w:r>
      <w:r>
        <w:rPr>
          <w:rFonts w:eastAsia="仿宋_GB2312;仿宋" w:cs="Arial" w:ascii="Arial" w:hAnsi="Arial"/>
          <w:sz w:val="28"/>
        </w:rPr>
        <w:t>18</w:t>
      </w:r>
      <w:r>
        <w:rPr>
          <w:rFonts w:ascii="Arial" w:hAnsi="Arial" w:cs="Arial" w:eastAsia="仿宋_GB2312;仿宋"/>
          <w:sz w:val="28"/>
        </w:rPr>
        <w:t>号</w:t>
      </w:r>
      <w:r>
        <w:rPr>
          <w:rFonts w:eastAsia="仿宋_GB2312;仿宋" w:cs="Arial" w:ascii="Arial" w:hAnsi="Arial"/>
          <w:sz w:val="28"/>
        </w:rPr>
        <w:t xml:space="preserve">] </w:t>
      </w:r>
      <w:r>
        <w:rPr>
          <w:rFonts w:ascii="Arial" w:hAnsi="Arial" w:cs="Arial" w:eastAsia="仿宋_GB2312;仿宋"/>
          <w:sz w:val="28"/>
        </w:rPr>
        <w:t>、《关于发布</w:t>
      </w:r>
      <w:r>
        <w:rPr>
          <w:rFonts w:eastAsia="仿宋_GB2312;仿宋" w:cs="Arial" w:ascii="Arial" w:hAnsi="Arial"/>
          <w:sz w:val="28"/>
        </w:rPr>
        <w:t>&lt;</w:t>
      </w:r>
      <w:r>
        <w:rPr>
          <w:rFonts w:ascii="Arial" w:hAnsi="Arial" w:cs="Arial" w:eastAsia="仿宋_GB2312;仿宋"/>
          <w:sz w:val="28"/>
        </w:rPr>
        <w:t>北京市企业国有建设用地使用权收购补偿价格评估技术指引</w:t>
      </w:r>
      <w:r>
        <w:rPr>
          <w:rFonts w:eastAsia="仿宋_GB2312;仿宋" w:cs="Arial" w:ascii="Arial" w:hAnsi="Arial"/>
          <w:sz w:val="28"/>
        </w:rPr>
        <w:t>&gt;</w:t>
      </w:r>
      <w:r>
        <w:rPr>
          <w:rFonts w:ascii="Arial" w:hAnsi="Arial" w:cs="Arial" w:eastAsia="仿宋_GB2312;仿宋"/>
          <w:sz w:val="28"/>
        </w:rPr>
        <w:t>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2018</w:t>
      </w:r>
      <w:r>
        <w:rPr>
          <w:rFonts w:ascii="Arial" w:hAnsi="Arial" w:cs="Arial" w:eastAsia="仿宋_GB2312;仿宋"/>
          <w:sz w:val="28"/>
        </w:rPr>
        <w:t>）</w:t>
      </w:r>
      <w:r>
        <w:rPr>
          <w:rFonts w:eastAsia="仿宋_GB2312;仿宋" w:cs="Arial" w:ascii="Arial" w:hAnsi="Arial"/>
          <w:sz w:val="28"/>
        </w:rPr>
        <w:t>004</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、《关于发布</w:t>
      </w:r>
      <w:r>
        <w:rPr>
          <w:rFonts w:ascii="仿宋" w:hAnsi="仿宋" w:cs="Arial" w:eastAsia="仿宋"/>
          <w:sz w:val="28"/>
        </w:rPr>
        <w:t>〈</w:t>
      </w:r>
      <w:r>
        <w:rPr>
          <w:rFonts w:ascii="Arial" w:hAnsi="Arial" w:cs="Arial" w:eastAsia="仿宋_GB2312;仿宋"/>
          <w:sz w:val="28"/>
        </w:rPr>
        <w:t>北京市企业国有建设用地使用权收购补偿价格评估技术指引</w:t>
      </w:r>
      <w:r>
        <w:rPr>
          <w:rFonts w:ascii="仿宋" w:hAnsi="仿宋" w:cs="Arial" w:eastAsia="仿宋"/>
          <w:sz w:val="28"/>
        </w:rPr>
        <w:t>〉</w:t>
      </w:r>
      <w:r>
        <w:rPr>
          <w:rFonts w:ascii="Arial" w:hAnsi="Arial" w:cs="Arial" w:eastAsia="仿宋_GB2312;仿宋"/>
          <w:sz w:val="28"/>
        </w:rPr>
        <w:t>应用有关说明的通知》</w:t>
      </w:r>
      <w:r>
        <w:rPr>
          <w:rFonts w:eastAsia="仿宋_GB2312;仿宋" w:cs="Arial" w:ascii="Arial" w:hAnsi="Arial"/>
          <w:sz w:val="28"/>
        </w:rPr>
        <w:t>[</w:t>
      </w:r>
      <w:r>
        <w:rPr>
          <w:rFonts w:ascii="Arial" w:hAnsi="Arial" w:cs="Arial" w:eastAsia="仿宋_GB2312;仿宋"/>
          <w:sz w:val="28"/>
        </w:rPr>
        <w:t>北估秘（</w:t>
      </w:r>
      <w:r>
        <w:rPr>
          <w:rFonts w:eastAsia="仿宋_GB2312;仿宋" w:cs="Arial" w:ascii="Arial" w:hAnsi="Arial"/>
          <w:sz w:val="28"/>
        </w:rPr>
        <w:t>2021</w:t>
      </w:r>
      <w:r>
        <w:rPr>
          <w:rFonts w:ascii="Arial" w:hAnsi="Arial" w:cs="Arial" w:eastAsia="仿宋_GB2312;仿宋"/>
          <w:sz w:val="28"/>
        </w:rPr>
        <w:t>）</w:t>
      </w:r>
      <w:r>
        <w:rPr>
          <w:rFonts w:eastAsia="仿宋_GB2312;仿宋" w:cs="Arial" w:ascii="Arial" w:hAnsi="Arial"/>
          <w:sz w:val="28"/>
        </w:rPr>
        <w:t>001</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确定。</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由于</w:t>
      </w:r>
      <w:r>
        <w:rPr>
          <w:rFonts w:ascii="Arial" w:hAnsi="Arial" w:cs="Arial" w:eastAsia="仿宋_GB2312;仿宋"/>
          <w:sz w:val="28"/>
        </w:rPr>
        <w:t>估价对象宗地未进行生产，现状实际大部分土地闲置空地，经评估专业人员现场勘察，不存在</w:t>
      </w:r>
      <w:r>
        <w:rPr>
          <w:rFonts w:ascii="仿宋_GB2312;仿宋" w:hAnsi="仿宋_GB2312;仿宋" w:cs="Arial" w:eastAsia="仿宋_GB2312;仿宋"/>
          <w:sz w:val="28"/>
        </w:rPr>
        <w:t>因土地收购造成的停产停业损失补偿</w:t>
      </w:r>
      <w:r>
        <w:rPr>
          <w:rFonts w:ascii="Arial" w:hAnsi="Arial" w:cs="Arial" w:eastAsia="仿宋_GB2312;仿宋"/>
          <w:sz w:val="28"/>
        </w:rPr>
        <w:t>情况。</w:t>
      </w:r>
    </w:p>
    <w:p>
      <w:pPr>
        <w:pStyle w:val="Normal"/>
        <w:spacing w:lineRule="auto" w:line="360"/>
        <w:ind w:firstLine="560"/>
        <w:rPr>
          <w:rFonts w:ascii="Arial" w:hAnsi="Arial" w:eastAsia="仿宋_GB2312;仿宋" w:cs="Arial"/>
          <w:sz w:val="28"/>
        </w:rPr>
      </w:pPr>
      <w:r>
        <w:rPr>
          <w:rFonts w:ascii="Arial" w:hAnsi="Arial" w:cs="Arial" w:eastAsia="仿宋_GB2312;仿宋"/>
          <w:sz w:val="28"/>
        </w:rPr>
        <w:t>（</w:t>
      </w:r>
      <w:r>
        <w:rPr>
          <w:rFonts w:eastAsia="仿宋_GB2312;仿宋" w:cs="Arial" w:ascii="Arial" w:hAnsi="Arial"/>
          <w:sz w:val="28"/>
        </w:rPr>
        <w:t>6</w:t>
      </w:r>
      <w:r>
        <w:rPr>
          <w:rFonts w:ascii="Arial" w:hAnsi="Arial" w:cs="Arial" w:eastAsia="仿宋_GB2312;仿宋"/>
          <w:sz w:val="28"/>
        </w:rPr>
        <w:t>）搬迁、临时安置补偿费用</w:t>
      </w:r>
    </w:p>
    <w:p>
      <w:pPr>
        <w:pStyle w:val="Normal1"/>
        <w:autoSpaceDE w:val="false"/>
        <w:spacing w:lineRule="auto" w:line="360"/>
        <w:ind w:right="31" w:firstLine="560"/>
        <w:jc w:val="both"/>
        <w:textAlignment w:val="bottom"/>
        <w:rPr/>
      </w:pPr>
      <w:r>
        <w:rPr>
          <w:rFonts w:ascii="Arial" w:hAnsi="Arial" w:cs="Arial" w:eastAsia="仿宋_GB2312;仿宋"/>
          <w:sz w:val="28"/>
        </w:rPr>
        <w:t>参照《关于国有土地上房屋征收与补偿中有关事项的通知》</w:t>
      </w:r>
      <w:r>
        <w:rPr>
          <w:rFonts w:eastAsia="仿宋_GB2312;仿宋" w:cs="Arial" w:ascii="Arial" w:hAnsi="Arial"/>
          <w:sz w:val="28"/>
        </w:rPr>
        <w:t>[</w:t>
      </w:r>
      <w:r>
        <w:rPr>
          <w:rFonts w:ascii="Arial" w:hAnsi="Arial" w:cs="Arial" w:eastAsia="仿宋_GB2312;仿宋"/>
          <w:sz w:val="28"/>
        </w:rPr>
        <w:t>京建法</w:t>
      </w:r>
      <w:r>
        <w:rPr>
          <w:rFonts w:ascii="Arial" w:hAnsi="Arial" w:cs="Arial"/>
          <w:sz w:val="28"/>
        </w:rPr>
        <w:t>（</w:t>
      </w:r>
      <w:r>
        <w:rPr>
          <w:rFonts w:eastAsia="仿宋_GB2312;仿宋" w:cs="Arial" w:ascii="Arial" w:hAnsi="Arial"/>
          <w:sz w:val="28"/>
        </w:rPr>
        <w:t>2012</w:t>
      </w:r>
      <w:r>
        <w:rPr>
          <w:rFonts w:ascii="Arial" w:hAnsi="Arial" w:cs="Arial"/>
          <w:sz w:val="28"/>
        </w:rPr>
        <w:t>）</w:t>
      </w:r>
      <w:r>
        <w:rPr>
          <w:rFonts w:eastAsia="仿宋_GB2312;仿宋" w:cs="Arial" w:ascii="Arial" w:hAnsi="Arial"/>
          <w:sz w:val="28"/>
        </w:rPr>
        <w:t>19</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确定。</w:t>
      </w:r>
    </w:p>
    <w:p>
      <w:pPr>
        <w:pStyle w:val="Normal"/>
        <w:spacing w:lineRule="auto" w:line="360"/>
        <w:ind w:left="-2" w:firstLine="560"/>
        <w:jc w:val="both"/>
        <w:rPr/>
      </w:pPr>
      <w:r>
        <w:rPr>
          <w:rFonts w:eastAsia="仿宋_GB2312;仿宋" w:cs="Arial" w:ascii="Arial" w:hAnsi="Arial"/>
          <w:sz w:val="28"/>
          <w:szCs w:val="28"/>
        </w:rPr>
        <w:t xml:space="preserve">2. </w:t>
      </w:r>
      <w:r>
        <w:rPr>
          <w:rFonts w:ascii="Arial" w:hAnsi="Arial" w:cs="Arial" w:eastAsia="仿宋_GB2312;仿宋"/>
          <w:sz w:val="28"/>
          <w:szCs w:val="28"/>
        </w:rPr>
        <w:t>本次评估所采用的估价方法简述如下：</w:t>
      </w:r>
    </w:p>
    <w:p>
      <w:pPr>
        <w:pStyle w:val="BodyTextIndent2"/>
        <w:widowControl/>
        <w:tabs>
          <w:tab w:val="clear" w:pos="420"/>
          <w:tab w:val="right" w:pos="8840" w:leader="none"/>
        </w:tabs>
        <w:spacing w:lineRule="auto" w:line="360"/>
        <w:ind w:firstLine="560"/>
        <w:textAlignment w:val="bottom"/>
        <w:rPr>
          <w:rFonts w:ascii="Arial" w:hAnsi="Arial" w:eastAsia="仿宋_GB2312;仿宋" w:cs="Arial"/>
          <w:szCs w:val="28"/>
        </w:rPr>
      </w:pPr>
      <w:r>
        <w:rPr>
          <w:rFonts w:ascii="Arial" w:hAnsi="Arial" w:cs="Arial" w:eastAsia="仿宋_GB2312;仿宋"/>
        </w:rPr>
        <w:t>（</w:t>
      </w:r>
      <w:r>
        <w:rPr>
          <w:rFonts w:eastAsia="仿宋_GB2312;仿宋" w:cs="Arial" w:ascii="Arial" w:hAnsi="Arial"/>
        </w:rPr>
        <w:t>1</w:t>
      </w:r>
      <w:r>
        <w:rPr>
          <w:rFonts w:ascii="Arial" w:hAnsi="Arial" w:cs="Arial" w:eastAsia="仿宋_GB2312;仿宋"/>
        </w:rPr>
        <w:t>）</w:t>
      </w:r>
      <w:r>
        <w:rPr>
          <w:rFonts w:ascii="Arial" w:hAnsi="Arial" w:cs="Arial" w:eastAsia="仿宋_GB2312;仿宋"/>
          <w:szCs w:val="28"/>
        </w:rPr>
        <w:t>市场比较法</w:t>
      </w:r>
    </w:p>
    <w:p>
      <w:pPr>
        <w:pStyle w:val="Normal1"/>
        <w:autoSpaceDE w:val="false"/>
        <w:spacing w:lineRule="auto" w:line="360"/>
        <w:ind w:right="3" w:firstLine="566"/>
        <w:jc w:val="both"/>
        <w:textAlignment w:val="bottom"/>
        <w:rPr>
          <w:rFonts w:ascii="仿宋_GB2312;仿宋" w:hAnsi="仿宋_GB2312;仿宋" w:eastAsia="仿宋_GB2312;仿宋"/>
          <w:sz w:val="28"/>
        </w:rPr>
      </w:pPr>
      <w:r>
        <w:rPr>
          <w:rFonts w:ascii="仿宋_GB2312;仿宋" w:hAnsi="仿宋_GB2312;仿宋" w:cs="Arial" w:eastAsia="仿宋_GB2312;仿宋"/>
          <w:sz w:val="28"/>
        </w:rPr>
        <w:t>根据替代原理，将待估宗地与具有替代性的，且在估价期日近期市场上交易的类似宗地进行比较，并对类似宗地的成交价格进行差异修正，以此估算待估宗地价格的方法。</w:t>
      </w:r>
    </w:p>
    <w:p>
      <w:pPr>
        <w:pStyle w:val="Normal1"/>
        <w:autoSpaceDE w:val="false"/>
        <w:spacing w:lineRule="auto" w:line="360"/>
        <w:ind w:right="3" w:firstLine="566"/>
        <w:jc w:val="both"/>
        <w:textAlignment w:val="bottom"/>
        <w:rPr>
          <w:rFonts w:ascii="仿宋_GB2312;仿宋" w:hAnsi="仿宋_GB2312;仿宋" w:eastAsia="仿宋_GB2312;仿宋"/>
          <w:sz w:val="28"/>
        </w:rPr>
      </w:pPr>
      <w:r>
        <w:rPr>
          <w:rFonts w:ascii="仿宋_GB2312;仿宋" w:hAnsi="仿宋_GB2312;仿宋" w:eastAsia="仿宋_GB2312;仿宋"/>
          <w:sz w:val="28"/>
        </w:rPr>
        <w:t>其计算公式为：</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rPr>
      </w:pPr>
      <w:r>
        <w:rPr>
          <w:rFonts w:eastAsia="仿宋_GB2312;仿宋" w:cs="Arial" w:ascii="Arial" w:hAnsi="Arial"/>
          <w:color w:val="000000"/>
          <w:sz w:val="28"/>
        </w:rPr>
        <w:t>P</w:t>
      </w:r>
      <w:r>
        <w:rPr>
          <w:rFonts w:eastAsia="仿宋_GB2312;仿宋" w:ascii="仿宋_GB2312;仿宋" w:hAnsi="仿宋_GB2312;仿宋"/>
          <w:color w:val="000000"/>
          <w:sz w:val="28"/>
        </w:rPr>
        <w:t>=</w:t>
      </w:r>
      <w:r>
        <w:rPr>
          <w:rFonts w:eastAsia="仿宋_GB2312;仿宋" w:cs="Arial" w:ascii="Arial" w:hAnsi="Arial"/>
          <w:color w:val="000000"/>
          <w:sz w:val="28"/>
        </w:rPr>
        <w:t>P</w:t>
      </w:r>
      <w:r>
        <w:rPr>
          <w:rFonts w:eastAsia="仿宋_GB2312;仿宋" w:cs="Arial" w:ascii="Arial" w:hAnsi="Arial"/>
          <w:color w:val="000000"/>
          <w:sz w:val="28"/>
          <w:vertAlign w:val="subscript"/>
        </w:rPr>
        <w:t>B</w:t>
      </w:r>
      <w:r>
        <w:rPr>
          <w:rFonts w:cs="宋体;SimSun"/>
          <w:color w:val="000000"/>
          <w:sz w:val="28"/>
        </w:rPr>
        <w:t>×</w:t>
      </w:r>
      <w:r>
        <w:rPr>
          <w:rFonts w:eastAsia="仿宋_GB2312;仿宋" w:cs="Arial" w:ascii="Arial" w:hAnsi="Arial"/>
          <w:color w:val="000000"/>
          <w:sz w:val="28"/>
        </w:rPr>
        <w:t>A</w:t>
      </w:r>
      <w:r>
        <w:rPr>
          <w:rFonts w:cs="宋体;SimSun"/>
          <w:color w:val="000000"/>
          <w:sz w:val="28"/>
        </w:rPr>
        <w:t>×</w:t>
      </w:r>
      <w:r>
        <w:rPr>
          <w:rFonts w:eastAsia="仿宋_GB2312;仿宋" w:cs="Arial" w:ascii="Arial" w:hAnsi="Arial"/>
          <w:color w:val="000000"/>
          <w:sz w:val="28"/>
        </w:rPr>
        <w:t>B</w:t>
      </w:r>
      <w:r>
        <w:rPr>
          <w:rFonts w:cs="宋体;SimSun"/>
          <w:color w:val="000000"/>
          <w:sz w:val="28"/>
        </w:rPr>
        <w:t>×</w:t>
      </w:r>
      <w:r>
        <w:rPr>
          <w:rFonts w:eastAsia="仿宋_GB2312;仿宋" w:cs="Arial" w:ascii="Arial" w:hAnsi="Arial"/>
          <w:color w:val="000000"/>
          <w:sz w:val="28"/>
        </w:rPr>
        <w:t>C</w:t>
      </w:r>
      <w:r>
        <w:rPr>
          <w:rFonts w:cs="宋体;SimSun"/>
          <w:color w:val="000000"/>
          <w:sz w:val="28"/>
        </w:rPr>
        <w:t>×</w:t>
      </w:r>
      <w:r>
        <w:rPr>
          <w:rFonts w:eastAsia="仿宋_GB2312;仿宋" w:cs="Arial" w:ascii="Arial" w:hAnsi="Arial"/>
          <w:color w:val="000000"/>
          <w:sz w:val="28"/>
        </w:rPr>
        <w:t>D</w:t>
      </w:r>
      <w:r>
        <w:rPr>
          <w:rFonts w:cs="宋体;SimSun"/>
          <w:color w:val="000000"/>
          <w:sz w:val="28"/>
        </w:rPr>
        <w:t>×</w:t>
      </w:r>
      <w:r>
        <w:rPr>
          <w:rFonts w:eastAsia="仿宋_GB2312;仿宋" w:cs="Arial" w:ascii="Arial" w:hAnsi="Arial"/>
          <w:color w:val="000000"/>
          <w:sz w:val="28"/>
        </w:rPr>
        <w:t>E</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rPr>
      </w:pPr>
      <w:r>
        <w:rPr>
          <w:rFonts w:ascii="仿宋_GB2312;仿宋" w:hAnsi="仿宋_GB2312;仿宋" w:eastAsia="仿宋_GB2312;仿宋"/>
          <w:color w:val="000000"/>
          <w:sz w:val="28"/>
        </w:rPr>
        <w:t>式中：</w:t>
      </w:r>
    </w:p>
    <w:p>
      <w:pPr>
        <w:pStyle w:val="Normal1"/>
        <w:autoSpaceDE w:val="false"/>
        <w:spacing w:lineRule="auto" w:line="360"/>
        <w:ind w:right="140" w:firstLine="570"/>
        <w:jc w:val="both"/>
        <w:textAlignment w:val="bottom"/>
        <w:rPr/>
      </w:pPr>
      <w:r>
        <w:rPr>
          <w:rFonts w:eastAsia="仿宋_GB2312;仿宋" w:cs="Arial" w:ascii="Arial" w:hAnsi="Arial"/>
          <w:color w:val="000000"/>
          <w:sz w:val="28"/>
        </w:rPr>
        <w:t>P</w:t>
      </w:r>
      <w:r>
        <w:rPr>
          <w:rFonts w:eastAsia="仿宋_GB2312;仿宋" w:ascii="仿宋_GB2312;仿宋" w:hAnsi="仿宋_GB2312;仿宋"/>
          <w:color w:val="000000"/>
          <w:sz w:val="28"/>
        </w:rPr>
        <w:t>——</w:t>
      </w:r>
      <w:r>
        <w:rPr>
          <w:rFonts w:ascii="仿宋_GB2312;仿宋" w:hAnsi="仿宋_GB2312;仿宋" w:eastAsia="仿宋_GB2312;仿宋"/>
          <w:color w:val="000000"/>
          <w:sz w:val="28"/>
        </w:rPr>
        <w:t>待估宗地价格；</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vertAlign w:val="subscript"/>
        </w:rPr>
      </w:pPr>
      <w:r>
        <w:rPr>
          <w:rFonts w:eastAsia="仿宋_GB2312;仿宋" w:cs="Arial" w:ascii="Arial" w:hAnsi="Arial"/>
          <w:color w:val="000000"/>
          <w:sz w:val="28"/>
        </w:rPr>
        <w:t>P</w:t>
      </w:r>
      <w:r>
        <w:rPr>
          <w:rFonts w:eastAsia="仿宋_GB2312;仿宋" w:cs="Arial" w:ascii="Arial" w:hAnsi="Arial"/>
          <w:color w:val="000000"/>
          <w:sz w:val="28"/>
          <w:vertAlign w:val="subscript"/>
        </w:rPr>
        <w:t>B</w:t>
      </w:r>
      <w:r>
        <w:rPr>
          <w:rFonts w:eastAsia="仿宋_GB2312;仿宋" w:ascii="仿宋_GB2312;仿宋" w:hAnsi="仿宋_GB2312;仿宋"/>
          <w:color w:val="000000"/>
          <w:sz w:val="28"/>
        </w:rPr>
        <w:t>——</w:t>
      </w:r>
      <w:r>
        <w:rPr>
          <w:rFonts w:ascii="仿宋_GB2312;仿宋" w:hAnsi="仿宋_GB2312;仿宋" w:eastAsia="仿宋_GB2312;仿宋"/>
          <w:color w:val="000000"/>
          <w:sz w:val="28"/>
        </w:rPr>
        <w:t>比较实例价格；</w:t>
      </w:r>
    </w:p>
    <w:p>
      <w:pPr>
        <w:pStyle w:val="Normal1"/>
        <w:autoSpaceDE w:val="false"/>
        <w:spacing w:lineRule="auto" w:line="360"/>
        <w:ind w:right="140" w:firstLine="570"/>
        <w:jc w:val="both"/>
        <w:textAlignment w:val="bottom"/>
        <w:rPr/>
      </w:pPr>
      <w:r>
        <w:rPr>
          <w:rFonts w:eastAsia="仿宋_GB2312;仿宋" w:cs="Arial" w:ascii="Arial" w:hAnsi="Arial"/>
          <w:color w:val="000000"/>
          <w:sz w:val="28"/>
        </w:rPr>
        <w:t>A</w:t>
      </w:r>
      <w:r>
        <w:rPr>
          <w:rFonts w:eastAsia="仿宋_GB2312;仿宋" w:ascii="仿宋_GB2312;仿宋" w:hAnsi="仿宋_GB2312;仿宋"/>
          <w:color w:val="000000"/>
          <w:sz w:val="28"/>
        </w:rPr>
        <w:t>——</w:t>
      </w:r>
      <w:r>
        <w:rPr>
          <w:rFonts w:ascii="仿宋_GB2312;仿宋" w:hAnsi="仿宋_GB2312;仿宋" w:eastAsia="仿宋_GB2312;仿宋"/>
          <w:color w:val="000000"/>
          <w:sz w:val="28"/>
        </w:rPr>
        <w:t>待估宗地交易情况指数</w:t>
      </w:r>
      <w:r>
        <w:rPr>
          <w:rFonts w:eastAsia="仿宋_GB2312;仿宋" w:ascii="仿宋_GB2312;仿宋" w:hAnsi="仿宋_GB2312;仿宋"/>
          <w:sz w:val="28"/>
        </w:rPr>
        <w:t>/</w:t>
      </w:r>
      <w:r>
        <w:rPr>
          <w:rFonts w:ascii="仿宋_GB2312;仿宋" w:hAnsi="仿宋_GB2312;仿宋" w:eastAsia="仿宋_GB2312;仿宋"/>
          <w:color w:val="000000"/>
          <w:sz w:val="28"/>
        </w:rPr>
        <w:t>比较实例宗地交易情况指数</w:t>
      </w:r>
    </w:p>
    <w:p>
      <w:pPr>
        <w:pStyle w:val="Normal1"/>
        <w:autoSpaceDE w:val="false"/>
        <w:spacing w:lineRule="auto" w:line="360"/>
        <w:ind w:right="140" w:firstLine="570"/>
        <w:jc w:val="both"/>
        <w:textAlignment w:val="bottom"/>
        <w:rPr/>
      </w:pPr>
      <w:r>
        <w:rPr>
          <w:rFonts w:eastAsia="仿宋_GB2312;仿宋" w:cs="Arial" w:ascii="Arial" w:hAnsi="Arial"/>
          <w:color w:val="000000"/>
          <w:sz w:val="28"/>
        </w:rPr>
        <w:t>B</w:t>
      </w:r>
      <w:r>
        <w:rPr>
          <w:rFonts w:eastAsia="仿宋_GB2312;仿宋" w:ascii="仿宋_GB2312;仿宋" w:hAnsi="仿宋_GB2312;仿宋"/>
          <w:color w:val="000000"/>
          <w:sz w:val="28"/>
        </w:rPr>
        <w:t>——</w:t>
      </w:r>
      <w:r>
        <w:rPr>
          <w:rFonts w:ascii="仿宋_GB2312;仿宋" w:hAnsi="仿宋_GB2312;仿宋" w:eastAsia="仿宋_GB2312;仿宋"/>
          <w:color w:val="000000"/>
          <w:sz w:val="28"/>
        </w:rPr>
        <w:t>待估宗地</w:t>
      </w:r>
      <w:r>
        <w:rPr>
          <w:rFonts w:ascii="仿宋_GB2312;仿宋" w:hAnsi="仿宋_GB2312;仿宋" w:cs="Arial" w:eastAsia="仿宋_GB2312;仿宋"/>
          <w:color w:val="000000"/>
          <w:sz w:val="28"/>
        </w:rPr>
        <w:t>估价期日</w:t>
      </w:r>
      <w:r>
        <w:rPr>
          <w:rFonts w:ascii="仿宋_GB2312;仿宋" w:hAnsi="仿宋_GB2312;仿宋" w:eastAsia="仿宋_GB2312;仿宋"/>
          <w:color w:val="000000"/>
          <w:sz w:val="28"/>
        </w:rPr>
        <w:t>地价指数</w:t>
      </w:r>
      <w:r>
        <w:rPr>
          <w:rFonts w:eastAsia="仿宋_GB2312;仿宋" w:ascii="仿宋_GB2312;仿宋" w:hAnsi="仿宋_GB2312;仿宋"/>
          <w:sz w:val="28"/>
        </w:rPr>
        <w:t>/</w:t>
      </w:r>
      <w:r>
        <w:rPr>
          <w:rFonts w:ascii="仿宋_GB2312;仿宋" w:hAnsi="仿宋_GB2312;仿宋" w:eastAsia="仿宋_GB2312;仿宋"/>
          <w:color w:val="000000"/>
          <w:sz w:val="28"/>
        </w:rPr>
        <w:t>比较实例宗地</w:t>
      </w:r>
      <w:r>
        <w:rPr>
          <w:rFonts w:ascii="仿宋_GB2312;仿宋" w:hAnsi="仿宋_GB2312;仿宋" w:cs="Arial" w:eastAsia="仿宋_GB2312;仿宋"/>
          <w:color w:val="000000"/>
          <w:sz w:val="28"/>
        </w:rPr>
        <w:t>交易日期地价</w:t>
      </w:r>
      <w:r>
        <w:rPr>
          <w:rFonts w:ascii="仿宋_GB2312;仿宋" w:hAnsi="仿宋_GB2312;仿宋" w:eastAsia="仿宋_GB2312;仿宋"/>
          <w:color w:val="000000"/>
          <w:sz w:val="28"/>
        </w:rPr>
        <w:t>指数</w:t>
      </w:r>
    </w:p>
    <w:p>
      <w:pPr>
        <w:pStyle w:val="Normal1"/>
        <w:autoSpaceDE w:val="false"/>
        <w:spacing w:lineRule="auto" w:line="360"/>
        <w:ind w:right="140" w:firstLine="570"/>
        <w:jc w:val="both"/>
        <w:textAlignment w:val="bottom"/>
        <w:rPr/>
      </w:pPr>
      <w:r>
        <w:rPr>
          <w:rFonts w:eastAsia="仿宋_GB2312;仿宋" w:cs="Arial" w:ascii="Arial" w:hAnsi="Arial"/>
          <w:color w:val="000000"/>
          <w:sz w:val="28"/>
        </w:rPr>
        <w:t>C</w:t>
      </w:r>
      <w:r>
        <w:rPr>
          <w:rFonts w:eastAsia="仿宋_GB2312;仿宋" w:ascii="仿宋_GB2312;仿宋" w:hAnsi="仿宋_GB2312;仿宋"/>
          <w:color w:val="000000"/>
          <w:sz w:val="28"/>
        </w:rPr>
        <w:t>——</w:t>
      </w:r>
      <w:r>
        <w:rPr>
          <w:rFonts w:ascii="仿宋_GB2312;仿宋" w:hAnsi="仿宋_GB2312;仿宋" w:eastAsia="仿宋_GB2312;仿宋"/>
          <w:color w:val="000000"/>
          <w:sz w:val="28"/>
        </w:rPr>
        <w:t>待估宗地区域因素条件指数</w:t>
      </w:r>
      <w:r>
        <w:rPr>
          <w:rFonts w:eastAsia="仿宋_GB2312;仿宋" w:ascii="仿宋_GB2312;仿宋" w:hAnsi="仿宋_GB2312;仿宋"/>
          <w:sz w:val="28"/>
        </w:rPr>
        <w:t>/</w:t>
      </w:r>
      <w:r>
        <w:rPr>
          <w:rFonts w:ascii="仿宋_GB2312;仿宋" w:hAnsi="仿宋_GB2312;仿宋" w:eastAsia="仿宋_GB2312;仿宋"/>
          <w:color w:val="000000"/>
          <w:sz w:val="28"/>
        </w:rPr>
        <w:t>比较实例宗地区域因素条件指数</w:t>
      </w:r>
    </w:p>
    <w:p>
      <w:pPr>
        <w:pStyle w:val="Normal1"/>
        <w:autoSpaceDE w:val="false"/>
        <w:spacing w:lineRule="auto" w:line="360"/>
        <w:ind w:right="140" w:firstLine="570"/>
        <w:jc w:val="both"/>
        <w:textAlignment w:val="bottom"/>
        <w:rPr/>
      </w:pPr>
      <w:r>
        <w:rPr>
          <w:rFonts w:eastAsia="仿宋_GB2312;仿宋" w:cs="Arial" w:ascii="Arial" w:hAnsi="Arial"/>
          <w:color w:val="000000"/>
          <w:sz w:val="28"/>
        </w:rPr>
        <w:t>D</w:t>
      </w:r>
      <w:r>
        <w:rPr>
          <w:rFonts w:eastAsia="仿宋_GB2312;仿宋" w:ascii="仿宋_GB2312;仿宋" w:hAnsi="仿宋_GB2312;仿宋"/>
          <w:color w:val="000000"/>
          <w:sz w:val="28"/>
        </w:rPr>
        <w:t>——</w:t>
      </w:r>
      <w:r>
        <w:rPr>
          <w:rFonts w:ascii="仿宋_GB2312;仿宋" w:hAnsi="仿宋_GB2312;仿宋" w:eastAsia="仿宋_GB2312;仿宋"/>
          <w:color w:val="000000"/>
          <w:sz w:val="28"/>
        </w:rPr>
        <w:t>待估宗地个别因素条件指数</w:t>
      </w:r>
      <w:r>
        <w:rPr>
          <w:rFonts w:eastAsia="仿宋_GB2312;仿宋" w:ascii="仿宋_GB2312;仿宋" w:hAnsi="仿宋_GB2312;仿宋"/>
          <w:sz w:val="28"/>
        </w:rPr>
        <w:t>/</w:t>
      </w:r>
      <w:r>
        <w:rPr>
          <w:rFonts w:ascii="仿宋_GB2312;仿宋" w:hAnsi="仿宋_GB2312;仿宋" w:eastAsia="仿宋_GB2312;仿宋"/>
          <w:color w:val="000000"/>
          <w:sz w:val="28"/>
        </w:rPr>
        <w:t>比较实例宗地个别因素条件指数</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rPr>
      </w:pPr>
      <w:r>
        <w:rPr>
          <w:rFonts w:eastAsia="仿宋_GB2312;仿宋" w:cs="Arial" w:ascii="Arial" w:hAnsi="Arial"/>
          <w:color w:val="000000"/>
          <w:sz w:val="28"/>
        </w:rPr>
        <w:t>E</w:t>
      </w:r>
      <w:r>
        <w:rPr>
          <w:rFonts w:eastAsia="仿宋_GB2312;仿宋" w:ascii="仿宋_GB2312;仿宋" w:hAnsi="仿宋_GB2312;仿宋"/>
          <w:color w:val="000000"/>
          <w:sz w:val="28"/>
        </w:rPr>
        <w:t>——</w:t>
      </w:r>
      <w:r>
        <w:rPr>
          <w:rFonts w:ascii="仿宋_GB2312;仿宋" w:hAnsi="仿宋_GB2312;仿宋" w:eastAsia="仿宋_GB2312;仿宋"/>
          <w:color w:val="000000"/>
          <w:sz w:val="28"/>
        </w:rPr>
        <w:t>待估宗地使用年期修正指数</w:t>
      </w:r>
      <w:r>
        <w:rPr>
          <w:rFonts w:eastAsia="仿宋_GB2312;仿宋" w:ascii="仿宋_GB2312;仿宋" w:hAnsi="仿宋_GB2312;仿宋"/>
          <w:sz w:val="28"/>
        </w:rPr>
        <w:t>/</w:t>
      </w:r>
      <w:r>
        <w:rPr>
          <w:rFonts w:ascii="仿宋_GB2312;仿宋" w:hAnsi="仿宋_GB2312;仿宋" w:eastAsia="仿宋_GB2312;仿宋"/>
          <w:color w:val="000000"/>
          <w:sz w:val="28"/>
        </w:rPr>
        <w:t>比较实例宗地使用年期修正指数</w:t>
      </w:r>
    </w:p>
    <w:p>
      <w:pPr>
        <w:pStyle w:val="BodyText3"/>
        <w:spacing w:lineRule="auto" w:line="360"/>
        <w:ind w:firstLine="560"/>
        <w:rPr/>
      </w:pPr>
      <w:r>
        <w:rPr>
          <w:rFonts w:cs="Arial" w:eastAsia="仿宋_GB2312;仿宋"/>
        </w:rPr>
        <w:t>（</w:t>
      </w:r>
      <w:r>
        <w:rPr>
          <w:rFonts w:eastAsia="仿宋_GB2312;仿宋" w:cs="Arial"/>
        </w:rPr>
        <w:t>2</w:t>
      </w:r>
      <w:r>
        <w:rPr>
          <w:rFonts w:cs="Arial" w:eastAsia="仿宋_GB2312;仿宋"/>
        </w:rPr>
        <w:t>）</w:t>
      </w:r>
      <w:r>
        <w:rPr>
          <w:rFonts w:cs="Arial" w:eastAsia="仿宋_GB2312;仿宋"/>
          <w:szCs w:val="28"/>
        </w:rPr>
        <w:t>成本逼近法</w:t>
      </w:r>
    </w:p>
    <w:p>
      <w:pPr>
        <w:pStyle w:val="Normal1"/>
        <w:autoSpaceDE w:val="false"/>
        <w:spacing w:lineRule="auto" w:line="360"/>
        <w:ind w:right="140" w:firstLine="570"/>
        <w:jc w:val="both"/>
        <w:textAlignment w:val="bottom"/>
        <w:rPr/>
      </w:pPr>
      <w:r>
        <w:rPr>
          <w:rFonts w:ascii="仿宋_GB2312;仿宋" w:hAnsi="仿宋_GB2312;仿宋" w:eastAsia="仿宋_GB2312;仿宋"/>
          <w:sz w:val="28"/>
        </w:rPr>
        <w:t>成本逼近法以取得和开发土地所耗费的各项客观费用之合为主要依据，加上客观的利润、利息、应缴纳的税金和土地增值收益等确定宗地价格的方法。</w:t>
      </w:r>
    </w:p>
    <w:p>
      <w:pPr>
        <w:pStyle w:val="Normal1"/>
        <w:autoSpaceDE w:val="false"/>
        <w:spacing w:lineRule="auto" w:line="360"/>
        <w:ind w:right="140" w:firstLine="570"/>
        <w:jc w:val="both"/>
        <w:textAlignment w:val="bottom"/>
        <w:rPr>
          <w:rFonts w:ascii="仿宋_GB2312;仿宋" w:hAnsi="仿宋_GB2312;仿宋" w:eastAsia="仿宋_GB2312;仿宋"/>
          <w:sz w:val="28"/>
        </w:rPr>
      </w:pPr>
      <w:r>
        <w:rPr>
          <w:rFonts w:ascii="仿宋_GB2312;仿宋" w:hAnsi="仿宋_GB2312;仿宋" w:eastAsia="仿宋_GB2312;仿宋"/>
          <w:sz w:val="28"/>
        </w:rPr>
        <w:t>其基本计算公式为：</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vertAlign w:val="subscript"/>
        </w:rPr>
      </w:pPr>
      <w:r>
        <w:rPr>
          <w:rFonts w:eastAsia="仿宋_GB2312;仿宋" w:cs="Arial" w:ascii="Arial" w:hAnsi="Arial"/>
          <w:color w:val="000000"/>
          <w:sz w:val="28"/>
        </w:rPr>
        <w:t>P</w:t>
      </w:r>
      <w:r>
        <w:rPr>
          <w:rFonts w:eastAsia="仿宋_GB2312;仿宋" w:cs="Arial" w:ascii="Arial" w:hAnsi="Arial"/>
          <w:color w:val="000000"/>
          <w:sz w:val="28"/>
          <w:vertAlign w:val="subscript"/>
        </w:rPr>
        <w:t>1</w:t>
      </w:r>
      <w:r>
        <w:rPr>
          <w:rFonts w:eastAsia="仿宋_GB2312;仿宋" w:ascii="仿宋_GB2312;仿宋" w:hAnsi="仿宋_GB2312;仿宋"/>
          <w:color w:val="000000"/>
          <w:sz w:val="28"/>
        </w:rPr>
        <w:t>=</w:t>
      </w:r>
      <w:r>
        <w:rPr>
          <w:rFonts w:eastAsia="仿宋_GB2312;仿宋" w:cs="Arial" w:ascii="Arial" w:hAnsi="Arial"/>
          <w:color w:val="000000"/>
          <w:sz w:val="28"/>
        </w:rPr>
        <w:t>E</w:t>
      </w:r>
      <w:r>
        <w:rPr>
          <w:rFonts w:eastAsia="仿宋_GB2312;仿宋" w:cs="Arial" w:ascii="Arial" w:hAnsi="Arial"/>
          <w:color w:val="000000"/>
          <w:sz w:val="28"/>
          <w:vertAlign w:val="subscript"/>
        </w:rPr>
        <w:t>a</w:t>
      </w:r>
      <w:r>
        <w:rPr>
          <w:rFonts w:cs="宋体;SimSun"/>
          <w:color w:val="000000"/>
          <w:sz w:val="28"/>
        </w:rPr>
        <w:t>+</w:t>
      </w:r>
      <w:r>
        <w:rPr>
          <w:rFonts w:eastAsia="仿宋_GB2312;仿宋" w:cs="Arial" w:ascii="Arial" w:hAnsi="Arial"/>
          <w:color w:val="000000"/>
          <w:sz w:val="28"/>
        </w:rPr>
        <w:t>E</w:t>
      </w:r>
      <w:r>
        <w:rPr>
          <w:rFonts w:eastAsia="仿宋_GB2312;仿宋" w:cs="Arial" w:ascii="Arial" w:hAnsi="Arial"/>
          <w:color w:val="000000"/>
          <w:sz w:val="28"/>
          <w:vertAlign w:val="subscript"/>
        </w:rPr>
        <w:t>d</w:t>
      </w:r>
      <w:r>
        <w:rPr>
          <w:rFonts w:cs="宋体;SimSun"/>
          <w:color w:val="000000"/>
          <w:sz w:val="28"/>
        </w:rPr>
        <w:t>+</w:t>
      </w:r>
      <w:r>
        <w:rPr>
          <w:rFonts w:eastAsia="仿宋_GB2312;仿宋" w:cs="Arial" w:ascii="Arial" w:hAnsi="Arial"/>
          <w:color w:val="000000"/>
          <w:sz w:val="28"/>
        </w:rPr>
        <w:t>T</w:t>
      </w:r>
      <w:r>
        <w:rPr>
          <w:rFonts w:cs="宋体;SimSun"/>
          <w:color w:val="000000"/>
          <w:sz w:val="28"/>
        </w:rPr>
        <w:t>+</w:t>
      </w:r>
      <w:r>
        <w:rPr>
          <w:rFonts w:eastAsia="仿宋_GB2312;仿宋" w:cs="Arial" w:ascii="Arial" w:hAnsi="Arial"/>
          <w:color w:val="000000"/>
          <w:sz w:val="28"/>
        </w:rPr>
        <w:t>R</w:t>
      </w:r>
      <w:r>
        <w:rPr>
          <w:rFonts w:eastAsia="仿宋_GB2312;仿宋" w:cs="Arial" w:ascii="Arial" w:hAnsi="Arial"/>
          <w:color w:val="000000"/>
          <w:sz w:val="28"/>
          <w:vertAlign w:val="subscript"/>
        </w:rPr>
        <w:t>1</w:t>
      </w:r>
      <w:r>
        <w:rPr>
          <w:rFonts w:cs="宋体;SimSun"/>
          <w:color w:val="000000"/>
          <w:sz w:val="28"/>
        </w:rPr>
        <w:t>+</w:t>
      </w:r>
      <w:r>
        <w:rPr>
          <w:rFonts w:eastAsia="仿宋_GB2312;仿宋" w:cs="Arial" w:ascii="Arial" w:hAnsi="Arial"/>
          <w:color w:val="000000"/>
          <w:sz w:val="28"/>
        </w:rPr>
        <w:t>R</w:t>
      </w:r>
      <w:r>
        <w:rPr>
          <w:rFonts w:eastAsia="仿宋_GB2312;仿宋" w:cs="Arial" w:ascii="Arial" w:hAnsi="Arial"/>
          <w:color w:val="000000"/>
          <w:sz w:val="28"/>
          <w:vertAlign w:val="subscript"/>
        </w:rPr>
        <w:t>2</w:t>
      </w:r>
      <w:r>
        <w:rPr>
          <w:rFonts w:cs="宋体;SimSun"/>
          <w:color w:val="000000"/>
          <w:sz w:val="28"/>
        </w:rPr>
        <w:t>+</w:t>
      </w:r>
      <w:r>
        <w:rPr>
          <w:rFonts w:eastAsia="仿宋_GB2312;仿宋" w:cs="Arial" w:ascii="Arial" w:hAnsi="Arial"/>
          <w:color w:val="000000"/>
          <w:sz w:val="28"/>
        </w:rPr>
        <w:t>R</w:t>
      </w:r>
      <w:r>
        <w:rPr>
          <w:rFonts w:eastAsia="仿宋_GB2312;仿宋" w:cs="Arial" w:ascii="Arial" w:hAnsi="Arial"/>
          <w:color w:val="000000"/>
          <w:sz w:val="28"/>
          <w:vertAlign w:val="subscript"/>
        </w:rPr>
        <w:t>3</w:t>
      </w:r>
    </w:p>
    <w:p>
      <w:pPr>
        <w:pStyle w:val="Normal1"/>
        <w:autoSpaceDE w:val="false"/>
        <w:spacing w:lineRule="auto" w:line="360"/>
        <w:ind w:right="140" w:firstLine="700"/>
        <w:jc w:val="both"/>
        <w:textAlignment w:val="bottom"/>
        <w:rPr>
          <w:rFonts w:ascii="仿宋_GB2312;仿宋" w:hAnsi="仿宋_GB2312;仿宋" w:eastAsia="仿宋_GB2312;仿宋"/>
          <w:color w:val="000000"/>
          <w:sz w:val="28"/>
        </w:rPr>
      </w:pPr>
      <w:r>
        <w:rPr>
          <w:rFonts w:eastAsia="仿宋_GB2312;仿宋" w:ascii="仿宋_GB2312;仿宋" w:hAnsi="仿宋_GB2312;仿宋"/>
          <w:color w:val="000000"/>
          <w:sz w:val="28"/>
        </w:rPr>
        <w:t xml:space="preserve">= </w:t>
      </w:r>
      <w:r>
        <w:rPr>
          <w:rFonts w:eastAsia="仿宋_GB2312;仿宋" w:cs="Arial" w:ascii="Arial" w:hAnsi="Arial"/>
          <w:color w:val="000000"/>
          <w:sz w:val="28"/>
        </w:rPr>
        <w:t>P</w:t>
      </w:r>
      <w:r>
        <w:rPr>
          <w:rFonts w:eastAsia="仿宋_GB2312;仿宋" w:cs="Arial" w:ascii="Arial" w:hAnsi="Arial"/>
          <w:color w:val="000000"/>
          <w:sz w:val="28"/>
          <w:vertAlign w:val="subscript"/>
        </w:rPr>
        <w:t>E</w:t>
      </w:r>
      <w:r>
        <w:rPr>
          <w:rFonts w:cs="宋体;SimSun"/>
          <w:color w:val="000000"/>
          <w:sz w:val="28"/>
        </w:rPr>
        <w:t>+</w:t>
      </w:r>
      <w:r>
        <w:rPr>
          <w:rFonts w:eastAsia="仿宋_GB2312;仿宋" w:cs="Arial" w:ascii="Arial" w:hAnsi="Arial"/>
          <w:color w:val="000000"/>
          <w:sz w:val="28"/>
        </w:rPr>
        <w:t>R</w:t>
      </w:r>
      <w:r>
        <w:rPr>
          <w:rFonts w:eastAsia="仿宋_GB2312;仿宋" w:cs="Arial" w:ascii="Arial" w:hAnsi="Arial"/>
          <w:color w:val="000000"/>
          <w:sz w:val="28"/>
          <w:vertAlign w:val="subscript"/>
        </w:rPr>
        <w:t>3</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rPr>
      </w:pPr>
      <w:r>
        <w:rPr>
          <w:rFonts w:ascii="仿宋_GB2312;仿宋" w:hAnsi="仿宋_GB2312;仿宋" w:eastAsia="仿宋_GB2312;仿宋"/>
          <w:color w:val="000000"/>
          <w:sz w:val="28"/>
        </w:rPr>
        <w:t>式中：</w:t>
      </w:r>
    </w:p>
    <w:p>
      <w:pPr>
        <w:pStyle w:val="Normal1"/>
        <w:autoSpaceDE w:val="false"/>
        <w:spacing w:lineRule="auto" w:line="360"/>
        <w:ind w:right="140" w:firstLine="570"/>
        <w:jc w:val="both"/>
        <w:textAlignment w:val="bottom"/>
        <w:rPr/>
      </w:pPr>
      <w:r>
        <w:rPr>
          <w:rFonts w:eastAsia="仿宋_GB2312;仿宋" w:cs="Arial" w:ascii="Arial" w:hAnsi="Arial"/>
          <w:color w:val="000000"/>
          <w:sz w:val="28"/>
        </w:rPr>
        <w:t>P</w:t>
      </w:r>
      <w:r>
        <w:rPr>
          <w:rFonts w:eastAsia="仿宋_GB2312;仿宋" w:cs="Arial" w:ascii="Arial" w:hAnsi="Arial"/>
          <w:color w:val="000000"/>
          <w:sz w:val="28"/>
          <w:vertAlign w:val="subscript"/>
        </w:rPr>
        <w:t>1</w:t>
      </w:r>
      <w:r>
        <w:rPr>
          <w:rFonts w:eastAsia="仿宋_GB2312;仿宋" w:ascii="仿宋_GB2312;仿宋" w:hAnsi="仿宋_GB2312;仿宋"/>
          <w:color w:val="000000"/>
          <w:sz w:val="28"/>
        </w:rPr>
        <w:t>——</w:t>
      </w:r>
      <w:r>
        <w:rPr>
          <w:rFonts w:ascii="仿宋_GB2312;仿宋" w:hAnsi="仿宋_GB2312;仿宋" w:eastAsia="仿宋_GB2312;仿宋"/>
          <w:color w:val="000000"/>
          <w:sz w:val="28"/>
        </w:rPr>
        <w:t>待估宗地价格</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vertAlign w:val="subscript"/>
        </w:rPr>
      </w:pPr>
      <w:r>
        <w:rPr>
          <w:rFonts w:eastAsia="仿宋_GB2312;仿宋" w:cs="Arial" w:ascii="Arial" w:hAnsi="Arial"/>
          <w:color w:val="000000"/>
          <w:sz w:val="28"/>
        </w:rPr>
        <w:t>E</w:t>
      </w:r>
      <w:r>
        <w:rPr>
          <w:rFonts w:eastAsia="仿宋_GB2312;仿宋" w:cs="Arial" w:ascii="Arial" w:hAnsi="Arial"/>
          <w:color w:val="000000"/>
          <w:sz w:val="28"/>
          <w:vertAlign w:val="subscript"/>
        </w:rPr>
        <w:t>a</w:t>
      </w:r>
      <w:r>
        <w:rPr>
          <w:rFonts w:eastAsia="仿宋_GB2312;仿宋" w:ascii="仿宋_GB2312;仿宋" w:hAnsi="仿宋_GB2312;仿宋"/>
          <w:color w:val="000000"/>
          <w:sz w:val="28"/>
        </w:rPr>
        <w:t>——</w:t>
      </w:r>
      <w:r>
        <w:rPr>
          <w:rFonts w:ascii="仿宋_GB2312;仿宋" w:hAnsi="仿宋_GB2312;仿宋" w:eastAsia="仿宋_GB2312;仿宋"/>
          <w:color w:val="000000"/>
          <w:sz w:val="28"/>
        </w:rPr>
        <w:t>土地取得费</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vertAlign w:val="subscript"/>
        </w:rPr>
      </w:pPr>
      <w:r>
        <w:rPr>
          <w:rFonts w:eastAsia="仿宋_GB2312;仿宋" w:cs="Arial" w:ascii="Arial" w:hAnsi="Arial"/>
          <w:color w:val="000000"/>
          <w:sz w:val="28"/>
        </w:rPr>
        <w:t>E</w:t>
      </w:r>
      <w:r>
        <w:rPr>
          <w:rFonts w:eastAsia="仿宋_GB2312;仿宋" w:cs="Arial" w:ascii="Arial" w:hAnsi="Arial"/>
          <w:color w:val="000000"/>
          <w:sz w:val="28"/>
          <w:vertAlign w:val="subscript"/>
        </w:rPr>
        <w:t>d</w:t>
      </w:r>
      <w:r>
        <w:rPr>
          <w:rFonts w:eastAsia="仿宋_GB2312;仿宋" w:ascii="仿宋_GB2312;仿宋" w:hAnsi="仿宋_GB2312;仿宋"/>
          <w:color w:val="000000"/>
          <w:sz w:val="28"/>
        </w:rPr>
        <w:t>——</w:t>
      </w:r>
      <w:r>
        <w:rPr>
          <w:rFonts w:ascii="仿宋_GB2312;仿宋" w:hAnsi="仿宋_GB2312;仿宋" w:eastAsia="仿宋_GB2312;仿宋"/>
          <w:color w:val="000000"/>
          <w:sz w:val="28"/>
        </w:rPr>
        <w:t>土地开发费</w:t>
      </w:r>
    </w:p>
    <w:p>
      <w:pPr>
        <w:pStyle w:val="Normal1"/>
        <w:autoSpaceDE w:val="false"/>
        <w:spacing w:lineRule="auto" w:line="360"/>
        <w:ind w:right="140" w:firstLine="570"/>
        <w:jc w:val="both"/>
        <w:textAlignment w:val="bottom"/>
        <w:rPr/>
      </w:pPr>
      <w:r>
        <w:rPr>
          <w:rFonts w:eastAsia="仿宋_GB2312;仿宋" w:cs="Arial" w:ascii="Arial" w:hAnsi="Arial"/>
          <w:color w:val="000000"/>
          <w:sz w:val="28"/>
        </w:rPr>
        <w:t>T</w:t>
      </w:r>
      <w:r>
        <w:rPr>
          <w:rFonts w:eastAsia="仿宋_GB2312;仿宋" w:ascii="仿宋_GB2312;仿宋" w:hAnsi="仿宋_GB2312;仿宋"/>
          <w:color w:val="000000"/>
          <w:sz w:val="28"/>
        </w:rPr>
        <w:t>——</w:t>
      </w:r>
      <w:r>
        <w:rPr>
          <w:rFonts w:ascii="仿宋_GB2312;仿宋" w:hAnsi="仿宋_GB2312;仿宋" w:eastAsia="仿宋_GB2312;仿宋"/>
          <w:color w:val="000000"/>
          <w:sz w:val="28"/>
        </w:rPr>
        <w:t>税费</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vertAlign w:val="subscript"/>
        </w:rPr>
      </w:pPr>
      <w:r>
        <w:rPr>
          <w:rFonts w:eastAsia="仿宋_GB2312;仿宋" w:cs="Arial" w:ascii="Arial" w:hAnsi="Arial"/>
          <w:color w:val="000000"/>
          <w:sz w:val="28"/>
        </w:rPr>
        <w:t>R</w:t>
      </w:r>
      <w:r>
        <w:rPr>
          <w:rFonts w:eastAsia="仿宋_GB2312;仿宋" w:cs="Arial" w:ascii="Arial" w:hAnsi="Arial"/>
          <w:color w:val="000000"/>
          <w:sz w:val="28"/>
          <w:vertAlign w:val="subscript"/>
        </w:rPr>
        <w:t>1</w:t>
      </w:r>
      <w:r>
        <w:rPr>
          <w:rFonts w:eastAsia="仿宋_GB2312;仿宋" w:ascii="仿宋_GB2312;仿宋" w:hAnsi="仿宋_GB2312;仿宋"/>
          <w:color w:val="000000"/>
          <w:sz w:val="28"/>
        </w:rPr>
        <w:t>——</w:t>
      </w:r>
      <w:r>
        <w:rPr>
          <w:rFonts w:ascii="仿宋_GB2312;仿宋" w:hAnsi="仿宋_GB2312;仿宋" w:eastAsia="仿宋_GB2312;仿宋"/>
          <w:color w:val="000000"/>
          <w:sz w:val="28"/>
        </w:rPr>
        <w:t>利息</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vertAlign w:val="subscript"/>
        </w:rPr>
      </w:pPr>
      <w:r>
        <w:rPr>
          <w:rFonts w:eastAsia="仿宋_GB2312;仿宋" w:cs="Arial" w:ascii="Arial" w:hAnsi="Arial"/>
          <w:color w:val="000000"/>
          <w:sz w:val="28"/>
        </w:rPr>
        <w:t>R</w:t>
      </w:r>
      <w:r>
        <w:rPr>
          <w:rFonts w:eastAsia="仿宋_GB2312;仿宋" w:cs="Arial" w:ascii="Arial" w:hAnsi="Arial"/>
          <w:color w:val="000000"/>
          <w:sz w:val="28"/>
          <w:vertAlign w:val="subscript"/>
        </w:rPr>
        <w:t>2</w:t>
      </w:r>
      <w:r>
        <w:rPr>
          <w:rFonts w:eastAsia="仿宋_GB2312;仿宋" w:ascii="仿宋_GB2312;仿宋" w:hAnsi="仿宋_GB2312;仿宋"/>
          <w:color w:val="000000"/>
          <w:sz w:val="28"/>
        </w:rPr>
        <w:t>——</w:t>
      </w:r>
      <w:r>
        <w:rPr>
          <w:rFonts w:ascii="仿宋_GB2312;仿宋" w:hAnsi="仿宋_GB2312;仿宋" w:eastAsia="仿宋_GB2312;仿宋"/>
          <w:color w:val="000000"/>
          <w:sz w:val="28"/>
        </w:rPr>
        <w:t>利润</w:t>
      </w:r>
    </w:p>
    <w:p>
      <w:pPr>
        <w:pStyle w:val="Normal1"/>
        <w:autoSpaceDE w:val="false"/>
        <w:spacing w:lineRule="auto" w:line="360"/>
        <w:ind w:right="140" w:firstLine="570"/>
        <w:jc w:val="both"/>
        <w:textAlignment w:val="bottom"/>
        <w:rPr>
          <w:rFonts w:ascii="仿宋_GB2312;仿宋" w:hAnsi="仿宋_GB2312;仿宋" w:eastAsia="仿宋_GB2312;仿宋"/>
          <w:color w:val="000000"/>
          <w:sz w:val="28"/>
          <w:vertAlign w:val="subscript"/>
        </w:rPr>
      </w:pPr>
      <w:r>
        <w:rPr>
          <w:rFonts w:eastAsia="仿宋_GB2312;仿宋" w:cs="Arial" w:ascii="Arial" w:hAnsi="Arial"/>
          <w:color w:val="000000"/>
          <w:sz w:val="28"/>
        </w:rPr>
        <w:t>R</w:t>
      </w:r>
      <w:r>
        <w:rPr>
          <w:rFonts w:eastAsia="仿宋_GB2312;仿宋" w:cs="Arial" w:ascii="Arial" w:hAnsi="Arial"/>
          <w:color w:val="000000"/>
          <w:sz w:val="28"/>
          <w:vertAlign w:val="subscript"/>
        </w:rPr>
        <w:t>3</w:t>
      </w:r>
      <w:r>
        <w:rPr>
          <w:rFonts w:eastAsia="仿宋_GB2312;仿宋" w:ascii="仿宋_GB2312;仿宋" w:hAnsi="仿宋_GB2312;仿宋"/>
          <w:color w:val="000000"/>
          <w:sz w:val="28"/>
        </w:rPr>
        <w:t>——</w:t>
      </w:r>
      <w:r>
        <w:rPr>
          <w:rFonts w:ascii="仿宋_GB2312;仿宋" w:hAnsi="仿宋_GB2312;仿宋" w:eastAsia="仿宋_GB2312;仿宋"/>
          <w:color w:val="000000"/>
          <w:sz w:val="28"/>
        </w:rPr>
        <w:t>土地增值</w:t>
      </w:r>
    </w:p>
    <w:p>
      <w:pPr>
        <w:pStyle w:val="Normal1"/>
        <w:autoSpaceDE w:val="false"/>
        <w:spacing w:lineRule="auto" w:line="360"/>
        <w:ind w:right="140" w:firstLine="570"/>
        <w:jc w:val="both"/>
        <w:textAlignment w:val="bottom"/>
        <w:rPr>
          <w:rFonts w:ascii="仿宋_GB2312;仿宋" w:hAnsi="仿宋_GB2312;仿宋" w:eastAsia="仿宋_GB2312;仿宋"/>
          <w:sz w:val="28"/>
        </w:rPr>
      </w:pPr>
      <w:r>
        <w:rPr>
          <w:rFonts w:eastAsia="仿宋_GB2312;仿宋" w:cs="Arial" w:ascii="Arial" w:hAnsi="Arial"/>
          <w:color w:val="000000"/>
          <w:sz w:val="28"/>
        </w:rPr>
        <w:t>P</w:t>
      </w:r>
      <w:r>
        <w:rPr>
          <w:rFonts w:eastAsia="仿宋_GB2312;仿宋" w:cs="Arial" w:ascii="Arial" w:hAnsi="Arial"/>
          <w:color w:val="000000"/>
          <w:sz w:val="28"/>
          <w:vertAlign w:val="subscript"/>
        </w:rPr>
        <w:t>E</w:t>
      </w:r>
      <w:r>
        <w:rPr>
          <w:rFonts w:eastAsia="仿宋_GB2312;仿宋" w:ascii="仿宋_GB2312;仿宋" w:hAnsi="仿宋_GB2312;仿宋"/>
          <w:color w:val="000000"/>
          <w:sz w:val="28"/>
        </w:rPr>
        <w:t>——</w:t>
      </w:r>
      <w:r>
        <w:rPr>
          <w:rFonts w:ascii="仿宋_GB2312;仿宋" w:hAnsi="仿宋_GB2312;仿宋" w:eastAsia="仿宋_GB2312;仿宋"/>
          <w:color w:val="000000"/>
          <w:sz w:val="28"/>
        </w:rPr>
        <w:t>土地成本价格</w:t>
      </w:r>
    </w:p>
    <w:p>
      <w:pPr>
        <w:pStyle w:val="Normal"/>
        <w:spacing w:lineRule="auto" w:line="360"/>
        <w:jc w:val="both"/>
        <w:rPr>
          <w:rFonts w:ascii="Arial" w:hAnsi="Arial" w:eastAsia="仿宋_GB2312;仿宋" w:cs="Arial"/>
          <w:sz w:val="28"/>
        </w:rPr>
      </w:pPr>
      <w:r>
        <w:rPr>
          <w:rFonts w:ascii="Arial" w:hAnsi="Arial" w:cs="Arial" w:eastAsia="仿宋_GB2312;仿宋"/>
          <w:sz w:val="28"/>
        </w:rPr>
        <w:t>（二）估价过程</w:t>
      </w:r>
    </w:p>
    <w:p>
      <w:pPr>
        <w:pStyle w:val="Normal"/>
        <w:spacing w:lineRule="auto" w:line="360"/>
        <w:ind w:firstLine="560"/>
        <w:rPr>
          <w:rFonts w:ascii="Arial" w:hAnsi="Arial" w:eastAsia="仿宋_GB2312;仿宋" w:cs="Arial"/>
          <w:sz w:val="28"/>
          <w:szCs w:val="28"/>
        </w:rPr>
      </w:pPr>
      <w:r>
        <w:rPr>
          <w:rFonts w:ascii="Arial" w:hAnsi="Arial" w:cs="Arial" w:eastAsia="仿宋_GB2312;仿宋"/>
          <w:sz w:val="28"/>
        </w:rPr>
        <w:t>收购补偿价格</w:t>
      </w:r>
      <w:r>
        <w:rPr>
          <w:rFonts w:eastAsia="仿宋_GB2312;仿宋" w:cs="Arial" w:ascii="Arial" w:hAnsi="Arial"/>
          <w:sz w:val="28"/>
        </w:rPr>
        <w:t>=</w:t>
      </w:r>
      <w:r>
        <w:rPr>
          <w:rFonts w:ascii="Arial" w:hAnsi="Arial" w:cs="Arial" w:eastAsia="仿宋_GB2312;仿宋"/>
          <w:sz w:val="28"/>
        </w:rPr>
        <w:t>土地使用权价格</w:t>
      </w:r>
      <w:r>
        <w:rPr>
          <w:rFonts w:eastAsia="仿宋_GB2312;仿宋" w:cs="Arial" w:ascii="Arial" w:hAnsi="Arial"/>
          <w:sz w:val="28"/>
        </w:rPr>
        <w:t>+</w:t>
      </w:r>
      <w:r>
        <w:rPr>
          <w:rFonts w:ascii="Arial" w:hAnsi="Arial" w:cs="Arial" w:eastAsia="仿宋_GB2312;仿宋"/>
          <w:sz w:val="28"/>
        </w:rPr>
        <w:t>建筑物价格</w:t>
      </w:r>
      <w:r>
        <w:rPr>
          <w:rFonts w:eastAsia="仿宋_GB2312;仿宋" w:cs="Arial" w:ascii="Arial" w:hAnsi="Arial"/>
          <w:sz w:val="28"/>
        </w:rPr>
        <w:t>+</w:t>
      </w:r>
      <w:r>
        <w:rPr>
          <w:rFonts w:ascii="Arial" w:hAnsi="Arial" w:cs="Arial" w:eastAsia="仿宋_GB2312;仿宋"/>
          <w:sz w:val="28"/>
        </w:rPr>
        <w:t>附属物价格</w:t>
      </w:r>
      <w:r>
        <w:rPr>
          <w:rFonts w:eastAsia="仿宋_GB2312;仿宋" w:cs="Arial" w:ascii="Arial" w:hAnsi="Arial"/>
          <w:sz w:val="28"/>
        </w:rPr>
        <w:t>+</w:t>
      </w:r>
      <w:r>
        <w:rPr>
          <w:rFonts w:ascii="Arial" w:hAnsi="Arial" w:cs="Arial" w:eastAsia="仿宋_GB2312;仿宋"/>
          <w:sz w:val="28"/>
        </w:rPr>
        <w:t>设施设备补偿价格</w:t>
      </w:r>
      <w:r>
        <w:rPr>
          <w:rFonts w:eastAsia="仿宋_GB2312;仿宋" w:cs="Arial" w:ascii="Arial" w:hAnsi="Arial"/>
          <w:sz w:val="28"/>
        </w:rPr>
        <w:t>+</w:t>
      </w:r>
      <w:r>
        <w:rPr>
          <w:rFonts w:ascii="Arial" w:hAnsi="Arial" w:cs="Arial" w:eastAsia="仿宋_GB2312;仿宋"/>
          <w:sz w:val="28"/>
        </w:rPr>
        <w:t>停产停业损失补偿费用</w:t>
      </w:r>
      <w:r>
        <w:rPr>
          <w:rFonts w:eastAsia="仿宋_GB2312;仿宋" w:cs="Arial" w:ascii="Arial" w:hAnsi="Arial"/>
          <w:sz w:val="28"/>
        </w:rPr>
        <w:t>+</w:t>
      </w:r>
      <w:r>
        <w:rPr>
          <w:rFonts w:ascii="Arial" w:hAnsi="Arial" w:cs="Arial" w:eastAsia="仿宋_GB2312;仿宋"/>
          <w:sz w:val="28"/>
        </w:rPr>
        <w:t>搬迁补偿费用</w:t>
      </w:r>
    </w:p>
    <w:p>
      <w:pPr>
        <w:pStyle w:val="Normal"/>
        <w:spacing w:lineRule="auto" w:line="360"/>
        <w:jc w:val="both"/>
        <w:rPr/>
      </w:pPr>
      <w:r>
        <w:rPr>
          <w:rFonts w:ascii="Arial" w:hAnsi="Arial" w:cs="Arial" w:eastAsia="仿宋_GB2312;仿宋"/>
          <w:b/>
          <w:sz w:val="28"/>
        </w:rPr>
        <w:t>估</w:t>
      </w:r>
      <w:r>
        <w:rPr>
          <w:rFonts w:ascii="Arial" w:hAnsi="Arial" w:cs="Arial" w:eastAsia="仿宋_GB2312;仿宋"/>
          <w:b/>
          <w:sz w:val="28"/>
        </w:rPr>
        <w:t>算过程</w:t>
      </w:r>
    </w:p>
    <w:p>
      <w:pPr>
        <w:pStyle w:val="Normal"/>
        <w:spacing w:lineRule="auto" w:line="360"/>
        <w:rPr/>
      </w:pPr>
      <w:r>
        <w:rPr>
          <w:rFonts w:ascii="Arial" w:hAnsi="Arial" w:cs="Arial" w:eastAsia="仿宋_GB2312;仿宋"/>
          <w:b/>
          <w:sz w:val="28"/>
        </w:rPr>
        <w:t>一、</w:t>
      </w:r>
      <w:r>
        <w:rPr>
          <w:rFonts w:ascii="Arial" w:hAnsi="Arial" w:cs="Arial" w:eastAsia="仿宋_GB2312;仿宋"/>
          <w:b/>
          <w:sz w:val="28"/>
        </w:rPr>
        <w:t>运用成本逼近法求取土地使用权价格</w:t>
      </w:r>
    </w:p>
    <w:p>
      <w:pPr>
        <w:pStyle w:val="Normal"/>
        <w:spacing w:lineRule="auto" w:line="360"/>
        <w:ind w:firstLine="565"/>
        <w:rPr/>
      </w:pPr>
      <w:r>
        <w:rPr>
          <w:rFonts w:eastAsia="仿宋_GB2312;仿宋" w:cs="Arial" w:ascii="Arial" w:hAnsi="Arial"/>
          <w:b/>
          <w:sz w:val="28"/>
        </w:rPr>
        <w:t>1.</w:t>
      </w:r>
      <w:r>
        <w:rPr>
          <w:rFonts w:ascii="Arial" w:hAnsi="Arial" w:cs="Arial" w:eastAsia="仿宋_GB2312;仿宋"/>
          <w:b/>
          <w:sz w:val="28"/>
        </w:rPr>
        <w:t>土地取得费及相关税费</w:t>
      </w:r>
    </w:p>
    <w:p>
      <w:pPr>
        <w:pStyle w:val="Normal"/>
        <w:spacing w:lineRule="auto" w:line="360"/>
        <w:ind w:firstLine="563"/>
        <w:rPr>
          <w:rFonts w:ascii="Arial" w:hAnsi="Arial" w:eastAsia="仿宋_GB2312;仿宋" w:cs="Arial"/>
          <w:sz w:val="28"/>
        </w:rPr>
      </w:pPr>
      <w:r>
        <w:rPr>
          <w:rFonts w:ascii="Arial" w:hAnsi="Arial" w:cs="Arial" w:eastAsia="仿宋_GB2312;仿宋"/>
          <w:sz w:val="28"/>
        </w:rPr>
        <w:t>根据《城镇土地估价规程》</w:t>
      </w:r>
      <w:r>
        <w:rPr>
          <w:rFonts w:eastAsia="仿宋_GB2312;仿宋" w:cs="Arial" w:ascii="Arial" w:hAnsi="Arial"/>
          <w:sz w:val="28"/>
        </w:rPr>
        <w:t>[GB/T 18508-2014]</w:t>
      </w:r>
      <w:r>
        <w:rPr>
          <w:rFonts w:ascii="Arial" w:hAnsi="Arial" w:cs="Arial" w:eastAsia="仿宋_GB2312;仿宋"/>
          <w:sz w:val="28"/>
        </w:rPr>
        <w:t>，土地取得费按取得土地权利而支付的各项客观费用计算，不同情况如下：</w:t>
      </w:r>
    </w:p>
    <w:p>
      <w:pPr>
        <w:pStyle w:val="Normal"/>
        <w:spacing w:lineRule="auto" w:line="360"/>
        <w:ind w:firstLine="563"/>
        <w:jc w:val="both"/>
        <w:rPr>
          <w:rFonts w:ascii="Arial" w:hAnsi="Arial" w:eastAsia="仿宋_GB2312;仿宋" w:cs="Arial"/>
          <w:sz w:val="28"/>
        </w:rPr>
      </w:pPr>
      <w:r>
        <w:rPr>
          <w:rFonts w:ascii="Arial" w:hAnsi="Arial" w:cs="Arial" w:eastAsia="仿宋_GB2312;仿宋"/>
          <w:sz w:val="28"/>
        </w:rPr>
        <w:t>（</w:t>
      </w:r>
      <w:r>
        <w:rPr>
          <w:rFonts w:eastAsia="仿宋_GB2312;仿宋" w:cs="Arial" w:ascii="Arial" w:hAnsi="Arial"/>
          <w:sz w:val="28"/>
        </w:rPr>
        <w:t>1</w:t>
      </w:r>
      <w:r>
        <w:rPr>
          <w:rFonts w:ascii="Arial" w:hAnsi="Arial" w:cs="Arial" w:eastAsia="仿宋_GB2312;仿宋"/>
          <w:sz w:val="28"/>
        </w:rPr>
        <w:t>）征收农村集体土地时，土地取得费即为征收补偿安置费用，主要包括被征收土地、地上青苗、建筑物及构筑物的补偿费用及涉及人员的安置补助费。各项费用应按有关规定，依据待估宗地所在区域政府规定的相关标准，以应当支付的区域客观费用确定。</w:t>
      </w:r>
    </w:p>
    <w:p>
      <w:pPr>
        <w:pStyle w:val="Normal"/>
        <w:spacing w:lineRule="auto" w:line="360"/>
        <w:ind w:firstLine="563"/>
        <w:jc w:val="both"/>
        <w:rPr>
          <w:rFonts w:ascii="Arial" w:hAnsi="Arial" w:eastAsia="仿宋_GB2312;仿宋" w:cs="Arial"/>
          <w:sz w:val="28"/>
        </w:rPr>
      </w:pPr>
      <w:r>
        <w:rPr>
          <w:rFonts w:ascii="Arial" w:hAnsi="Arial" w:cs="Arial" w:eastAsia="仿宋_GB2312;仿宋"/>
          <w:sz w:val="28"/>
        </w:rPr>
        <w:t>（</w:t>
      </w:r>
      <w:r>
        <w:rPr>
          <w:rFonts w:eastAsia="仿宋_GB2312;仿宋" w:cs="Arial" w:ascii="Arial" w:hAnsi="Arial"/>
          <w:sz w:val="28"/>
        </w:rPr>
        <w:t>2</w:t>
      </w:r>
      <w:r>
        <w:rPr>
          <w:rFonts w:ascii="Arial" w:hAnsi="Arial" w:cs="Arial" w:eastAsia="仿宋_GB2312;仿宋"/>
          <w:sz w:val="28"/>
        </w:rPr>
        <w:t>）征收国有土地使用权时，土地取得费即为征收补偿安置费用，主要包括被征收土地使用权、地上青苗、建筑物及构筑物的补偿费用及涉及人员的安置补助费。各项费用应按有关规定，依据待估宗地所在区域政府规定的相关标准，以应当支付的区域客观费用确定。</w:t>
      </w:r>
    </w:p>
    <w:p>
      <w:pPr>
        <w:pStyle w:val="Normal"/>
        <w:spacing w:lineRule="auto" w:line="360"/>
        <w:ind w:firstLine="563"/>
        <w:rPr>
          <w:rFonts w:ascii="Arial" w:hAnsi="Arial" w:eastAsia="仿宋_GB2312;仿宋" w:cs="Arial"/>
          <w:sz w:val="28"/>
        </w:rPr>
      </w:pPr>
      <w:r>
        <w:rPr>
          <w:rFonts w:ascii="Arial" w:hAnsi="Arial" w:cs="Arial" w:eastAsia="仿宋_GB2312;仿宋"/>
          <w:sz w:val="28"/>
        </w:rPr>
        <w:t>（</w:t>
      </w:r>
      <w:r>
        <w:rPr>
          <w:rFonts w:eastAsia="仿宋_GB2312;仿宋" w:cs="Arial" w:ascii="Arial" w:hAnsi="Arial"/>
          <w:sz w:val="28"/>
        </w:rPr>
        <w:t>3</w:t>
      </w:r>
      <w:r>
        <w:rPr>
          <w:rFonts w:ascii="Arial" w:hAnsi="Arial" w:cs="Arial" w:eastAsia="仿宋_GB2312;仿宋"/>
          <w:sz w:val="28"/>
        </w:rPr>
        <w:t>）通过市场交易获得土地时，土地取得费既是估价期日土地的客观市场购置价格。</w:t>
      </w:r>
    </w:p>
    <w:p>
      <w:pPr>
        <w:sectPr>
          <w:headerReference w:type="default" r:id="rId68"/>
          <w:footerReference w:type="default" r:id="rId69"/>
          <w:type w:val="nextPage"/>
          <w:pgSz w:w="11906" w:h="16838"/>
          <w:pgMar w:left="1803" w:right="1440" w:header="851" w:top="1440" w:footer="1134" w:bottom="1440" w:gutter="0"/>
          <w:pgNumType w:fmt="decimal"/>
          <w:formProt w:val="false"/>
          <w:textDirection w:val="lrTb"/>
          <w:docGrid w:type="default" w:linePitch="326" w:charSpace="0"/>
        </w:sectPr>
        <w:pStyle w:val="Normal"/>
        <w:spacing w:lineRule="auto" w:line="360"/>
        <w:ind w:firstLine="563"/>
        <w:jc w:val="both"/>
        <w:rPr>
          <w:rFonts w:cs="Arial"/>
        </w:rPr>
      </w:pPr>
      <w:r>
        <w:rPr>
          <w:rFonts w:ascii="Arial" w:hAnsi="Arial" w:cs="Arial" w:eastAsia="仿宋_GB2312;仿宋"/>
          <w:sz w:val="28"/>
        </w:rPr>
        <w:t>根据“收购补偿价格评估技术指引”，成本逼近法中土地取得费，可选用同区域或类似区域内三个（含）以上经审定后的土地一级开发项目的成本数据进行修正后确定。经评估专业人员收集整理，</w:t>
      </w:r>
      <w:r>
        <w:rPr>
          <w:rFonts w:ascii="Arial" w:hAnsi="Arial" w:cs="Arial" w:eastAsia="仿宋_GB2312;仿宋"/>
          <w:sz w:val="28"/>
        </w:rPr>
        <w:t>实例</w:t>
      </w:r>
      <w:r>
        <w:rPr>
          <w:rFonts w:ascii="Arial" w:hAnsi="Arial" w:cs="Arial" w:eastAsia="仿宋_GB2312;仿宋"/>
          <w:sz w:val="28"/>
        </w:rPr>
        <w:t>情况如下：</w:t>
      </w:r>
    </w:p>
    <w:tbl>
      <w:tblPr>
        <w:tblW w:w="5000" w:type="pct"/>
        <w:jc w:val="left"/>
        <w:tblInd w:w="-113" w:type="dxa"/>
        <w:tblCellMar>
          <w:top w:w="0" w:type="dxa"/>
          <w:left w:w="108" w:type="dxa"/>
          <w:bottom w:w="0" w:type="dxa"/>
          <w:right w:w="108" w:type="dxa"/>
        </w:tblCellMar>
      </w:tblPr>
      <w:tblGrid>
        <w:gridCol w:w="590"/>
        <w:gridCol w:w="3141"/>
        <w:gridCol w:w="1115"/>
        <w:gridCol w:w="1396"/>
        <w:gridCol w:w="1255"/>
        <w:gridCol w:w="1395"/>
        <w:gridCol w:w="1395"/>
        <w:gridCol w:w="1396"/>
        <w:gridCol w:w="1135"/>
        <w:gridCol w:w="1140"/>
      </w:tblGrid>
      <w:tr>
        <w:trPr>
          <w:trHeight w:val="285" w:hRule="atLeast"/>
        </w:trPr>
        <w:tc>
          <w:tcPr>
            <w:tcW w:w="590"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序号</w:t>
            </w:r>
          </w:p>
        </w:tc>
        <w:tc>
          <w:tcPr>
            <w:tcW w:w="3141"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项目名称</w:t>
            </w:r>
          </w:p>
        </w:tc>
        <w:tc>
          <w:tcPr>
            <w:tcW w:w="1115"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项目位置</w:t>
            </w:r>
          </w:p>
        </w:tc>
        <w:tc>
          <w:tcPr>
            <w:tcW w:w="2651" w:type="dxa"/>
            <w:gridSpan w:val="2"/>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项目土地面积（平方米）</w:t>
            </w:r>
          </w:p>
        </w:tc>
        <w:tc>
          <w:tcPr>
            <w:tcW w:w="2790" w:type="dxa"/>
            <w:gridSpan w:val="2"/>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eastAsia="仿宋_GB2312;仿宋"/>
              </w:rPr>
            </w:pPr>
            <w:r>
              <w:rPr>
                <w:rFonts w:ascii="Arial" w:hAnsi="Arial" w:cs="Arial" w:eastAsia="仿宋_GB2312;仿宋"/>
                <w:sz w:val="22"/>
              </w:rPr>
              <w:t>土地开发成本</w:t>
            </w:r>
            <w:r>
              <w:rPr>
                <w:rFonts w:ascii="Arial" w:hAnsi="Arial" w:cs="Arial" w:eastAsia="Arial"/>
                <w:sz w:val="22"/>
              </w:rPr>
              <w:t xml:space="preserve"> </w:t>
            </w:r>
            <w:r>
              <w:rPr>
                <w:rFonts w:ascii="Arial" w:hAnsi="Arial" w:cs="Arial" w:eastAsia="仿宋_GB2312;仿宋"/>
                <w:sz w:val="22"/>
              </w:rPr>
              <w:t>（万元）</w:t>
            </w:r>
            <w:r>
              <w:rPr>
                <w:rFonts w:ascii="Arial" w:hAnsi="Arial" w:cs="Arial" w:eastAsia="Arial"/>
                <w:sz w:val="22"/>
              </w:rPr>
              <w:t xml:space="preserve">  </w:t>
            </w:r>
          </w:p>
        </w:tc>
        <w:tc>
          <w:tcPr>
            <w:tcW w:w="1396"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审定日期</w:t>
            </w:r>
          </w:p>
        </w:tc>
        <w:tc>
          <w:tcPr>
            <w:tcW w:w="227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地面单价（元</w:t>
            </w:r>
            <w:r>
              <w:rPr>
                <w:rFonts w:eastAsia="仿宋_GB2312;仿宋" w:cs="Arial" w:ascii="Arial" w:hAnsi="Arial"/>
                <w:sz w:val="22"/>
              </w:rPr>
              <w:t>/</w:t>
            </w:r>
            <w:r>
              <w:rPr>
                <w:rFonts w:ascii="Arial" w:hAnsi="Arial" w:cs="Arial" w:eastAsia="仿宋_GB2312;仿宋"/>
                <w:sz w:val="22"/>
              </w:rPr>
              <w:t>平方米）</w:t>
            </w:r>
          </w:p>
        </w:tc>
      </w:tr>
      <w:tr>
        <w:trPr>
          <w:trHeight w:val="1395" w:hRule="atLeast"/>
        </w:trPr>
        <w:tc>
          <w:tcPr>
            <w:tcW w:w="590"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textAlignment w:val="auto"/>
              <w:rPr>
                <w:rFonts w:ascii="Arial" w:hAnsi="Arial" w:eastAsia="仿宋_GB2312;仿宋" w:cs="Arial"/>
                <w:sz w:val="22"/>
              </w:rPr>
            </w:pPr>
            <w:r>
              <w:rPr>
                <w:rFonts w:eastAsia="仿宋_GB2312;仿宋" w:cs="Arial" w:ascii="Arial" w:hAnsi="Arial"/>
                <w:sz w:val="22"/>
              </w:rPr>
            </w:r>
          </w:p>
        </w:tc>
        <w:tc>
          <w:tcPr>
            <w:tcW w:w="3141"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textAlignment w:val="auto"/>
              <w:rPr>
                <w:rFonts w:ascii="Arial" w:hAnsi="Arial" w:eastAsia="仿宋_GB2312;仿宋" w:cs="Arial"/>
                <w:sz w:val="22"/>
              </w:rPr>
            </w:pPr>
            <w:r>
              <w:rPr>
                <w:rFonts w:eastAsia="仿宋_GB2312;仿宋" w:cs="Arial" w:ascii="Arial" w:hAnsi="Arial"/>
                <w:sz w:val="22"/>
              </w:rPr>
            </w:r>
          </w:p>
        </w:tc>
        <w:tc>
          <w:tcPr>
            <w:tcW w:w="1115"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textAlignment w:val="auto"/>
              <w:rPr>
                <w:rFonts w:ascii="Arial" w:hAnsi="Arial" w:eastAsia="仿宋_GB2312;仿宋" w:cs="Arial"/>
                <w:sz w:val="22"/>
              </w:rPr>
            </w:pPr>
            <w:r>
              <w:rPr>
                <w:rFonts w:eastAsia="仿宋_GB2312;仿宋" w:cs="Arial" w:ascii="Arial" w:hAnsi="Arial"/>
                <w:sz w:val="22"/>
              </w:rPr>
            </w:r>
          </w:p>
        </w:tc>
        <w:tc>
          <w:tcPr>
            <w:tcW w:w="139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总用地面积</w:t>
            </w:r>
          </w:p>
        </w:tc>
        <w:tc>
          <w:tcPr>
            <w:tcW w:w="125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建设用地面积</w:t>
            </w:r>
          </w:p>
        </w:tc>
        <w:tc>
          <w:tcPr>
            <w:tcW w:w="139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征地补偿及相关税费</w:t>
            </w:r>
          </w:p>
        </w:tc>
        <w:tc>
          <w:tcPr>
            <w:tcW w:w="139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收购补偿费、房屋征收（拆迁）补偿费及相关费用</w:t>
            </w:r>
          </w:p>
        </w:tc>
        <w:tc>
          <w:tcPr>
            <w:tcW w:w="1396"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textAlignment w:val="auto"/>
              <w:rPr>
                <w:rFonts w:ascii="Arial" w:hAnsi="Arial" w:eastAsia="仿宋_GB2312;仿宋" w:cs="Arial"/>
                <w:sz w:val="22"/>
              </w:rPr>
            </w:pPr>
            <w:r>
              <w:rPr>
                <w:rFonts w:eastAsia="仿宋_GB2312;仿宋" w:cs="Arial" w:ascii="Arial" w:hAnsi="Arial"/>
                <w:sz w:val="22"/>
              </w:rPr>
            </w:r>
          </w:p>
        </w:tc>
        <w:tc>
          <w:tcPr>
            <w:tcW w:w="113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期日修正前</w:t>
            </w:r>
          </w:p>
        </w:tc>
        <w:tc>
          <w:tcPr>
            <w:tcW w:w="1140"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期日修正后</w:t>
            </w:r>
          </w:p>
        </w:tc>
      </w:tr>
      <w:tr>
        <w:trPr>
          <w:trHeight w:val="270" w:hRule="atLeast"/>
        </w:trPr>
        <w:tc>
          <w:tcPr>
            <w:tcW w:w="5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1</w:t>
            </w:r>
          </w:p>
        </w:tc>
        <w:tc>
          <w:tcPr>
            <w:tcW w:w="3141"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永丰产业基地（新）园区土地一级开发项目</w:t>
            </w:r>
            <w:r>
              <w:rPr>
                <w:rFonts w:eastAsia="仿宋_GB2312;仿宋" w:cs="Arial" w:ascii="Arial" w:hAnsi="Arial"/>
                <w:sz w:val="22"/>
              </w:rPr>
              <w:t>F1</w:t>
            </w:r>
            <w:r>
              <w:rPr>
                <w:rFonts w:ascii="Arial" w:hAnsi="Arial" w:cs="Arial" w:eastAsia="仿宋_GB2312;仿宋"/>
                <w:sz w:val="22"/>
              </w:rPr>
              <w:t>地块</w:t>
            </w:r>
          </w:p>
        </w:tc>
        <w:tc>
          <w:tcPr>
            <w:tcW w:w="111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海淀区</w:t>
            </w:r>
          </w:p>
        </w:tc>
        <w:tc>
          <w:tcPr>
            <w:tcW w:w="139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180055.75</w:t>
            </w:r>
          </w:p>
        </w:tc>
        <w:tc>
          <w:tcPr>
            <w:tcW w:w="125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114154.36</w:t>
            </w:r>
          </w:p>
        </w:tc>
        <w:tc>
          <w:tcPr>
            <w:tcW w:w="139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59468.76</w:t>
            </w:r>
          </w:p>
        </w:tc>
        <w:tc>
          <w:tcPr>
            <w:tcW w:w="139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125573.86</w:t>
            </w:r>
          </w:p>
        </w:tc>
        <w:tc>
          <w:tcPr>
            <w:tcW w:w="139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2021/8/27</w:t>
            </w:r>
          </w:p>
        </w:tc>
        <w:tc>
          <w:tcPr>
            <w:tcW w:w="113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10277</w:t>
            </w:r>
          </w:p>
        </w:tc>
        <w:tc>
          <w:tcPr>
            <w:tcW w:w="1140"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10810</w:t>
            </w:r>
          </w:p>
        </w:tc>
      </w:tr>
      <w:tr>
        <w:trPr>
          <w:trHeight w:val="270" w:hRule="atLeast"/>
        </w:trPr>
        <w:tc>
          <w:tcPr>
            <w:tcW w:w="5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2</w:t>
            </w:r>
          </w:p>
        </w:tc>
        <w:tc>
          <w:tcPr>
            <w:tcW w:w="3141"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永丰产业基地（新）园区土地一级开发项目</w:t>
            </w:r>
            <w:r>
              <w:rPr>
                <w:rFonts w:eastAsia="仿宋_GB2312;仿宋" w:cs="Arial" w:ascii="Arial" w:hAnsi="Arial"/>
                <w:sz w:val="22"/>
              </w:rPr>
              <w:t>F2</w:t>
            </w:r>
            <w:r>
              <w:rPr>
                <w:rFonts w:ascii="Arial" w:hAnsi="Arial" w:cs="Arial" w:eastAsia="仿宋_GB2312;仿宋"/>
                <w:sz w:val="22"/>
              </w:rPr>
              <w:t>地块</w:t>
            </w:r>
          </w:p>
        </w:tc>
        <w:tc>
          <w:tcPr>
            <w:tcW w:w="111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海淀区</w:t>
            </w:r>
          </w:p>
        </w:tc>
        <w:tc>
          <w:tcPr>
            <w:tcW w:w="139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187577</w:t>
            </w:r>
          </w:p>
        </w:tc>
        <w:tc>
          <w:tcPr>
            <w:tcW w:w="125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158604</w:t>
            </w:r>
          </w:p>
        </w:tc>
        <w:tc>
          <w:tcPr>
            <w:tcW w:w="139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42423.81</w:t>
            </w:r>
          </w:p>
        </w:tc>
        <w:tc>
          <w:tcPr>
            <w:tcW w:w="139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124048.85</w:t>
            </w:r>
          </w:p>
        </w:tc>
        <w:tc>
          <w:tcPr>
            <w:tcW w:w="139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2022/5/23</w:t>
            </w:r>
          </w:p>
        </w:tc>
        <w:tc>
          <w:tcPr>
            <w:tcW w:w="113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8875</w:t>
            </w:r>
          </w:p>
        </w:tc>
        <w:tc>
          <w:tcPr>
            <w:tcW w:w="1140"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9126</w:t>
            </w:r>
          </w:p>
        </w:tc>
      </w:tr>
      <w:tr>
        <w:trPr>
          <w:trHeight w:val="270" w:hRule="atLeast"/>
        </w:trPr>
        <w:tc>
          <w:tcPr>
            <w:tcW w:w="5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3</w:t>
            </w:r>
          </w:p>
        </w:tc>
        <w:tc>
          <w:tcPr>
            <w:tcW w:w="3141"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永丰产业基地（新）园区土地一级开发项目</w:t>
            </w:r>
            <w:r>
              <w:rPr>
                <w:rFonts w:eastAsia="仿宋_GB2312;仿宋" w:cs="Arial" w:ascii="Arial" w:hAnsi="Arial"/>
                <w:sz w:val="22"/>
              </w:rPr>
              <w:t>J</w:t>
            </w:r>
            <w:r>
              <w:rPr>
                <w:rFonts w:ascii="Arial" w:hAnsi="Arial" w:cs="Arial" w:eastAsia="仿宋_GB2312;仿宋"/>
                <w:sz w:val="22"/>
              </w:rPr>
              <w:t>地块</w:t>
            </w:r>
          </w:p>
        </w:tc>
        <w:tc>
          <w:tcPr>
            <w:tcW w:w="111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海淀区</w:t>
            </w:r>
          </w:p>
        </w:tc>
        <w:tc>
          <w:tcPr>
            <w:tcW w:w="139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485752.79</w:t>
            </w:r>
          </w:p>
        </w:tc>
        <w:tc>
          <w:tcPr>
            <w:tcW w:w="125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cs="Arial"/>
              </w:rPr>
            </w:pPr>
            <w:r>
              <w:rPr>
                <w:rFonts w:ascii="仿宋_GB2312;仿宋" w:hAnsi="仿宋_GB2312;仿宋" w:cs="仿宋_GB2312;仿宋" w:eastAsia="仿宋_GB2312;仿宋"/>
                <w:sz w:val="22"/>
              </w:rPr>
              <w:t>——</w:t>
            </w:r>
          </w:p>
        </w:tc>
        <w:tc>
          <w:tcPr>
            <w:tcW w:w="139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76356.42</w:t>
            </w:r>
          </w:p>
        </w:tc>
        <w:tc>
          <w:tcPr>
            <w:tcW w:w="139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274068.85</w:t>
            </w:r>
          </w:p>
        </w:tc>
        <w:tc>
          <w:tcPr>
            <w:tcW w:w="139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2019/11/26</w:t>
            </w:r>
          </w:p>
        </w:tc>
        <w:tc>
          <w:tcPr>
            <w:tcW w:w="113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7214</w:t>
            </w:r>
          </w:p>
        </w:tc>
        <w:tc>
          <w:tcPr>
            <w:tcW w:w="1140"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8001</w:t>
            </w:r>
          </w:p>
        </w:tc>
      </w:tr>
      <w:tr>
        <w:trPr>
          <w:trHeight w:val="270" w:hRule="atLeast"/>
        </w:trPr>
        <w:tc>
          <w:tcPr>
            <w:tcW w:w="59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4</w:t>
            </w:r>
          </w:p>
        </w:tc>
        <w:tc>
          <w:tcPr>
            <w:tcW w:w="3141"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北部地区温泉镇</w:t>
            </w:r>
            <w:r>
              <w:rPr>
                <w:rFonts w:eastAsia="仿宋_GB2312;仿宋" w:cs="Arial" w:ascii="Arial" w:hAnsi="Arial"/>
                <w:sz w:val="22"/>
              </w:rPr>
              <w:t>HD00-0301-6003</w:t>
            </w:r>
            <w:r>
              <w:rPr>
                <w:rFonts w:ascii="Arial" w:hAnsi="Arial" w:cs="Arial" w:eastAsia="仿宋_GB2312;仿宋"/>
                <w:sz w:val="22"/>
              </w:rPr>
              <w:t>等地块</w:t>
            </w:r>
          </w:p>
        </w:tc>
        <w:tc>
          <w:tcPr>
            <w:tcW w:w="111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ascii="Arial" w:hAnsi="Arial" w:cs="Arial" w:eastAsia="仿宋_GB2312;仿宋"/>
                <w:sz w:val="22"/>
              </w:rPr>
              <w:t>海淀区</w:t>
            </w:r>
          </w:p>
        </w:tc>
        <w:tc>
          <w:tcPr>
            <w:tcW w:w="139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156502.608</w:t>
            </w:r>
          </w:p>
        </w:tc>
        <w:tc>
          <w:tcPr>
            <w:tcW w:w="125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97812.237</w:t>
            </w:r>
          </w:p>
        </w:tc>
        <w:tc>
          <w:tcPr>
            <w:tcW w:w="139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5325.24</w:t>
            </w:r>
          </w:p>
        </w:tc>
        <w:tc>
          <w:tcPr>
            <w:tcW w:w="139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121777.87</w:t>
            </w:r>
          </w:p>
        </w:tc>
        <w:tc>
          <w:tcPr>
            <w:tcW w:w="1396"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2023/5/16</w:t>
            </w:r>
          </w:p>
        </w:tc>
        <w:tc>
          <w:tcPr>
            <w:tcW w:w="113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8121</w:t>
            </w:r>
          </w:p>
        </w:tc>
        <w:tc>
          <w:tcPr>
            <w:tcW w:w="1140"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2"/>
              </w:rPr>
            </w:pPr>
            <w:r>
              <w:rPr>
                <w:rFonts w:eastAsia="仿宋_GB2312;仿宋" w:cs="Arial" w:ascii="Arial" w:hAnsi="Arial"/>
                <w:sz w:val="22"/>
              </w:rPr>
              <w:t>8156</w:t>
            </w:r>
          </w:p>
        </w:tc>
      </w:tr>
    </w:tbl>
    <w:p>
      <w:pPr>
        <w:sectPr>
          <w:headerReference w:type="default" r:id="rId70"/>
          <w:footerReference w:type="default" r:id="rId71"/>
          <w:type w:val="nextPage"/>
          <w:pgSz w:orient="landscape" w:w="16838" w:h="11906"/>
          <w:pgMar w:left="1440" w:right="1440" w:header="851" w:top="1803" w:footer="1134" w:bottom="1440" w:gutter="0"/>
          <w:pgNumType w:fmt="decimal"/>
          <w:formProt w:val="false"/>
          <w:textDirection w:val="lrTb"/>
          <w:docGrid w:type="default" w:linePitch="326" w:charSpace="0"/>
        </w:sectPr>
      </w:pPr>
    </w:p>
    <w:p>
      <w:pPr>
        <w:pStyle w:val="Normal"/>
        <w:spacing w:lineRule="auto" w:line="360"/>
        <w:ind w:firstLine="565"/>
        <w:jc w:val="both"/>
        <w:rPr>
          <w:rFonts w:ascii="Arial" w:hAnsi="Arial" w:eastAsia="仿宋_GB2312;仿宋" w:cs="Arial"/>
          <w:b/>
          <w:b/>
          <w:bCs/>
          <w:sz w:val="28"/>
        </w:rPr>
      </w:pPr>
      <w:r>
        <w:rPr>
          <w:rFonts w:ascii="Arial" w:hAnsi="Arial" w:cs="Arial" w:eastAsia="仿宋_GB2312;仿宋"/>
          <w:b/>
          <w:bCs/>
          <w:sz w:val="28"/>
        </w:rPr>
        <w:t>（</w:t>
      </w:r>
      <w:r>
        <w:rPr>
          <w:rFonts w:eastAsia="仿宋_GB2312;仿宋" w:cs="Arial" w:ascii="Arial" w:hAnsi="Arial"/>
          <w:b/>
          <w:bCs/>
          <w:sz w:val="28"/>
        </w:rPr>
        <w:t>1</w:t>
      </w:r>
      <w:r>
        <w:rPr>
          <w:rFonts w:ascii="Arial" w:hAnsi="Arial" w:cs="Arial" w:eastAsia="仿宋_GB2312;仿宋"/>
          <w:b/>
          <w:bCs/>
          <w:sz w:val="28"/>
        </w:rPr>
        <w:t>）西三旗地区的用地结构</w:t>
      </w:r>
    </w:p>
    <w:p>
      <w:pPr>
        <w:pStyle w:val="Normal"/>
        <w:spacing w:lineRule="auto" w:line="360"/>
        <w:ind w:firstLine="563"/>
        <w:jc w:val="both"/>
        <w:rPr>
          <w:rFonts w:ascii="Arial" w:hAnsi="Arial" w:eastAsia="仿宋_GB2312;仿宋" w:cs="Arial"/>
          <w:sz w:val="28"/>
        </w:rPr>
      </w:pPr>
      <w:r>
        <w:rPr>
          <w:rFonts w:ascii="Arial" w:hAnsi="Arial" w:cs="Arial" w:eastAsia="仿宋_GB2312;仿宋"/>
          <w:sz w:val="28"/>
        </w:rPr>
        <w:t>地处海淀东北部，因明代驻军而得名，由西三旗街道和东升镇部分区域构成，面积</w:t>
      </w:r>
      <w:r>
        <w:rPr>
          <w:rFonts w:eastAsia="仿宋_GB2312;仿宋" w:cs="Arial" w:ascii="Arial" w:hAnsi="Arial"/>
          <w:sz w:val="28"/>
        </w:rPr>
        <w:t>14.73</w:t>
      </w:r>
      <w:r>
        <w:rPr>
          <w:rFonts w:ascii="Arial" w:hAnsi="Arial" w:cs="Arial" w:eastAsia="仿宋_GB2312;仿宋"/>
          <w:sz w:val="28"/>
        </w:rPr>
        <w:t>平方公里，南接中关村科学城南区，北临未来科学城，西连大上地和中关村科学城北区，是北京市“三城一区”重要衔接区。区域内有地铁</w:t>
      </w:r>
      <w:r>
        <w:rPr>
          <w:rFonts w:eastAsia="仿宋_GB2312;仿宋" w:cs="Arial" w:ascii="Arial" w:hAnsi="Arial"/>
          <w:sz w:val="28"/>
        </w:rPr>
        <w:t>8</w:t>
      </w:r>
      <w:r>
        <w:rPr>
          <w:rFonts w:ascii="Arial" w:hAnsi="Arial" w:cs="Arial" w:eastAsia="仿宋_GB2312;仿宋"/>
          <w:sz w:val="28"/>
        </w:rPr>
        <w:t>号线、</w:t>
      </w:r>
      <w:r>
        <w:rPr>
          <w:rFonts w:eastAsia="仿宋_GB2312;仿宋" w:cs="Arial" w:ascii="Arial" w:hAnsi="Arial"/>
          <w:sz w:val="28"/>
        </w:rPr>
        <w:t>13</w:t>
      </w:r>
      <w:r>
        <w:rPr>
          <w:rFonts w:ascii="Arial" w:hAnsi="Arial" w:cs="Arial" w:eastAsia="仿宋_GB2312;仿宋"/>
          <w:sz w:val="28"/>
        </w:rPr>
        <w:t>号线、京藏高速（</w:t>
      </w:r>
      <w:r>
        <w:rPr>
          <w:rFonts w:eastAsia="仿宋_GB2312;仿宋" w:cs="Arial" w:ascii="Arial" w:hAnsi="Arial"/>
          <w:sz w:val="28"/>
        </w:rPr>
        <w:t>G6</w:t>
      </w:r>
      <w:r>
        <w:rPr>
          <w:rFonts w:ascii="Arial" w:hAnsi="Arial" w:cs="Arial" w:eastAsia="仿宋_GB2312;仿宋"/>
          <w:sz w:val="28"/>
        </w:rPr>
        <w:t>），紧邻北五环和京新高速（</w:t>
      </w:r>
      <w:r>
        <w:rPr>
          <w:rFonts w:eastAsia="仿宋_GB2312;仿宋" w:cs="Arial" w:ascii="Arial" w:hAnsi="Arial"/>
          <w:sz w:val="28"/>
        </w:rPr>
        <w:t>G7</w:t>
      </w:r>
      <w:r>
        <w:rPr>
          <w:rFonts w:ascii="Arial" w:hAnsi="Arial" w:cs="Arial" w:eastAsia="仿宋_GB2312;仿宋"/>
          <w:sz w:val="28"/>
        </w:rPr>
        <w:t>），便捷的立体交通能够快速链接多个城市功能轴带。</w:t>
      </w:r>
    </w:p>
    <w:p>
      <w:pPr>
        <w:pStyle w:val="Normal"/>
        <w:spacing w:lineRule="auto" w:line="360"/>
        <w:ind w:firstLine="563"/>
        <w:jc w:val="both"/>
        <w:rPr>
          <w:rFonts w:ascii="Arial" w:hAnsi="Arial" w:eastAsia="仿宋_GB2312;仿宋" w:cs="Arial"/>
          <w:sz w:val="28"/>
        </w:rPr>
      </w:pPr>
      <w:r>
        <w:rPr>
          <w:rFonts w:ascii="Arial" w:hAnsi="Arial" w:cs="Arial" w:eastAsia="仿宋_GB2312;仿宋"/>
          <w:sz w:val="28"/>
        </w:rPr>
        <w:t>历经几十年发展，西三旗已由传统的农村地区逐渐崛起为新兴城区。区域内科技、智力资源密集，驻有北京信息科技大学、中国电力科学研究院等高校院所，拥有二十一世纪空间技术、佰能光电技术等一批高成长科技型企业。</w:t>
      </w:r>
    </w:p>
    <w:p>
      <w:pPr>
        <w:pStyle w:val="Normal"/>
        <w:spacing w:lineRule="auto" w:line="360"/>
        <w:ind w:firstLine="565"/>
        <w:jc w:val="both"/>
        <w:rPr/>
      </w:pPr>
      <w:r>
        <w:rPr>
          <w:rFonts w:ascii="仿宋" w:hAnsi="仿宋" w:cs="仿宋" w:eastAsia="仿宋"/>
          <w:b/>
          <w:bCs/>
          <w:sz w:val="28"/>
          <w:szCs w:val="28"/>
        </w:rPr>
        <w:t>（</w:t>
      </w:r>
      <w:r>
        <w:rPr>
          <w:rFonts w:eastAsia="仿宋" w:cs="仿宋" w:ascii="仿宋" w:hAnsi="仿宋"/>
          <w:b/>
          <w:bCs/>
          <w:sz w:val="28"/>
          <w:szCs w:val="28"/>
        </w:rPr>
        <w:t>2</w:t>
      </w:r>
      <w:r>
        <w:rPr>
          <w:rFonts w:ascii="仿宋" w:hAnsi="仿宋" w:cs="仿宋" w:eastAsia="仿宋"/>
          <w:b/>
          <w:bCs/>
          <w:sz w:val="28"/>
          <w:szCs w:val="28"/>
        </w:rPr>
        <w:t>）估价对象土地</w:t>
      </w:r>
      <w:r>
        <w:rPr>
          <w:rFonts w:ascii="Arial" w:hAnsi="Arial" w:cs="Arial" w:eastAsia="仿宋_GB2312;仿宋"/>
          <w:b/>
          <w:bCs/>
          <w:sz w:val="28"/>
        </w:rPr>
        <w:t>取得</w:t>
      </w:r>
      <w:r>
        <w:rPr>
          <w:rFonts w:ascii="仿宋" w:hAnsi="仿宋" w:cs="仿宋" w:eastAsia="仿宋"/>
          <w:b/>
          <w:bCs/>
          <w:sz w:val="28"/>
          <w:szCs w:val="28"/>
        </w:rPr>
        <w:t>模式分析</w:t>
      </w:r>
    </w:p>
    <w:p>
      <w:pPr>
        <w:pStyle w:val="Normal"/>
        <w:spacing w:lineRule="auto" w:line="360"/>
        <w:ind w:firstLine="563"/>
        <w:jc w:val="both"/>
        <w:rPr>
          <w:rFonts w:ascii="仿宋" w:hAnsi="仿宋" w:eastAsia="仿宋" w:cs="仿宋"/>
          <w:sz w:val="28"/>
          <w:szCs w:val="28"/>
        </w:rPr>
      </w:pPr>
      <w:r>
        <w:rPr>
          <w:rFonts w:ascii="仿宋" w:hAnsi="仿宋" w:cs="仿宋" w:eastAsia="仿宋"/>
          <w:sz w:val="28"/>
          <w:szCs w:val="28"/>
        </w:rPr>
        <w:t>政府或其授权委托的企业，对一定区域范围内的城市国有土地、乡村集体土地进行统一的征地、拆迁、安置、补偿，并进行适当的市政配套设施建设，使该区域范围内的土地达到“三通一平”、“五通一平”或“七通一平”的建设条件（熟地），再对熟地进行有偿出让或转让的过程，其整治出的土地基本上是房地产用地。土地取得模式有三种：转用征收农地、购买土地、拆迁土地。估价对象现状利用的条件下，遵循低阶到高阶经济运行规律，估价对象的现状用途的土地开发模式，结合西三旗地区用地分布、用地结构，采用土地征收补偿模式，估算土地取得成本按照集体土地征收拆迁补偿的模式确定土地取得成本。</w:t>
      </w:r>
    </w:p>
    <w:p>
      <w:pPr>
        <w:pStyle w:val="Normal"/>
        <w:spacing w:lineRule="auto" w:line="360"/>
        <w:ind w:firstLine="563"/>
        <w:rPr>
          <w:rFonts w:ascii="Arial" w:hAnsi="Arial" w:eastAsia="仿宋_GB2312;仿宋" w:cs="Arial"/>
          <w:sz w:val="28"/>
        </w:rPr>
      </w:pPr>
      <w:r>
        <w:rPr>
          <w:rFonts w:ascii="Arial" w:hAnsi="Arial" w:cs="Arial" w:eastAsia="仿宋_GB2312;仿宋"/>
          <w:sz w:val="28"/>
        </w:rPr>
        <w:t>土地取得费及相关税费</w:t>
      </w:r>
      <w:r>
        <w:rPr>
          <w:rFonts w:eastAsia="仿宋_GB2312;仿宋" w:cs="Arial" w:ascii="Arial" w:hAnsi="Arial"/>
          <w:sz w:val="28"/>
        </w:rPr>
        <w:t>=</w:t>
      </w:r>
      <w:r>
        <w:rPr>
          <w:rFonts w:ascii="Arial" w:hAnsi="Arial" w:cs="Arial" w:eastAsia="仿宋_GB2312;仿宋"/>
          <w:sz w:val="28"/>
        </w:rPr>
        <w:t>征地补偿及相关税费</w:t>
      </w:r>
      <w:r>
        <w:rPr>
          <w:rFonts w:eastAsia="仿宋_GB2312;仿宋" w:cs="Arial" w:ascii="Arial" w:hAnsi="Arial"/>
          <w:sz w:val="28"/>
        </w:rPr>
        <w:t>+</w:t>
      </w:r>
      <w:r>
        <w:rPr>
          <w:rFonts w:ascii="Arial" w:hAnsi="Arial" w:cs="Arial" w:eastAsia="仿宋_GB2312;仿宋"/>
          <w:sz w:val="28"/>
        </w:rPr>
        <w:t>拆迁补偿费及相关税费</w:t>
      </w:r>
    </w:p>
    <w:p>
      <w:pPr>
        <w:pStyle w:val="Normal"/>
        <w:spacing w:lineRule="auto" w:line="360"/>
        <w:ind w:firstLine="565"/>
        <w:jc w:val="both"/>
        <w:rPr>
          <w:rFonts w:ascii="仿宋" w:hAnsi="仿宋" w:eastAsia="仿宋" w:cs="仿宋"/>
          <w:b/>
          <w:b/>
          <w:bCs/>
          <w:sz w:val="28"/>
          <w:szCs w:val="28"/>
        </w:rPr>
      </w:pPr>
      <w:r>
        <w:rPr>
          <w:rFonts w:ascii="仿宋" w:hAnsi="仿宋" w:cs="仿宋" w:eastAsia="仿宋"/>
          <w:b/>
          <w:bCs/>
          <w:sz w:val="28"/>
          <w:szCs w:val="28"/>
        </w:rPr>
        <w:t>（</w:t>
      </w:r>
      <w:r>
        <w:rPr>
          <w:rFonts w:eastAsia="仿宋" w:cs="仿宋" w:ascii="仿宋" w:hAnsi="仿宋"/>
          <w:b/>
          <w:bCs/>
          <w:sz w:val="28"/>
          <w:szCs w:val="28"/>
        </w:rPr>
        <w:t>3</w:t>
      </w:r>
      <w:r>
        <w:rPr>
          <w:rFonts w:ascii="仿宋" w:hAnsi="仿宋" w:cs="仿宋" w:eastAsia="仿宋"/>
          <w:b/>
          <w:bCs/>
          <w:sz w:val="28"/>
          <w:szCs w:val="28"/>
        </w:rPr>
        <w:t>）实例分析</w:t>
      </w:r>
    </w:p>
    <w:p>
      <w:pPr>
        <w:pStyle w:val="Normal"/>
        <w:spacing w:lineRule="auto" w:line="360"/>
        <w:ind w:firstLine="563"/>
        <w:jc w:val="both"/>
        <w:rPr>
          <w:rFonts w:ascii="Arial" w:hAnsi="Arial" w:eastAsia="仿宋" w:cs="Arial"/>
          <w:sz w:val="28"/>
          <w:szCs w:val="28"/>
        </w:rPr>
      </w:pPr>
      <w:r>
        <w:rPr>
          <w:rFonts w:ascii="Arial" w:hAnsi="Arial" w:cs="Arial" w:eastAsia="仿宋"/>
          <w:sz w:val="28"/>
          <w:szCs w:val="28"/>
        </w:rPr>
        <w:t>土地取得成本的细项分类较多，尽管随着时间、地点的不同会有所变化，但最主要的差异来自于人员安置补偿费、地上附着物和青苗补偿费、宅基地补偿费，</w:t>
      </w:r>
      <w:r>
        <w:rPr>
          <w:rFonts w:ascii="仿宋" w:hAnsi="仿宋" w:cs="仿宋" w:eastAsia="仿宋"/>
          <w:sz w:val="28"/>
          <w:szCs w:val="28"/>
        </w:rPr>
        <w:t>这些</w:t>
      </w:r>
      <w:r>
        <w:rPr>
          <w:rFonts w:ascii="Arial" w:hAnsi="Arial" w:cs="Arial" w:eastAsia="仿宋"/>
          <w:sz w:val="28"/>
          <w:szCs w:val="28"/>
        </w:rPr>
        <w:t>差异因房地产开发企业记账模式很难量化和细分，基于此点和谨慎原则，选取全区的一级土地开发成本审计数据中的</w:t>
      </w:r>
      <w:r>
        <w:rPr>
          <w:rFonts w:eastAsia="仿宋" w:cs="Arial" w:ascii="Arial" w:hAnsi="Arial"/>
          <w:sz w:val="28"/>
          <w:szCs w:val="28"/>
        </w:rPr>
        <w:t>1</w:t>
      </w:r>
      <w:r>
        <w:rPr>
          <w:rFonts w:ascii="Arial" w:hAnsi="Arial" w:cs="Arial" w:eastAsia="仿宋"/>
          <w:sz w:val="28"/>
          <w:szCs w:val="28"/>
        </w:rPr>
        <w:t>、</w:t>
      </w:r>
      <w:r>
        <w:rPr>
          <w:rFonts w:eastAsia="仿宋" w:cs="Arial" w:ascii="Arial" w:hAnsi="Arial"/>
          <w:sz w:val="28"/>
          <w:szCs w:val="28"/>
        </w:rPr>
        <w:t>2</w:t>
      </w:r>
      <w:r>
        <w:rPr>
          <w:rFonts w:ascii="Arial" w:hAnsi="Arial" w:cs="Arial" w:eastAsia="仿宋"/>
          <w:sz w:val="28"/>
          <w:szCs w:val="28"/>
        </w:rPr>
        <w:t>、</w:t>
      </w:r>
      <w:r>
        <w:rPr>
          <w:rFonts w:eastAsia="仿宋" w:cs="Arial" w:ascii="Arial" w:hAnsi="Arial"/>
          <w:sz w:val="28"/>
          <w:szCs w:val="28"/>
        </w:rPr>
        <w:t>4</w:t>
      </w:r>
      <w:r>
        <w:rPr>
          <w:rFonts w:ascii="Arial" w:hAnsi="Arial" w:cs="Arial" w:eastAsia="仿宋"/>
          <w:sz w:val="28"/>
          <w:szCs w:val="28"/>
        </w:rPr>
        <w:t>项，删除</w:t>
      </w:r>
      <w:r>
        <w:rPr>
          <w:rFonts w:eastAsia="仿宋" w:cs="Arial" w:ascii="Arial" w:hAnsi="Arial"/>
          <w:sz w:val="28"/>
          <w:szCs w:val="28"/>
        </w:rPr>
        <w:t>3</w:t>
      </w:r>
      <w:r>
        <w:rPr>
          <w:rFonts w:ascii="Arial" w:hAnsi="Arial" w:cs="Arial" w:eastAsia="仿宋"/>
          <w:sz w:val="28"/>
          <w:szCs w:val="28"/>
        </w:rPr>
        <w:t>项。</w:t>
      </w:r>
    </w:p>
    <w:p>
      <w:pPr>
        <w:pStyle w:val="Normal"/>
        <w:spacing w:lineRule="auto" w:line="360"/>
        <w:ind w:firstLine="565"/>
        <w:jc w:val="both"/>
        <w:rPr>
          <w:rFonts w:ascii="仿宋" w:hAnsi="仿宋" w:eastAsia="仿宋" w:cs="仿宋"/>
          <w:b/>
          <w:b/>
          <w:bCs/>
          <w:sz w:val="28"/>
          <w:szCs w:val="28"/>
        </w:rPr>
      </w:pPr>
      <w:r>
        <w:rPr>
          <w:rFonts w:ascii="仿宋" w:hAnsi="仿宋" w:cs="仿宋" w:eastAsia="仿宋"/>
          <w:b/>
          <w:bCs/>
          <w:sz w:val="28"/>
          <w:szCs w:val="28"/>
        </w:rPr>
        <w:t>（</w:t>
      </w:r>
      <w:r>
        <w:rPr>
          <w:rFonts w:eastAsia="仿宋" w:cs="仿宋" w:ascii="仿宋" w:hAnsi="仿宋"/>
          <w:b/>
          <w:bCs/>
          <w:sz w:val="28"/>
          <w:szCs w:val="28"/>
        </w:rPr>
        <w:t>4</w:t>
      </w:r>
      <w:r>
        <w:rPr>
          <w:rFonts w:ascii="仿宋" w:hAnsi="仿宋" w:cs="仿宋" w:eastAsia="仿宋"/>
          <w:b/>
          <w:bCs/>
          <w:sz w:val="28"/>
          <w:szCs w:val="28"/>
        </w:rPr>
        <w:t>）</w:t>
      </w:r>
      <w:r>
        <w:rPr>
          <w:rFonts w:ascii="仿宋" w:hAnsi="仿宋" w:cs="仿宋" w:eastAsia="仿宋"/>
          <w:b/>
          <w:bCs/>
          <w:sz w:val="28"/>
          <w:szCs w:val="28"/>
        </w:rPr>
        <w:t>比较实例的分析</w:t>
      </w:r>
    </w:p>
    <w:p>
      <w:pPr>
        <w:pStyle w:val="Normal"/>
        <w:spacing w:lineRule="auto" w:line="360"/>
        <w:ind w:firstLine="563"/>
        <w:jc w:val="both"/>
        <w:rPr>
          <w:rFonts w:ascii="Arial" w:hAnsi="Arial" w:eastAsia="仿宋_GB2312;仿宋" w:cs="Arial"/>
          <w:sz w:val="28"/>
        </w:rPr>
      </w:pPr>
      <w:r>
        <w:rPr>
          <w:rFonts w:ascii="Arial" w:hAnsi="Arial" w:cs="Arial" w:eastAsia="仿宋_GB2312;仿宋"/>
          <w:sz w:val="28"/>
        </w:rPr>
        <w:t>根据</w:t>
      </w:r>
      <w:r>
        <w:rPr>
          <w:rFonts w:ascii="Arial" w:hAnsi="Arial" w:cs="Arial" w:eastAsia="仿宋_GB2312;仿宋"/>
          <w:sz w:val="28"/>
        </w:rPr>
        <w:t>上表，</w:t>
      </w:r>
      <w:r>
        <w:rPr>
          <w:rFonts w:ascii="Arial" w:hAnsi="Arial" w:cs="Arial" w:eastAsia="仿宋_GB2312;仿宋"/>
          <w:sz w:val="28"/>
        </w:rPr>
        <w:t>实例均位于顺义区，均为距价值时点</w:t>
      </w:r>
      <w:r>
        <w:rPr>
          <w:rFonts w:ascii="Arial" w:hAnsi="Arial" w:cs="Arial" w:eastAsia="仿宋_GB2312;仿宋"/>
          <w:sz w:val="28"/>
        </w:rPr>
        <w:t>三年内的的经审定后的土地一级开发项目</w:t>
      </w:r>
      <w:r>
        <w:rPr>
          <w:rFonts w:ascii="Arial" w:hAnsi="Arial" w:cs="Arial" w:eastAsia="仿宋_GB2312;仿宋"/>
          <w:sz w:val="28"/>
        </w:rPr>
        <w:t>。</w:t>
      </w:r>
      <w:r>
        <w:rPr>
          <w:rFonts w:ascii="Arial" w:hAnsi="Arial" w:cs="Arial" w:eastAsia="仿宋_GB2312;仿宋"/>
          <w:sz w:val="28"/>
        </w:rPr>
        <w:t>位置与估价对象位置示意图如下：</w:t>
      </w:r>
    </w:p>
    <w:p>
      <w:pPr>
        <w:pStyle w:val="Normal"/>
        <w:spacing w:lineRule="auto" w:line="360"/>
        <w:jc w:val="center"/>
        <w:rPr>
          <w:rFonts w:ascii="Arial" w:hAnsi="Arial" w:eastAsia="仿宋_GB2312;仿宋" w:cs="Arial"/>
          <w:sz w:val="28"/>
        </w:rPr>
      </w:pPr>
      <w:r>
        <w:rPr>
          <w:lang w:val="zh-CN" w:eastAsia="zh-CN"/>
        </w:rPr>
        <w:drawing>
          <wp:inline distT="0" distB="0" distL="0" distR="0">
            <wp:extent cx="5420360" cy="3496945"/>
            <wp:effectExtent l="0" t="0" r="0" b="0"/>
            <wp:docPr id="35" name="图像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像13" descr=""/>
                    <pic:cNvPicPr>
                      <a:picLocks noChangeAspect="1" noChangeArrowheads="1"/>
                    </pic:cNvPicPr>
                  </pic:nvPicPr>
                  <pic:blipFill>
                    <a:blip r:embed="rId72"/>
                    <a:srcRect l="-5" t="-8" r="-5" b="-8"/>
                    <a:stretch>
                      <a:fillRect/>
                    </a:stretch>
                  </pic:blipFill>
                  <pic:spPr bwMode="auto">
                    <a:xfrm>
                      <a:off x="0" y="0"/>
                      <a:ext cx="5420360" cy="3496945"/>
                    </a:xfrm>
                    <a:prstGeom prst="rect">
                      <a:avLst/>
                    </a:prstGeom>
                  </pic:spPr>
                </pic:pic>
              </a:graphicData>
            </a:graphic>
          </wp:inline>
        </w:drawing>
      </w:r>
    </w:p>
    <w:p>
      <w:pPr>
        <w:pStyle w:val="Normal"/>
        <w:spacing w:lineRule="auto" w:line="360"/>
        <w:ind w:firstLine="565"/>
        <w:rPr>
          <w:rFonts w:ascii="Arial" w:hAnsi="Arial" w:eastAsia="仿宋_GB2312;仿宋" w:cs="Arial"/>
          <w:b/>
          <w:b/>
          <w:sz w:val="28"/>
        </w:rPr>
      </w:pPr>
      <w:r>
        <w:rPr>
          <w:rFonts w:ascii="Arial" w:hAnsi="Arial" w:cs="Arial" w:eastAsia="仿宋_GB2312;仿宋"/>
          <w:b/>
          <w:sz w:val="28"/>
        </w:rPr>
        <w:t>项目的基本情况如下：</w:t>
      </w:r>
    </w:p>
    <w:p>
      <w:pPr>
        <w:pStyle w:val="Normal"/>
        <w:spacing w:lineRule="auto" w:line="360"/>
        <w:ind w:firstLine="565"/>
        <w:rPr>
          <w:rFonts w:ascii="Arial" w:hAnsi="Arial" w:eastAsia="仿宋_GB2312;仿宋" w:cs="Arial"/>
          <w:b/>
          <w:b/>
          <w:sz w:val="28"/>
        </w:rPr>
      </w:pPr>
      <w:r>
        <w:rPr>
          <w:rFonts w:ascii="Arial" w:hAnsi="Arial" w:cs="Arial" w:eastAsia="仿宋_GB2312;仿宋"/>
          <w:b/>
          <w:sz w:val="28"/>
        </w:rPr>
        <w:t>序号</w:t>
      </w:r>
      <w:r>
        <w:rPr>
          <w:rFonts w:eastAsia="仿宋_GB2312;仿宋" w:cs="Arial" w:ascii="Arial" w:hAnsi="Arial"/>
          <w:b/>
          <w:sz w:val="28"/>
        </w:rPr>
        <w:t>1</w:t>
      </w:r>
      <w:r>
        <w:rPr>
          <w:rFonts w:ascii="Arial" w:hAnsi="Arial" w:cs="Arial" w:eastAsia="仿宋_GB2312;仿宋"/>
          <w:b/>
          <w:sz w:val="28"/>
        </w:rPr>
        <w:t>：永丰产业基地（新）园区土地一级开发项目</w:t>
      </w:r>
      <w:r>
        <w:rPr>
          <w:rFonts w:eastAsia="仿宋_GB2312;仿宋" w:cs="Arial" w:ascii="Arial" w:hAnsi="Arial"/>
          <w:b/>
          <w:sz w:val="28"/>
        </w:rPr>
        <w:t>F1</w:t>
      </w:r>
      <w:r>
        <w:rPr>
          <w:rFonts w:ascii="Arial" w:hAnsi="Arial" w:cs="Arial" w:eastAsia="仿宋_GB2312;仿宋"/>
          <w:b/>
          <w:sz w:val="28"/>
        </w:rPr>
        <w:t>地块</w:t>
      </w:r>
    </w:p>
    <w:p>
      <w:pPr>
        <w:pStyle w:val="Normal"/>
        <w:spacing w:lineRule="auto" w:line="360"/>
        <w:ind w:firstLine="563"/>
        <w:jc w:val="both"/>
        <w:rPr>
          <w:rFonts w:ascii="Arial" w:hAnsi="Arial" w:eastAsia="仿宋_GB2312;仿宋" w:cs="Arial"/>
          <w:sz w:val="28"/>
        </w:rPr>
      </w:pPr>
      <w:r>
        <w:rPr>
          <w:rFonts w:ascii="Arial" w:hAnsi="Arial" w:cs="Arial" w:eastAsia="仿宋_GB2312;仿宋"/>
          <w:sz w:val="28"/>
        </w:rPr>
        <w:t>该项目位于</w:t>
      </w:r>
      <w:r>
        <w:rPr>
          <w:rFonts w:ascii="Arial" w:hAnsi="Arial" w:cs="Arial" w:eastAsia="仿宋_GB2312;仿宋"/>
          <w:sz w:val="28"/>
        </w:rPr>
        <w:t>海淀区西北旺镇</w:t>
      </w:r>
      <w:r>
        <w:rPr>
          <w:rFonts w:ascii="Arial" w:hAnsi="Arial" w:cs="Arial" w:eastAsia="仿宋_GB2312;仿宋"/>
          <w:sz w:val="28"/>
        </w:rPr>
        <w:t>，环线位置为</w:t>
      </w:r>
      <w:r>
        <w:rPr>
          <w:rFonts w:ascii="Arial" w:hAnsi="Arial" w:cs="Arial" w:eastAsia="仿宋_GB2312;仿宋"/>
          <w:sz w:val="28"/>
        </w:rPr>
        <w:t>东北五环与六</w:t>
      </w:r>
      <w:r>
        <w:rPr>
          <w:rFonts w:ascii="Arial" w:hAnsi="Arial" w:cs="Arial" w:eastAsia="仿宋_GB2312;仿宋"/>
          <w:sz w:val="28"/>
        </w:rPr>
        <w:t>环之间，项目类型为土地一级开发项目，审定时间为</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8</w:t>
      </w:r>
      <w:r>
        <w:rPr>
          <w:rFonts w:ascii="Arial" w:hAnsi="Arial" w:cs="Arial" w:eastAsia="仿宋_GB2312;仿宋"/>
          <w:sz w:val="28"/>
        </w:rPr>
        <w:t>月</w:t>
      </w:r>
      <w:r>
        <w:rPr>
          <w:rFonts w:ascii="Arial" w:hAnsi="Arial" w:cs="Arial" w:eastAsia="仿宋_GB2312;仿宋"/>
          <w:sz w:val="28"/>
        </w:rPr>
        <w:t>，土地级别为</w:t>
      </w:r>
      <w:r>
        <w:rPr>
          <w:rFonts w:ascii="Arial" w:hAnsi="Arial" w:cs="Arial" w:eastAsia="仿宋_GB2312;仿宋"/>
          <w:sz w:val="28"/>
        </w:rPr>
        <w:t>六</w:t>
      </w:r>
      <w:r>
        <w:rPr>
          <w:rFonts w:ascii="Arial" w:hAnsi="Arial" w:cs="Arial" w:eastAsia="仿宋_GB2312;仿宋"/>
          <w:sz w:val="28"/>
        </w:rPr>
        <w:t>级，</w:t>
      </w:r>
      <w:r>
        <w:rPr>
          <w:rFonts w:ascii="Arial" w:hAnsi="Arial" w:cs="Arial" w:eastAsia="仿宋_GB2312;仿宋"/>
          <w:sz w:val="28"/>
        </w:rPr>
        <w:t>所处区域目前已拥有较完善的基础设施配套保障，总用地面积</w:t>
      </w:r>
      <w:r>
        <w:rPr>
          <w:rFonts w:eastAsia="仿宋_GB2312;仿宋" w:cs="Arial" w:ascii="Arial" w:hAnsi="Arial"/>
          <w:sz w:val="28"/>
        </w:rPr>
        <w:t>180055.75</w:t>
      </w:r>
      <w:r>
        <w:rPr>
          <w:rFonts w:ascii="Arial" w:hAnsi="Arial" w:cs="Arial" w:eastAsia="仿宋_GB2312;仿宋"/>
          <w:sz w:val="28"/>
        </w:rPr>
        <w:t>平方米。</w:t>
      </w:r>
      <w:r>
        <w:rPr>
          <w:rFonts w:ascii="Arial" w:hAnsi="Arial" w:cs="Arial" w:eastAsia="仿宋_GB2312;仿宋"/>
          <w:sz w:val="28"/>
        </w:rPr>
        <w:t>该项目审定的征地补偿及相关税费为</w:t>
      </w:r>
      <w:r>
        <w:rPr>
          <w:rFonts w:eastAsia="仿宋_GB2312;仿宋" w:cs="Arial" w:ascii="Arial" w:hAnsi="Arial"/>
          <w:sz w:val="28"/>
        </w:rPr>
        <w:t>59468.76</w:t>
      </w:r>
      <w:r>
        <w:rPr>
          <w:rFonts w:ascii="Arial" w:hAnsi="Arial" w:cs="Arial" w:eastAsia="仿宋_GB2312;仿宋"/>
          <w:sz w:val="28"/>
        </w:rPr>
        <w:t>万元</w:t>
      </w:r>
      <w:r>
        <w:rPr>
          <w:rFonts w:ascii="Arial" w:hAnsi="Arial" w:cs="Arial" w:eastAsia="仿宋_GB2312;仿宋"/>
          <w:sz w:val="28"/>
        </w:rPr>
        <w:t>，拆迁补偿费及相关税费为</w:t>
      </w:r>
      <w:r>
        <w:rPr>
          <w:rFonts w:eastAsia="仿宋_GB2312;仿宋" w:cs="Arial" w:ascii="Arial" w:hAnsi="Arial"/>
          <w:sz w:val="28"/>
        </w:rPr>
        <w:t>125573.86</w:t>
      </w:r>
      <w:r>
        <w:rPr>
          <w:rFonts w:ascii="Arial" w:hAnsi="Arial" w:cs="Arial" w:eastAsia="仿宋_GB2312;仿宋"/>
          <w:sz w:val="28"/>
        </w:rPr>
        <w:t>万元，无实物补偿</w:t>
      </w:r>
      <w:r>
        <w:rPr>
          <w:rFonts w:ascii="Arial" w:hAnsi="Arial" w:cs="Arial" w:eastAsia="仿宋_GB2312;仿宋"/>
          <w:sz w:val="28"/>
        </w:rPr>
        <w:t>。</w:t>
      </w:r>
    </w:p>
    <w:p>
      <w:pPr>
        <w:pStyle w:val="Normal"/>
        <w:spacing w:lineRule="auto" w:line="360"/>
        <w:ind w:firstLine="563"/>
        <w:rPr>
          <w:rFonts w:ascii="Arial" w:hAnsi="Arial" w:eastAsia="仿宋_GB2312;仿宋" w:cs="Arial"/>
          <w:sz w:val="28"/>
        </w:rPr>
      </w:pPr>
      <w:r>
        <w:rPr>
          <w:rFonts w:ascii="Arial" w:hAnsi="Arial" w:cs="Arial" w:eastAsia="仿宋_GB2312;仿宋"/>
          <w:sz w:val="28"/>
        </w:rPr>
        <w:t>故该实例在审定时间</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8</w:t>
      </w:r>
      <w:r>
        <w:rPr>
          <w:rFonts w:ascii="Arial" w:hAnsi="Arial" w:cs="Arial" w:eastAsia="仿宋_GB2312;仿宋"/>
          <w:sz w:val="28"/>
        </w:rPr>
        <w:t>月的征地、拆迁补偿及相关税费单价</w:t>
      </w:r>
      <w:r>
        <w:rPr>
          <w:rFonts w:eastAsia="仿宋_GB2312;仿宋" w:cs="Arial" w:ascii="Arial" w:hAnsi="Arial"/>
          <w:sz w:val="28"/>
        </w:rPr>
        <w:t>=</w:t>
      </w:r>
      <w:r>
        <w:rPr>
          <w:rFonts w:ascii="Arial" w:hAnsi="Arial" w:cs="Arial" w:eastAsia="仿宋_GB2312;仿宋"/>
          <w:sz w:val="28"/>
        </w:rPr>
        <w:t>（</w:t>
      </w:r>
      <w:r>
        <w:rPr>
          <w:rFonts w:eastAsia="仿宋_GB2312;仿宋" w:cs="Arial" w:ascii="Arial" w:hAnsi="Arial"/>
          <w:sz w:val="28"/>
        </w:rPr>
        <w:t>59468.76+125573.86</w:t>
      </w:r>
      <w:r>
        <w:rPr>
          <w:rFonts w:ascii="Arial" w:hAnsi="Arial" w:cs="Arial" w:eastAsia="仿宋_GB2312;仿宋"/>
          <w:sz w:val="28"/>
        </w:rPr>
        <w:t>）</w:t>
      </w:r>
      <w:r>
        <w:rPr>
          <w:rFonts w:eastAsia="仿宋_GB2312;仿宋" w:cs="Arial" w:ascii="Arial" w:hAnsi="Arial"/>
          <w:sz w:val="28"/>
        </w:rPr>
        <w:t>÷180055.75</w:t>
      </w:r>
      <w:r>
        <w:rPr>
          <w:rFonts w:eastAsia="仿宋_GB2312;仿宋" w:cs="Arial" w:ascii="Arial" w:hAnsi="Arial"/>
          <w:sz w:val="28"/>
        </w:rPr>
        <w:t>=</w:t>
      </w:r>
      <w:r>
        <w:rPr>
          <w:rFonts w:eastAsia="仿宋_GB2312;仿宋" w:cs="Arial" w:ascii="Arial" w:hAnsi="Arial"/>
          <w:sz w:val="28"/>
        </w:rPr>
        <w:t>10277</w:t>
      </w:r>
      <w:r>
        <w:rPr>
          <w:rFonts w:ascii="Arial" w:hAnsi="Arial" w:cs="Arial" w:eastAsia="仿宋_GB2312;仿宋"/>
          <w:sz w:val="28"/>
        </w:rPr>
        <w:t>（</w:t>
      </w:r>
      <w:r>
        <w:rPr>
          <w:rFonts w:ascii="Arial" w:hAnsi="Arial" w:cs="Arial" w:eastAsia="仿宋_GB2312;仿宋"/>
          <w:sz w:val="28"/>
        </w:rPr>
        <w:t>元</w:t>
      </w:r>
      <w:r>
        <w:rPr>
          <w:rFonts w:eastAsia="仿宋_GB2312;仿宋" w:cs="Arial" w:ascii="Arial" w:hAnsi="Arial"/>
          <w:sz w:val="28"/>
        </w:rPr>
        <w:t>/</w:t>
      </w:r>
      <w:r>
        <w:rPr>
          <w:rFonts w:ascii="Arial" w:hAnsi="Arial" w:cs="Arial" w:eastAsia="仿宋_GB2312;仿宋"/>
          <w:sz w:val="28"/>
        </w:rPr>
        <w:t>平方米</w:t>
      </w:r>
      <w:r>
        <w:rPr>
          <w:rFonts w:ascii="Arial" w:hAnsi="Arial" w:cs="Arial" w:eastAsia="仿宋_GB2312;仿宋"/>
          <w:sz w:val="28"/>
        </w:rPr>
        <w:t>）</w:t>
      </w:r>
    </w:p>
    <w:p>
      <w:pPr>
        <w:pStyle w:val="Normal"/>
        <w:spacing w:lineRule="auto" w:line="360"/>
        <w:ind w:firstLine="565"/>
        <w:rPr>
          <w:rFonts w:ascii="Arial" w:hAnsi="Arial" w:eastAsia="仿宋_GB2312;仿宋" w:cs="Arial"/>
          <w:b/>
          <w:b/>
          <w:sz w:val="28"/>
        </w:rPr>
      </w:pPr>
      <w:r>
        <w:rPr>
          <w:rFonts w:ascii="Arial" w:hAnsi="Arial" w:cs="Arial" w:eastAsia="仿宋_GB2312;仿宋"/>
          <w:b/>
          <w:sz w:val="28"/>
        </w:rPr>
        <w:t>序号</w:t>
      </w:r>
      <w:r>
        <w:rPr>
          <w:rFonts w:eastAsia="仿宋_GB2312;仿宋" w:cs="Arial" w:ascii="Arial" w:hAnsi="Arial"/>
          <w:b/>
          <w:sz w:val="28"/>
        </w:rPr>
        <w:t>2</w:t>
      </w:r>
      <w:r>
        <w:rPr>
          <w:rFonts w:ascii="Arial" w:hAnsi="Arial" w:cs="Arial"/>
          <w:b/>
          <w:sz w:val="28"/>
        </w:rPr>
        <w:t>：</w:t>
      </w:r>
      <w:r>
        <w:rPr>
          <w:rFonts w:ascii="Arial" w:hAnsi="Arial" w:cs="Arial" w:eastAsia="仿宋_GB2312;仿宋"/>
          <w:b/>
          <w:sz w:val="28"/>
        </w:rPr>
        <w:t>永丰产业基地（新）园区土地一级开发项目</w:t>
      </w:r>
      <w:r>
        <w:rPr>
          <w:rFonts w:eastAsia="仿宋_GB2312;仿宋" w:cs="Arial" w:ascii="Arial" w:hAnsi="Arial"/>
          <w:b/>
          <w:sz w:val="28"/>
        </w:rPr>
        <w:t>F</w:t>
      </w:r>
      <w:r>
        <w:rPr>
          <w:rFonts w:eastAsia="仿宋_GB2312;仿宋" w:cs="Arial" w:ascii="Arial" w:hAnsi="Arial"/>
          <w:b/>
          <w:sz w:val="28"/>
        </w:rPr>
        <w:t>2</w:t>
      </w:r>
      <w:r>
        <w:rPr>
          <w:rFonts w:ascii="Arial" w:hAnsi="Arial" w:cs="Arial" w:eastAsia="仿宋_GB2312;仿宋"/>
          <w:b/>
          <w:sz w:val="28"/>
        </w:rPr>
        <w:t>地块</w:t>
      </w:r>
    </w:p>
    <w:p>
      <w:pPr>
        <w:pStyle w:val="Normal"/>
        <w:spacing w:lineRule="auto" w:line="360"/>
        <w:ind w:firstLine="563"/>
        <w:jc w:val="both"/>
        <w:rPr>
          <w:rFonts w:ascii="Arial" w:hAnsi="Arial" w:eastAsia="仿宋_GB2312;仿宋" w:cs="Arial"/>
          <w:sz w:val="28"/>
        </w:rPr>
      </w:pPr>
      <w:r>
        <w:rPr>
          <w:rFonts w:ascii="Arial" w:hAnsi="Arial" w:cs="Arial" w:eastAsia="仿宋_GB2312;仿宋"/>
          <w:sz w:val="28"/>
        </w:rPr>
        <w:t>该项目位于</w:t>
      </w:r>
      <w:r>
        <w:rPr>
          <w:rFonts w:ascii="Arial" w:hAnsi="Arial" w:cs="Arial" w:eastAsia="仿宋_GB2312;仿宋"/>
          <w:sz w:val="28"/>
        </w:rPr>
        <w:t>海淀区西北旺镇</w:t>
      </w:r>
      <w:r>
        <w:rPr>
          <w:rFonts w:ascii="Arial" w:hAnsi="Arial" w:cs="Arial" w:eastAsia="仿宋_GB2312;仿宋"/>
          <w:sz w:val="28"/>
        </w:rPr>
        <w:t>，环线位置为</w:t>
      </w:r>
      <w:r>
        <w:rPr>
          <w:rFonts w:ascii="Arial" w:hAnsi="Arial" w:cs="Arial" w:eastAsia="仿宋_GB2312;仿宋"/>
          <w:sz w:val="28"/>
        </w:rPr>
        <w:t>东北五环与六</w:t>
      </w:r>
      <w:r>
        <w:rPr>
          <w:rFonts w:ascii="Arial" w:hAnsi="Arial" w:cs="Arial" w:eastAsia="仿宋_GB2312;仿宋"/>
          <w:sz w:val="28"/>
        </w:rPr>
        <w:t>环之间，项目类型为土地一级开发项目，审定时间为</w:t>
      </w:r>
      <w:r>
        <w:rPr>
          <w:rFonts w:eastAsia="仿宋_GB2312;仿宋" w:cs="Arial" w:ascii="Arial" w:hAnsi="Arial"/>
          <w:sz w:val="28"/>
        </w:rPr>
        <w:t>2022</w:t>
      </w:r>
      <w:r>
        <w:rPr>
          <w:rFonts w:ascii="Arial" w:hAnsi="Arial" w:cs="Arial" w:eastAsia="仿宋_GB2312;仿宋"/>
          <w:sz w:val="28"/>
        </w:rPr>
        <w:t>年</w:t>
      </w:r>
      <w:r>
        <w:rPr>
          <w:rFonts w:eastAsia="仿宋_GB2312;仿宋" w:cs="Arial" w:ascii="Arial" w:hAnsi="Arial"/>
          <w:sz w:val="28"/>
        </w:rPr>
        <w:t>5</w:t>
      </w:r>
      <w:r>
        <w:rPr>
          <w:rFonts w:ascii="Arial" w:hAnsi="Arial" w:cs="Arial" w:eastAsia="仿宋_GB2312;仿宋"/>
          <w:sz w:val="28"/>
        </w:rPr>
        <w:t>月</w:t>
      </w:r>
      <w:r>
        <w:rPr>
          <w:rFonts w:ascii="Arial" w:hAnsi="Arial" w:cs="Arial" w:eastAsia="仿宋_GB2312;仿宋"/>
          <w:sz w:val="28"/>
        </w:rPr>
        <w:t>，土地级别为</w:t>
      </w:r>
      <w:r>
        <w:rPr>
          <w:rFonts w:ascii="Arial" w:hAnsi="Arial" w:cs="Arial" w:eastAsia="仿宋_GB2312;仿宋"/>
          <w:sz w:val="28"/>
        </w:rPr>
        <w:t>六</w:t>
      </w:r>
      <w:r>
        <w:rPr>
          <w:rFonts w:ascii="Arial" w:hAnsi="Arial" w:cs="Arial" w:eastAsia="仿宋_GB2312;仿宋"/>
          <w:sz w:val="28"/>
        </w:rPr>
        <w:t>级，</w:t>
      </w:r>
      <w:r>
        <w:rPr>
          <w:rFonts w:ascii="Arial" w:hAnsi="Arial" w:cs="Arial" w:eastAsia="仿宋_GB2312;仿宋"/>
          <w:sz w:val="28"/>
        </w:rPr>
        <w:t>所处区域目前已拥有较完善的基础设施配套保障，总用地面积</w:t>
      </w:r>
      <w:r>
        <w:rPr>
          <w:rFonts w:eastAsia="仿宋_GB2312;仿宋" w:cs="Arial" w:ascii="Arial" w:hAnsi="Arial"/>
          <w:sz w:val="28"/>
        </w:rPr>
        <w:t>187577</w:t>
      </w:r>
      <w:r>
        <w:rPr>
          <w:rFonts w:ascii="Arial" w:hAnsi="Arial" w:cs="Arial" w:eastAsia="仿宋_GB2312;仿宋"/>
          <w:sz w:val="28"/>
        </w:rPr>
        <w:t>平方米。</w:t>
      </w:r>
      <w:r>
        <w:rPr>
          <w:rFonts w:ascii="Arial" w:hAnsi="Arial" w:cs="Arial" w:eastAsia="仿宋_GB2312;仿宋"/>
          <w:sz w:val="28"/>
        </w:rPr>
        <w:t>该项目审定的征地补偿及相关税费为</w:t>
      </w:r>
      <w:r>
        <w:rPr>
          <w:rFonts w:eastAsia="仿宋_GB2312;仿宋" w:cs="Arial" w:ascii="Arial" w:hAnsi="Arial"/>
          <w:sz w:val="28"/>
        </w:rPr>
        <w:t>42423.81</w:t>
      </w:r>
      <w:r>
        <w:rPr>
          <w:rFonts w:ascii="Arial" w:hAnsi="Arial" w:cs="Arial" w:eastAsia="仿宋_GB2312;仿宋"/>
          <w:sz w:val="28"/>
        </w:rPr>
        <w:t>万元</w:t>
      </w:r>
      <w:r>
        <w:rPr>
          <w:rFonts w:ascii="Arial" w:hAnsi="Arial" w:cs="Arial" w:eastAsia="仿宋_GB2312;仿宋"/>
          <w:sz w:val="28"/>
        </w:rPr>
        <w:t>，拆迁补偿费及相关税费为</w:t>
      </w:r>
      <w:r>
        <w:rPr>
          <w:rFonts w:eastAsia="仿宋_GB2312;仿宋" w:cs="Arial" w:ascii="Arial" w:hAnsi="Arial"/>
          <w:sz w:val="28"/>
        </w:rPr>
        <w:t>124048.85</w:t>
      </w:r>
      <w:r>
        <w:rPr>
          <w:rFonts w:ascii="Arial" w:hAnsi="Arial" w:cs="Arial" w:eastAsia="仿宋_GB2312;仿宋"/>
          <w:sz w:val="28"/>
        </w:rPr>
        <w:t>万元，无实物补偿</w:t>
      </w:r>
      <w:r>
        <w:rPr>
          <w:rFonts w:ascii="Arial" w:hAnsi="Arial" w:cs="Arial" w:eastAsia="仿宋_GB2312;仿宋"/>
          <w:sz w:val="28"/>
        </w:rPr>
        <w:t>。</w:t>
      </w:r>
    </w:p>
    <w:p>
      <w:pPr>
        <w:pStyle w:val="Normal"/>
        <w:spacing w:lineRule="auto" w:line="360"/>
        <w:ind w:firstLine="563"/>
        <w:rPr>
          <w:rFonts w:ascii="Arial" w:hAnsi="Arial" w:eastAsia="仿宋_GB2312;仿宋" w:cs="Arial"/>
          <w:sz w:val="28"/>
        </w:rPr>
      </w:pPr>
      <w:r>
        <w:rPr>
          <w:rFonts w:ascii="Arial" w:hAnsi="Arial" w:cs="Arial" w:eastAsia="仿宋_GB2312;仿宋"/>
          <w:sz w:val="28"/>
        </w:rPr>
        <w:t>故该实例在审定时间</w:t>
      </w:r>
      <w:r>
        <w:rPr>
          <w:rFonts w:eastAsia="仿宋_GB2312;仿宋" w:cs="Arial" w:ascii="Arial" w:hAnsi="Arial"/>
          <w:sz w:val="28"/>
        </w:rPr>
        <w:t>2022</w:t>
      </w:r>
      <w:r>
        <w:rPr>
          <w:rFonts w:ascii="Arial" w:hAnsi="Arial" w:cs="Arial" w:eastAsia="仿宋_GB2312;仿宋"/>
          <w:sz w:val="28"/>
        </w:rPr>
        <w:t>年</w:t>
      </w:r>
      <w:r>
        <w:rPr>
          <w:rFonts w:eastAsia="仿宋_GB2312;仿宋" w:cs="Arial" w:ascii="Arial" w:hAnsi="Arial"/>
          <w:sz w:val="28"/>
        </w:rPr>
        <w:t>5</w:t>
      </w:r>
      <w:r>
        <w:rPr>
          <w:rFonts w:ascii="Arial" w:hAnsi="Arial" w:cs="Arial" w:eastAsia="仿宋_GB2312;仿宋"/>
          <w:sz w:val="28"/>
        </w:rPr>
        <w:t>月的征地、拆迁补偿及相关税费单价</w:t>
      </w:r>
      <w:r>
        <w:rPr>
          <w:rFonts w:eastAsia="仿宋_GB2312;仿宋" w:cs="Arial" w:ascii="Arial" w:hAnsi="Arial"/>
          <w:sz w:val="28"/>
        </w:rPr>
        <w:t>=</w:t>
      </w:r>
      <w:r>
        <w:rPr>
          <w:rFonts w:ascii="Arial" w:hAnsi="Arial" w:cs="Arial" w:eastAsia="仿宋_GB2312;仿宋"/>
          <w:sz w:val="28"/>
        </w:rPr>
        <w:t>（</w:t>
      </w:r>
      <w:r>
        <w:rPr>
          <w:rFonts w:eastAsia="仿宋_GB2312;仿宋" w:cs="Arial" w:ascii="Arial" w:hAnsi="Arial"/>
          <w:sz w:val="28"/>
        </w:rPr>
        <w:t>42423.81+</w:t>
      </w:r>
      <w:r>
        <w:rPr/>
        <w:t xml:space="preserve"> </w:t>
      </w:r>
      <w:r>
        <w:rPr>
          <w:rFonts w:eastAsia="仿宋_GB2312;仿宋" w:cs="Arial" w:ascii="Arial" w:hAnsi="Arial"/>
          <w:sz w:val="28"/>
        </w:rPr>
        <w:t>124048.85</w:t>
      </w:r>
      <w:r>
        <w:rPr>
          <w:rFonts w:ascii="Arial" w:hAnsi="Arial" w:cs="Arial" w:eastAsia="仿宋_GB2312;仿宋"/>
          <w:sz w:val="28"/>
        </w:rPr>
        <w:t>）</w:t>
      </w:r>
      <w:r>
        <w:rPr>
          <w:rFonts w:eastAsia="仿宋_GB2312;仿宋" w:cs="Arial" w:ascii="Arial" w:hAnsi="Arial"/>
          <w:sz w:val="28"/>
        </w:rPr>
        <w:t>÷187577</w:t>
      </w:r>
      <w:r>
        <w:rPr>
          <w:rFonts w:eastAsia="仿宋_GB2312;仿宋" w:cs="Arial" w:ascii="Arial" w:hAnsi="Arial"/>
          <w:sz w:val="28"/>
        </w:rPr>
        <w:t>=</w:t>
      </w:r>
      <w:r>
        <w:rPr>
          <w:rFonts w:eastAsia="仿宋_GB2312;仿宋" w:cs="Arial" w:ascii="Arial" w:hAnsi="Arial"/>
          <w:sz w:val="28"/>
        </w:rPr>
        <w:t>8875</w:t>
      </w:r>
      <w:r>
        <w:rPr>
          <w:rFonts w:ascii="Arial" w:hAnsi="Arial" w:cs="Arial" w:eastAsia="仿宋_GB2312;仿宋"/>
          <w:sz w:val="28"/>
        </w:rPr>
        <w:t>（</w:t>
      </w:r>
      <w:r>
        <w:rPr>
          <w:rFonts w:ascii="Arial" w:hAnsi="Arial" w:cs="Arial" w:eastAsia="仿宋_GB2312;仿宋"/>
          <w:sz w:val="28"/>
        </w:rPr>
        <w:t>元</w:t>
      </w:r>
      <w:r>
        <w:rPr>
          <w:rFonts w:eastAsia="仿宋_GB2312;仿宋" w:cs="Arial" w:ascii="Arial" w:hAnsi="Arial"/>
          <w:sz w:val="28"/>
        </w:rPr>
        <w:t>/</w:t>
      </w:r>
      <w:r>
        <w:rPr>
          <w:rFonts w:ascii="Arial" w:hAnsi="Arial" w:cs="Arial" w:eastAsia="仿宋_GB2312;仿宋"/>
          <w:sz w:val="28"/>
        </w:rPr>
        <w:t>平方米</w:t>
      </w:r>
      <w:r>
        <w:rPr>
          <w:rFonts w:ascii="Arial" w:hAnsi="Arial" w:cs="Arial" w:eastAsia="仿宋_GB2312;仿宋"/>
          <w:sz w:val="28"/>
        </w:rPr>
        <w:t>）</w:t>
      </w:r>
    </w:p>
    <w:p>
      <w:pPr>
        <w:pStyle w:val="Normal"/>
        <w:spacing w:lineRule="auto" w:line="360"/>
        <w:ind w:firstLine="565"/>
        <w:rPr>
          <w:rFonts w:ascii="Arial" w:hAnsi="Arial" w:eastAsia="仿宋_GB2312;仿宋" w:cs="Arial"/>
          <w:b/>
          <w:b/>
          <w:sz w:val="28"/>
        </w:rPr>
      </w:pPr>
      <w:r>
        <w:rPr>
          <w:rFonts w:ascii="Arial" w:hAnsi="Arial" w:cs="Arial" w:eastAsia="仿宋_GB2312;仿宋"/>
          <w:b/>
          <w:sz w:val="28"/>
        </w:rPr>
        <w:t>序号</w:t>
      </w:r>
      <w:r>
        <w:rPr>
          <w:rFonts w:eastAsia="仿宋_GB2312;仿宋" w:cs="Arial" w:ascii="Arial" w:hAnsi="Arial"/>
          <w:b/>
          <w:sz w:val="28"/>
        </w:rPr>
        <w:t>4</w:t>
      </w:r>
      <w:r>
        <w:rPr>
          <w:rFonts w:ascii="Arial" w:hAnsi="Arial" w:cs="Arial"/>
          <w:b/>
          <w:sz w:val="28"/>
        </w:rPr>
        <w:t>：</w:t>
      </w:r>
      <w:r>
        <w:rPr>
          <w:rFonts w:ascii="Arial" w:hAnsi="Arial" w:cs="Arial" w:eastAsia="仿宋_GB2312;仿宋"/>
          <w:b/>
          <w:sz w:val="28"/>
        </w:rPr>
        <w:t>北部地区温泉镇</w:t>
      </w:r>
      <w:r>
        <w:rPr>
          <w:rFonts w:eastAsia="仿宋_GB2312;仿宋" w:cs="Arial" w:ascii="Arial" w:hAnsi="Arial"/>
          <w:b/>
          <w:sz w:val="28"/>
        </w:rPr>
        <w:t>HD00-0301-6003</w:t>
      </w:r>
      <w:r>
        <w:rPr>
          <w:rFonts w:ascii="Arial" w:hAnsi="Arial" w:cs="Arial" w:eastAsia="仿宋_GB2312;仿宋"/>
          <w:b/>
          <w:sz w:val="28"/>
        </w:rPr>
        <w:t>等地块</w:t>
      </w:r>
    </w:p>
    <w:p>
      <w:pPr>
        <w:pStyle w:val="Normal"/>
        <w:spacing w:lineRule="auto" w:line="360"/>
        <w:ind w:firstLine="563"/>
        <w:jc w:val="both"/>
        <w:rPr>
          <w:rFonts w:ascii="Arial" w:hAnsi="Arial" w:eastAsia="仿宋_GB2312;仿宋" w:cs="Arial"/>
          <w:sz w:val="28"/>
        </w:rPr>
      </w:pPr>
      <w:r>
        <w:rPr>
          <w:rFonts w:ascii="Arial" w:hAnsi="Arial" w:cs="Arial" w:eastAsia="仿宋_GB2312;仿宋"/>
          <w:sz w:val="28"/>
        </w:rPr>
        <w:t>该项目位于</w:t>
      </w:r>
      <w:r>
        <w:rPr>
          <w:rFonts w:ascii="Arial" w:hAnsi="Arial" w:cs="Arial" w:eastAsia="仿宋_GB2312;仿宋"/>
          <w:sz w:val="28"/>
        </w:rPr>
        <w:t>海淀区温泉镇</w:t>
      </w:r>
      <w:r>
        <w:rPr>
          <w:rFonts w:ascii="Arial" w:hAnsi="Arial" w:cs="Arial" w:eastAsia="仿宋_GB2312;仿宋"/>
          <w:sz w:val="28"/>
        </w:rPr>
        <w:t>，环线位置为</w:t>
      </w:r>
      <w:r>
        <w:rPr>
          <w:rFonts w:ascii="Arial" w:hAnsi="Arial" w:cs="Arial" w:eastAsia="仿宋_GB2312;仿宋"/>
          <w:sz w:val="28"/>
        </w:rPr>
        <w:t>东北五环与六</w:t>
      </w:r>
      <w:r>
        <w:rPr>
          <w:rFonts w:ascii="Arial" w:hAnsi="Arial" w:cs="Arial" w:eastAsia="仿宋_GB2312;仿宋"/>
          <w:sz w:val="28"/>
        </w:rPr>
        <w:t>环之间，项目类型为土地一级开发项目，审定时间为</w:t>
      </w:r>
      <w:r>
        <w:rPr>
          <w:rFonts w:eastAsia="仿宋_GB2312;仿宋" w:cs="Arial" w:ascii="Arial" w:hAnsi="Arial"/>
          <w:sz w:val="28"/>
        </w:rPr>
        <w:t>2023</w:t>
      </w:r>
      <w:r>
        <w:rPr>
          <w:rFonts w:ascii="Arial" w:hAnsi="Arial" w:cs="Arial" w:eastAsia="仿宋_GB2312;仿宋"/>
          <w:sz w:val="28"/>
        </w:rPr>
        <w:t>年</w:t>
      </w:r>
      <w:r>
        <w:rPr>
          <w:rFonts w:eastAsia="仿宋_GB2312;仿宋" w:cs="Arial" w:ascii="Arial" w:hAnsi="Arial"/>
          <w:sz w:val="28"/>
        </w:rPr>
        <w:t>5</w:t>
      </w:r>
      <w:r>
        <w:rPr>
          <w:rFonts w:ascii="Arial" w:hAnsi="Arial" w:cs="Arial" w:eastAsia="仿宋_GB2312;仿宋"/>
          <w:sz w:val="28"/>
        </w:rPr>
        <w:t>月</w:t>
      </w:r>
      <w:r>
        <w:rPr>
          <w:rFonts w:ascii="Arial" w:hAnsi="Arial" w:cs="Arial" w:eastAsia="仿宋_GB2312;仿宋"/>
          <w:sz w:val="28"/>
        </w:rPr>
        <w:t>，土地级别为</w:t>
      </w:r>
      <w:r>
        <w:rPr>
          <w:rFonts w:ascii="Arial" w:hAnsi="Arial" w:cs="Arial" w:eastAsia="仿宋_GB2312;仿宋"/>
          <w:sz w:val="28"/>
        </w:rPr>
        <w:t>七</w:t>
      </w:r>
      <w:r>
        <w:rPr>
          <w:rFonts w:ascii="Arial" w:hAnsi="Arial" w:cs="Arial" w:eastAsia="仿宋_GB2312;仿宋"/>
          <w:sz w:val="28"/>
        </w:rPr>
        <w:t>级，</w:t>
      </w:r>
      <w:r>
        <w:rPr>
          <w:rFonts w:ascii="Arial" w:hAnsi="Arial" w:cs="Arial" w:eastAsia="仿宋_GB2312;仿宋"/>
          <w:sz w:val="28"/>
        </w:rPr>
        <w:t>所处区域目前已拥有完善的基础设施配套保障，总用地面积</w:t>
      </w:r>
      <w:r>
        <w:rPr>
          <w:rFonts w:eastAsia="仿宋_GB2312;仿宋" w:cs="Arial" w:ascii="Arial" w:hAnsi="Arial"/>
          <w:sz w:val="28"/>
        </w:rPr>
        <w:t>156502.608</w:t>
      </w:r>
      <w:r>
        <w:rPr>
          <w:rFonts w:ascii="Arial" w:hAnsi="Arial" w:cs="Arial" w:eastAsia="仿宋_GB2312;仿宋"/>
          <w:sz w:val="28"/>
        </w:rPr>
        <w:t>平方米</w:t>
      </w:r>
      <w:r>
        <w:rPr>
          <w:rFonts w:ascii="Arial" w:hAnsi="Arial" w:cs="Arial" w:eastAsia="仿宋_GB2312;仿宋"/>
          <w:sz w:val="28"/>
        </w:rPr>
        <w:t>。</w:t>
      </w:r>
      <w:r>
        <w:rPr>
          <w:rFonts w:ascii="Arial" w:hAnsi="Arial" w:cs="Arial" w:eastAsia="仿宋_GB2312;仿宋"/>
          <w:sz w:val="28"/>
        </w:rPr>
        <w:t>该项目审定的征地补偿及相关税费为</w:t>
      </w:r>
      <w:r>
        <w:rPr>
          <w:rFonts w:eastAsia="仿宋_GB2312;仿宋" w:cs="Arial" w:ascii="Arial" w:hAnsi="Arial"/>
          <w:sz w:val="28"/>
        </w:rPr>
        <w:t>5325.24</w:t>
      </w:r>
      <w:r>
        <w:rPr>
          <w:rFonts w:ascii="Arial" w:hAnsi="Arial" w:cs="Arial" w:eastAsia="仿宋_GB2312;仿宋"/>
          <w:sz w:val="28"/>
        </w:rPr>
        <w:t>万元</w:t>
      </w:r>
      <w:r>
        <w:rPr>
          <w:rFonts w:ascii="Arial" w:hAnsi="Arial" w:cs="Arial" w:eastAsia="仿宋_GB2312;仿宋"/>
          <w:sz w:val="28"/>
        </w:rPr>
        <w:t>，拆迁补偿费及相关税费为</w:t>
      </w:r>
      <w:r>
        <w:rPr>
          <w:rFonts w:eastAsia="仿宋_GB2312;仿宋" w:cs="Arial" w:ascii="Arial" w:hAnsi="Arial"/>
          <w:sz w:val="28"/>
        </w:rPr>
        <w:t>121777.87</w:t>
      </w:r>
      <w:r>
        <w:rPr>
          <w:rFonts w:ascii="Arial" w:hAnsi="Arial" w:cs="Arial" w:eastAsia="仿宋_GB2312;仿宋"/>
          <w:sz w:val="28"/>
        </w:rPr>
        <w:t>万元，无实物补偿</w:t>
      </w:r>
      <w:r>
        <w:rPr>
          <w:rFonts w:ascii="Arial" w:hAnsi="Arial" w:cs="Arial" w:eastAsia="仿宋_GB2312;仿宋"/>
          <w:sz w:val="28"/>
        </w:rPr>
        <w:t>。</w:t>
      </w:r>
    </w:p>
    <w:p>
      <w:pPr>
        <w:pStyle w:val="Normal"/>
        <w:spacing w:lineRule="auto" w:line="360"/>
        <w:ind w:firstLine="563"/>
        <w:jc w:val="both"/>
        <w:rPr>
          <w:rFonts w:ascii="Arial" w:hAnsi="Arial" w:eastAsia="仿宋_GB2312;仿宋" w:cs="Arial"/>
          <w:sz w:val="28"/>
        </w:rPr>
      </w:pPr>
      <w:r>
        <w:rPr>
          <w:rFonts w:ascii="Arial" w:hAnsi="Arial" w:cs="Arial" w:eastAsia="仿宋_GB2312;仿宋"/>
          <w:sz w:val="28"/>
        </w:rPr>
        <w:t>故该实例在审定时间</w:t>
      </w:r>
      <w:r>
        <w:rPr>
          <w:rFonts w:eastAsia="仿宋_GB2312;仿宋" w:cs="Arial" w:ascii="Arial" w:hAnsi="Arial"/>
          <w:sz w:val="28"/>
        </w:rPr>
        <w:t>2023</w:t>
      </w:r>
      <w:r>
        <w:rPr>
          <w:rFonts w:ascii="Arial" w:hAnsi="Arial" w:cs="Arial" w:eastAsia="仿宋_GB2312;仿宋"/>
          <w:sz w:val="28"/>
        </w:rPr>
        <w:t>年</w:t>
      </w:r>
      <w:r>
        <w:rPr>
          <w:rFonts w:eastAsia="仿宋_GB2312;仿宋" w:cs="Arial" w:ascii="Arial" w:hAnsi="Arial"/>
          <w:sz w:val="28"/>
        </w:rPr>
        <w:t>5</w:t>
      </w:r>
      <w:r>
        <w:rPr>
          <w:rFonts w:ascii="Arial" w:hAnsi="Arial" w:cs="Arial" w:eastAsia="仿宋_GB2312;仿宋"/>
          <w:sz w:val="28"/>
        </w:rPr>
        <w:t>月的征地、拆迁补偿及相关税费单价</w:t>
      </w:r>
      <w:r>
        <w:rPr>
          <w:rFonts w:eastAsia="仿宋_GB2312;仿宋" w:cs="Arial" w:ascii="Arial" w:hAnsi="Arial"/>
          <w:sz w:val="28"/>
        </w:rPr>
        <w:t>=</w:t>
      </w:r>
      <w:r>
        <w:rPr>
          <w:rFonts w:ascii="Arial" w:hAnsi="Arial" w:cs="Arial" w:eastAsia="仿宋_GB2312;仿宋"/>
          <w:sz w:val="28"/>
        </w:rPr>
        <w:t>（</w:t>
      </w:r>
      <w:r>
        <w:rPr>
          <w:rFonts w:eastAsia="仿宋_GB2312;仿宋" w:cs="Arial" w:ascii="Arial" w:hAnsi="Arial"/>
          <w:sz w:val="28"/>
        </w:rPr>
        <w:t>5325.24+121777.87</w:t>
      </w:r>
      <w:r>
        <w:rPr>
          <w:rFonts w:ascii="Arial" w:hAnsi="Arial" w:cs="Arial" w:eastAsia="仿宋_GB2312;仿宋"/>
          <w:sz w:val="28"/>
        </w:rPr>
        <w:t>）</w:t>
      </w:r>
      <w:r>
        <w:rPr>
          <w:rFonts w:eastAsia="仿宋_GB2312;仿宋" w:cs="Arial" w:ascii="Arial" w:hAnsi="Arial"/>
          <w:sz w:val="28"/>
        </w:rPr>
        <w:t>÷156502.608</w:t>
      </w:r>
      <w:r>
        <w:rPr>
          <w:rFonts w:eastAsia="仿宋_GB2312;仿宋" w:cs="Arial" w:ascii="Arial" w:hAnsi="Arial"/>
          <w:sz w:val="28"/>
        </w:rPr>
        <w:t>=</w:t>
      </w:r>
      <w:r>
        <w:rPr>
          <w:rFonts w:eastAsia="仿宋_GB2312;仿宋" w:cs="Arial" w:ascii="Arial" w:hAnsi="Arial"/>
          <w:sz w:val="28"/>
        </w:rPr>
        <w:t>8156</w:t>
      </w:r>
      <w:r>
        <w:rPr>
          <w:rFonts w:ascii="Arial" w:hAnsi="Arial" w:cs="Arial" w:eastAsia="仿宋_GB2312;仿宋"/>
          <w:sz w:val="28"/>
        </w:rPr>
        <w:t>（</w:t>
      </w:r>
      <w:r>
        <w:rPr>
          <w:rFonts w:ascii="Arial" w:hAnsi="Arial" w:cs="Arial" w:eastAsia="仿宋_GB2312;仿宋"/>
          <w:sz w:val="28"/>
        </w:rPr>
        <w:t>元</w:t>
      </w:r>
      <w:r>
        <w:rPr>
          <w:rFonts w:eastAsia="仿宋_GB2312;仿宋" w:cs="Arial" w:ascii="Arial" w:hAnsi="Arial"/>
          <w:sz w:val="28"/>
        </w:rPr>
        <w:t>/</w:t>
      </w:r>
      <w:r>
        <w:rPr>
          <w:rFonts w:ascii="Arial" w:hAnsi="Arial" w:cs="Arial" w:eastAsia="仿宋_GB2312;仿宋"/>
          <w:sz w:val="28"/>
        </w:rPr>
        <w:t>平方米</w:t>
      </w:r>
      <w:r>
        <w:rPr>
          <w:rFonts w:ascii="Arial" w:hAnsi="Arial" w:cs="Arial" w:eastAsia="仿宋_GB2312;仿宋"/>
          <w:sz w:val="28"/>
        </w:rPr>
        <w:t>）</w:t>
      </w:r>
    </w:p>
    <w:p>
      <w:pPr>
        <w:pStyle w:val="Normal"/>
        <w:spacing w:lineRule="auto" w:line="360"/>
        <w:ind w:firstLine="560"/>
        <w:jc w:val="both"/>
        <w:rPr>
          <w:rFonts w:cs="Arial"/>
        </w:rPr>
      </w:pPr>
      <w:r>
        <w:rPr>
          <w:rFonts w:ascii="Arial" w:hAnsi="Arial" w:cs="Arial" w:eastAsia="仿宋_GB2312;仿宋"/>
          <w:sz w:val="28"/>
          <w:szCs w:val="28"/>
        </w:rPr>
        <w:t>根据查阅北京市规划和自然资源委员会网站公布的数据</w:t>
      </w:r>
      <w:r>
        <w:rPr>
          <w:rFonts w:ascii="Arial" w:hAnsi="Arial" w:cs="Arial" w:eastAsia="仿宋_GB2312;仿宋"/>
          <w:sz w:val="28"/>
          <w:szCs w:val="28"/>
        </w:rPr>
        <w:t>，北京市工业用地地价水平自</w:t>
      </w:r>
      <w:r>
        <w:rPr>
          <w:rFonts w:eastAsia="仿宋_GB2312;仿宋" w:cs="Arial" w:ascii="Arial" w:hAnsi="Arial"/>
          <w:sz w:val="28"/>
          <w:szCs w:val="28"/>
        </w:rPr>
        <w:t>2021</w:t>
      </w:r>
      <w:r>
        <w:rPr>
          <w:rFonts w:ascii="Arial" w:hAnsi="Arial" w:cs="Arial" w:eastAsia="仿宋_GB2312;仿宋"/>
          <w:sz w:val="28"/>
          <w:szCs w:val="28"/>
        </w:rPr>
        <w:t>年</w:t>
      </w:r>
      <w:r>
        <w:rPr>
          <w:rFonts w:eastAsia="仿宋_GB2312;仿宋" w:cs="Arial" w:ascii="Arial" w:hAnsi="Arial"/>
          <w:sz w:val="28"/>
          <w:szCs w:val="28"/>
        </w:rPr>
        <w:t>1</w:t>
      </w:r>
      <w:r>
        <w:rPr>
          <w:rFonts w:ascii="Arial" w:hAnsi="Arial" w:cs="Arial" w:eastAsia="仿宋_GB2312;仿宋"/>
          <w:sz w:val="28"/>
          <w:szCs w:val="28"/>
        </w:rPr>
        <w:t>季度至</w:t>
      </w:r>
      <w:r>
        <w:rPr>
          <w:rFonts w:eastAsia="仿宋_GB2312;仿宋" w:cs="Arial" w:ascii="Arial" w:hAnsi="Arial"/>
          <w:sz w:val="28"/>
          <w:szCs w:val="28"/>
        </w:rPr>
        <w:t>2023</w:t>
      </w:r>
      <w:r>
        <w:rPr>
          <w:rFonts w:ascii="Arial" w:hAnsi="Arial" w:cs="Arial" w:eastAsia="仿宋_GB2312;仿宋"/>
          <w:sz w:val="28"/>
          <w:szCs w:val="28"/>
        </w:rPr>
        <w:t>年</w:t>
      </w:r>
      <w:r>
        <w:rPr>
          <w:rFonts w:eastAsia="仿宋_GB2312;仿宋" w:cs="Arial" w:ascii="Arial" w:hAnsi="Arial"/>
          <w:sz w:val="28"/>
          <w:szCs w:val="28"/>
        </w:rPr>
        <w:t>3</w:t>
      </w:r>
      <w:r>
        <w:rPr>
          <w:rFonts w:ascii="Arial" w:hAnsi="Arial" w:cs="Arial" w:eastAsia="仿宋_GB2312;仿宋"/>
          <w:sz w:val="28"/>
          <w:szCs w:val="28"/>
        </w:rPr>
        <w:t>季度的增长率况如下表所示：</w:t>
      </w:r>
    </w:p>
    <w:tbl>
      <w:tblPr>
        <w:tblW w:w="9304" w:type="dxa"/>
        <w:jc w:val="center"/>
        <w:tblInd w:w="0" w:type="dxa"/>
        <w:tblCellMar>
          <w:top w:w="57" w:type="dxa"/>
          <w:left w:w="57" w:type="dxa"/>
          <w:bottom w:w="57" w:type="dxa"/>
          <w:right w:w="57" w:type="dxa"/>
        </w:tblCellMar>
      </w:tblPr>
      <w:tblGrid>
        <w:gridCol w:w="1859"/>
        <w:gridCol w:w="1860"/>
        <w:gridCol w:w="1860"/>
        <w:gridCol w:w="1860"/>
        <w:gridCol w:w="1865"/>
      </w:tblGrid>
      <w:tr>
        <w:trPr>
          <w:cantSplit w:val="true"/>
        </w:trPr>
        <w:tc>
          <w:tcPr>
            <w:tcW w:w="1859"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ind w:firstLine="810"/>
              <w:jc w:val="right"/>
              <w:rPr>
                <w:rFonts w:ascii="Arial" w:hAnsi="Arial" w:eastAsia="华文细黑" w:cs="Arial"/>
                <w:sz w:val="18"/>
              </w:rPr>
            </w:pPr>
            <w:r>
              <w:rPr>
                <w:rFonts w:ascii="Arial" w:hAnsi="Arial" w:cs="Arial" w:eastAsia="华文细黑"/>
                <w:sz w:val="18"/>
              </w:rPr>
              <w:t>季度</w:t>
            </w:r>
          </w:p>
          <w:p>
            <w:pPr>
              <w:pStyle w:val="Normal"/>
              <w:tabs>
                <w:tab w:val="clear" w:pos="420"/>
                <w:tab w:val="left" w:pos="2160" w:leader="none"/>
              </w:tabs>
              <w:spacing w:lineRule="exact" w:line="240"/>
              <w:rPr>
                <w:rFonts w:ascii="Arial" w:hAnsi="Arial" w:eastAsia="华文细黑" w:cs="Arial"/>
                <w:sz w:val="18"/>
              </w:rPr>
            </w:pPr>
            <w:r>
              <w:rPr>
                <w:rFonts w:ascii="Arial" w:hAnsi="Arial" w:cs="Arial" w:eastAsia="华文细黑"/>
                <w:sz w:val="18"/>
              </w:rPr>
              <w:t>年度</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1</w:t>
            </w:r>
            <w:r>
              <w:rPr>
                <w:rFonts w:ascii="Arial" w:hAnsi="Arial" w:cs="Arial" w:eastAsia="华文细黑"/>
                <w:sz w:val="18"/>
              </w:rPr>
              <w:t>季度</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2</w:t>
            </w:r>
            <w:r>
              <w:rPr>
                <w:rFonts w:ascii="Arial" w:hAnsi="Arial" w:cs="Arial" w:eastAsia="华文细黑"/>
                <w:sz w:val="18"/>
              </w:rPr>
              <w:t>季度</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3</w:t>
            </w:r>
            <w:r>
              <w:rPr>
                <w:rFonts w:ascii="Arial" w:hAnsi="Arial" w:cs="Arial" w:eastAsia="华文细黑"/>
                <w:sz w:val="18"/>
              </w:rPr>
              <w:t>季度</w:t>
            </w:r>
          </w:p>
        </w:tc>
        <w:tc>
          <w:tcPr>
            <w:tcW w:w="186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4</w:t>
            </w:r>
            <w:r>
              <w:rPr>
                <w:rFonts w:ascii="Arial" w:hAnsi="Arial" w:cs="Arial" w:eastAsia="华文细黑"/>
                <w:sz w:val="18"/>
              </w:rPr>
              <w:t>季度</w:t>
            </w:r>
          </w:p>
        </w:tc>
      </w:tr>
      <w:tr>
        <w:trPr>
          <w:cantSplit w:val="true"/>
        </w:trPr>
        <w:tc>
          <w:tcPr>
            <w:tcW w:w="1859"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2</w:t>
            </w:r>
            <w:r>
              <w:rPr>
                <w:rFonts w:eastAsia="华文细黑" w:cs="Arial" w:ascii="Arial" w:hAnsi="Arial"/>
                <w:sz w:val="18"/>
              </w:rPr>
              <w:t>020</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ascii="华文细黑" w:hAnsi="华文细黑" w:cs="华文细黑" w:eastAsia="华文细黑"/>
                <w:sz w:val="18"/>
              </w:rPr>
              <w:t>——</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ascii="华文细黑" w:hAnsi="华文细黑" w:cs="华文细黑" w:eastAsia="华文细黑"/>
                <w:sz w:val="18"/>
              </w:rPr>
              <w:t>——</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ascii="华文细黑" w:hAnsi="华文细黑" w:cs="华文细黑" w:eastAsia="华文细黑"/>
                <w:sz w:val="18"/>
              </w:rPr>
              <w:t>——</w:t>
            </w:r>
          </w:p>
        </w:tc>
        <w:tc>
          <w:tcPr>
            <w:tcW w:w="186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2.69%</w:t>
            </w:r>
          </w:p>
        </w:tc>
      </w:tr>
      <w:tr>
        <w:trPr>
          <w:cantSplit w:val="true"/>
        </w:trPr>
        <w:tc>
          <w:tcPr>
            <w:tcW w:w="1859"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2021</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0</w:t>
            </w:r>
            <w:r>
              <w:rPr>
                <w:rFonts w:eastAsia="华文细黑" w:cs="Arial" w:ascii="Arial" w:hAnsi="Arial"/>
                <w:sz w:val="18"/>
              </w:rPr>
              <w:t>.36%</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1</w:t>
            </w:r>
            <w:r>
              <w:rPr>
                <w:rFonts w:eastAsia="华文细黑" w:cs="Arial" w:ascii="Arial" w:hAnsi="Arial"/>
                <w:sz w:val="18"/>
              </w:rPr>
              <w:t>.01%</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0</w:t>
            </w:r>
            <w:r>
              <w:rPr>
                <w:rFonts w:eastAsia="华文细黑" w:cs="Arial" w:ascii="Arial" w:hAnsi="Arial"/>
                <w:sz w:val="18"/>
              </w:rPr>
              <w:t>.48%</w:t>
            </w:r>
          </w:p>
        </w:tc>
        <w:tc>
          <w:tcPr>
            <w:tcW w:w="186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0</w:t>
            </w:r>
            <w:r>
              <w:rPr>
                <w:rFonts w:eastAsia="华文细黑" w:cs="Arial" w:ascii="Arial" w:hAnsi="Arial"/>
                <w:sz w:val="18"/>
              </w:rPr>
              <w:t>.55%</w:t>
            </w:r>
          </w:p>
        </w:tc>
      </w:tr>
      <w:tr>
        <w:trPr>
          <w:cantSplit w:val="true"/>
        </w:trPr>
        <w:tc>
          <w:tcPr>
            <w:tcW w:w="1859"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2022</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0</w:t>
            </w:r>
            <w:r>
              <w:rPr>
                <w:rFonts w:eastAsia="华文细黑" w:cs="Arial" w:ascii="Arial" w:hAnsi="Arial"/>
                <w:sz w:val="18"/>
              </w:rPr>
              <w:t>.64%</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1</w:t>
            </w:r>
            <w:r>
              <w:rPr>
                <w:rFonts w:eastAsia="华文细黑" w:cs="Arial" w:ascii="Arial" w:hAnsi="Arial"/>
                <w:sz w:val="18"/>
              </w:rPr>
              <w:t>.08%</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0</w:t>
            </w:r>
            <w:r>
              <w:rPr>
                <w:rFonts w:eastAsia="华文细黑" w:cs="Arial" w:ascii="Arial" w:hAnsi="Arial"/>
                <w:sz w:val="18"/>
              </w:rPr>
              <w:t>.63%</w:t>
            </w:r>
          </w:p>
        </w:tc>
        <w:tc>
          <w:tcPr>
            <w:tcW w:w="186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0</w:t>
            </w:r>
            <w:r>
              <w:rPr>
                <w:rFonts w:eastAsia="华文细黑" w:cs="Arial" w:ascii="Arial" w:hAnsi="Arial"/>
                <w:sz w:val="18"/>
              </w:rPr>
              <w:t>.53%</w:t>
            </w:r>
          </w:p>
        </w:tc>
      </w:tr>
      <w:tr>
        <w:trPr>
          <w:cantSplit w:val="true"/>
        </w:trPr>
        <w:tc>
          <w:tcPr>
            <w:tcW w:w="1859"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2</w:t>
            </w:r>
            <w:r>
              <w:rPr>
                <w:rFonts w:eastAsia="华文细黑" w:cs="Arial" w:ascii="Arial" w:hAnsi="Arial"/>
                <w:sz w:val="18"/>
              </w:rPr>
              <w:t>023</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0</w:t>
            </w:r>
            <w:r>
              <w:rPr>
                <w:rFonts w:eastAsia="华文细黑" w:cs="Arial" w:ascii="Arial" w:hAnsi="Arial"/>
                <w:sz w:val="18"/>
              </w:rPr>
              <w:t>.50%</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0</w:t>
            </w:r>
            <w:r>
              <w:rPr>
                <w:rFonts w:eastAsia="华文细黑" w:cs="Arial" w:ascii="Arial" w:hAnsi="Arial"/>
                <w:sz w:val="18"/>
              </w:rPr>
              <w:t>.71%</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0</w:t>
            </w:r>
            <w:r>
              <w:rPr>
                <w:rFonts w:eastAsia="华文细黑" w:cs="Arial" w:ascii="Arial" w:hAnsi="Arial"/>
                <w:sz w:val="18"/>
              </w:rPr>
              <w:t>.43%</w:t>
            </w:r>
          </w:p>
        </w:tc>
        <w:tc>
          <w:tcPr>
            <w:tcW w:w="186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0"/>
                <w:tab w:val="left" w:pos="2160" w:leader="none"/>
              </w:tabs>
              <w:spacing w:lineRule="exact" w:line="240"/>
              <w:rPr>
                <w:rFonts w:ascii="Arial" w:hAnsi="Arial" w:cs="Arial"/>
              </w:rPr>
            </w:pPr>
            <w:r>
              <w:rPr>
                <w:rFonts w:ascii="华文细黑" w:hAnsi="华文细黑" w:cs="华文细黑" w:eastAsia="华文细黑"/>
                <w:sz w:val="18"/>
              </w:rPr>
              <w:t>——</w:t>
            </w:r>
          </w:p>
        </w:tc>
      </w:tr>
    </w:tbl>
    <w:p>
      <w:pPr>
        <w:pStyle w:val="Normal"/>
        <w:spacing w:lineRule="auto" w:line="360"/>
        <w:ind w:firstLine="560"/>
        <w:jc w:val="both"/>
        <w:rPr/>
      </w:pPr>
      <w:r>
        <w:rPr>
          <w:rFonts w:ascii="Arial" w:hAnsi="Arial" w:cs="Arial" w:eastAsia="仿宋_GB2312;仿宋"/>
          <w:sz w:val="28"/>
        </w:rPr>
        <w:t>根据评估专业人员调查了解，各土地一级开发项目的土地取得费之所以有一定差异，主要差异在被拆迁房屋性质、类型及规模密度上，相互之间存在的差异更体现了不同情况下的代表性，高、中、低各档次的征地补偿及相关税费、拆迁补偿费及相关税费经算术平均后更能客观的反映估价对象宗地征地补偿及相关税费、拆迁补偿费及相关税费水平。</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根据替代原则，对上述案例进行修正：</w:t>
      </w:r>
    </w:p>
    <w:p>
      <w:pPr>
        <w:pStyle w:val="Normal"/>
        <w:spacing w:lineRule="auto" w:line="360"/>
        <w:ind w:firstLine="482"/>
        <w:jc w:val="center"/>
        <w:rPr>
          <w:rFonts w:cs="Arial"/>
        </w:rPr>
      </w:pPr>
      <w:r>
        <w:rPr>
          <w:rFonts w:ascii="Arial" w:hAnsi="Arial" w:cs="Arial" w:eastAsia="仿宋_GB2312;仿宋"/>
          <w:b/>
          <w:bCs/>
          <w:sz w:val="28"/>
          <w:szCs w:val="24"/>
        </w:rPr>
        <w:t>比较因素条件说明及指数表</w:t>
      </w:r>
    </w:p>
    <w:tbl>
      <w:tblPr>
        <w:tblW w:w="5000" w:type="pct"/>
        <w:jc w:val="center"/>
        <w:tblInd w:w="0" w:type="dxa"/>
        <w:tblCellMar>
          <w:top w:w="28" w:type="dxa"/>
          <w:left w:w="28" w:type="dxa"/>
          <w:bottom w:w="28" w:type="dxa"/>
          <w:right w:w="28" w:type="dxa"/>
        </w:tblCellMar>
      </w:tblPr>
      <w:tblGrid>
        <w:gridCol w:w="1010"/>
        <w:gridCol w:w="1127"/>
        <w:gridCol w:w="1127"/>
        <w:gridCol w:w="565"/>
        <w:gridCol w:w="1268"/>
        <w:gridCol w:w="567"/>
        <w:gridCol w:w="1127"/>
        <w:gridCol w:w="702"/>
        <w:gridCol w:w="1212"/>
        <w:gridCol w:w="593"/>
      </w:tblGrid>
      <w:tr>
        <w:trPr>
          <w:cantSplit w:val="true"/>
        </w:trPr>
        <w:tc>
          <w:tcPr>
            <w:tcW w:w="2137" w:type="dxa"/>
            <w:gridSpan w:val="2"/>
            <w:vMerge w:val="restart"/>
            <w:tcBorders>
              <w:top w:val="single" w:sz="2" w:space="0" w:color="404040"/>
              <w:left w:val="single" w:sz="2" w:space="0" w:color="404040"/>
              <w:bottom w:val="single" w:sz="2" w:space="0" w:color="40404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比较因素</w:t>
            </w:r>
          </w:p>
        </w:tc>
        <w:tc>
          <w:tcPr>
            <w:tcW w:w="1692" w:type="dxa"/>
            <w:gridSpan w:val="2"/>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估价对象</w:t>
            </w:r>
          </w:p>
        </w:tc>
        <w:tc>
          <w:tcPr>
            <w:tcW w:w="1835" w:type="dxa"/>
            <w:gridSpan w:val="2"/>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序号</w:t>
            </w:r>
            <w:r>
              <w:rPr>
                <w:rFonts w:eastAsia="仿宋_GB2312;仿宋" w:cs="Arial" w:ascii="Arial" w:hAnsi="Arial"/>
                <w:sz w:val="20"/>
                <w:szCs w:val="13"/>
              </w:rPr>
              <w:t>1</w:t>
            </w:r>
          </w:p>
        </w:tc>
        <w:tc>
          <w:tcPr>
            <w:tcW w:w="1829" w:type="dxa"/>
            <w:gridSpan w:val="2"/>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序号</w:t>
            </w:r>
            <w:r>
              <w:rPr>
                <w:rFonts w:eastAsia="仿宋_GB2312;仿宋" w:cs="Arial" w:ascii="Arial" w:hAnsi="Arial"/>
                <w:sz w:val="20"/>
                <w:szCs w:val="13"/>
              </w:rPr>
              <w:t>2</w:t>
            </w:r>
          </w:p>
        </w:tc>
        <w:tc>
          <w:tcPr>
            <w:tcW w:w="1805" w:type="dxa"/>
            <w:gridSpan w:val="2"/>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序号</w:t>
            </w:r>
            <w:r>
              <w:rPr>
                <w:rFonts w:eastAsia="仿宋_GB2312;仿宋" w:cs="Arial" w:ascii="Arial" w:hAnsi="Arial"/>
                <w:sz w:val="20"/>
                <w:szCs w:val="13"/>
              </w:rPr>
              <w:t>4</w:t>
            </w:r>
          </w:p>
        </w:tc>
      </w:tr>
      <w:tr>
        <w:trPr>
          <w:trHeight w:val="960" w:hRule="atLeast"/>
          <w:cantSplit w:val="true"/>
        </w:trPr>
        <w:tc>
          <w:tcPr>
            <w:tcW w:w="2137" w:type="dxa"/>
            <w:gridSpan w:val="2"/>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rPr>
                <w:rFonts w:ascii="Arial" w:hAnsi="Arial" w:eastAsia="仿宋_GB2312;仿宋" w:cs="Arial"/>
                <w:sz w:val="20"/>
                <w:szCs w:val="13"/>
              </w:rPr>
            </w:pPr>
            <w:r>
              <w:rPr>
                <w:rFonts w:eastAsia="仿宋_GB2312;仿宋" w:cs="Arial" w:ascii="Arial" w:hAnsi="Arial"/>
                <w:sz w:val="20"/>
                <w:szCs w:val="13"/>
              </w:rPr>
            </w:r>
          </w:p>
        </w:tc>
        <w:tc>
          <w:tcPr>
            <w:tcW w:w="1127" w:type="dxa"/>
            <w:tcBorders>
              <w:top w:val="single" w:sz="2" w:space="0" w:color="808080"/>
              <w:left w:val="single" w:sz="2" w:space="0" w:color="80808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海淀区建材城中路</w:t>
            </w:r>
            <w:r>
              <w:rPr>
                <w:rFonts w:eastAsia="仿宋_GB2312;仿宋" w:cs="Arial" w:ascii="Arial" w:hAnsi="Arial"/>
                <w:sz w:val="20"/>
                <w:szCs w:val="13"/>
              </w:rPr>
              <w:t>2</w:t>
            </w:r>
            <w:r>
              <w:rPr>
                <w:rFonts w:ascii="Arial" w:hAnsi="Arial" w:cs="Arial" w:eastAsia="仿宋_GB2312;仿宋"/>
                <w:sz w:val="20"/>
                <w:szCs w:val="13"/>
              </w:rPr>
              <w:t>号</w:t>
            </w:r>
          </w:p>
        </w:tc>
        <w:tc>
          <w:tcPr>
            <w:tcW w:w="565"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系数</w:t>
            </w:r>
          </w:p>
        </w:tc>
        <w:tc>
          <w:tcPr>
            <w:tcW w:w="1268" w:type="dxa"/>
            <w:tcBorders>
              <w:top w:val="single" w:sz="2" w:space="0" w:color="808080"/>
              <w:left w:val="single" w:sz="2" w:space="0" w:color="80808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永丰产业基地（新）园区土地一级开发项目</w:t>
            </w:r>
            <w:r>
              <w:rPr>
                <w:rFonts w:eastAsia="仿宋_GB2312;仿宋" w:cs="Arial" w:ascii="Arial" w:hAnsi="Arial"/>
                <w:sz w:val="20"/>
                <w:szCs w:val="13"/>
              </w:rPr>
              <w:t>F1</w:t>
            </w:r>
            <w:r>
              <w:rPr>
                <w:rFonts w:ascii="Arial" w:hAnsi="Arial" w:cs="Arial" w:eastAsia="仿宋_GB2312;仿宋"/>
                <w:sz w:val="20"/>
                <w:szCs w:val="13"/>
              </w:rPr>
              <w:t>地块</w:t>
            </w:r>
          </w:p>
        </w:tc>
        <w:tc>
          <w:tcPr>
            <w:tcW w:w="567"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系数</w:t>
            </w:r>
          </w:p>
        </w:tc>
        <w:tc>
          <w:tcPr>
            <w:tcW w:w="1127" w:type="dxa"/>
            <w:tcBorders>
              <w:top w:val="single" w:sz="2" w:space="0" w:color="808080"/>
              <w:left w:val="single" w:sz="2" w:space="0" w:color="80808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永丰产业基地（新）园区土地一级开发项目</w:t>
            </w:r>
            <w:r>
              <w:rPr>
                <w:rFonts w:eastAsia="仿宋_GB2312;仿宋" w:cs="Arial" w:ascii="Arial" w:hAnsi="Arial"/>
                <w:sz w:val="20"/>
                <w:szCs w:val="13"/>
              </w:rPr>
              <w:t>F</w:t>
            </w:r>
            <w:r>
              <w:rPr>
                <w:rFonts w:eastAsia="仿宋_GB2312;仿宋" w:cs="Arial" w:ascii="Arial" w:hAnsi="Arial"/>
                <w:sz w:val="20"/>
                <w:szCs w:val="13"/>
              </w:rPr>
              <w:t>2</w:t>
            </w:r>
            <w:r>
              <w:rPr>
                <w:rFonts w:ascii="Arial" w:hAnsi="Arial" w:cs="Arial" w:eastAsia="仿宋_GB2312;仿宋"/>
                <w:sz w:val="20"/>
                <w:szCs w:val="13"/>
              </w:rPr>
              <w:t>地块</w:t>
            </w:r>
          </w:p>
        </w:tc>
        <w:tc>
          <w:tcPr>
            <w:tcW w:w="702"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系数</w:t>
            </w:r>
          </w:p>
        </w:tc>
        <w:tc>
          <w:tcPr>
            <w:tcW w:w="1212" w:type="dxa"/>
            <w:tcBorders>
              <w:top w:val="single" w:sz="2" w:space="0" w:color="808080"/>
              <w:left w:val="single" w:sz="2" w:space="0" w:color="80808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北部地区温泉镇</w:t>
            </w:r>
            <w:r>
              <w:rPr>
                <w:rFonts w:eastAsia="仿宋_GB2312;仿宋" w:cs="Arial" w:ascii="Arial" w:hAnsi="Arial"/>
                <w:sz w:val="20"/>
                <w:szCs w:val="13"/>
              </w:rPr>
              <w:t>HD00-0301-6003</w:t>
            </w:r>
            <w:r>
              <w:rPr>
                <w:rFonts w:ascii="Arial" w:hAnsi="Arial" w:cs="Arial" w:eastAsia="仿宋_GB2312;仿宋"/>
                <w:sz w:val="20"/>
                <w:szCs w:val="13"/>
              </w:rPr>
              <w:t>等地块</w:t>
            </w:r>
          </w:p>
        </w:tc>
        <w:tc>
          <w:tcPr>
            <w:tcW w:w="593" w:type="dxa"/>
            <w:tcBorders>
              <w:top w:val="single" w:sz="2" w:space="0" w:color="808080"/>
              <w:left w:val="single" w:sz="2" w:space="0" w:color="808080"/>
              <w:bottom w:val="single" w:sz="2" w:space="0" w:color="808080"/>
              <w:right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系数</w:t>
            </w:r>
          </w:p>
        </w:tc>
      </w:tr>
      <w:tr>
        <w:trPr>
          <w:cantSplit w:val="true"/>
        </w:trPr>
        <w:tc>
          <w:tcPr>
            <w:tcW w:w="2137" w:type="dxa"/>
            <w:gridSpan w:val="2"/>
            <w:tcBorders>
              <w:top w:val="single" w:sz="2" w:space="0" w:color="808080"/>
              <w:left w:val="single" w:sz="2" w:space="0" w:color="808080"/>
              <w:bottom w:val="single" w:sz="2" w:space="0" w:color="80808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审定时间</w:t>
            </w:r>
          </w:p>
        </w:tc>
        <w:tc>
          <w:tcPr>
            <w:tcW w:w="1127" w:type="dxa"/>
            <w:tcBorders>
              <w:top w:val="single" w:sz="2" w:space="0" w:color="808080"/>
              <w:left w:val="single" w:sz="2" w:space="0" w:color="808080"/>
              <w:bottom w:val="single" w:sz="2" w:space="0" w:color="808080"/>
            </w:tcBorders>
            <w:shd w:fill="auto" w:val="clear"/>
            <w:vAlign w:val="center"/>
          </w:tcPr>
          <w:p>
            <w:pPr>
              <w:pStyle w:val="Normal"/>
              <w:rPr>
                <w:rFonts w:ascii="Arial" w:hAnsi="Arial" w:eastAsia="仿宋_GB2312;仿宋" w:cs="Arial"/>
                <w:sz w:val="20"/>
                <w:szCs w:val="13"/>
              </w:rPr>
            </w:pPr>
            <w:r>
              <w:rPr>
                <w:rFonts w:eastAsia="仿宋_GB2312;仿宋" w:cs="Arial" w:ascii="Arial" w:hAnsi="Arial"/>
                <w:sz w:val="20"/>
                <w:szCs w:val="13"/>
              </w:rPr>
              <w:t>2023</w:t>
            </w:r>
            <w:r>
              <w:rPr>
                <w:rFonts w:ascii="Arial" w:hAnsi="Arial" w:cs="Arial" w:eastAsia="仿宋_GB2312;仿宋"/>
                <w:sz w:val="20"/>
                <w:szCs w:val="13"/>
              </w:rPr>
              <w:t>年</w:t>
            </w:r>
            <w:r>
              <w:rPr>
                <w:rFonts w:eastAsia="仿宋_GB2312;仿宋" w:cs="Arial" w:ascii="Arial" w:hAnsi="Arial"/>
                <w:sz w:val="20"/>
                <w:szCs w:val="13"/>
              </w:rPr>
              <w:t>11</w:t>
            </w:r>
            <w:r>
              <w:rPr>
                <w:rFonts w:ascii="Arial" w:hAnsi="Arial" w:cs="Arial" w:eastAsia="仿宋_GB2312;仿宋"/>
                <w:sz w:val="20"/>
                <w:szCs w:val="13"/>
              </w:rPr>
              <w:t>月</w:t>
            </w:r>
            <w:r>
              <w:rPr>
                <w:rFonts w:eastAsia="仿宋_GB2312;仿宋" w:cs="Arial" w:ascii="Arial" w:hAnsi="Arial"/>
                <w:sz w:val="20"/>
                <w:szCs w:val="13"/>
              </w:rPr>
              <w:t>18</w:t>
            </w:r>
            <w:r>
              <w:rPr>
                <w:rFonts w:ascii="Arial" w:hAnsi="Arial" w:cs="Arial" w:eastAsia="仿宋_GB2312;仿宋"/>
                <w:sz w:val="20"/>
                <w:szCs w:val="13"/>
              </w:rPr>
              <w:t>日</w:t>
            </w:r>
          </w:p>
        </w:tc>
        <w:tc>
          <w:tcPr>
            <w:tcW w:w="565" w:type="dxa"/>
            <w:tcBorders>
              <w:top w:val="single" w:sz="2" w:space="0" w:color="808080"/>
              <w:left w:val="single" w:sz="2" w:space="0" w:color="808080"/>
              <w:bottom w:val="single" w:sz="2" w:space="0" w:color="808080"/>
            </w:tcBorders>
            <w:shd w:fill="auto" w:val="clear"/>
            <w:vAlign w:val="center"/>
          </w:tcPr>
          <w:p>
            <w:pPr>
              <w:pStyle w:val="Normal"/>
              <w:rPr>
                <w:rFonts w:ascii="Arial" w:hAnsi="Arial" w:eastAsia="仿宋_GB2312;仿宋" w:cs="Arial"/>
                <w:sz w:val="20"/>
                <w:szCs w:val="13"/>
              </w:rPr>
            </w:pPr>
            <w:r>
              <w:rPr>
                <w:rFonts w:eastAsia="仿宋_GB2312;仿宋" w:cs="Arial" w:ascii="Arial" w:hAnsi="Arial"/>
                <w:sz w:val="20"/>
                <w:szCs w:val="13"/>
              </w:rPr>
              <w:t>100</w:t>
            </w:r>
          </w:p>
        </w:tc>
        <w:tc>
          <w:tcPr>
            <w:tcW w:w="1268" w:type="dxa"/>
            <w:tcBorders>
              <w:top w:val="single" w:sz="2" w:space="0" w:color="808080"/>
              <w:left w:val="single" w:sz="2" w:space="0" w:color="808080"/>
              <w:bottom w:val="single" w:sz="2" w:space="0" w:color="808080"/>
            </w:tcBorders>
            <w:shd w:fill="auto" w:val="clear"/>
            <w:vAlign w:val="center"/>
          </w:tcPr>
          <w:p>
            <w:pPr>
              <w:pStyle w:val="Normal"/>
              <w:rPr>
                <w:rFonts w:ascii="Arial" w:hAnsi="Arial" w:eastAsia="仿宋_GB2312;仿宋" w:cs="Arial"/>
                <w:sz w:val="20"/>
                <w:szCs w:val="13"/>
              </w:rPr>
            </w:pPr>
            <w:r>
              <w:rPr>
                <w:rFonts w:eastAsia="仿宋_GB2312;仿宋" w:cs="Arial" w:ascii="Arial" w:hAnsi="Arial"/>
                <w:sz w:val="20"/>
                <w:szCs w:val="13"/>
              </w:rPr>
              <w:t>202</w:t>
            </w:r>
            <w:r>
              <w:rPr>
                <w:rFonts w:eastAsia="仿宋_GB2312;仿宋" w:cs="Arial" w:ascii="Arial" w:hAnsi="Arial"/>
                <w:sz w:val="20"/>
                <w:szCs w:val="13"/>
              </w:rPr>
              <w:t>1</w:t>
            </w:r>
            <w:r>
              <w:rPr>
                <w:rFonts w:eastAsia="仿宋_GB2312;仿宋" w:cs="Arial" w:ascii="Arial" w:hAnsi="Arial"/>
                <w:sz w:val="20"/>
                <w:szCs w:val="13"/>
              </w:rPr>
              <w:t>-</w:t>
            </w:r>
            <w:r>
              <w:rPr>
                <w:rFonts w:eastAsia="仿宋_GB2312;仿宋" w:cs="Arial" w:ascii="Arial" w:hAnsi="Arial"/>
                <w:sz w:val="20"/>
                <w:szCs w:val="13"/>
              </w:rPr>
              <w:t>8</w:t>
            </w:r>
          </w:p>
        </w:tc>
        <w:tc>
          <w:tcPr>
            <w:tcW w:w="567" w:type="dxa"/>
            <w:tcBorders>
              <w:top w:val="single" w:sz="2" w:space="0" w:color="808080"/>
              <w:left w:val="single" w:sz="2" w:space="0" w:color="808080"/>
              <w:bottom w:val="single" w:sz="2" w:space="0" w:color="808080"/>
            </w:tcBorders>
            <w:shd w:fill="auto" w:val="clear"/>
            <w:vAlign w:val="center"/>
          </w:tcPr>
          <w:p>
            <w:pPr>
              <w:pStyle w:val="Normal"/>
              <w:rPr>
                <w:rFonts w:ascii="Arial" w:hAnsi="Arial" w:eastAsia="仿宋_GB2312;仿宋" w:cs="Arial"/>
                <w:sz w:val="20"/>
                <w:szCs w:val="13"/>
              </w:rPr>
            </w:pPr>
            <w:r>
              <w:rPr>
                <w:rFonts w:eastAsia="仿宋_GB2312;仿宋" w:cs="Arial" w:ascii="Arial" w:hAnsi="Arial"/>
                <w:sz w:val="20"/>
                <w:szCs w:val="13"/>
              </w:rPr>
              <w:t>9</w:t>
            </w:r>
            <w:r>
              <w:rPr>
                <w:rFonts w:eastAsia="仿宋_GB2312;仿宋" w:cs="Arial" w:ascii="Arial" w:hAnsi="Arial"/>
                <w:sz w:val="20"/>
                <w:szCs w:val="13"/>
              </w:rPr>
              <w:t>7.53</w:t>
            </w:r>
          </w:p>
        </w:tc>
        <w:tc>
          <w:tcPr>
            <w:tcW w:w="1127" w:type="dxa"/>
            <w:tcBorders>
              <w:top w:val="single" w:sz="2" w:space="0" w:color="808080"/>
              <w:left w:val="single" w:sz="2" w:space="0" w:color="808080"/>
              <w:bottom w:val="single" w:sz="2" w:space="0" w:color="808080"/>
            </w:tcBorders>
            <w:shd w:fill="auto" w:val="clear"/>
            <w:vAlign w:val="center"/>
          </w:tcPr>
          <w:p>
            <w:pPr>
              <w:pStyle w:val="Normal"/>
              <w:rPr>
                <w:rFonts w:ascii="Arial" w:hAnsi="Arial" w:eastAsia="仿宋_GB2312;仿宋" w:cs="Arial"/>
                <w:sz w:val="20"/>
                <w:szCs w:val="13"/>
              </w:rPr>
            </w:pPr>
            <w:r>
              <w:rPr>
                <w:rFonts w:eastAsia="仿宋_GB2312;仿宋" w:cs="Arial" w:ascii="Arial" w:hAnsi="Arial"/>
                <w:sz w:val="20"/>
                <w:szCs w:val="13"/>
              </w:rPr>
              <w:t>2022-</w:t>
            </w:r>
            <w:r>
              <w:rPr>
                <w:rFonts w:eastAsia="仿宋_GB2312;仿宋" w:cs="Arial" w:ascii="Arial" w:hAnsi="Arial"/>
                <w:sz w:val="20"/>
                <w:szCs w:val="13"/>
              </w:rPr>
              <w:t>5</w:t>
            </w:r>
          </w:p>
        </w:tc>
        <w:tc>
          <w:tcPr>
            <w:tcW w:w="702" w:type="dxa"/>
            <w:tcBorders>
              <w:top w:val="single" w:sz="2" w:space="0" w:color="808080"/>
              <w:left w:val="single" w:sz="2" w:space="0" w:color="808080"/>
              <w:bottom w:val="single" w:sz="2" w:space="0" w:color="808080"/>
            </w:tcBorders>
            <w:shd w:fill="auto" w:val="clear"/>
            <w:vAlign w:val="center"/>
          </w:tcPr>
          <w:p>
            <w:pPr>
              <w:pStyle w:val="Normal"/>
              <w:rPr>
                <w:rFonts w:ascii="Arial" w:hAnsi="Arial" w:eastAsia="仿宋_GB2312;仿宋" w:cs="Arial"/>
                <w:sz w:val="20"/>
                <w:szCs w:val="13"/>
              </w:rPr>
            </w:pPr>
            <w:r>
              <w:rPr>
                <w:rFonts w:eastAsia="仿宋_GB2312;仿宋" w:cs="Arial" w:ascii="Arial" w:hAnsi="Arial"/>
                <w:sz w:val="20"/>
                <w:szCs w:val="13"/>
              </w:rPr>
              <w:t>9</w:t>
            </w:r>
            <w:r>
              <w:rPr>
                <w:rFonts w:eastAsia="仿宋_GB2312;仿宋" w:cs="Arial" w:ascii="Arial" w:hAnsi="Arial"/>
                <w:sz w:val="20"/>
                <w:szCs w:val="13"/>
              </w:rPr>
              <w:t>8.19</w:t>
            </w:r>
          </w:p>
        </w:tc>
        <w:tc>
          <w:tcPr>
            <w:tcW w:w="1212" w:type="dxa"/>
            <w:tcBorders>
              <w:top w:val="single" w:sz="2" w:space="0" w:color="808080"/>
              <w:left w:val="single" w:sz="2" w:space="0" w:color="808080"/>
              <w:bottom w:val="single" w:sz="2" w:space="0" w:color="808080"/>
            </w:tcBorders>
            <w:shd w:fill="auto" w:val="clear"/>
            <w:vAlign w:val="center"/>
          </w:tcPr>
          <w:p>
            <w:pPr>
              <w:pStyle w:val="Normal"/>
              <w:rPr>
                <w:rFonts w:ascii="Arial" w:hAnsi="Arial" w:eastAsia="仿宋_GB2312;仿宋" w:cs="Arial"/>
                <w:sz w:val="20"/>
                <w:szCs w:val="13"/>
              </w:rPr>
            </w:pPr>
            <w:r>
              <w:rPr>
                <w:rFonts w:eastAsia="仿宋_GB2312;仿宋" w:cs="Arial" w:ascii="Arial" w:hAnsi="Arial"/>
                <w:sz w:val="20"/>
                <w:szCs w:val="13"/>
              </w:rPr>
              <w:t>202</w:t>
            </w:r>
            <w:r>
              <w:rPr>
                <w:rFonts w:eastAsia="仿宋_GB2312;仿宋" w:cs="Arial" w:ascii="Arial" w:hAnsi="Arial"/>
                <w:sz w:val="20"/>
                <w:szCs w:val="13"/>
              </w:rPr>
              <w:t>3-5</w:t>
            </w:r>
          </w:p>
        </w:tc>
        <w:tc>
          <w:tcPr>
            <w:tcW w:w="593" w:type="dxa"/>
            <w:tcBorders>
              <w:top w:val="single" w:sz="2" w:space="0" w:color="808080"/>
              <w:left w:val="single" w:sz="2" w:space="0" w:color="808080"/>
              <w:bottom w:val="single" w:sz="2" w:space="0" w:color="808080"/>
              <w:right w:val="single" w:sz="2" w:space="0" w:color="808080"/>
            </w:tcBorders>
            <w:shd w:fill="auto" w:val="clear"/>
            <w:vAlign w:val="center"/>
          </w:tcPr>
          <w:p>
            <w:pPr>
              <w:pStyle w:val="Normal"/>
              <w:rPr>
                <w:rFonts w:ascii="Arial" w:hAnsi="Arial" w:eastAsia="仿宋_GB2312;仿宋" w:cs="Arial"/>
                <w:sz w:val="20"/>
                <w:szCs w:val="13"/>
              </w:rPr>
            </w:pPr>
            <w:r>
              <w:rPr>
                <w:rFonts w:eastAsia="仿宋_GB2312;仿宋" w:cs="Arial" w:ascii="Arial" w:hAnsi="Arial"/>
                <w:sz w:val="20"/>
                <w:szCs w:val="13"/>
              </w:rPr>
              <w:t>99.1</w:t>
            </w:r>
          </w:p>
        </w:tc>
      </w:tr>
      <w:tr>
        <w:trPr>
          <w:cantSplit w:val="true"/>
        </w:trPr>
        <w:tc>
          <w:tcPr>
            <w:tcW w:w="2137" w:type="dxa"/>
            <w:gridSpan w:val="2"/>
            <w:tcBorders>
              <w:top w:val="single" w:sz="2" w:space="0" w:color="808080"/>
              <w:left w:val="single" w:sz="2" w:space="0" w:color="808080"/>
              <w:bottom w:val="single" w:sz="2" w:space="0" w:color="80808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市场状况</w:t>
            </w:r>
          </w:p>
        </w:tc>
        <w:tc>
          <w:tcPr>
            <w:tcW w:w="1127"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正常</w:t>
            </w:r>
          </w:p>
        </w:tc>
        <w:tc>
          <w:tcPr>
            <w:tcW w:w="565" w:type="dxa"/>
            <w:tcBorders>
              <w:top w:val="single" w:sz="2" w:space="0" w:color="808080"/>
              <w:left w:val="single" w:sz="2" w:space="0" w:color="808080"/>
              <w:bottom w:val="single" w:sz="2" w:space="0" w:color="808080"/>
            </w:tcBorders>
            <w:shd w:fill="auto" w:val="clear"/>
            <w:vAlign w:val="center"/>
          </w:tcPr>
          <w:p>
            <w:pPr>
              <w:pStyle w:val="Normal"/>
              <w:spacing w:lineRule="exact" w:line="240"/>
              <w:rPr/>
            </w:pPr>
            <w:r>
              <w:rPr>
                <w:rFonts w:eastAsia="仿宋_GB2312;仿宋" w:cs="Arial" w:ascii="Arial" w:hAnsi="Arial"/>
                <w:sz w:val="20"/>
                <w:szCs w:val="13"/>
              </w:rPr>
              <w:t>1</w:t>
            </w:r>
            <w:r>
              <w:rPr>
                <w:rFonts w:eastAsia="仿宋_GB2312;仿宋" w:cs="Arial" w:ascii="Arial" w:hAnsi="Arial"/>
                <w:sz w:val="20"/>
                <w:szCs w:val="13"/>
              </w:rPr>
              <w:t>00</w:t>
            </w:r>
          </w:p>
        </w:tc>
        <w:tc>
          <w:tcPr>
            <w:tcW w:w="1268"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正常</w:t>
            </w:r>
          </w:p>
        </w:tc>
        <w:tc>
          <w:tcPr>
            <w:tcW w:w="567" w:type="dxa"/>
            <w:tcBorders>
              <w:top w:val="single" w:sz="2" w:space="0" w:color="808080"/>
              <w:left w:val="single" w:sz="2" w:space="0" w:color="808080"/>
              <w:bottom w:val="single" w:sz="2" w:space="0" w:color="808080"/>
            </w:tcBorders>
            <w:shd w:fill="auto" w:val="clear"/>
            <w:vAlign w:val="center"/>
          </w:tcPr>
          <w:p>
            <w:pPr>
              <w:pStyle w:val="Normal"/>
              <w:spacing w:lineRule="exact" w:line="240"/>
              <w:rPr/>
            </w:pPr>
            <w:r>
              <w:rPr>
                <w:rFonts w:eastAsia="仿宋_GB2312;仿宋" w:cs="Arial" w:ascii="Arial" w:hAnsi="Arial"/>
                <w:sz w:val="20"/>
                <w:szCs w:val="13"/>
              </w:rPr>
              <w:t>1</w:t>
            </w:r>
            <w:r>
              <w:rPr>
                <w:rFonts w:eastAsia="仿宋_GB2312;仿宋" w:cs="Arial" w:ascii="Arial" w:hAnsi="Arial"/>
                <w:sz w:val="20"/>
                <w:szCs w:val="13"/>
              </w:rPr>
              <w:t>00</w:t>
            </w:r>
          </w:p>
        </w:tc>
        <w:tc>
          <w:tcPr>
            <w:tcW w:w="1127"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正常</w:t>
            </w:r>
          </w:p>
        </w:tc>
        <w:tc>
          <w:tcPr>
            <w:tcW w:w="702" w:type="dxa"/>
            <w:tcBorders>
              <w:top w:val="single" w:sz="2" w:space="0" w:color="808080"/>
              <w:left w:val="single" w:sz="2" w:space="0" w:color="808080"/>
              <w:bottom w:val="single" w:sz="2" w:space="0" w:color="808080"/>
            </w:tcBorders>
            <w:shd w:fill="auto" w:val="clear"/>
            <w:vAlign w:val="center"/>
          </w:tcPr>
          <w:p>
            <w:pPr>
              <w:pStyle w:val="Normal"/>
              <w:spacing w:lineRule="exact" w:line="240"/>
              <w:rPr/>
            </w:pPr>
            <w:r>
              <w:rPr>
                <w:rFonts w:eastAsia="仿宋_GB2312;仿宋" w:cs="Arial" w:ascii="Arial" w:hAnsi="Arial"/>
                <w:sz w:val="20"/>
                <w:szCs w:val="13"/>
              </w:rPr>
              <w:t>1</w:t>
            </w:r>
            <w:r>
              <w:rPr>
                <w:rFonts w:eastAsia="仿宋_GB2312;仿宋" w:cs="Arial" w:ascii="Arial" w:hAnsi="Arial"/>
                <w:sz w:val="20"/>
                <w:szCs w:val="13"/>
              </w:rPr>
              <w:t>00</w:t>
            </w:r>
          </w:p>
        </w:tc>
        <w:tc>
          <w:tcPr>
            <w:tcW w:w="1212"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正常</w:t>
            </w:r>
          </w:p>
        </w:tc>
        <w:tc>
          <w:tcPr>
            <w:tcW w:w="593" w:type="dxa"/>
            <w:tcBorders>
              <w:top w:val="single" w:sz="2" w:space="0" w:color="808080"/>
              <w:left w:val="single" w:sz="2" w:space="0" w:color="808080"/>
              <w:bottom w:val="single" w:sz="2" w:space="0" w:color="808080"/>
              <w:right w:val="single" w:sz="2" w:space="0" w:color="808080"/>
            </w:tcBorders>
            <w:shd w:fill="auto" w:val="clear"/>
            <w:vAlign w:val="center"/>
          </w:tcPr>
          <w:p>
            <w:pPr>
              <w:pStyle w:val="Normal"/>
              <w:spacing w:lineRule="exact" w:line="240"/>
              <w:rPr/>
            </w:pPr>
            <w:r>
              <w:rPr>
                <w:rFonts w:eastAsia="仿宋_GB2312;仿宋" w:cs="Arial" w:ascii="Arial" w:hAnsi="Arial"/>
                <w:sz w:val="20"/>
                <w:szCs w:val="13"/>
              </w:rPr>
              <w:t>1</w:t>
            </w:r>
            <w:r>
              <w:rPr>
                <w:rFonts w:eastAsia="仿宋_GB2312;仿宋" w:cs="Arial" w:ascii="Arial" w:hAnsi="Arial"/>
                <w:sz w:val="20"/>
                <w:szCs w:val="13"/>
              </w:rPr>
              <w:t>00</w:t>
            </w:r>
          </w:p>
        </w:tc>
      </w:tr>
      <w:tr>
        <w:trPr>
          <w:cantSplit w:val="true"/>
        </w:trPr>
        <w:tc>
          <w:tcPr>
            <w:tcW w:w="1010" w:type="dxa"/>
            <w:vMerge w:val="restart"/>
            <w:tcBorders>
              <w:top w:val="single" w:sz="2" w:space="0" w:color="808080"/>
              <w:left w:val="single" w:sz="2" w:space="0" w:color="808080"/>
              <w:bottom w:val="single" w:sz="2" w:space="0" w:color="40404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区域因素</w:t>
            </w:r>
          </w:p>
        </w:tc>
        <w:tc>
          <w:tcPr>
            <w:tcW w:w="1127" w:type="dxa"/>
            <w:tcBorders>
              <w:top w:val="single" w:sz="2" w:space="0" w:color="808080"/>
              <w:left w:val="single" w:sz="2" w:space="0" w:color="808080"/>
              <w:bottom w:val="single" w:sz="2" w:space="0" w:color="80808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产业聚集度</w:t>
            </w:r>
          </w:p>
        </w:tc>
        <w:tc>
          <w:tcPr>
            <w:tcW w:w="1127"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一般</w:t>
            </w:r>
          </w:p>
        </w:tc>
        <w:tc>
          <w:tcPr>
            <w:tcW w:w="565" w:type="dxa"/>
            <w:tcBorders>
              <w:top w:val="single" w:sz="2" w:space="0" w:color="808080"/>
              <w:left w:val="single" w:sz="2" w:space="0" w:color="808080"/>
              <w:bottom w:val="single" w:sz="2" w:space="0" w:color="808080"/>
            </w:tcBorders>
            <w:shd w:fill="auto" w:val="clear"/>
            <w:vAlign w:val="center"/>
          </w:tcPr>
          <w:p>
            <w:pPr>
              <w:pStyle w:val="Normal"/>
              <w:spacing w:lineRule="exact" w:line="240"/>
              <w:rPr/>
            </w:pPr>
            <w:r>
              <w:rPr>
                <w:rFonts w:eastAsia="仿宋_GB2312;仿宋" w:cs="Arial" w:ascii="Arial" w:hAnsi="Arial"/>
                <w:sz w:val="20"/>
                <w:szCs w:val="13"/>
              </w:rPr>
              <w:t>1</w:t>
            </w:r>
            <w:r>
              <w:rPr>
                <w:rFonts w:eastAsia="仿宋_GB2312;仿宋" w:cs="Arial" w:ascii="Arial" w:hAnsi="Arial"/>
                <w:sz w:val="20"/>
                <w:szCs w:val="13"/>
              </w:rPr>
              <w:t>00</w:t>
            </w:r>
          </w:p>
        </w:tc>
        <w:tc>
          <w:tcPr>
            <w:tcW w:w="1268"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较好</w:t>
            </w:r>
          </w:p>
        </w:tc>
        <w:tc>
          <w:tcPr>
            <w:tcW w:w="567"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w:t>
            </w:r>
            <w:r>
              <w:rPr>
                <w:rFonts w:eastAsia="仿宋_GB2312;仿宋" w:cs="Arial" w:ascii="Arial" w:hAnsi="Arial"/>
                <w:sz w:val="20"/>
                <w:szCs w:val="13"/>
              </w:rPr>
              <w:t>02</w:t>
            </w:r>
          </w:p>
        </w:tc>
        <w:tc>
          <w:tcPr>
            <w:tcW w:w="1127"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较好</w:t>
            </w:r>
          </w:p>
        </w:tc>
        <w:tc>
          <w:tcPr>
            <w:tcW w:w="702"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w:t>
            </w:r>
            <w:r>
              <w:rPr>
                <w:rFonts w:eastAsia="仿宋_GB2312;仿宋" w:cs="Arial" w:ascii="Arial" w:hAnsi="Arial"/>
                <w:sz w:val="20"/>
                <w:szCs w:val="13"/>
              </w:rPr>
              <w:t>02</w:t>
            </w:r>
          </w:p>
        </w:tc>
        <w:tc>
          <w:tcPr>
            <w:tcW w:w="1212"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一般</w:t>
            </w:r>
          </w:p>
        </w:tc>
        <w:tc>
          <w:tcPr>
            <w:tcW w:w="593" w:type="dxa"/>
            <w:tcBorders>
              <w:top w:val="single" w:sz="2" w:space="0" w:color="808080"/>
              <w:left w:val="single" w:sz="2" w:space="0" w:color="808080"/>
              <w:bottom w:val="single" w:sz="2" w:space="0" w:color="808080"/>
              <w:right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w:t>
            </w:r>
            <w:r>
              <w:rPr>
                <w:rFonts w:eastAsia="仿宋_GB2312;仿宋" w:cs="Arial" w:ascii="Arial" w:hAnsi="Arial"/>
                <w:sz w:val="20"/>
                <w:szCs w:val="13"/>
              </w:rPr>
              <w:t>00</w:t>
            </w:r>
          </w:p>
        </w:tc>
      </w:tr>
      <w:tr>
        <w:trPr>
          <w:cantSplit w:val="true"/>
        </w:trPr>
        <w:tc>
          <w:tcPr>
            <w:tcW w:w="1010" w:type="dxa"/>
            <w:vMerge w:val="continue"/>
            <w:tcBorders>
              <w:top w:val="single" w:sz="2" w:space="0" w:color="808080"/>
              <w:left w:val="single" w:sz="2" w:space="0" w:color="808080"/>
              <w:bottom w:val="single" w:sz="2" w:space="0" w:color="404040"/>
            </w:tcBorders>
            <w:shd w:fill="auto" w:val="clear"/>
            <w:vAlign w:val="center"/>
          </w:tcPr>
          <w:p>
            <w:pPr>
              <w:pStyle w:val="Normal"/>
              <w:widowControl/>
              <w:snapToGrid w:val="false"/>
              <w:rPr>
                <w:rFonts w:ascii="Arial" w:hAnsi="Arial" w:eastAsia="仿宋_GB2312;仿宋" w:cs="Arial"/>
                <w:sz w:val="20"/>
                <w:szCs w:val="13"/>
              </w:rPr>
            </w:pPr>
            <w:r>
              <w:rPr>
                <w:rFonts w:eastAsia="仿宋_GB2312;仿宋" w:cs="Arial" w:ascii="Arial" w:hAnsi="Arial"/>
                <w:sz w:val="20"/>
                <w:szCs w:val="13"/>
              </w:rPr>
            </w:r>
          </w:p>
        </w:tc>
        <w:tc>
          <w:tcPr>
            <w:tcW w:w="1127" w:type="dxa"/>
            <w:tcBorders>
              <w:top w:val="single" w:sz="2" w:space="0" w:color="808080"/>
              <w:left w:val="single" w:sz="2" w:space="0" w:color="808080"/>
              <w:bottom w:val="single" w:sz="2" w:space="0" w:color="80808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区域土地利用方向</w:t>
            </w:r>
          </w:p>
        </w:tc>
        <w:tc>
          <w:tcPr>
            <w:tcW w:w="1127"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较差</w:t>
            </w:r>
          </w:p>
        </w:tc>
        <w:tc>
          <w:tcPr>
            <w:tcW w:w="565" w:type="dxa"/>
            <w:tcBorders>
              <w:top w:val="single" w:sz="2" w:space="0" w:color="808080"/>
              <w:left w:val="single" w:sz="2" w:space="0" w:color="808080"/>
              <w:bottom w:val="single" w:sz="2" w:space="0" w:color="808080"/>
            </w:tcBorders>
            <w:shd w:fill="auto" w:val="clear"/>
            <w:vAlign w:val="center"/>
          </w:tcPr>
          <w:p>
            <w:pPr>
              <w:pStyle w:val="Normal"/>
              <w:spacing w:lineRule="exact" w:line="240"/>
              <w:rPr/>
            </w:pPr>
            <w:r>
              <w:rPr>
                <w:rFonts w:eastAsia="仿宋_GB2312;仿宋" w:cs="Arial" w:ascii="Arial" w:hAnsi="Arial"/>
                <w:sz w:val="20"/>
                <w:szCs w:val="13"/>
              </w:rPr>
              <w:t>1</w:t>
            </w:r>
            <w:r>
              <w:rPr>
                <w:rFonts w:eastAsia="仿宋_GB2312;仿宋" w:cs="Arial" w:ascii="Arial" w:hAnsi="Arial"/>
                <w:sz w:val="20"/>
                <w:szCs w:val="13"/>
              </w:rPr>
              <w:t>00</w:t>
            </w:r>
          </w:p>
        </w:tc>
        <w:tc>
          <w:tcPr>
            <w:tcW w:w="1268"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较好</w:t>
            </w:r>
          </w:p>
        </w:tc>
        <w:tc>
          <w:tcPr>
            <w:tcW w:w="567"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w:t>
            </w:r>
            <w:r>
              <w:rPr>
                <w:rFonts w:eastAsia="仿宋_GB2312;仿宋" w:cs="Arial" w:ascii="Arial" w:hAnsi="Arial"/>
                <w:sz w:val="20"/>
                <w:szCs w:val="13"/>
              </w:rPr>
              <w:t>02</w:t>
            </w:r>
          </w:p>
        </w:tc>
        <w:tc>
          <w:tcPr>
            <w:tcW w:w="1127"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较好</w:t>
            </w:r>
          </w:p>
        </w:tc>
        <w:tc>
          <w:tcPr>
            <w:tcW w:w="702"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w:t>
            </w:r>
            <w:r>
              <w:rPr>
                <w:rFonts w:eastAsia="仿宋_GB2312;仿宋" w:cs="Arial" w:ascii="Arial" w:hAnsi="Arial"/>
                <w:sz w:val="20"/>
                <w:szCs w:val="13"/>
              </w:rPr>
              <w:t>02</w:t>
            </w:r>
          </w:p>
        </w:tc>
        <w:tc>
          <w:tcPr>
            <w:tcW w:w="1212"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较好</w:t>
            </w:r>
          </w:p>
        </w:tc>
        <w:tc>
          <w:tcPr>
            <w:tcW w:w="593" w:type="dxa"/>
            <w:tcBorders>
              <w:top w:val="single" w:sz="2" w:space="0" w:color="808080"/>
              <w:left w:val="single" w:sz="2" w:space="0" w:color="808080"/>
              <w:bottom w:val="single" w:sz="2" w:space="0" w:color="808080"/>
              <w:right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w:t>
            </w:r>
            <w:r>
              <w:rPr>
                <w:rFonts w:eastAsia="仿宋_GB2312;仿宋" w:cs="Arial" w:ascii="Arial" w:hAnsi="Arial"/>
                <w:sz w:val="20"/>
                <w:szCs w:val="13"/>
              </w:rPr>
              <w:t>02</w:t>
            </w:r>
          </w:p>
        </w:tc>
      </w:tr>
      <w:tr>
        <w:trPr>
          <w:cantSplit w:val="true"/>
        </w:trPr>
        <w:tc>
          <w:tcPr>
            <w:tcW w:w="1010" w:type="dxa"/>
            <w:vMerge w:val="continue"/>
            <w:tcBorders>
              <w:top w:val="single" w:sz="2" w:space="0" w:color="808080"/>
              <w:left w:val="single" w:sz="2" w:space="0" w:color="808080"/>
              <w:bottom w:val="single" w:sz="2" w:space="0" w:color="404040"/>
            </w:tcBorders>
            <w:shd w:fill="auto" w:val="clear"/>
            <w:vAlign w:val="center"/>
          </w:tcPr>
          <w:p>
            <w:pPr>
              <w:pStyle w:val="Normal"/>
              <w:widowControl/>
              <w:snapToGrid w:val="false"/>
              <w:rPr>
                <w:rFonts w:ascii="Arial" w:hAnsi="Arial" w:eastAsia="仿宋_GB2312;仿宋" w:cs="Arial"/>
                <w:sz w:val="20"/>
                <w:szCs w:val="13"/>
              </w:rPr>
            </w:pPr>
            <w:r>
              <w:rPr>
                <w:rFonts w:eastAsia="仿宋_GB2312;仿宋" w:cs="Arial" w:ascii="Arial" w:hAnsi="Arial"/>
                <w:sz w:val="20"/>
                <w:szCs w:val="13"/>
              </w:rPr>
            </w:r>
          </w:p>
        </w:tc>
        <w:tc>
          <w:tcPr>
            <w:tcW w:w="1127" w:type="dxa"/>
            <w:tcBorders>
              <w:top w:val="single" w:sz="2" w:space="0" w:color="808080"/>
              <w:left w:val="single" w:sz="2" w:space="0" w:color="808080"/>
              <w:bottom w:val="single" w:sz="2" w:space="0" w:color="80808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交通便捷度</w:t>
            </w:r>
          </w:p>
        </w:tc>
        <w:tc>
          <w:tcPr>
            <w:tcW w:w="1127"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较好</w:t>
            </w:r>
          </w:p>
        </w:tc>
        <w:tc>
          <w:tcPr>
            <w:tcW w:w="565" w:type="dxa"/>
            <w:tcBorders>
              <w:top w:val="single" w:sz="2" w:space="0" w:color="808080"/>
              <w:left w:val="single" w:sz="2" w:space="0" w:color="808080"/>
              <w:bottom w:val="single" w:sz="2" w:space="0" w:color="808080"/>
            </w:tcBorders>
            <w:shd w:fill="auto" w:val="clear"/>
            <w:vAlign w:val="center"/>
          </w:tcPr>
          <w:p>
            <w:pPr>
              <w:pStyle w:val="Normal"/>
              <w:spacing w:lineRule="exact" w:line="240"/>
              <w:rPr/>
            </w:pPr>
            <w:r>
              <w:rPr>
                <w:rFonts w:eastAsia="仿宋_GB2312;仿宋" w:cs="Arial" w:ascii="Arial" w:hAnsi="Arial"/>
                <w:sz w:val="20"/>
                <w:szCs w:val="13"/>
              </w:rPr>
              <w:t>1</w:t>
            </w:r>
            <w:r>
              <w:rPr>
                <w:rFonts w:eastAsia="仿宋_GB2312;仿宋" w:cs="Arial" w:ascii="Arial" w:hAnsi="Arial"/>
                <w:sz w:val="20"/>
                <w:szCs w:val="13"/>
              </w:rPr>
              <w:t>00</w:t>
            </w:r>
          </w:p>
        </w:tc>
        <w:tc>
          <w:tcPr>
            <w:tcW w:w="1268"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较好</w:t>
            </w:r>
          </w:p>
        </w:tc>
        <w:tc>
          <w:tcPr>
            <w:tcW w:w="567" w:type="dxa"/>
            <w:tcBorders>
              <w:top w:val="single" w:sz="2" w:space="0" w:color="808080"/>
              <w:left w:val="single" w:sz="2" w:space="0" w:color="808080"/>
              <w:bottom w:val="single" w:sz="2" w:space="0" w:color="808080"/>
            </w:tcBorders>
            <w:shd w:fill="auto" w:val="clear"/>
            <w:vAlign w:val="center"/>
          </w:tcPr>
          <w:p>
            <w:pPr>
              <w:pStyle w:val="Normal"/>
              <w:spacing w:lineRule="exact" w:line="240"/>
              <w:rPr/>
            </w:pPr>
            <w:r>
              <w:rPr>
                <w:rFonts w:eastAsia="仿宋_GB2312;仿宋" w:cs="Arial" w:ascii="Arial" w:hAnsi="Arial"/>
                <w:sz w:val="20"/>
                <w:szCs w:val="13"/>
              </w:rPr>
              <w:t>1</w:t>
            </w:r>
            <w:r>
              <w:rPr>
                <w:rFonts w:eastAsia="仿宋_GB2312;仿宋" w:cs="Arial" w:ascii="Arial" w:hAnsi="Arial"/>
                <w:sz w:val="20"/>
                <w:szCs w:val="13"/>
              </w:rPr>
              <w:t>00</w:t>
            </w:r>
          </w:p>
        </w:tc>
        <w:tc>
          <w:tcPr>
            <w:tcW w:w="1127"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较好</w:t>
            </w:r>
          </w:p>
        </w:tc>
        <w:tc>
          <w:tcPr>
            <w:tcW w:w="702" w:type="dxa"/>
            <w:tcBorders>
              <w:top w:val="single" w:sz="2" w:space="0" w:color="808080"/>
              <w:left w:val="single" w:sz="2" w:space="0" w:color="808080"/>
              <w:bottom w:val="single" w:sz="2" w:space="0" w:color="808080"/>
            </w:tcBorders>
            <w:shd w:fill="auto" w:val="clear"/>
            <w:vAlign w:val="center"/>
          </w:tcPr>
          <w:p>
            <w:pPr>
              <w:pStyle w:val="Normal"/>
              <w:spacing w:lineRule="exact" w:line="240"/>
              <w:rPr/>
            </w:pPr>
            <w:r>
              <w:rPr>
                <w:rFonts w:eastAsia="仿宋_GB2312;仿宋" w:cs="Arial" w:ascii="Arial" w:hAnsi="Arial"/>
                <w:sz w:val="20"/>
                <w:szCs w:val="13"/>
              </w:rPr>
              <w:t>1</w:t>
            </w:r>
            <w:r>
              <w:rPr>
                <w:rFonts w:eastAsia="仿宋_GB2312;仿宋" w:cs="Arial" w:ascii="Arial" w:hAnsi="Arial"/>
                <w:sz w:val="20"/>
                <w:szCs w:val="13"/>
              </w:rPr>
              <w:t>00</w:t>
            </w:r>
          </w:p>
        </w:tc>
        <w:tc>
          <w:tcPr>
            <w:tcW w:w="1212"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较好</w:t>
            </w:r>
          </w:p>
        </w:tc>
        <w:tc>
          <w:tcPr>
            <w:tcW w:w="593" w:type="dxa"/>
            <w:tcBorders>
              <w:top w:val="single" w:sz="2" w:space="0" w:color="808080"/>
              <w:left w:val="single" w:sz="2" w:space="0" w:color="808080"/>
              <w:bottom w:val="single" w:sz="2" w:space="0" w:color="808080"/>
              <w:right w:val="single" w:sz="2" w:space="0" w:color="808080"/>
            </w:tcBorders>
            <w:shd w:fill="auto" w:val="clear"/>
            <w:vAlign w:val="center"/>
          </w:tcPr>
          <w:p>
            <w:pPr>
              <w:pStyle w:val="Normal"/>
              <w:spacing w:lineRule="exact" w:line="240"/>
              <w:rPr/>
            </w:pPr>
            <w:r>
              <w:rPr>
                <w:rFonts w:eastAsia="仿宋_GB2312;仿宋" w:cs="Arial" w:ascii="Arial" w:hAnsi="Arial"/>
                <w:sz w:val="20"/>
                <w:szCs w:val="13"/>
              </w:rPr>
              <w:t>1</w:t>
            </w:r>
            <w:r>
              <w:rPr>
                <w:rFonts w:eastAsia="仿宋_GB2312;仿宋" w:cs="Arial" w:ascii="Arial" w:hAnsi="Arial"/>
                <w:sz w:val="20"/>
                <w:szCs w:val="13"/>
              </w:rPr>
              <w:t>00</w:t>
            </w:r>
          </w:p>
        </w:tc>
      </w:tr>
      <w:tr>
        <w:trPr>
          <w:cantSplit w:val="true"/>
        </w:trPr>
        <w:tc>
          <w:tcPr>
            <w:tcW w:w="1010" w:type="dxa"/>
            <w:vMerge w:val="continue"/>
            <w:tcBorders>
              <w:top w:val="single" w:sz="2" w:space="0" w:color="808080"/>
              <w:left w:val="single" w:sz="2" w:space="0" w:color="808080"/>
              <w:bottom w:val="single" w:sz="2" w:space="0" w:color="404040"/>
            </w:tcBorders>
            <w:shd w:fill="auto" w:val="clear"/>
            <w:vAlign w:val="center"/>
          </w:tcPr>
          <w:p>
            <w:pPr>
              <w:pStyle w:val="Normal"/>
              <w:widowControl/>
              <w:snapToGrid w:val="false"/>
              <w:rPr>
                <w:rFonts w:ascii="Arial" w:hAnsi="Arial" w:eastAsia="仿宋_GB2312;仿宋" w:cs="Arial"/>
                <w:sz w:val="20"/>
                <w:szCs w:val="13"/>
              </w:rPr>
            </w:pPr>
            <w:r>
              <w:rPr>
                <w:rFonts w:eastAsia="仿宋_GB2312;仿宋" w:cs="Arial" w:ascii="Arial" w:hAnsi="Arial"/>
                <w:sz w:val="20"/>
                <w:szCs w:val="13"/>
              </w:rPr>
            </w:r>
          </w:p>
        </w:tc>
        <w:tc>
          <w:tcPr>
            <w:tcW w:w="1127" w:type="dxa"/>
            <w:tcBorders>
              <w:top w:val="single" w:sz="2" w:space="0" w:color="808080"/>
              <w:left w:val="single" w:sz="2" w:space="0" w:color="808080"/>
              <w:bottom w:val="single" w:sz="2" w:space="0" w:color="80808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区域设施及基础设施水平</w:t>
            </w:r>
          </w:p>
        </w:tc>
        <w:tc>
          <w:tcPr>
            <w:tcW w:w="1127"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较好</w:t>
            </w:r>
          </w:p>
        </w:tc>
        <w:tc>
          <w:tcPr>
            <w:tcW w:w="565" w:type="dxa"/>
            <w:tcBorders>
              <w:top w:val="single" w:sz="2" w:space="0" w:color="808080"/>
              <w:left w:val="single" w:sz="2" w:space="0" w:color="808080"/>
              <w:bottom w:val="single" w:sz="2" w:space="0" w:color="808080"/>
            </w:tcBorders>
            <w:shd w:fill="auto" w:val="clear"/>
            <w:vAlign w:val="center"/>
          </w:tcPr>
          <w:p>
            <w:pPr>
              <w:pStyle w:val="Normal"/>
              <w:spacing w:lineRule="exact" w:line="240"/>
              <w:rPr/>
            </w:pPr>
            <w:r>
              <w:rPr>
                <w:rFonts w:eastAsia="仿宋_GB2312;仿宋" w:cs="Arial" w:ascii="Arial" w:hAnsi="Arial"/>
                <w:sz w:val="20"/>
                <w:szCs w:val="13"/>
              </w:rPr>
              <w:t>1</w:t>
            </w:r>
            <w:r>
              <w:rPr>
                <w:rFonts w:eastAsia="仿宋_GB2312;仿宋" w:cs="Arial" w:ascii="Arial" w:hAnsi="Arial"/>
                <w:sz w:val="20"/>
                <w:szCs w:val="13"/>
              </w:rPr>
              <w:t>00</w:t>
            </w:r>
          </w:p>
        </w:tc>
        <w:tc>
          <w:tcPr>
            <w:tcW w:w="1268"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较好</w:t>
            </w:r>
          </w:p>
        </w:tc>
        <w:tc>
          <w:tcPr>
            <w:tcW w:w="567" w:type="dxa"/>
            <w:tcBorders>
              <w:top w:val="single" w:sz="2" w:space="0" w:color="808080"/>
              <w:left w:val="single" w:sz="2" w:space="0" w:color="808080"/>
              <w:bottom w:val="single" w:sz="2" w:space="0" w:color="808080"/>
            </w:tcBorders>
            <w:shd w:fill="auto" w:val="clear"/>
            <w:vAlign w:val="center"/>
          </w:tcPr>
          <w:p>
            <w:pPr>
              <w:pStyle w:val="Normal"/>
              <w:spacing w:lineRule="exact" w:line="240"/>
              <w:rPr/>
            </w:pPr>
            <w:r>
              <w:rPr>
                <w:rFonts w:eastAsia="仿宋_GB2312;仿宋" w:cs="Arial" w:ascii="Arial" w:hAnsi="Arial"/>
                <w:sz w:val="20"/>
                <w:szCs w:val="13"/>
              </w:rPr>
              <w:t>1</w:t>
            </w:r>
            <w:r>
              <w:rPr>
                <w:rFonts w:eastAsia="仿宋_GB2312;仿宋" w:cs="Arial" w:ascii="Arial" w:hAnsi="Arial"/>
                <w:sz w:val="20"/>
                <w:szCs w:val="13"/>
              </w:rPr>
              <w:t>00</w:t>
            </w:r>
          </w:p>
        </w:tc>
        <w:tc>
          <w:tcPr>
            <w:tcW w:w="1127"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较好</w:t>
            </w:r>
          </w:p>
        </w:tc>
        <w:tc>
          <w:tcPr>
            <w:tcW w:w="702" w:type="dxa"/>
            <w:tcBorders>
              <w:top w:val="single" w:sz="2" w:space="0" w:color="808080"/>
              <w:left w:val="single" w:sz="2" w:space="0" w:color="808080"/>
              <w:bottom w:val="single" w:sz="2" w:space="0" w:color="808080"/>
            </w:tcBorders>
            <w:shd w:fill="auto" w:val="clear"/>
            <w:vAlign w:val="center"/>
          </w:tcPr>
          <w:p>
            <w:pPr>
              <w:pStyle w:val="Normal"/>
              <w:spacing w:lineRule="exact" w:line="240"/>
              <w:rPr/>
            </w:pPr>
            <w:r>
              <w:rPr>
                <w:rFonts w:eastAsia="仿宋_GB2312;仿宋" w:cs="Arial" w:ascii="Arial" w:hAnsi="Arial"/>
                <w:sz w:val="20"/>
                <w:szCs w:val="13"/>
              </w:rPr>
              <w:t>1</w:t>
            </w:r>
            <w:r>
              <w:rPr>
                <w:rFonts w:eastAsia="仿宋_GB2312;仿宋" w:cs="Arial" w:ascii="Arial" w:hAnsi="Arial"/>
                <w:sz w:val="20"/>
                <w:szCs w:val="13"/>
              </w:rPr>
              <w:t>00</w:t>
            </w:r>
          </w:p>
        </w:tc>
        <w:tc>
          <w:tcPr>
            <w:tcW w:w="1212"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较好</w:t>
            </w:r>
          </w:p>
        </w:tc>
        <w:tc>
          <w:tcPr>
            <w:tcW w:w="593" w:type="dxa"/>
            <w:tcBorders>
              <w:top w:val="single" w:sz="2" w:space="0" w:color="808080"/>
              <w:left w:val="single" w:sz="2" w:space="0" w:color="808080"/>
              <w:bottom w:val="single" w:sz="2" w:space="0" w:color="808080"/>
              <w:right w:val="single" w:sz="2" w:space="0" w:color="808080"/>
            </w:tcBorders>
            <w:shd w:fill="auto" w:val="clear"/>
            <w:vAlign w:val="center"/>
          </w:tcPr>
          <w:p>
            <w:pPr>
              <w:pStyle w:val="Normal"/>
              <w:spacing w:lineRule="exact" w:line="240"/>
              <w:rPr/>
            </w:pPr>
            <w:r>
              <w:rPr>
                <w:rFonts w:eastAsia="仿宋_GB2312;仿宋" w:cs="Arial" w:ascii="Arial" w:hAnsi="Arial"/>
                <w:sz w:val="20"/>
                <w:szCs w:val="13"/>
              </w:rPr>
              <w:t>1</w:t>
            </w:r>
            <w:r>
              <w:rPr>
                <w:rFonts w:eastAsia="仿宋_GB2312;仿宋" w:cs="Arial" w:ascii="Arial" w:hAnsi="Arial"/>
                <w:sz w:val="20"/>
                <w:szCs w:val="13"/>
              </w:rPr>
              <w:t>00</w:t>
            </w:r>
          </w:p>
        </w:tc>
      </w:tr>
      <w:tr>
        <w:trPr>
          <w:cantSplit w:val="true"/>
        </w:trPr>
        <w:tc>
          <w:tcPr>
            <w:tcW w:w="1010" w:type="dxa"/>
            <w:vMerge w:val="continue"/>
            <w:tcBorders>
              <w:top w:val="single" w:sz="2" w:space="0" w:color="808080"/>
              <w:left w:val="single" w:sz="2" w:space="0" w:color="808080"/>
              <w:bottom w:val="single" w:sz="2" w:space="0" w:color="404040"/>
            </w:tcBorders>
            <w:shd w:fill="auto" w:val="clear"/>
            <w:vAlign w:val="center"/>
          </w:tcPr>
          <w:p>
            <w:pPr>
              <w:pStyle w:val="Normal"/>
              <w:widowControl/>
              <w:snapToGrid w:val="false"/>
              <w:rPr>
                <w:rFonts w:ascii="Arial" w:hAnsi="Arial" w:eastAsia="仿宋_GB2312;仿宋" w:cs="Arial"/>
                <w:sz w:val="20"/>
                <w:szCs w:val="13"/>
              </w:rPr>
            </w:pPr>
            <w:r>
              <w:rPr>
                <w:rFonts w:eastAsia="仿宋_GB2312;仿宋" w:cs="Arial" w:ascii="Arial" w:hAnsi="Arial"/>
                <w:sz w:val="20"/>
                <w:szCs w:val="13"/>
              </w:rPr>
            </w:r>
          </w:p>
        </w:tc>
        <w:tc>
          <w:tcPr>
            <w:tcW w:w="1127" w:type="dxa"/>
            <w:tcBorders>
              <w:top w:val="single" w:sz="2" w:space="0" w:color="808080"/>
              <w:left w:val="single" w:sz="2" w:space="0" w:color="808080"/>
              <w:bottom w:val="single" w:sz="2" w:space="0" w:color="80808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临街状况</w:t>
            </w:r>
          </w:p>
        </w:tc>
        <w:tc>
          <w:tcPr>
            <w:tcW w:w="1127"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不临街</w:t>
            </w:r>
          </w:p>
        </w:tc>
        <w:tc>
          <w:tcPr>
            <w:tcW w:w="565"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w:t>
            </w:r>
            <w:r>
              <w:rPr>
                <w:rFonts w:eastAsia="仿宋_GB2312;仿宋" w:cs="Arial" w:ascii="Arial" w:hAnsi="Arial"/>
                <w:sz w:val="20"/>
                <w:szCs w:val="13"/>
              </w:rPr>
              <w:t>00</w:t>
            </w:r>
          </w:p>
        </w:tc>
        <w:tc>
          <w:tcPr>
            <w:tcW w:w="1268"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单面临街</w:t>
            </w:r>
          </w:p>
        </w:tc>
        <w:tc>
          <w:tcPr>
            <w:tcW w:w="567"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w:t>
            </w:r>
            <w:r>
              <w:rPr>
                <w:rFonts w:eastAsia="仿宋_GB2312;仿宋" w:cs="Arial" w:ascii="Arial" w:hAnsi="Arial"/>
                <w:sz w:val="20"/>
                <w:szCs w:val="13"/>
              </w:rPr>
              <w:t>02</w:t>
            </w:r>
          </w:p>
        </w:tc>
        <w:tc>
          <w:tcPr>
            <w:tcW w:w="1127"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单面临街</w:t>
            </w:r>
          </w:p>
        </w:tc>
        <w:tc>
          <w:tcPr>
            <w:tcW w:w="702"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w:t>
            </w:r>
            <w:r>
              <w:rPr>
                <w:rFonts w:eastAsia="仿宋_GB2312;仿宋" w:cs="Arial" w:ascii="Arial" w:hAnsi="Arial"/>
                <w:sz w:val="20"/>
                <w:szCs w:val="13"/>
              </w:rPr>
              <w:t>02</w:t>
            </w:r>
          </w:p>
        </w:tc>
        <w:tc>
          <w:tcPr>
            <w:tcW w:w="1212"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单面临街</w:t>
            </w:r>
          </w:p>
        </w:tc>
        <w:tc>
          <w:tcPr>
            <w:tcW w:w="593" w:type="dxa"/>
            <w:tcBorders>
              <w:top w:val="single" w:sz="2" w:space="0" w:color="808080"/>
              <w:left w:val="single" w:sz="2" w:space="0" w:color="808080"/>
              <w:bottom w:val="single" w:sz="2" w:space="0" w:color="808080"/>
              <w:right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w:t>
            </w:r>
            <w:r>
              <w:rPr>
                <w:rFonts w:eastAsia="仿宋_GB2312;仿宋" w:cs="Arial" w:ascii="Arial" w:hAnsi="Arial"/>
                <w:sz w:val="20"/>
                <w:szCs w:val="13"/>
              </w:rPr>
              <w:t>02</w:t>
            </w:r>
          </w:p>
        </w:tc>
      </w:tr>
      <w:tr>
        <w:trPr>
          <w:cantSplit w:val="true"/>
        </w:trPr>
        <w:tc>
          <w:tcPr>
            <w:tcW w:w="1010" w:type="dxa"/>
            <w:vMerge w:val="restart"/>
            <w:tcBorders>
              <w:top w:val="single" w:sz="2" w:space="0" w:color="808080"/>
              <w:left w:val="single" w:sz="2" w:space="0" w:color="808080"/>
              <w:bottom w:val="single" w:sz="2" w:space="0" w:color="80808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个别因素</w:t>
            </w:r>
          </w:p>
        </w:tc>
        <w:tc>
          <w:tcPr>
            <w:tcW w:w="1127" w:type="dxa"/>
            <w:tcBorders>
              <w:top w:val="single" w:sz="2" w:space="0" w:color="808080"/>
              <w:left w:val="single" w:sz="2" w:space="0" w:color="808080"/>
              <w:bottom w:val="single" w:sz="2" w:space="0" w:color="80808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宗地面积</w:t>
            </w:r>
            <w:r>
              <w:rPr>
                <w:rFonts w:eastAsia="仿宋_GB2312;仿宋" w:cs="Arial" w:ascii="Arial" w:hAnsi="Arial"/>
                <w:sz w:val="20"/>
                <w:szCs w:val="13"/>
              </w:rPr>
              <w:t>(</w:t>
            </w:r>
            <w:r>
              <w:rPr>
                <w:rFonts w:ascii="Arial" w:hAnsi="Arial" w:cs="Arial" w:eastAsia="仿宋_GB2312;仿宋"/>
                <w:sz w:val="20"/>
                <w:szCs w:val="13"/>
              </w:rPr>
              <w:t>平方米</w:t>
            </w:r>
            <w:r>
              <w:rPr>
                <w:rFonts w:eastAsia="仿宋_GB2312;仿宋" w:cs="Arial" w:ascii="Arial" w:hAnsi="Arial"/>
                <w:sz w:val="20"/>
                <w:szCs w:val="13"/>
              </w:rPr>
              <w:t>)</w:t>
            </w:r>
          </w:p>
        </w:tc>
        <w:tc>
          <w:tcPr>
            <w:tcW w:w="1127" w:type="dxa"/>
            <w:tcBorders>
              <w:top w:val="single" w:sz="2" w:space="0" w:color="808080"/>
              <w:left w:val="single" w:sz="2" w:space="0" w:color="808080"/>
              <w:bottom w:val="single" w:sz="2" w:space="0" w:color="808080"/>
            </w:tcBorders>
            <w:shd w:fill="auto" w:val="clear"/>
          </w:tcPr>
          <w:p>
            <w:pPr>
              <w:pStyle w:val="Normal"/>
              <w:rPr>
                <w:rFonts w:ascii="Arial" w:hAnsi="Arial" w:eastAsia="仿宋_GB2312;仿宋" w:cs="Arial"/>
                <w:sz w:val="20"/>
                <w:szCs w:val="13"/>
              </w:rPr>
            </w:pPr>
            <w:r>
              <w:rPr>
                <w:rFonts w:eastAsia="仿宋_GB2312;仿宋" w:cs="Arial" w:ascii="Arial" w:hAnsi="Arial"/>
                <w:sz w:val="20"/>
                <w:szCs w:val="13"/>
              </w:rPr>
              <w:t>10738.85</w:t>
            </w:r>
          </w:p>
        </w:tc>
        <w:tc>
          <w:tcPr>
            <w:tcW w:w="565" w:type="dxa"/>
            <w:tcBorders>
              <w:top w:val="single" w:sz="2" w:space="0" w:color="808080"/>
              <w:left w:val="single" w:sz="2" w:space="0" w:color="808080"/>
              <w:bottom w:val="single" w:sz="2" w:space="0" w:color="808080"/>
            </w:tcBorders>
            <w:shd w:fill="auto" w:val="clear"/>
          </w:tcPr>
          <w:p>
            <w:pPr>
              <w:pStyle w:val="Normal"/>
              <w:rPr>
                <w:rFonts w:ascii="Arial" w:hAnsi="Arial" w:eastAsia="仿宋_GB2312;仿宋" w:cs="Arial"/>
                <w:sz w:val="20"/>
                <w:szCs w:val="13"/>
              </w:rPr>
            </w:pPr>
            <w:r>
              <w:rPr>
                <w:rFonts w:eastAsia="仿宋_GB2312;仿宋" w:cs="Arial" w:ascii="Arial" w:hAnsi="Arial"/>
                <w:sz w:val="20"/>
                <w:szCs w:val="13"/>
              </w:rPr>
              <w:t>100</w:t>
            </w:r>
          </w:p>
        </w:tc>
        <w:tc>
          <w:tcPr>
            <w:tcW w:w="1268" w:type="dxa"/>
            <w:tcBorders>
              <w:top w:val="single" w:sz="2" w:space="0" w:color="808080"/>
              <w:left w:val="single" w:sz="2" w:space="0" w:color="808080"/>
              <w:bottom w:val="single" w:sz="2" w:space="0" w:color="808080"/>
            </w:tcBorders>
            <w:shd w:fill="auto" w:val="clear"/>
          </w:tcPr>
          <w:p>
            <w:pPr>
              <w:pStyle w:val="Normal"/>
              <w:rPr>
                <w:rFonts w:ascii="Arial" w:hAnsi="Arial" w:eastAsia="仿宋_GB2312;仿宋" w:cs="Arial"/>
                <w:sz w:val="20"/>
                <w:szCs w:val="13"/>
              </w:rPr>
            </w:pPr>
            <w:r>
              <w:rPr>
                <w:rFonts w:eastAsia="仿宋_GB2312;仿宋" w:cs="Arial" w:ascii="Arial" w:hAnsi="Arial"/>
                <w:sz w:val="20"/>
                <w:szCs w:val="13"/>
              </w:rPr>
              <w:t>180055.75</w:t>
            </w:r>
          </w:p>
        </w:tc>
        <w:tc>
          <w:tcPr>
            <w:tcW w:w="567" w:type="dxa"/>
            <w:tcBorders>
              <w:top w:val="single" w:sz="2" w:space="0" w:color="808080"/>
              <w:left w:val="single" w:sz="2" w:space="0" w:color="808080"/>
              <w:bottom w:val="single" w:sz="2" w:space="0" w:color="808080"/>
            </w:tcBorders>
            <w:shd w:fill="auto" w:val="clear"/>
          </w:tcPr>
          <w:p>
            <w:pPr>
              <w:pStyle w:val="Normal"/>
              <w:rPr>
                <w:rFonts w:ascii="Arial" w:hAnsi="Arial" w:eastAsia="仿宋_GB2312;仿宋" w:cs="Arial"/>
                <w:sz w:val="20"/>
                <w:szCs w:val="13"/>
              </w:rPr>
            </w:pPr>
            <w:r>
              <w:rPr>
                <w:rFonts w:eastAsia="仿宋_GB2312;仿宋" w:cs="Arial" w:ascii="Arial" w:hAnsi="Arial"/>
                <w:sz w:val="20"/>
                <w:szCs w:val="13"/>
              </w:rPr>
              <w:t>97</w:t>
            </w:r>
          </w:p>
        </w:tc>
        <w:tc>
          <w:tcPr>
            <w:tcW w:w="1127" w:type="dxa"/>
            <w:tcBorders>
              <w:top w:val="single" w:sz="2" w:space="0" w:color="808080"/>
              <w:left w:val="single" w:sz="2" w:space="0" w:color="808080"/>
              <w:bottom w:val="single" w:sz="2" w:space="0" w:color="808080"/>
            </w:tcBorders>
            <w:shd w:fill="auto" w:val="clear"/>
          </w:tcPr>
          <w:p>
            <w:pPr>
              <w:pStyle w:val="Normal"/>
              <w:rPr>
                <w:rFonts w:ascii="Arial" w:hAnsi="Arial" w:eastAsia="仿宋_GB2312;仿宋" w:cs="Arial"/>
                <w:sz w:val="20"/>
                <w:szCs w:val="13"/>
              </w:rPr>
            </w:pPr>
            <w:r>
              <w:rPr>
                <w:rFonts w:eastAsia="仿宋_GB2312;仿宋" w:cs="Arial" w:ascii="Arial" w:hAnsi="Arial"/>
                <w:sz w:val="20"/>
                <w:szCs w:val="13"/>
              </w:rPr>
              <w:t>187577</w:t>
            </w:r>
          </w:p>
        </w:tc>
        <w:tc>
          <w:tcPr>
            <w:tcW w:w="702" w:type="dxa"/>
            <w:tcBorders>
              <w:top w:val="single" w:sz="2" w:space="0" w:color="808080"/>
              <w:left w:val="single" w:sz="2" w:space="0" w:color="808080"/>
              <w:bottom w:val="single" w:sz="2" w:space="0" w:color="808080"/>
            </w:tcBorders>
            <w:shd w:fill="auto" w:val="clear"/>
          </w:tcPr>
          <w:p>
            <w:pPr>
              <w:pStyle w:val="Normal"/>
              <w:rPr>
                <w:rFonts w:ascii="Arial" w:hAnsi="Arial" w:eastAsia="仿宋_GB2312;仿宋" w:cs="Arial"/>
                <w:sz w:val="20"/>
                <w:szCs w:val="13"/>
              </w:rPr>
            </w:pPr>
            <w:r>
              <w:rPr>
                <w:rFonts w:eastAsia="仿宋_GB2312;仿宋" w:cs="Arial" w:ascii="Arial" w:hAnsi="Arial"/>
                <w:sz w:val="20"/>
                <w:szCs w:val="13"/>
              </w:rPr>
              <w:t>97</w:t>
            </w:r>
          </w:p>
        </w:tc>
        <w:tc>
          <w:tcPr>
            <w:tcW w:w="1212" w:type="dxa"/>
            <w:tcBorders>
              <w:top w:val="single" w:sz="2" w:space="0" w:color="808080"/>
              <w:left w:val="single" w:sz="2" w:space="0" w:color="808080"/>
              <w:bottom w:val="single" w:sz="2" w:space="0" w:color="808080"/>
            </w:tcBorders>
            <w:shd w:fill="auto" w:val="clear"/>
          </w:tcPr>
          <w:p>
            <w:pPr>
              <w:pStyle w:val="Normal"/>
              <w:rPr>
                <w:rFonts w:ascii="Arial" w:hAnsi="Arial" w:eastAsia="仿宋_GB2312;仿宋" w:cs="Arial"/>
                <w:sz w:val="20"/>
                <w:szCs w:val="13"/>
              </w:rPr>
            </w:pPr>
            <w:r>
              <w:rPr>
                <w:rFonts w:eastAsia="仿宋_GB2312;仿宋" w:cs="Arial" w:ascii="Arial" w:hAnsi="Arial"/>
                <w:sz w:val="20"/>
                <w:szCs w:val="13"/>
              </w:rPr>
              <w:t>156502.608</w:t>
            </w:r>
          </w:p>
        </w:tc>
        <w:tc>
          <w:tcPr>
            <w:tcW w:w="593" w:type="dxa"/>
            <w:tcBorders>
              <w:top w:val="single" w:sz="2" w:space="0" w:color="808080"/>
              <w:left w:val="single" w:sz="2" w:space="0" w:color="808080"/>
              <w:bottom w:val="single" w:sz="2" w:space="0" w:color="808080"/>
              <w:right w:val="single" w:sz="2" w:space="0" w:color="808080"/>
            </w:tcBorders>
            <w:shd w:fill="auto" w:val="clear"/>
          </w:tcPr>
          <w:p>
            <w:pPr>
              <w:pStyle w:val="Normal"/>
              <w:rPr>
                <w:rFonts w:ascii="Arial" w:hAnsi="Arial" w:eastAsia="仿宋_GB2312;仿宋" w:cs="Arial"/>
                <w:sz w:val="20"/>
                <w:szCs w:val="13"/>
              </w:rPr>
            </w:pPr>
            <w:r>
              <w:rPr>
                <w:rFonts w:eastAsia="仿宋_GB2312;仿宋" w:cs="Arial" w:ascii="Arial" w:hAnsi="Arial"/>
                <w:sz w:val="20"/>
                <w:szCs w:val="13"/>
              </w:rPr>
              <w:t>97</w:t>
            </w:r>
          </w:p>
        </w:tc>
      </w:tr>
      <w:tr>
        <w:trPr>
          <w:cantSplit w:val="true"/>
        </w:trPr>
        <w:tc>
          <w:tcPr>
            <w:tcW w:w="1010" w:type="dxa"/>
            <w:vMerge w:val="continue"/>
            <w:tcBorders>
              <w:top w:val="single" w:sz="2" w:space="0" w:color="808080"/>
              <w:left w:val="single" w:sz="2" w:space="0" w:color="808080"/>
              <w:bottom w:val="single" w:sz="2" w:space="0" w:color="808080"/>
            </w:tcBorders>
            <w:shd w:fill="auto" w:val="clear"/>
            <w:vAlign w:val="center"/>
          </w:tcPr>
          <w:p>
            <w:pPr>
              <w:pStyle w:val="Normal"/>
              <w:widowControl/>
              <w:snapToGrid w:val="false"/>
              <w:rPr>
                <w:rFonts w:ascii="Arial" w:hAnsi="Arial" w:eastAsia="仿宋_GB2312;仿宋" w:cs="Arial"/>
                <w:sz w:val="20"/>
                <w:szCs w:val="13"/>
              </w:rPr>
            </w:pPr>
            <w:r>
              <w:rPr>
                <w:rFonts w:eastAsia="仿宋_GB2312;仿宋" w:cs="Arial" w:ascii="Arial" w:hAnsi="Arial"/>
                <w:sz w:val="20"/>
                <w:szCs w:val="13"/>
              </w:rPr>
            </w:r>
          </w:p>
        </w:tc>
        <w:tc>
          <w:tcPr>
            <w:tcW w:w="1127" w:type="dxa"/>
            <w:tcBorders>
              <w:top w:val="single" w:sz="2" w:space="0" w:color="808080"/>
              <w:left w:val="single" w:sz="2" w:space="0" w:color="808080"/>
              <w:bottom w:val="single" w:sz="2" w:space="0" w:color="80808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宗地形状</w:t>
            </w:r>
          </w:p>
        </w:tc>
        <w:tc>
          <w:tcPr>
            <w:tcW w:w="1127" w:type="dxa"/>
            <w:tcBorders>
              <w:top w:val="single" w:sz="2" w:space="0" w:color="808080"/>
              <w:left w:val="single" w:sz="2" w:space="0" w:color="808080"/>
              <w:bottom w:val="single" w:sz="2" w:space="0" w:color="808080"/>
            </w:tcBorders>
            <w:shd w:fill="auto" w:val="clear"/>
            <w:vAlign w:val="center"/>
          </w:tcPr>
          <w:p>
            <w:pPr>
              <w:pStyle w:val="Normal"/>
              <w:rPr>
                <w:rFonts w:ascii="Arial" w:hAnsi="Arial" w:eastAsia="仿宋_GB2312;仿宋" w:cs="Arial"/>
                <w:sz w:val="20"/>
                <w:szCs w:val="13"/>
              </w:rPr>
            </w:pPr>
            <w:r>
              <w:rPr>
                <w:rFonts w:ascii="Arial" w:hAnsi="Arial" w:cs="Arial" w:eastAsia="仿宋_GB2312;仿宋"/>
                <w:sz w:val="20"/>
                <w:szCs w:val="13"/>
              </w:rPr>
              <w:t>宗地形状不规则，对宗地利用有影响</w:t>
            </w:r>
          </w:p>
        </w:tc>
        <w:tc>
          <w:tcPr>
            <w:tcW w:w="565" w:type="dxa"/>
            <w:tcBorders>
              <w:top w:val="single" w:sz="2" w:space="0" w:color="808080"/>
              <w:left w:val="single" w:sz="2" w:space="0" w:color="808080"/>
              <w:bottom w:val="single" w:sz="2" w:space="0" w:color="808080"/>
            </w:tcBorders>
            <w:shd w:fill="auto" w:val="clear"/>
            <w:vAlign w:val="center"/>
          </w:tcPr>
          <w:p>
            <w:pPr>
              <w:pStyle w:val="Normal"/>
              <w:rPr>
                <w:rFonts w:ascii="Arial" w:hAnsi="Arial" w:eastAsia="仿宋_GB2312;仿宋" w:cs="Arial"/>
                <w:sz w:val="20"/>
                <w:szCs w:val="13"/>
              </w:rPr>
            </w:pPr>
            <w:r>
              <w:rPr>
                <w:rFonts w:eastAsia="仿宋_GB2312;仿宋" w:cs="Arial" w:ascii="Arial" w:hAnsi="Arial"/>
                <w:sz w:val="20"/>
                <w:szCs w:val="13"/>
              </w:rPr>
              <w:t>100</w:t>
            </w:r>
          </w:p>
        </w:tc>
        <w:tc>
          <w:tcPr>
            <w:tcW w:w="1268" w:type="dxa"/>
            <w:tcBorders>
              <w:top w:val="single" w:sz="2" w:space="0" w:color="808080"/>
              <w:left w:val="single" w:sz="2" w:space="0" w:color="808080"/>
              <w:bottom w:val="single" w:sz="2" w:space="0" w:color="808080"/>
            </w:tcBorders>
            <w:shd w:fill="auto" w:val="clear"/>
            <w:vAlign w:val="center"/>
          </w:tcPr>
          <w:p>
            <w:pPr>
              <w:pStyle w:val="Normal"/>
              <w:rPr>
                <w:rFonts w:ascii="Arial" w:hAnsi="Arial" w:eastAsia="仿宋_GB2312;仿宋" w:cs="Arial"/>
                <w:sz w:val="20"/>
                <w:szCs w:val="13"/>
              </w:rPr>
            </w:pPr>
            <w:r>
              <w:rPr>
                <w:rFonts w:ascii="Arial" w:hAnsi="Arial" w:cs="Arial" w:eastAsia="仿宋_GB2312;仿宋"/>
                <w:sz w:val="20"/>
                <w:szCs w:val="13"/>
              </w:rPr>
              <w:t>较规则，无影响</w:t>
            </w:r>
          </w:p>
        </w:tc>
        <w:tc>
          <w:tcPr>
            <w:tcW w:w="567" w:type="dxa"/>
            <w:tcBorders>
              <w:top w:val="single" w:sz="2" w:space="0" w:color="808080"/>
              <w:left w:val="single" w:sz="2" w:space="0" w:color="808080"/>
              <w:bottom w:val="single" w:sz="2" w:space="0" w:color="808080"/>
            </w:tcBorders>
            <w:shd w:fill="auto" w:val="clear"/>
            <w:vAlign w:val="center"/>
          </w:tcPr>
          <w:p>
            <w:pPr>
              <w:pStyle w:val="Normal"/>
              <w:rPr>
                <w:rFonts w:ascii="Arial" w:hAnsi="Arial" w:eastAsia="仿宋_GB2312;仿宋" w:cs="Arial"/>
                <w:sz w:val="20"/>
                <w:szCs w:val="13"/>
              </w:rPr>
            </w:pPr>
            <w:r>
              <w:rPr>
                <w:rFonts w:eastAsia="仿宋_GB2312;仿宋" w:cs="Arial" w:ascii="Arial" w:hAnsi="Arial"/>
                <w:sz w:val="20"/>
                <w:szCs w:val="13"/>
              </w:rPr>
              <w:t>10</w:t>
            </w:r>
            <w:r>
              <w:rPr>
                <w:rFonts w:eastAsia="仿宋_GB2312;仿宋" w:cs="Arial" w:ascii="Arial" w:hAnsi="Arial"/>
                <w:sz w:val="20"/>
                <w:szCs w:val="13"/>
              </w:rPr>
              <w:t>2</w:t>
            </w:r>
          </w:p>
        </w:tc>
        <w:tc>
          <w:tcPr>
            <w:tcW w:w="1127" w:type="dxa"/>
            <w:tcBorders>
              <w:top w:val="single" w:sz="2" w:space="0" w:color="808080"/>
              <w:left w:val="single" w:sz="2" w:space="0" w:color="808080"/>
              <w:bottom w:val="single" w:sz="2" w:space="0" w:color="808080"/>
            </w:tcBorders>
            <w:shd w:fill="auto" w:val="clear"/>
            <w:vAlign w:val="center"/>
          </w:tcPr>
          <w:p>
            <w:pPr>
              <w:pStyle w:val="Normal"/>
              <w:rPr>
                <w:rFonts w:ascii="Arial" w:hAnsi="Arial" w:eastAsia="仿宋_GB2312;仿宋" w:cs="Arial"/>
                <w:sz w:val="20"/>
                <w:szCs w:val="13"/>
              </w:rPr>
            </w:pPr>
            <w:r>
              <w:rPr>
                <w:rFonts w:ascii="Arial" w:hAnsi="Arial" w:cs="Arial" w:eastAsia="仿宋_GB2312;仿宋"/>
                <w:sz w:val="20"/>
                <w:szCs w:val="13"/>
              </w:rPr>
              <w:t>较规则，无影响</w:t>
            </w:r>
          </w:p>
        </w:tc>
        <w:tc>
          <w:tcPr>
            <w:tcW w:w="702" w:type="dxa"/>
            <w:tcBorders>
              <w:top w:val="single" w:sz="2" w:space="0" w:color="808080"/>
              <w:left w:val="single" w:sz="2" w:space="0" w:color="808080"/>
              <w:bottom w:val="single" w:sz="2" w:space="0" w:color="808080"/>
            </w:tcBorders>
            <w:shd w:fill="auto" w:val="clear"/>
            <w:vAlign w:val="center"/>
          </w:tcPr>
          <w:p>
            <w:pPr>
              <w:pStyle w:val="Normal"/>
              <w:rPr>
                <w:rFonts w:ascii="Arial" w:hAnsi="Arial" w:eastAsia="仿宋_GB2312;仿宋" w:cs="Arial"/>
                <w:sz w:val="20"/>
                <w:szCs w:val="13"/>
              </w:rPr>
            </w:pPr>
            <w:r>
              <w:rPr>
                <w:rFonts w:eastAsia="仿宋_GB2312;仿宋" w:cs="Arial" w:ascii="Arial" w:hAnsi="Arial"/>
                <w:sz w:val="20"/>
                <w:szCs w:val="13"/>
              </w:rPr>
              <w:t>10</w:t>
            </w:r>
            <w:r>
              <w:rPr>
                <w:rFonts w:eastAsia="仿宋_GB2312;仿宋" w:cs="Arial" w:ascii="Arial" w:hAnsi="Arial"/>
                <w:sz w:val="20"/>
                <w:szCs w:val="13"/>
              </w:rPr>
              <w:t>2</w:t>
            </w:r>
          </w:p>
        </w:tc>
        <w:tc>
          <w:tcPr>
            <w:tcW w:w="1212" w:type="dxa"/>
            <w:tcBorders>
              <w:top w:val="single" w:sz="2" w:space="0" w:color="808080"/>
              <w:left w:val="single" w:sz="2" w:space="0" w:color="808080"/>
              <w:bottom w:val="single" w:sz="2" w:space="0" w:color="808080"/>
            </w:tcBorders>
            <w:shd w:fill="auto" w:val="clear"/>
            <w:vAlign w:val="center"/>
          </w:tcPr>
          <w:p>
            <w:pPr>
              <w:pStyle w:val="Normal"/>
              <w:rPr>
                <w:rFonts w:ascii="Arial" w:hAnsi="Arial" w:eastAsia="仿宋_GB2312;仿宋" w:cs="Arial"/>
                <w:sz w:val="20"/>
                <w:szCs w:val="13"/>
              </w:rPr>
            </w:pPr>
            <w:r>
              <w:rPr>
                <w:rFonts w:ascii="Arial" w:hAnsi="Arial" w:cs="Arial" w:eastAsia="仿宋_GB2312;仿宋"/>
                <w:sz w:val="20"/>
                <w:szCs w:val="13"/>
              </w:rPr>
              <w:t>较规则，无影响</w:t>
            </w:r>
          </w:p>
        </w:tc>
        <w:tc>
          <w:tcPr>
            <w:tcW w:w="593" w:type="dxa"/>
            <w:tcBorders>
              <w:top w:val="single" w:sz="2" w:space="0" w:color="808080"/>
              <w:left w:val="single" w:sz="2" w:space="0" w:color="808080"/>
              <w:bottom w:val="single" w:sz="2" w:space="0" w:color="808080"/>
              <w:right w:val="single" w:sz="2" w:space="0" w:color="808080"/>
            </w:tcBorders>
            <w:shd w:fill="auto" w:val="clear"/>
            <w:vAlign w:val="center"/>
          </w:tcPr>
          <w:p>
            <w:pPr>
              <w:pStyle w:val="Normal"/>
              <w:rPr>
                <w:rFonts w:ascii="Arial" w:hAnsi="Arial" w:eastAsia="仿宋_GB2312;仿宋" w:cs="Arial"/>
                <w:sz w:val="20"/>
                <w:szCs w:val="13"/>
              </w:rPr>
            </w:pPr>
            <w:r>
              <w:rPr>
                <w:rFonts w:eastAsia="仿宋_GB2312;仿宋" w:cs="Arial" w:ascii="Arial" w:hAnsi="Arial"/>
                <w:sz w:val="20"/>
                <w:szCs w:val="13"/>
              </w:rPr>
              <w:t>10</w:t>
            </w:r>
            <w:r>
              <w:rPr>
                <w:rFonts w:eastAsia="仿宋_GB2312;仿宋" w:cs="Arial" w:ascii="Arial" w:hAnsi="Arial"/>
                <w:sz w:val="20"/>
                <w:szCs w:val="13"/>
              </w:rPr>
              <w:t>2</w:t>
            </w:r>
          </w:p>
        </w:tc>
      </w:tr>
    </w:tbl>
    <w:p>
      <w:pPr>
        <w:pStyle w:val="Normal"/>
        <w:spacing w:lineRule="auto" w:line="360"/>
        <w:jc w:val="center"/>
        <w:rPr>
          <w:rFonts w:cs="Arial"/>
        </w:rPr>
      </w:pPr>
      <w:r>
        <w:rPr>
          <w:rFonts w:ascii="Arial" w:hAnsi="Arial" w:cs="Arial" w:eastAsia="仿宋"/>
          <w:b/>
          <w:bCs/>
          <w:szCs w:val="24"/>
        </w:rPr>
        <w:t>因素修正及调整系数表</w:t>
      </w:r>
    </w:p>
    <w:tbl>
      <w:tblPr>
        <w:tblW w:w="9305" w:type="dxa"/>
        <w:jc w:val="center"/>
        <w:tblInd w:w="0" w:type="dxa"/>
        <w:tblCellMar>
          <w:top w:w="57" w:type="dxa"/>
          <w:left w:w="28" w:type="dxa"/>
          <w:bottom w:w="57" w:type="dxa"/>
          <w:right w:w="28" w:type="dxa"/>
        </w:tblCellMar>
      </w:tblPr>
      <w:tblGrid>
        <w:gridCol w:w="1136"/>
        <w:gridCol w:w="2386"/>
        <w:gridCol w:w="524"/>
        <w:gridCol w:w="1456"/>
        <w:gridCol w:w="596"/>
        <w:gridCol w:w="1316"/>
        <w:gridCol w:w="526"/>
        <w:gridCol w:w="1365"/>
      </w:tblGrid>
      <w:tr>
        <w:trPr/>
        <w:tc>
          <w:tcPr>
            <w:tcW w:w="3522" w:type="dxa"/>
            <w:gridSpan w:val="2"/>
            <w:tcBorders>
              <w:top w:val="single" w:sz="2" w:space="0" w:color="404040"/>
              <w:left w:val="single" w:sz="2" w:space="0" w:color="404040"/>
              <w:bottom w:val="single" w:sz="2" w:space="0" w:color="40404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比较因素</w:t>
            </w:r>
          </w:p>
        </w:tc>
        <w:tc>
          <w:tcPr>
            <w:tcW w:w="1980" w:type="dxa"/>
            <w:gridSpan w:val="2"/>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序号</w:t>
            </w:r>
            <w:r>
              <w:rPr>
                <w:rFonts w:eastAsia="仿宋_GB2312;仿宋" w:cs="Arial" w:ascii="Arial" w:hAnsi="Arial"/>
                <w:sz w:val="20"/>
                <w:szCs w:val="13"/>
              </w:rPr>
              <w:t>1</w:t>
            </w:r>
          </w:p>
        </w:tc>
        <w:tc>
          <w:tcPr>
            <w:tcW w:w="1912" w:type="dxa"/>
            <w:gridSpan w:val="2"/>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序号</w:t>
            </w:r>
            <w:r>
              <w:rPr>
                <w:rFonts w:eastAsia="仿宋_GB2312;仿宋" w:cs="Arial" w:ascii="Arial" w:hAnsi="Arial"/>
                <w:sz w:val="20"/>
                <w:szCs w:val="13"/>
              </w:rPr>
              <w:t>2</w:t>
            </w:r>
          </w:p>
        </w:tc>
        <w:tc>
          <w:tcPr>
            <w:tcW w:w="1891" w:type="dxa"/>
            <w:gridSpan w:val="2"/>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ascii="Arial" w:hAnsi="Arial" w:cs="Arial" w:eastAsia="仿宋_GB2312;仿宋"/>
                <w:sz w:val="20"/>
                <w:szCs w:val="13"/>
              </w:rPr>
              <w:t>序号</w:t>
            </w:r>
            <w:r>
              <w:rPr>
                <w:rFonts w:eastAsia="仿宋_GB2312;仿宋" w:cs="Arial" w:ascii="Arial" w:hAnsi="Arial"/>
                <w:sz w:val="20"/>
                <w:szCs w:val="13"/>
              </w:rPr>
              <w:t>4</w:t>
            </w:r>
          </w:p>
        </w:tc>
      </w:tr>
      <w:tr>
        <w:trPr/>
        <w:tc>
          <w:tcPr>
            <w:tcW w:w="3522" w:type="dxa"/>
            <w:gridSpan w:val="2"/>
            <w:tcBorders>
              <w:top w:val="single" w:sz="2" w:space="0" w:color="404040"/>
              <w:left w:val="single" w:sz="2" w:space="0" w:color="404040"/>
              <w:bottom w:val="single" w:sz="2" w:space="0" w:color="404040"/>
            </w:tcBorders>
            <w:shd w:fill="auto" w:val="clear"/>
            <w:vAlign w:val="bottom"/>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交易情况</w:t>
            </w:r>
          </w:p>
        </w:tc>
        <w:tc>
          <w:tcPr>
            <w:tcW w:w="524" w:type="dxa"/>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456" w:type="dxa"/>
            <w:tcBorders>
              <w:top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97.53</w:t>
            </w:r>
          </w:p>
        </w:tc>
        <w:tc>
          <w:tcPr>
            <w:tcW w:w="596" w:type="dxa"/>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16" w:type="dxa"/>
            <w:tcBorders>
              <w:top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98.19</w:t>
            </w:r>
          </w:p>
        </w:tc>
        <w:tc>
          <w:tcPr>
            <w:tcW w:w="526" w:type="dxa"/>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65" w:type="dxa"/>
            <w:tcBorders>
              <w:top w:val="single" w:sz="2" w:space="0" w:color="404040"/>
              <w:bottom w:val="single" w:sz="2" w:space="0" w:color="404040"/>
              <w:right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99.1</w:t>
            </w:r>
          </w:p>
        </w:tc>
      </w:tr>
      <w:tr>
        <w:trPr/>
        <w:tc>
          <w:tcPr>
            <w:tcW w:w="3522" w:type="dxa"/>
            <w:gridSpan w:val="2"/>
            <w:tcBorders>
              <w:top w:val="single" w:sz="2" w:space="0" w:color="404040"/>
              <w:left w:val="single" w:sz="2" w:space="0" w:color="404040"/>
              <w:bottom w:val="single" w:sz="2" w:space="0" w:color="404040"/>
            </w:tcBorders>
            <w:shd w:fill="auto" w:val="clear"/>
            <w:vAlign w:val="bottom"/>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市场状况</w:t>
            </w:r>
          </w:p>
        </w:tc>
        <w:tc>
          <w:tcPr>
            <w:tcW w:w="524" w:type="dxa"/>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456" w:type="dxa"/>
            <w:tcBorders>
              <w:top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596" w:type="dxa"/>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16" w:type="dxa"/>
            <w:tcBorders>
              <w:top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526" w:type="dxa"/>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65" w:type="dxa"/>
            <w:tcBorders>
              <w:top w:val="single" w:sz="2" w:space="0" w:color="404040"/>
              <w:bottom w:val="single" w:sz="2" w:space="0" w:color="404040"/>
              <w:right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r>
      <w:tr>
        <w:trPr/>
        <w:tc>
          <w:tcPr>
            <w:tcW w:w="1136" w:type="dxa"/>
            <w:vMerge w:val="restart"/>
            <w:tcBorders>
              <w:top w:val="single" w:sz="2" w:space="0" w:color="808080"/>
              <w:left w:val="single" w:sz="2" w:space="0" w:color="808080"/>
              <w:bottom w:val="single" w:sz="2" w:space="0" w:color="40404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区域因素</w:t>
            </w:r>
          </w:p>
        </w:tc>
        <w:tc>
          <w:tcPr>
            <w:tcW w:w="2386" w:type="dxa"/>
            <w:tcBorders>
              <w:top w:val="single" w:sz="2" w:space="0" w:color="808080"/>
              <w:left w:val="single" w:sz="2" w:space="0" w:color="808080"/>
              <w:bottom w:val="single" w:sz="2" w:space="0" w:color="80808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产业聚集度</w:t>
            </w:r>
          </w:p>
        </w:tc>
        <w:tc>
          <w:tcPr>
            <w:tcW w:w="524"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456" w:type="dxa"/>
            <w:tcBorders>
              <w:top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102</w:t>
            </w:r>
          </w:p>
        </w:tc>
        <w:tc>
          <w:tcPr>
            <w:tcW w:w="596"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16" w:type="dxa"/>
            <w:tcBorders>
              <w:top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102</w:t>
            </w:r>
          </w:p>
        </w:tc>
        <w:tc>
          <w:tcPr>
            <w:tcW w:w="526"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65" w:type="dxa"/>
            <w:tcBorders>
              <w:top w:val="single" w:sz="2" w:space="0" w:color="808080"/>
              <w:bottom w:val="single" w:sz="2" w:space="0" w:color="808080"/>
              <w:right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102</w:t>
            </w:r>
          </w:p>
        </w:tc>
      </w:tr>
      <w:tr>
        <w:trPr/>
        <w:tc>
          <w:tcPr>
            <w:tcW w:w="1136" w:type="dxa"/>
            <w:vMerge w:val="continue"/>
            <w:tcBorders>
              <w:top w:val="single" w:sz="2" w:space="0" w:color="808080"/>
              <w:left w:val="single" w:sz="2" w:space="0" w:color="808080"/>
              <w:bottom w:val="single" w:sz="2" w:space="0" w:color="404040"/>
            </w:tcBorders>
            <w:shd w:fill="auto" w:val="clear"/>
            <w:vAlign w:val="center"/>
          </w:tcPr>
          <w:p>
            <w:pPr>
              <w:pStyle w:val="Normal"/>
              <w:widowControl/>
              <w:snapToGrid w:val="false"/>
              <w:spacing w:lineRule="exact" w:line="240"/>
              <w:rPr>
                <w:rFonts w:ascii="Arial" w:hAnsi="Arial" w:eastAsia="仿宋_GB2312;仿宋" w:cs="Arial"/>
                <w:sz w:val="20"/>
                <w:szCs w:val="13"/>
              </w:rPr>
            </w:pPr>
            <w:r>
              <w:rPr>
                <w:rFonts w:eastAsia="仿宋_GB2312;仿宋" w:cs="Arial" w:ascii="Arial" w:hAnsi="Arial"/>
                <w:sz w:val="20"/>
                <w:szCs w:val="13"/>
              </w:rPr>
            </w:r>
          </w:p>
        </w:tc>
        <w:tc>
          <w:tcPr>
            <w:tcW w:w="2386" w:type="dxa"/>
            <w:tcBorders>
              <w:top w:val="single" w:sz="2" w:space="0" w:color="808080"/>
              <w:left w:val="single" w:sz="2" w:space="0" w:color="808080"/>
              <w:bottom w:val="single" w:sz="2" w:space="0" w:color="80808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区域土地利用方向</w:t>
            </w:r>
          </w:p>
        </w:tc>
        <w:tc>
          <w:tcPr>
            <w:tcW w:w="524"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456" w:type="dxa"/>
            <w:tcBorders>
              <w:top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102</w:t>
            </w:r>
          </w:p>
        </w:tc>
        <w:tc>
          <w:tcPr>
            <w:tcW w:w="596"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16" w:type="dxa"/>
            <w:tcBorders>
              <w:top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102</w:t>
            </w:r>
          </w:p>
        </w:tc>
        <w:tc>
          <w:tcPr>
            <w:tcW w:w="526"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65" w:type="dxa"/>
            <w:tcBorders>
              <w:top w:val="single" w:sz="2" w:space="0" w:color="808080"/>
              <w:bottom w:val="single" w:sz="2" w:space="0" w:color="808080"/>
              <w:right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102</w:t>
            </w:r>
          </w:p>
        </w:tc>
      </w:tr>
      <w:tr>
        <w:trPr/>
        <w:tc>
          <w:tcPr>
            <w:tcW w:w="1136" w:type="dxa"/>
            <w:vMerge w:val="continue"/>
            <w:tcBorders>
              <w:top w:val="single" w:sz="2" w:space="0" w:color="808080"/>
              <w:left w:val="single" w:sz="2" w:space="0" w:color="808080"/>
              <w:bottom w:val="single" w:sz="2" w:space="0" w:color="404040"/>
            </w:tcBorders>
            <w:shd w:fill="auto" w:val="clear"/>
            <w:vAlign w:val="center"/>
          </w:tcPr>
          <w:p>
            <w:pPr>
              <w:pStyle w:val="Normal"/>
              <w:widowControl/>
              <w:snapToGrid w:val="false"/>
              <w:spacing w:lineRule="exact" w:line="240"/>
              <w:rPr>
                <w:rFonts w:ascii="Arial" w:hAnsi="Arial" w:eastAsia="仿宋_GB2312;仿宋" w:cs="Arial"/>
                <w:sz w:val="20"/>
                <w:szCs w:val="13"/>
              </w:rPr>
            </w:pPr>
            <w:r>
              <w:rPr>
                <w:rFonts w:eastAsia="仿宋_GB2312;仿宋" w:cs="Arial" w:ascii="Arial" w:hAnsi="Arial"/>
                <w:sz w:val="20"/>
                <w:szCs w:val="13"/>
              </w:rPr>
            </w:r>
          </w:p>
        </w:tc>
        <w:tc>
          <w:tcPr>
            <w:tcW w:w="2386" w:type="dxa"/>
            <w:tcBorders>
              <w:top w:val="single" w:sz="2" w:space="0" w:color="808080"/>
              <w:left w:val="single" w:sz="2" w:space="0" w:color="808080"/>
              <w:bottom w:val="single" w:sz="2" w:space="0" w:color="80808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交通便捷度</w:t>
            </w:r>
          </w:p>
        </w:tc>
        <w:tc>
          <w:tcPr>
            <w:tcW w:w="524"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456" w:type="dxa"/>
            <w:tcBorders>
              <w:top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596"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16" w:type="dxa"/>
            <w:tcBorders>
              <w:top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526"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65" w:type="dxa"/>
            <w:tcBorders>
              <w:top w:val="single" w:sz="2" w:space="0" w:color="808080"/>
              <w:bottom w:val="single" w:sz="2" w:space="0" w:color="808080"/>
              <w:right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r>
      <w:tr>
        <w:trPr/>
        <w:tc>
          <w:tcPr>
            <w:tcW w:w="1136" w:type="dxa"/>
            <w:vMerge w:val="continue"/>
            <w:tcBorders>
              <w:top w:val="single" w:sz="2" w:space="0" w:color="808080"/>
              <w:left w:val="single" w:sz="2" w:space="0" w:color="808080"/>
              <w:bottom w:val="single" w:sz="2" w:space="0" w:color="404040"/>
            </w:tcBorders>
            <w:shd w:fill="auto" w:val="clear"/>
            <w:vAlign w:val="center"/>
          </w:tcPr>
          <w:p>
            <w:pPr>
              <w:pStyle w:val="Normal"/>
              <w:widowControl/>
              <w:snapToGrid w:val="false"/>
              <w:spacing w:lineRule="exact" w:line="240"/>
              <w:rPr>
                <w:rFonts w:ascii="Arial" w:hAnsi="Arial" w:eastAsia="仿宋_GB2312;仿宋" w:cs="Arial"/>
                <w:sz w:val="20"/>
                <w:szCs w:val="13"/>
              </w:rPr>
            </w:pPr>
            <w:r>
              <w:rPr>
                <w:rFonts w:eastAsia="仿宋_GB2312;仿宋" w:cs="Arial" w:ascii="Arial" w:hAnsi="Arial"/>
                <w:sz w:val="20"/>
                <w:szCs w:val="13"/>
              </w:rPr>
            </w:r>
          </w:p>
        </w:tc>
        <w:tc>
          <w:tcPr>
            <w:tcW w:w="2386" w:type="dxa"/>
            <w:tcBorders>
              <w:top w:val="single" w:sz="2" w:space="0" w:color="808080"/>
              <w:left w:val="single" w:sz="2" w:space="0" w:color="808080"/>
              <w:bottom w:val="single" w:sz="2" w:space="0" w:color="80808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区域设施及基础设施水平</w:t>
            </w:r>
          </w:p>
        </w:tc>
        <w:tc>
          <w:tcPr>
            <w:tcW w:w="524"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456" w:type="dxa"/>
            <w:tcBorders>
              <w:top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596"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16" w:type="dxa"/>
            <w:tcBorders>
              <w:top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526"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65" w:type="dxa"/>
            <w:tcBorders>
              <w:top w:val="single" w:sz="2" w:space="0" w:color="808080"/>
              <w:bottom w:val="single" w:sz="2" w:space="0" w:color="808080"/>
              <w:right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r>
      <w:tr>
        <w:trPr/>
        <w:tc>
          <w:tcPr>
            <w:tcW w:w="1136" w:type="dxa"/>
            <w:vMerge w:val="continue"/>
            <w:tcBorders>
              <w:top w:val="single" w:sz="2" w:space="0" w:color="808080"/>
              <w:left w:val="single" w:sz="2" w:space="0" w:color="808080"/>
              <w:bottom w:val="single" w:sz="2" w:space="0" w:color="404040"/>
            </w:tcBorders>
            <w:shd w:fill="auto" w:val="clear"/>
            <w:vAlign w:val="center"/>
          </w:tcPr>
          <w:p>
            <w:pPr>
              <w:pStyle w:val="Normal"/>
              <w:widowControl/>
              <w:snapToGrid w:val="false"/>
              <w:spacing w:lineRule="exact" w:line="240"/>
              <w:rPr>
                <w:rFonts w:ascii="Arial" w:hAnsi="Arial" w:eastAsia="仿宋_GB2312;仿宋" w:cs="Arial"/>
                <w:sz w:val="20"/>
                <w:szCs w:val="13"/>
              </w:rPr>
            </w:pPr>
            <w:r>
              <w:rPr>
                <w:rFonts w:eastAsia="仿宋_GB2312;仿宋" w:cs="Arial" w:ascii="Arial" w:hAnsi="Arial"/>
                <w:sz w:val="20"/>
                <w:szCs w:val="13"/>
              </w:rPr>
            </w:r>
          </w:p>
        </w:tc>
        <w:tc>
          <w:tcPr>
            <w:tcW w:w="2386"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临街状况</w:t>
            </w:r>
          </w:p>
        </w:tc>
        <w:tc>
          <w:tcPr>
            <w:tcW w:w="524" w:type="dxa"/>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456" w:type="dxa"/>
            <w:tcBorders>
              <w:top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102</w:t>
            </w:r>
          </w:p>
        </w:tc>
        <w:tc>
          <w:tcPr>
            <w:tcW w:w="596" w:type="dxa"/>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16" w:type="dxa"/>
            <w:tcBorders>
              <w:top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102</w:t>
            </w:r>
          </w:p>
        </w:tc>
        <w:tc>
          <w:tcPr>
            <w:tcW w:w="526" w:type="dxa"/>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65" w:type="dxa"/>
            <w:tcBorders>
              <w:top w:val="single" w:sz="2" w:space="0" w:color="404040"/>
              <w:bottom w:val="single" w:sz="2" w:space="0" w:color="404040"/>
              <w:right w:val="single" w:sz="2" w:space="0" w:color="40404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102</w:t>
            </w:r>
          </w:p>
        </w:tc>
      </w:tr>
      <w:tr>
        <w:trPr/>
        <w:tc>
          <w:tcPr>
            <w:tcW w:w="1136" w:type="dxa"/>
            <w:vMerge w:val="restart"/>
            <w:tcBorders>
              <w:top w:val="single" w:sz="2" w:space="0" w:color="808080"/>
              <w:left w:val="single" w:sz="2" w:space="0" w:color="808080"/>
              <w:bottom w:val="single" w:sz="2" w:space="0" w:color="80808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个别因素</w:t>
            </w:r>
          </w:p>
        </w:tc>
        <w:tc>
          <w:tcPr>
            <w:tcW w:w="2386" w:type="dxa"/>
            <w:tcBorders>
              <w:top w:val="single" w:sz="2" w:space="0" w:color="808080"/>
              <w:left w:val="single" w:sz="2" w:space="0" w:color="808080"/>
              <w:bottom w:val="single" w:sz="2" w:space="0" w:color="80808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宗地面积</w:t>
            </w:r>
          </w:p>
        </w:tc>
        <w:tc>
          <w:tcPr>
            <w:tcW w:w="524"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456" w:type="dxa"/>
            <w:tcBorders>
              <w:top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97</w:t>
            </w:r>
          </w:p>
        </w:tc>
        <w:tc>
          <w:tcPr>
            <w:tcW w:w="596"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16" w:type="dxa"/>
            <w:tcBorders>
              <w:top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97</w:t>
            </w:r>
          </w:p>
        </w:tc>
        <w:tc>
          <w:tcPr>
            <w:tcW w:w="526"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65" w:type="dxa"/>
            <w:tcBorders>
              <w:top w:val="single" w:sz="2" w:space="0" w:color="808080"/>
              <w:bottom w:val="single" w:sz="2" w:space="0" w:color="808080"/>
              <w:right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97</w:t>
            </w:r>
          </w:p>
        </w:tc>
      </w:tr>
      <w:tr>
        <w:trPr/>
        <w:tc>
          <w:tcPr>
            <w:tcW w:w="1136" w:type="dxa"/>
            <w:vMerge w:val="continue"/>
            <w:tcBorders>
              <w:top w:val="single" w:sz="2" w:space="0" w:color="808080"/>
              <w:left w:val="single" w:sz="2" w:space="0" w:color="808080"/>
              <w:bottom w:val="single" w:sz="2" w:space="0" w:color="808080"/>
            </w:tcBorders>
            <w:shd w:fill="auto" w:val="clear"/>
            <w:vAlign w:val="center"/>
          </w:tcPr>
          <w:p>
            <w:pPr>
              <w:pStyle w:val="Normal"/>
              <w:widowControl/>
              <w:snapToGrid w:val="false"/>
              <w:spacing w:lineRule="exact" w:line="240"/>
              <w:rPr>
                <w:rFonts w:ascii="Arial" w:hAnsi="Arial" w:eastAsia="仿宋_GB2312;仿宋" w:cs="Arial"/>
                <w:sz w:val="20"/>
                <w:szCs w:val="13"/>
              </w:rPr>
            </w:pPr>
            <w:r>
              <w:rPr>
                <w:rFonts w:eastAsia="仿宋_GB2312;仿宋" w:cs="Arial" w:ascii="Arial" w:hAnsi="Arial"/>
                <w:sz w:val="20"/>
                <w:szCs w:val="13"/>
              </w:rPr>
            </w:r>
          </w:p>
        </w:tc>
        <w:tc>
          <w:tcPr>
            <w:tcW w:w="2386" w:type="dxa"/>
            <w:tcBorders>
              <w:top w:val="single" w:sz="2" w:space="0" w:color="808080"/>
              <w:left w:val="single" w:sz="2" w:space="0" w:color="808080"/>
              <w:bottom w:val="single" w:sz="2" w:space="0" w:color="808080"/>
            </w:tcBorders>
            <w:shd w:fill="auto" w:val="clear"/>
            <w:vAlign w:val="bottom"/>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宗地形状</w:t>
            </w:r>
          </w:p>
        </w:tc>
        <w:tc>
          <w:tcPr>
            <w:tcW w:w="524"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456" w:type="dxa"/>
            <w:tcBorders>
              <w:top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102</w:t>
            </w:r>
          </w:p>
        </w:tc>
        <w:tc>
          <w:tcPr>
            <w:tcW w:w="596"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16" w:type="dxa"/>
            <w:tcBorders>
              <w:top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102</w:t>
            </w:r>
          </w:p>
        </w:tc>
        <w:tc>
          <w:tcPr>
            <w:tcW w:w="526" w:type="dxa"/>
            <w:tcBorders>
              <w:top w:val="single" w:sz="2" w:space="0" w:color="808080"/>
              <w:left w:val="single" w:sz="2" w:space="0" w:color="808080"/>
              <w:bottom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100/</w:t>
            </w:r>
          </w:p>
        </w:tc>
        <w:tc>
          <w:tcPr>
            <w:tcW w:w="1365" w:type="dxa"/>
            <w:tcBorders>
              <w:top w:val="single" w:sz="2" w:space="0" w:color="808080"/>
              <w:bottom w:val="single" w:sz="2" w:space="0" w:color="808080"/>
              <w:right w:val="single" w:sz="2" w:space="0" w:color="808080"/>
            </w:tcBorders>
            <w:shd w:fill="auto" w:val="clear"/>
            <w:vAlign w:val="center"/>
          </w:tcPr>
          <w:p>
            <w:pPr>
              <w:pStyle w:val="Normal"/>
              <w:spacing w:lineRule="exact" w:line="240"/>
              <w:rPr>
                <w:rFonts w:ascii="Arial" w:hAnsi="Arial" w:eastAsia="仿宋_GB2312;仿宋" w:cs="Arial"/>
                <w:sz w:val="20"/>
                <w:szCs w:val="13"/>
              </w:rPr>
            </w:pPr>
            <w:r>
              <w:rPr>
                <w:rFonts w:eastAsia="仿宋_GB2312;仿宋" w:cs="Arial" w:ascii="Arial" w:hAnsi="Arial"/>
                <w:sz w:val="20"/>
                <w:szCs w:val="13"/>
              </w:rPr>
              <w:t>102</w:t>
            </w:r>
          </w:p>
        </w:tc>
      </w:tr>
      <w:tr>
        <w:trPr/>
        <w:tc>
          <w:tcPr>
            <w:tcW w:w="3522" w:type="dxa"/>
            <w:gridSpan w:val="2"/>
            <w:tcBorders>
              <w:top w:val="single" w:sz="2" w:space="0" w:color="404040"/>
              <w:left w:val="single" w:sz="2" w:space="0" w:color="404040"/>
              <w:bottom w:val="single" w:sz="2" w:space="0" w:color="40404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成交价格（元</w:t>
            </w:r>
            <w:r>
              <w:rPr>
                <w:rFonts w:eastAsia="仿宋_GB2312;仿宋" w:cs="Arial" w:ascii="Arial" w:hAnsi="Arial"/>
                <w:sz w:val="20"/>
                <w:szCs w:val="13"/>
              </w:rPr>
              <w:t>/</w:t>
            </w:r>
            <w:r>
              <w:rPr>
                <w:rFonts w:ascii="Arial" w:hAnsi="Arial" w:cs="Arial" w:eastAsia="仿宋_GB2312;仿宋"/>
                <w:sz w:val="20"/>
                <w:szCs w:val="13"/>
              </w:rPr>
              <w:t>平方米）</w:t>
            </w:r>
          </w:p>
        </w:tc>
        <w:tc>
          <w:tcPr>
            <w:tcW w:w="1980" w:type="dxa"/>
            <w:gridSpan w:val="2"/>
            <w:tcBorders>
              <w:top w:val="single" w:sz="2" w:space="0" w:color="404040"/>
              <w:left w:val="single" w:sz="2" w:space="0" w:color="404040"/>
              <w:bottom w:val="single" w:sz="2" w:space="0" w:color="404040"/>
            </w:tcBorders>
            <w:shd w:fill="auto" w:val="clear"/>
            <w:tcMar>
              <w:left w:w="85" w:type="dxa"/>
              <w:right w:w="85" w:type="dxa"/>
            </w:tcMar>
            <w:vAlign w:val="center"/>
          </w:tcPr>
          <w:p>
            <w:pPr>
              <w:pStyle w:val="Normal"/>
              <w:widowControl/>
              <w:spacing w:lineRule="exact" w:line="240"/>
              <w:rPr>
                <w:rFonts w:ascii="Arial" w:hAnsi="Arial" w:eastAsia="仿宋_GB2312;仿宋" w:cs="Arial"/>
                <w:sz w:val="20"/>
                <w:szCs w:val="13"/>
              </w:rPr>
            </w:pPr>
            <w:r>
              <w:rPr>
                <w:rFonts w:eastAsia="仿宋_GB2312;仿宋" w:cs="Arial" w:ascii="Arial" w:hAnsi="Arial"/>
                <w:sz w:val="20"/>
                <w:szCs w:val="13"/>
              </w:rPr>
              <w:t>10277</w:t>
            </w:r>
          </w:p>
        </w:tc>
        <w:tc>
          <w:tcPr>
            <w:tcW w:w="1912" w:type="dxa"/>
            <w:gridSpan w:val="2"/>
            <w:tcBorders>
              <w:top w:val="single" w:sz="2" w:space="0" w:color="404040"/>
              <w:left w:val="single" w:sz="2" w:space="0" w:color="404040"/>
              <w:bottom w:val="single" w:sz="2" w:space="0" w:color="404040"/>
            </w:tcBorders>
            <w:shd w:fill="auto" w:val="clear"/>
            <w:vAlign w:val="center"/>
          </w:tcPr>
          <w:p>
            <w:pPr>
              <w:pStyle w:val="Normal"/>
              <w:widowControl/>
              <w:spacing w:lineRule="exact" w:line="240"/>
              <w:rPr>
                <w:rFonts w:ascii="Arial" w:hAnsi="Arial" w:eastAsia="仿宋_GB2312;仿宋" w:cs="Arial"/>
                <w:sz w:val="20"/>
                <w:szCs w:val="13"/>
              </w:rPr>
            </w:pPr>
            <w:r>
              <w:rPr>
                <w:rFonts w:eastAsia="仿宋_GB2312;仿宋" w:cs="Arial" w:ascii="Arial" w:hAnsi="Arial"/>
                <w:sz w:val="20"/>
                <w:szCs w:val="13"/>
              </w:rPr>
              <w:t>8875</w:t>
            </w:r>
          </w:p>
        </w:tc>
        <w:tc>
          <w:tcPr>
            <w:tcW w:w="1891" w:type="dxa"/>
            <w:gridSpan w:val="2"/>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rPr>
                <w:rFonts w:ascii="Arial" w:hAnsi="Arial" w:eastAsia="仿宋_GB2312;仿宋" w:cs="Arial"/>
                <w:sz w:val="20"/>
                <w:szCs w:val="13"/>
              </w:rPr>
            </w:pPr>
            <w:r>
              <w:rPr>
                <w:rFonts w:eastAsia="仿宋_GB2312;仿宋" w:cs="Arial" w:ascii="Arial" w:hAnsi="Arial"/>
                <w:sz w:val="20"/>
                <w:szCs w:val="13"/>
              </w:rPr>
              <w:t>8121</w:t>
            </w:r>
          </w:p>
        </w:tc>
      </w:tr>
      <w:tr>
        <w:trPr/>
        <w:tc>
          <w:tcPr>
            <w:tcW w:w="3522" w:type="dxa"/>
            <w:gridSpan w:val="2"/>
            <w:tcBorders>
              <w:top w:val="single" w:sz="2" w:space="0" w:color="404040"/>
              <w:left w:val="single" w:sz="2" w:space="0" w:color="404040"/>
              <w:bottom w:val="single" w:sz="2" w:space="0" w:color="404040"/>
            </w:tcBorders>
            <w:shd w:fill="auto" w:val="clear"/>
            <w:vAlign w:val="center"/>
          </w:tcPr>
          <w:p>
            <w:pPr>
              <w:pStyle w:val="Normal"/>
              <w:widowControl/>
              <w:spacing w:lineRule="exact" w:line="240"/>
              <w:rPr>
                <w:rFonts w:ascii="Arial" w:hAnsi="Arial" w:eastAsia="仿宋_GB2312;仿宋" w:cs="Arial"/>
                <w:sz w:val="20"/>
                <w:szCs w:val="13"/>
              </w:rPr>
            </w:pPr>
            <w:r>
              <w:rPr>
                <w:rFonts w:ascii="Arial" w:hAnsi="Arial" w:cs="Arial" w:eastAsia="仿宋_GB2312;仿宋"/>
                <w:sz w:val="20"/>
                <w:szCs w:val="13"/>
              </w:rPr>
              <w:t>比较价格（元</w:t>
            </w:r>
            <w:r>
              <w:rPr>
                <w:rFonts w:eastAsia="仿宋_GB2312;仿宋" w:cs="Arial" w:ascii="Arial" w:hAnsi="Arial"/>
                <w:sz w:val="20"/>
                <w:szCs w:val="13"/>
              </w:rPr>
              <w:t>/</w:t>
            </w:r>
            <w:r>
              <w:rPr>
                <w:rFonts w:ascii="Arial" w:hAnsi="Arial" w:cs="Arial" w:eastAsia="仿宋_GB2312;仿宋"/>
                <w:sz w:val="20"/>
                <w:szCs w:val="13"/>
              </w:rPr>
              <w:t>平方米）</w:t>
            </w:r>
          </w:p>
        </w:tc>
        <w:tc>
          <w:tcPr>
            <w:tcW w:w="1980" w:type="dxa"/>
            <w:gridSpan w:val="2"/>
            <w:tcBorders>
              <w:top w:val="single" w:sz="2" w:space="0" w:color="404040"/>
              <w:left w:val="single" w:sz="2" w:space="0" w:color="404040"/>
              <w:bottom w:val="single" w:sz="2" w:space="0" w:color="404040"/>
            </w:tcBorders>
            <w:shd w:fill="auto" w:val="clear"/>
            <w:tcMar>
              <w:left w:w="85" w:type="dxa"/>
              <w:right w:w="85" w:type="dxa"/>
            </w:tcMar>
            <w:vAlign w:val="center"/>
          </w:tcPr>
          <w:p>
            <w:pPr>
              <w:pStyle w:val="Normal"/>
              <w:widowControl/>
              <w:spacing w:lineRule="exact" w:line="240"/>
              <w:rPr>
                <w:rFonts w:ascii="Arial" w:hAnsi="Arial" w:eastAsia="仿宋_GB2312;仿宋" w:cs="Arial"/>
                <w:sz w:val="20"/>
                <w:szCs w:val="13"/>
              </w:rPr>
            </w:pPr>
            <w:r>
              <w:rPr>
                <w:rFonts w:eastAsia="仿宋_GB2312;仿宋" w:cs="Arial" w:ascii="Arial" w:hAnsi="Arial"/>
                <w:sz w:val="20"/>
                <w:szCs w:val="13"/>
              </w:rPr>
              <w:t>10036</w:t>
            </w:r>
          </w:p>
        </w:tc>
        <w:tc>
          <w:tcPr>
            <w:tcW w:w="1912" w:type="dxa"/>
            <w:gridSpan w:val="2"/>
            <w:tcBorders>
              <w:top w:val="single" w:sz="2" w:space="0" w:color="404040"/>
              <w:left w:val="single" w:sz="2" w:space="0" w:color="404040"/>
              <w:bottom w:val="single" w:sz="2" w:space="0" w:color="404040"/>
            </w:tcBorders>
            <w:shd w:fill="auto" w:val="clear"/>
            <w:vAlign w:val="center"/>
          </w:tcPr>
          <w:p>
            <w:pPr>
              <w:pStyle w:val="Normal"/>
              <w:widowControl/>
              <w:spacing w:lineRule="exact" w:line="240"/>
              <w:rPr>
                <w:rFonts w:ascii="Arial" w:hAnsi="Arial" w:eastAsia="仿宋_GB2312;仿宋" w:cs="Arial"/>
                <w:sz w:val="20"/>
                <w:szCs w:val="13"/>
              </w:rPr>
            </w:pPr>
            <w:r>
              <w:rPr>
                <w:rFonts w:eastAsia="仿宋_GB2312;仿宋" w:cs="Arial" w:ascii="Arial" w:hAnsi="Arial"/>
                <w:sz w:val="20"/>
                <w:szCs w:val="13"/>
              </w:rPr>
              <w:t>8609</w:t>
            </w:r>
          </w:p>
        </w:tc>
        <w:tc>
          <w:tcPr>
            <w:tcW w:w="1891" w:type="dxa"/>
            <w:gridSpan w:val="2"/>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rPr>
                <w:rFonts w:ascii="Arial" w:hAnsi="Arial" w:eastAsia="仿宋_GB2312;仿宋" w:cs="Arial"/>
                <w:sz w:val="20"/>
                <w:szCs w:val="13"/>
              </w:rPr>
            </w:pPr>
            <w:r>
              <w:rPr>
                <w:rFonts w:eastAsia="仿宋_GB2312;仿宋" w:cs="Arial" w:ascii="Arial" w:hAnsi="Arial"/>
                <w:sz w:val="20"/>
                <w:szCs w:val="13"/>
              </w:rPr>
              <w:t>7961</w:t>
            </w:r>
          </w:p>
        </w:tc>
      </w:tr>
    </w:tbl>
    <w:p>
      <w:pPr>
        <w:pStyle w:val="Normal"/>
        <w:spacing w:lineRule="auto" w:line="360"/>
        <w:ind w:firstLine="560"/>
        <w:rPr>
          <w:rFonts w:ascii="Arial" w:hAnsi="Arial" w:eastAsia="仿宋" w:cs="Arial"/>
          <w:color w:val="000000"/>
          <w:sz w:val="28"/>
          <w:szCs w:val="28"/>
        </w:rPr>
      </w:pPr>
      <w:r>
        <w:rPr>
          <w:rFonts w:ascii="Arial" w:hAnsi="Arial" w:cs="Arial" w:eastAsia="仿宋"/>
          <w:color w:val="000000"/>
          <w:sz w:val="28"/>
          <w:szCs w:val="28"/>
        </w:rPr>
        <w:t>因此，本次评估取三个比较价值的简单算术平均值作为估价对象的最终结果。</w:t>
      </w:r>
    </w:p>
    <w:p>
      <w:pPr>
        <w:pStyle w:val="Normal"/>
        <w:overflowPunct w:val="false"/>
        <w:spacing w:lineRule="auto" w:line="360"/>
        <w:ind w:firstLine="560"/>
        <w:jc w:val="both"/>
        <w:rPr>
          <w:rFonts w:ascii="Arial" w:hAnsi="Arial" w:eastAsia="仿宋" w:cs="Arial"/>
          <w:color w:val="000000"/>
          <w:sz w:val="28"/>
          <w:szCs w:val="28"/>
        </w:rPr>
      </w:pPr>
      <w:r>
        <w:rPr>
          <w:rFonts w:ascii="Arial" w:hAnsi="Arial" w:cs="Arial" w:eastAsia="仿宋"/>
          <w:color w:val="000000"/>
          <w:sz w:val="28"/>
          <w:szCs w:val="28"/>
        </w:rPr>
        <w:t>单</w:t>
      </w:r>
      <w:r>
        <w:rPr>
          <w:rFonts w:ascii="Arial" w:hAnsi="Arial" w:cs="Arial" w:eastAsia="仿宋"/>
          <w:sz w:val="28"/>
          <w:szCs w:val="28"/>
        </w:rPr>
        <w:t>价＝（</w:t>
      </w:r>
      <w:r>
        <w:rPr>
          <w:rFonts w:eastAsia="仿宋" w:cs="Arial" w:ascii="Arial" w:hAnsi="Arial"/>
          <w:sz w:val="28"/>
          <w:szCs w:val="28"/>
        </w:rPr>
        <w:t>10036</w:t>
      </w:r>
      <w:r>
        <w:rPr>
          <w:rFonts w:ascii="Arial" w:hAnsi="Arial" w:cs="Arial" w:eastAsia="仿宋"/>
          <w:sz w:val="28"/>
          <w:szCs w:val="28"/>
        </w:rPr>
        <w:t>＋</w:t>
      </w:r>
      <w:r>
        <w:rPr>
          <w:rFonts w:eastAsia="仿宋" w:cs="Arial" w:ascii="Arial" w:hAnsi="Arial"/>
          <w:sz w:val="28"/>
          <w:szCs w:val="28"/>
        </w:rPr>
        <w:t>8609</w:t>
      </w:r>
      <w:r>
        <w:rPr>
          <w:rFonts w:ascii="Arial" w:hAnsi="Arial" w:cs="Arial" w:eastAsia="仿宋"/>
          <w:sz w:val="28"/>
          <w:szCs w:val="28"/>
        </w:rPr>
        <w:t>＋</w:t>
      </w:r>
      <w:r>
        <w:rPr>
          <w:rFonts w:eastAsia="仿宋" w:cs="Arial" w:ascii="Arial" w:hAnsi="Arial"/>
          <w:sz w:val="28"/>
          <w:szCs w:val="28"/>
        </w:rPr>
        <w:t>7961</w:t>
      </w:r>
      <w:r>
        <w:rPr>
          <w:rFonts w:ascii="Arial" w:hAnsi="Arial" w:cs="Arial" w:eastAsia="仿宋"/>
          <w:sz w:val="28"/>
          <w:szCs w:val="28"/>
        </w:rPr>
        <w:t>）</w:t>
      </w:r>
      <w:r>
        <w:rPr>
          <w:rFonts w:eastAsia="仿宋" w:cs="Arial" w:ascii="Arial" w:hAnsi="Arial"/>
          <w:sz w:val="28"/>
          <w:szCs w:val="28"/>
        </w:rPr>
        <w:t>÷3</w:t>
      </w:r>
      <w:r>
        <w:rPr>
          <w:rFonts w:ascii="Arial" w:hAnsi="Arial" w:cs="Arial" w:eastAsia="仿宋"/>
          <w:sz w:val="28"/>
          <w:szCs w:val="28"/>
        </w:rPr>
        <w:t>＝</w:t>
      </w:r>
      <w:r>
        <w:rPr>
          <w:rFonts w:eastAsia="仿宋" w:cs="Arial" w:ascii="Arial" w:hAnsi="Arial"/>
          <w:sz w:val="28"/>
          <w:szCs w:val="28"/>
        </w:rPr>
        <w:t>8869</w:t>
      </w:r>
      <w:r>
        <w:rPr>
          <w:rFonts w:ascii="Arial" w:hAnsi="Arial" w:cs="Arial" w:eastAsia="仿宋"/>
          <w:sz w:val="28"/>
          <w:szCs w:val="28"/>
        </w:rPr>
        <w:t>（元</w:t>
      </w:r>
      <w:r>
        <w:rPr>
          <w:rFonts w:eastAsia="仿宋" w:cs="Arial" w:ascii="Arial" w:hAnsi="Arial"/>
          <w:sz w:val="28"/>
          <w:szCs w:val="28"/>
        </w:rPr>
        <w:t>/</w:t>
      </w:r>
      <w:r>
        <w:rPr>
          <w:rFonts w:ascii="Arial" w:hAnsi="Arial" w:cs="Arial" w:eastAsia="仿宋"/>
          <w:color w:val="000000"/>
          <w:sz w:val="28"/>
          <w:szCs w:val="28"/>
        </w:rPr>
        <w:t>平方米）</w:t>
      </w:r>
    </w:p>
    <w:p>
      <w:pPr>
        <w:pStyle w:val="Normal"/>
        <w:spacing w:lineRule="auto" w:line="360" w:before="163" w:after="0"/>
        <w:ind w:firstLine="560"/>
        <w:jc w:val="both"/>
        <w:rPr/>
      </w:pPr>
      <w:r>
        <w:rPr>
          <w:rFonts w:ascii="Arial" w:hAnsi="Arial" w:cs="Arial" w:eastAsia="仿宋_GB2312;仿宋"/>
          <w:sz w:val="28"/>
          <w:szCs w:val="28"/>
        </w:rPr>
        <w:t>估价对象</w:t>
      </w:r>
      <w:r>
        <w:rPr>
          <w:rFonts w:ascii="Arial" w:hAnsi="Arial" w:cs="Arial" w:eastAsia="仿宋_GB2312;仿宋"/>
          <w:sz w:val="28"/>
          <w:szCs w:val="28"/>
        </w:rPr>
        <w:t>土地</w:t>
      </w:r>
      <w:r>
        <w:rPr>
          <w:rFonts w:ascii="Arial" w:hAnsi="Arial" w:cs="Arial" w:eastAsia="仿宋_GB2312;仿宋"/>
          <w:sz w:val="28"/>
          <w:szCs w:val="28"/>
        </w:rPr>
        <w:t>面积为</w:t>
      </w:r>
      <w:r>
        <w:rPr>
          <w:rFonts w:eastAsia="仿宋_GB2312;仿宋" w:cs="Arial" w:ascii="Arial" w:hAnsi="Arial"/>
          <w:sz w:val="28"/>
          <w:szCs w:val="28"/>
        </w:rPr>
        <w:t>10738.85</w:t>
      </w:r>
      <w:r>
        <w:rPr>
          <w:rFonts w:ascii="Arial" w:hAnsi="Arial" w:cs="Arial" w:eastAsia="仿宋_GB2312;仿宋"/>
          <w:sz w:val="28"/>
          <w:szCs w:val="28"/>
        </w:rPr>
        <w:t>平方米。则有：</w:t>
      </w:r>
    </w:p>
    <w:p>
      <w:pPr>
        <w:pStyle w:val="Normal"/>
        <w:spacing w:lineRule="auto" w:line="360" w:before="163" w:after="0"/>
        <w:ind w:firstLine="560"/>
        <w:jc w:val="both"/>
        <w:rPr>
          <w:rFonts w:ascii="Arial" w:hAnsi="Arial" w:cs="Arial"/>
          <w:sz w:val="28"/>
        </w:rPr>
      </w:pPr>
      <w:r>
        <w:rPr>
          <w:rFonts w:ascii="Arial" w:hAnsi="Arial" w:cs="Arial" w:eastAsia="仿宋_GB2312;仿宋"/>
          <w:sz w:val="28"/>
          <w:szCs w:val="28"/>
        </w:rPr>
        <w:t>土地取得费及相关税费</w:t>
      </w:r>
      <w:r>
        <w:rPr>
          <w:rFonts w:eastAsia="仿宋_GB2312;仿宋" w:cs="Arial" w:ascii="Arial" w:hAnsi="Arial"/>
          <w:sz w:val="28"/>
          <w:szCs w:val="28"/>
        </w:rPr>
        <w:t>=8869×10738.85÷10000=9524.2861</w:t>
      </w:r>
      <w:r>
        <w:rPr>
          <w:rFonts w:ascii="Arial" w:hAnsi="Arial" w:cs="Arial" w:eastAsia="仿宋_GB2312;仿宋"/>
          <w:sz w:val="28"/>
          <w:szCs w:val="28"/>
        </w:rPr>
        <w:t>（万元）</w:t>
      </w:r>
      <w:r>
        <w:rPr>
          <w:rFonts w:ascii="Arial" w:hAnsi="Arial" w:cs="Arial" w:eastAsia="Arial"/>
          <w:sz w:val="28"/>
        </w:rPr>
        <w:t xml:space="preserve"> </w:t>
      </w:r>
    </w:p>
    <w:p>
      <w:pPr>
        <w:pStyle w:val="Normal"/>
        <w:spacing w:lineRule="auto" w:line="360"/>
        <w:ind w:firstLine="565"/>
        <w:rPr/>
      </w:pPr>
      <w:r>
        <w:rPr>
          <w:rFonts w:eastAsia="仿宋_GB2312;仿宋" w:cs="Arial" w:ascii="Arial" w:hAnsi="Arial"/>
          <w:b/>
          <w:sz w:val="28"/>
        </w:rPr>
        <w:t>2.</w:t>
      </w:r>
      <w:r>
        <w:rPr>
          <w:rFonts w:ascii="Arial" w:hAnsi="Arial" w:cs="Arial" w:eastAsia="仿宋_GB2312;仿宋"/>
          <w:b/>
          <w:sz w:val="28"/>
        </w:rPr>
        <w:t>土地开发费</w:t>
      </w:r>
    </w:p>
    <w:p>
      <w:pPr>
        <w:pStyle w:val="Normal"/>
        <w:spacing w:lineRule="auto" w:line="360"/>
        <w:ind w:firstLine="563"/>
        <w:jc w:val="both"/>
        <w:rPr/>
      </w:pPr>
      <w:r>
        <w:rPr>
          <w:rFonts w:ascii="Arial" w:hAnsi="Arial" w:cs="Arial" w:eastAsia="仿宋_GB2312;仿宋"/>
          <w:sz w:val="28"/>
        </w:rPr>
        <w:t>估价对象位于北京市基准地价工业用途八级地价区</w:t>
      </w:r>
      <w:r>
        <w:rPr>
          <w:rFonts w:ascii="Arial" w:hAnsi="Arial" w:cs="Arial" w:eastAsia="仿宋_GB2312;仿宋"/>
          <w:sz w:val="28"/>
          <w:szCs w:val="28"/>
        </w:rPr>
        <w:t>，根据</w:t>
      </w:r>
      <w:r>
        <w:rPr>
          <w:rFonts w:ascii="Arial" w:hAnsi="Arial" w:cs="Arial" w:eastAsia="仿宋_GB2312;仿宋"/>
          <w:sz w:val="28"/>
          <w:szCs w:val="28"/>
        </w:rPr>
        <w:t>《北京市人民政府关于更新出让国有建设用地使用权基准地价的通知》</w:t>
      </w:r>
      <w:r>
        <w:rPr>
          <w:rFonts w:eastAsia="仿宋_GB2312;仿宋" w:cs="Arial" w:ascii="Arial" w:hAnsi="Arial"/>
          <w:sz w:val="28"/>
          <w:szCs w:val="28"/>
        </w:rPr>
        <w:t>[</w:t>
      </w:r>
      <w:r>
        <w:rPr>
          <w:rFonts w:ascii="Arial" w:hAnsi="Arial" w:cs="Arial" w:eastAsia="仿宋_GB2312;仿宋"/>
          <w:sz w:val="28"/>
          <w:szCs w:val="28"/>
        </w:rPr>
        <w:t>京政发（</w:t>
      </w:r>
      <w:r>
        <w:rPr>
          <w:rFonts w:eastAsia="仿宋_GB2312;仿宋" w:cs="Arial" w:ascii="Arial" w:hAnsi="Arial"/>
          <w:sz w:val="28"/>
          <w:szCs w:val="28"/>
        </w:rPr>
        <w:t>2022</w:t>
      </w:r>
      <w:r>
        <w:rPr>
          <w:rFonts w:ascii="Arial" w:hAnsi="Arial" w:cs="Arial" w:eastAsia="仿宋_GB2312;仿宋"/>
          <w:sz w:val="28"/>
          <w:szCs w:val="28"/>
        </w:rPr>
        <w:t>）</w:t>
      </w:r>
      <w:r>
        <w:rPr>
          <w:rFonts w:eastAsia="仿宋_GB2312;仿宋" w:cs="Arial" w:ascii="Arial" w:hAnsi="Arial"/>
          <w:sz w:val="28"/>
          <w:szCs w:val="28"/>
        </w:rPr>
        <w:t>12</w:t>
      </w:r>
      <w:r>
        <w:rPr>
          <w:rFonts w:ascii="Arial" w:hAnsi="Arial" w:cs="Arial" w:eastAsia="仿宋_GB2312;仿宋"/>
          <w:sz w:val="28"/>
          <w:szCs w:val="28"/>
        </w:rPr>
        <w:t>号</w:t>
      </w:r>
      <w:r>
        <w:rPr>
          <w:rFonts w:eastAsia="仿宋_GB2312;仿宋" w:cs="Arial" w:ascii="Arial" w:hAnsi="Arial"/>
          <w:sz w:val="28"/>
          <w:szCs w:val="28"/>
        </w:rPr>
        <w:t>]</w:t>
      </w:r>
      <w:r>
        <w:rPr>
          <w:rFonts w:ascii="Arial" w:hAnsi="Arial" w:cs="Arial" w:eastAsia="仿宋_GB2312;仿宋"/>
          <w:sz w:val="28"/>
          <w:szCs w:val="28"/>
        </w:rPr>
        <w:t>的规定</w:t>
      </w:r>
      <w:r>
        <w:rPr>
          <w:rFonts w:ascii="Arial" w:hAnsi="Arial" w:cs="Arial" w:eastAsia="仿宋_GB2312;仿宋"/>
          <w:sz w:val="28"/>
          <w:szCs w:val="28"/>
        </w:rPr>
        <w:t>，</w:t>
      </w:r>
      <w:r>
        <w:rPr>
          <w:rFonts w:ascii="Arial" w:hAnsi="Arial" w:cs="Arial" w:eastAsia="仿宋_GB2312;仿宋"/>
          <w:sz w:val="28"/>
          <w:szCs w:val="28"/>
        </w:rPr>
        <w:t>六</w:t>
      </w:r>
      <w:r>
        <w:rPr>
          <w:rFonts w:ascii="Arial" w:hAnsi="Arial" w:cs="Arial" w:eastAsia="仿宋_GB2312;仿宋"/>
          <w:sz w:val="28"/>
          <w:szCs w:val="28"/>
        </w:rPr>
        <w:t>级地价区</w:t>
      </w:r>
      <w:r>
        <w:rPr>
          <w:rFonts w:ascii="Arial" w:hAnsi="Arial" w:cs="Arial" w:eastAsia="仿宋_GB2312;仿宋"/>
          <w:sz w:val="28"/>
        </w:rPr>
        <w:t>土地开发各项费用详见下表：</w:t>
      </w:r>
    </w:p>
    <w:p>
      <w:pPr>
        <w:pStyle w:val="Normal"/>
        <w:spacing w:lineRule="auto" w:line="360"/>
        <w:ind w:firstLine="561"/>
        <w:jc w:val="center"/>
        <w:rPr>
          <w:rFonts w:ascii="Arial" w:hAnsi="Arial" w:eastAsia="仿宋_GB2312;仿宋" w:cs="Arial"/>
          <w:b/>
          <w:b/>
        </w:rPr>
      </w:pPr>
      <w:r>
        <w:rPr>
          <w:rFonts w:ascii="Arial" w:hAnsi="Arial" w:cs="Arial" w:eastAsia="仿宋_GB2312;仿宋"/>
          <w:b/>
        </w:rPr>
        <w:t>建设用地基础设施建设费（土地开发费）</w:t>
      </w:r>
    </w:p>
    <w:p>
      <w:pPr>
        <w:pStyle w:val="Normal"/>
        <w:spacing w:lineRule="auto" w:line="360"/>
        <w:ind w:firstLine="561"/>
        <w:jc w:val="right"/>
        <w:rPr/>
      </w:pPr>
      <w:r>
        <w:rPr/>
        <w:t>单位：元</w:t>
      </w:r>
      <w:r>
        <w:rPr/>
        <w:t>/</w:t>
      </w:r>
      <w:r>
        <w:rPr/>
        <w:t>土地平方米</w:t>
      </w:r>
    </w:p>
    <w:tbl>
      <w:tblPr>
        <w:tblW w:w="5000" w:type="pct"/>
        <w:jc w:val="left"/>
        <w:tblInd w:w="-113" w:type="dxa"/>
        <w:tblCellMar>
          <w:top w:w="0" w:type="dxa"/>
          <w:left w:w="108" w:type="dxa"/>
          <w:bottom w:w="0" w:type="dxa"/>
          <w:right w:w="108" w:type="dxa"/>
        </w:tblCellMar>
      </w:tblPr>
      <w:tblGrid>
        <w:gridCol w:w="1422"/>
        <w:gridCol w:w="911"/>
        <w:gridCol w:w="751"/>
        <w:gridCol w:w="810"/>
        <w:gridCol w:w="942"/>
        <w:gridCol w:w="949"/>
        <w:gridCol w:w="724"/>
        <w:gridCol w:w="1004"/>
        <w:gridCol w:w="829"/>
        <w:gridCol w:w="956"/>
      </w:tblGrid>
      <w:tr>
        <w:trPr>
          <w:trHeight w:val="454" w:hRule="atLeast"/>
        </w:trPr>
        <w:tc>
          <w:tcPr>
            <w:tcW w:w="1422" w:type="dxa"/>
            <w:tcBorders>
              <w:top w:val="single" w:sz="4" w:space="0" w:color="000000"/>
              <w:left w:val="single" w:sz="4" w:space="0" w:color="000000"/>
              <w:bottom w:val="single" w:sz="4" w:space="0" w:color="000000"/>
            </w:tcBorders>
            <w:shd w:fill="auto" w:val="clear"/>
            <w:vAlign w:val="center"/>
          </w:tcPr>
          <w:p>
            <w:pPr>
              <w:pStyle w:val="Normal"/>
              <w:widowControl/>
              <w:jc w:val="right"/>
              <w:rPr>
                <w:rFonts w:ascii="Arial" w:hAnsi="Arial" w:eastAsia="仿宋_GB2312;仿宋" w:cs="Arial"/>
                <w:b/>
                <w:b/>
                <w:szCs w:val="21"/>
              </w:rPr>
            </w:pPr>
            <w:r>
              <w:rPr>
                <w:rFonts w:ascii="Arial" w:hAnsi="Arial" w:cs="Arial" w:eastAsia="仿宋_GB2312;仿宋"/>
                <w:b/>
                <w:szCs w:val="21"/>
              </w:rPr>
              <w:t>　费用</w:t>
            </w:r>
          </w:p>
          <w:p>
            <w:pPr>
              <w:pStyle w:val="Normal"/>
              <w:widowControl/>
              <w:rPr>
                <w:rFonts w:ascii="Arial" w:hAnsi="Arial" w:eastAsia="仿宋_GB2312;仿宋" w:cs="Arial"/>
                <w:b/>
                <w:b/>
                <w:szCs w:val="21"/>
              </w:rPr>
            </w:pPr>
            <w:r>
              <w:rPr>
                <w:rFonts w:ascii="Arial" w:hAnsi="Arial" w:cs="Arial" w:eastAsia="仿宋_GB2312;仿宋"/>
                <w:b/>
                <w:szCs w:val="21"/>
              </w:rPr>
              <w:t>类别</w:t>
            </w:r>
          </w:p>
        </w:tc>
        <w:tc>
          <w:tcPr>
            <w:tcW w:w="911"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b/>
                <w:b/>
                <w:szCs w:val="21"/>
              </w:rPr>
            </w:pPr>
            <w:r>
              <w:rPr>
                <w:rFonts w:ascii="Arial" w:hAnsi="Arial" w:cs="Arial" w:eastAsia="仿宋_GB2312;仿宋"/>
                <w:b/>
                <w:szCs w:val="21"/>
              </w:rPr>
              <w:t>通路</w:t>
            </w:r>
          </w:p>
        </w:tc>
        <w:tc>
          <w:tcPr>
            <w:tcW w:w="751"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b/>
                <w:b/>
                <w:szCs w:val="21"/>
              </w:rPr>
            </w:pPr>
            <w:r>
              <w:rPr>
                <w:rFonts w:ascii="Arial" w:hAnsi="Arial" w:cs="Arial" w:eastAsia="仿宋_GB2312;仿宋"/>
                <w:b/>
                <w:szCs w:val="21"/>
              </w:rPr>
              <w:t>通电</w:t>
            </w:r>
          </w:p>
        </w:tc>
        <w:tc>
          <w:tcPr>
            <w:tcW w:w="810"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b/>
                <w:b/>
                <w:szCs w:val="21"/>
              </w:rPr>
            </w:pPr>
            <w:r>
              <w:rPr>
                <w:rFonts w:ascii="Arial" w:hAnsi="Arial" w:cs="Arial" w:eastAsia="仿宋_GB2312;仿宋"/>
                <w:b/>
                <w:szCs w:val="21"/>
              </w:rPr>
              <w:t>通讯</w:t>
            </w:r>
          </w:p>
        </w:tc>
        <w:tc>
          <w:tcPr>
            <w:tcW w:w="942"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b/>
                <w:b/>
                <w:szCs w:val="21"/>
              </w:rPr>
            </w:pPr>
            <w:r>
              <w:rPr>
                <w:rFonts w:ascii="Arial" w:hAnsi="Arial" w:cs="Arial" w:eastAsia="仿宋_GB2312;仿宋"/>
                <w:b/>
                <w:szCs w:val="21"/>
              </w:rPr>
              <w:t>通上水</w:t>
            </w:r>
          </w:p>
        </w:tc>
        <w:tc>
          <w:tcPr>
            <w:tcW w:w="949"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b/>
                <w:b/>
                <w:szCs w:val="21"/>
              </w:rPr>
            </w:pPr>
            <w:r>
              <w:rPr>
                <w:rFonts w:ascii="Arial" w:hAnsi="Arial" w:cs="Arial" w:eastAsia="仿宋_GB2312;仿宋"/>
                <w:b/>
                <w:szCs w:val="21"/>
              </w:rPr>
              <w:t>通下水</w:t>
            </w:r>
          </w:p>
        </w:tc>
        <w:tc>
          <w:tcPr>
            <w:tcW w:w="724"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b/>
                <w:b/>
                <w:szCs w:val="21"/>
              </w:rPr>
            </w:pPr>
            <w:r>
              <w:rPr>
                <w:rFonts w:ascii="Arial" w:hAnsi="Arial" w:cs="Arial" w:eastAsia="仿宋_GB2312;仿宋"/>
                <w:b/>
                <w:szCs w:val="21"/>
              </w:rPr>
              <w:t>通热</w:t>
            </w:r>
          </w:p>
        </w:tc>
        <w:tc>
          <w:tcPr>
            <w:tcW w:w="1004"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b/>
                <w:b/>
                <w:szCs w:val="21"/>
              </w:rPr>
            </w:pPr>
            <w:r>
              <w:rPr>
                <w:rFonts w:ascii="Arial" w:hAnsi="Arial" w:cs="Arial" w:eastAsia="仿宋_GB2312;仿宋"/>
                <w:b/>
                <w:szCs w:val="21"/>
              </w:rPr>
              <w:t>通燃气</w:t>
            </w:r>
          </w:p>
        </w:tc>
        <w:tc>
          <w:tcPr>
            <w:tcW w:w="829"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b/>
                <w:b/>
                <w:szCs w:val="21"/>
              </w:rPr>
            </w:pPr>
            <w:r>
              <w:rPr>
                <w:rFonts w:ascii="Arial" w:hAnsi="Arial" w:cs="Arial" w:eastAsia="仿宋_GB2312;仿宋"/>
                <w:b/>
                <w:szCs w:val="21"/>
              </w:rPr>
              <w:t>平整</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jc w:val="center"/>
              <w:rPr>
                <w:rFonts w:ascii="Arial" w:hAnsi="Arial" w:eastAsia="仿宋_GB2312;仿宋" w:cs="Arial"/>
                <w:b/>
                <w:b/>
                <w:szCs w:val="21"/>
              </w:rPr>
            </w:pPr>
            <w:r>
              <w:rPr>
                <w:rFonts w:ascii="Arial" w:hAnsi="Arial" w:cs="Arial" w:eastAsia="仿宋_GB2312;仿宋"/>
                <w:b/>
                <w:szCs w:val="21"/>
              </w:rPr>
              <w:t>合计</w:t>
            </w:r>
          </w:p>
        </w:tc>
      </w:tr>
      <w:tr>
        <w:trPr>
          <w:trHeight w:val="454" w:hRule="atLeast"/>
        </w:trPr>
        <w:tc>
          <w:tcPr>
            <w:tcW w:w="1422" w:type="dxa"/>
            <w:tcBorders>
              <w:left w:val="single" w:sz="4" w:space="0" w:color="000000"/>
              <w:bottom w:val="single" w:sz="4" w:space="0" w:color="000000"/>
            </w:tcBorders>
            <w:shd w:fill="auto" w:val="clear"/>
          </w:tcPr>
          <w:p>
            <w:pPr>
              <w:pStyle w:val="Normal"/>
              <w:widowControl/>
              <w:jc w:val="center"/>
              <w:rPr>
                <w:rFonts w:ascii="Arial" w:hAnsi="Arial" w:eastAsia="仿宋_GB2312;仿宋" w:cs="Arial"/>
                <w:b/>
                <w:b/>
                <w:sz w:val="22"/>
                <w:szCs w:val="21"/>
              </w:rPr>
            </w:pPr>
            <w:r>
              <w:rPr>
                <w:rFonts w:ascii="Arial" w:hAnsi="Arial" w:cs="Arial" w:eastAsia="仿宋_GB2312;仿宋"/>
                <w:b/>
                <w:sz w:val="22"/>
                <w:szCs w:val="21"/>
              </w:rPr>
              <w:t>八至十二级</w:t>
            </w:r>
          </w:p>
        </w:tc>
        <w:tc>
          <w:tcPr>
            <w:tcW w:w="911" w:type="dxa"/>
            <w:tcBorders>
              <w:left w:val="single" w:sz="4" w:space="0" w:color="000000"/>
              <w:bottom w:val="single" w:sz="4" w:space="0" w:color="000000"/>
            </w:tcBorders>
            <w:shd w:fill="auto" w:val="clear"/>
          </w:tcPr>
          <w:p>
            <w:pPr>
              <w:pStyle w:val="Normal"/>
              <w:widowControl/>
              <w:jc w:val="center"/>
              <w:rPr>
                <w:rFonts w:ascii="Arial" w:hAnsi="Arial" w:eastAsia="仿宋_GB2312;仿宋" w:cs="Arial"/>
                <w:b/>
                <w:b/>
                <w:sz w:val="22"/>
                <w:szCs w:val="21"/>
              </w:rPr>
            </w:pPr>
            <w:r>
              <w:rPr>
                <w:rFonts w:eastAsia="仿宋_GB2312;仿宋" w:cs="Arial" w:ascii="Arial" w:hAnsi="Arial"/>
                <w:b/>
                <w:sz w:val="22"/>
                <w:szCs w:val="21"/>
              </w:rPr>
              <w:t>70</w:t>
            </w:r>
          </w:p>
        </w:tc>
        <w:tc>
          <w:tcPr>
            <w:tcW w:w="751" w:type="dxa"/>
            <w:tcBorders>
              <w:left w:val="single" w:sz="4" w:space="0" w:color="000000"/>
              <w:bottom w:val="single" w:sz="4" w:space="0" w:color="000000"/>
            </w:tcBorders>
            <w:shd w:fill="auto" w:val="clear"/>
          </w:tcPr>
          <w:p>
            <w:pPr>
              <w:pStyle w:val="Normal"/>
              <w:widowControl/>
              <w:jc w:val="center"/>
              <w:rPr>
                <w:rFonts w:ascii="Arial" w:hAnsi="Arial" w:eastAsia="仿宋_GB2312;仿宋" w:cs="Arial"/>
                <w:b/>
                <w:b/>
                <w:sz w:val="22"/>
                <w:szCs w:val="21"/>
              </w:rPr>
            </w:pPr>
            <w:r>
              <w:rPr>
                <w:rFonts w:eastAsia="仿宋_GB2312;仿宋" w:cs="Arial" w:ascii="Arial" w:hAnsi="Arial"/>
                <w:b/>
                <w:sz w:val="22"/>
                <w:szCs w:val="21"/>
              </w:rPr>
              <w:t>60</w:t>
            </w:r>
          </w:p>
        </w:tc>
        <w:tc>
          <w:tcPr>
            <w:tcW w:w="810" w:type="dxa"/>
            <w:tcBorders>
              <w:left w:val="single" w:sz="4" w:space="0" w:color="000000"/>
              <w:bottom w:val="single" w:sz="4" w:space="0" w:color="000000"/>
            </w:tcBorders>
            <w:shd w:fill="auto" w:val="clear"/>
          </w:tcPr>
          <w:p>
            <w:pPr>
              <w:pStyle w:val="Normal"/>
              <w:widowControl/>
              <w:jc w:val="center"/>
              <w:rPr>
                <w:rFonts w:ascii="Arial" w:hAnsi="Arial" w:eastAsia="仿宋_GB2312;仿宋" w:cs="Arial"/>
                <w:b/>
                <w:b/>
                <w:sz w:val="22"/>
                <w:szCs w:val="21"/>
              </w:rPr>
            </w:pPr>
            <w:r>
              <w:rPr>
                <w:rFonts w:eastAsia="仿宋_GB2312;仿宋" w:cs="Arial" w:ascii="Arial" w:hAnsi="Arial"/>
                <w:b/>
                <w:sz w:val="22"/>
                <w:szCs w:val="21"/>
              </w:rPr>
              <w:t>1</w:t>
            </w:r>
            <w:r>
              <w:rPr>
                <w:rFonts w:eastAsia="仿宋_GB2312;仿宋" w:cs="Arial" w:ascii="Arial" w:hAnsi="Arial"/>
                <w:b/>
                <w:sz w:val="22"/>
                <w:szCs w:val="21"/>
              </w:rPr>
              <w:t>5</w:t>
            </w:r>
          </w:p>
        </w:tc>
        <w:tc>
          <w:tcPr>
            <w:tcW w:w="942" w:type="dxa"/>
            <w:tcBorders>
              <w:left w:val="single" w:sz="4" w:space="0" w:color="000000"/>
              <w:bottom w:val="single" w:sz="4" w:space="0" w:color="000000"/>
            </w:tcBorders>
            <w:shd w:fill="auto" w:val="clear"/>
          </w:tcPr>
          <w:p>
            <w:pPr>
              <w:pStyle w:val="Normal"/>
              <w:widowControl/>
              <w:jc w:val="center"/>
              <w:rPr>
                <w:rFonts w:ascii="Arial" w:hAnsi="Arial" w:eastAsia="仿宋_GB2312;仿宋" w:cs="Arial"/>
                <w:b/>
                <w:b/>
                <w:sz w:val="22"/>
                <w:szCs w:val="21"/>
              </w:rPr>
            </w:pPr>
            <w:r>
              <w:rPr>
                <w:rFonts w:eastAsia="仿宋_GB2312;仿宋" w:cs="Arial" w:ascii="Arial" w:hAnsi="Arial"/>
                <w:b/>
                <w:sz w:val="22"/>
                <w:szCs w:val="21"/>
              </w:rPr>
              <w:t>2</w:t>
            </w:r>
            <w:r>
              <w:rPr>
                <w:rFonts w:eastAsia="仿宋_GB2312;仿宋" w:cs="Arial" w:ascii="Arial" w:hAnsi="Arial"/>
                <w:b/>
                <w:sz w:val="22"/>
                <w:szCs w:val="21"/>
              </w:rPr>
              <w:t>5</w:t>
            </w:r>
          </w:p>
        </w:tc>
        <w:tc>
          <w:tcPr>
            <w:tcW w:w="949" w:type="dxa"/>
            <w:tcBorders>
              <w:left w:val="single" w:sz="4" w:space="0" w:color="000000"/>
              <w:bottom w:val="single" w:sz="4" w:space="0" w:color="000000"/>
            </w:tcBorders>
            <w:shd w:fill="auto" w:val="clear"/>
          </w:tcPr>
          <w:p>
            <w:pPr>
              <w:pStyle w:val="Normal"/>
              <w:widowControl/>
              <w:jc w:val="center"/>
              <w:rPr>
                <w:rFonts w:ascii="Arial" w:hAnsi="Arial" w:eastAsia="仿宋_GB2312;仿宋" w:cs="Arial"/>
                <w:b/>
                <w:b/>
                <w:sz w:val="22"/>
                <w:szCs w:val="21"/>
              </w:rPr>
            </w:pPr>
            <w:r>
              <w:rPr>
                <w:rFonts w:eastAsia="仿宋_GB2312;仿宋" w:cs="Arial" w:ascii="Arial" w:hAnsi="Arial"/>
                <w:b/>
                <w:sz w:val="22"/>
                <w:szCs w:val="21"/>
              </w:rPr>
              <w:t>40</w:t>
            </w:r>
          </w:p>
        </w:tc>
        <w:tc>
          <w:tcPr>
            <w:tcW w:w="724" w:type="dxa"/>
            <w:tcBorders>
              <w:left w:val="single" w:sz="4" w:space="0" w:color="000000"/>
              <w:bottom w:val="single" w:sz="4" w:space="0" w:color="000000"/>
            </w:tcBorders>
            <w:shd w:fill="auto" w:val="clear"/>
          </w:tcPr>
          <w:p>
            <w:pPr>
              <w:pStyle w:val="Normal"/>
              <w:widowControl/>
              <w:jc w:val="center"/>
              <w:rPr/>
            </w:pPr>
            <w:r>
              <w:rPr>
                <w:rFonts w:eastAsia="仿宋_GB2312;仿宋" w:cs="Arial" w:ascii="Arial" w:hAnsi="Arial"/>
                <w:b/>
                <w:sz w:val="22"/>
                <w:szCs w:val="21"/>
              </w:rPr>
              <w:t>5</w:t>
            </w:r>
            <w:r>
              <w:rPr>
                <w:rFonts w:eastAsia="仿宋_GB2312;仿宋" w:cs="Arial" w:ascii="Arial" w:hAnsi="Arial"/>
                <w:b/>
                <w:sz w:val="22"/>
                <w:szCs w:val="21"/>
              </w:rPr>
              <w:t>0</w:t>
            </w:r>
          </w:p>
        </w:tc>
        <w:tc>
          <w:tcPr>
            <w:tcW w:w="1004" w:type="dxa"/>
            <w:tcBorders>
              <w:left w:val="single" w:sz="4" w:space="0" w:color="000000"/>
              <w:bottom w:val="single" w:sz="4" w:space="0" w:color="000000"/>
            </w:tcBorders>
            <w:shd w:fill="auto" w:val="clear"/>
          </w:tcPr>
          <w:p>
            <w:pPr>
              <w:pStyle w:val="Normal"/>
              <w:widowControl/>
              <w:jc w:val="center"/>
              <w:rPr/>
            </w:pPr>
            <w:r>
              <w:rPr>
                <w:rFonts w:eastAsia="仿宋_GB2312;仿宋" w:cs="Arial" w:ascii="Arial" w:hAnsi="Arial"/>
                <w:b/>
                <w:sz w:val="22"/>
                <w:szCs w:val="21"/>
              </w:rPr>
              <w:t>4</w:t>
            </w:r>
            <w:r>
              <w:rPr>
                <w:rFonts w:eastAsia="仿宋_GB2312;仿宋" w:cs="Arial" w:ascii="Arial" w:hAnsi="Arial"/>
                <w:b/>
                <w:sz w:val="22"/>
                <w:szCs w:val="21"/>
              </w:rPr>
              <w:t>0</w:t>
            </w:r>
          </w:p>
        </w:tc>
        <w:tc>
          <w:tcPr>
            <w:tcW w:w="829" w:type="dxa"/>
            <w:tcBorders>
              <w:left w:val="single" w:sz="4" w:space="0" w:color="000000"/>
              <w:bottom w:val="single" w:sz="4" w:space="0" w:color="000000"/>
            </w:tcBorders>
            <w:shd w:fill="auto" w:val="clear"/>
          </w:tcPr>
          <w:p>
            <w:pPr>
              <w:pStyle w:val="Normal"/>
              <w:widowControl/>
              <w:jc w:val="center"/>
              <w:rPr>
                <w:rFonts w:ascii="Arial" w:hAnsi="Arial" w:eastAsia="仿宋_GB2312;仿宋" w:cs="Arial"/>
                <w:b/>
                <w:b/>
                <w:sz w:val="22"/>
                <w:szCs w:val="21"/>
              </w:rPr>
            </w:pPr>
            <w:r>
              <w:rPr>
                <w:rFonts w:eastAsia="仿宋_GB2312;仿宋" w:cs="Arial" w:ascii="Arial" w:hAnsi="Arial"/>
                <w:b/>
                <w:sz w:val="22"/>
                <w:szCs w:val="21"/>
              </w:rPr>
              <w:t>1</w:t>
            </w:r>
            <w:r>
              <w:rPr>
                <w:rFonts w:eastAsia="仿宋_GB2312;仿宋" w:cs="Arial" w:ascii="Arial" w:hAnsi="Arial"/>
                <w:b/>
                <w:sz w:val="22"/>
                <w:szCs w:val="21"/>
              </w:rPr>
              <w:t>5</w:t>
            </w:r>
          </w:p>
        </w:tc>
        <w:tc>
          <w:tcPr>
            <w:tcW w:w="956" w:type="dxa"/>
            <w:tcBorders>
              <w:left w:val="single" w:sz="4" w:space="0" w:color="000000"/>
              <w:bottom w:val="single" w:sz="4" w:space="0" w:color="000000"/>
              <w:right w:val="single" w:sz="4" w:space="0" w:color="000000"/>
            </w:tcBorders>
            <w:shd w:fill="auto" w:val="clear"/>
          </w:tcPr>
          <w:p>
            <w:pPr>
              <w:pStyle w:val="Normal"/>
              <w:widowControl/>
              <w:jc w:val="center"/>
              <w:rPr>
                <w:rFonts w:ascii="Arial" w:hAnsi="Arial" w:eastAsia="仿宋_GB2312;仿宋" w:cs="Arial"/>
                <w:b/>
                <w:b/>
                <w:sz w:val="22"/>
                <w:szCs w:val="21"/>
              </w:rPr>
            </w:pPr>
            <w:r>
              <w:rPr>
                <w:rFonts w:eastAsia="仿宋_GB2312;仿宋" w:cs="Arial" w:ascii="Arial" w:hAnsi="Arial"/>
                <w:b/>
                <w:sz w:val="22"/>
                <w:szCs w:val="21"/>
              </w:rPr>
              <w:t>315</w:t>
            </w:r>
          </w:p>
        </w:tc>
      </w:tr>
    </w:tbl>
    <w:p>
      <w:pPr>
        <w:pStyle w:val="Normal"/>
        <w:spacing w:lineRule="auto" w:line="360"/>
        <w:ind w:firstLine="563"/>
        <w:jc w:val="both"/>
        <w:rPr>
          <w:rFonts w:ascii="Arial" w:hAnsi="Arial" w:eastAsia="仿宋_GB2312;仿宋" w:cs="Arial"/>
          <w:sz w:val="28"/>
        </w:rPr>
      </w:pPr>
      <w:r>
        <w:rPr>
          <w:rFonts w:eastAsia="仿宋_GB2312;仿宋" w:cs="Arial" w:ascii="Arial" w:hAnsi="Arial"/>
          <w:sz w:val="28"/>
        </w:rPr>
      </w:r>
    </w:p>
    <w:p>
      <w:pPr>
        <w:pStyle w:val="Normal"/>
        <w:spacing w:lineRule="auto" w:line="360"/>
        <w:ind w:firstLine="563"/>
        <w:rPr>
          <w:rFonts w:ascii="Arial" w:hAnsi="Arial" w:eastAsia="仿宋_GB2312;仿宋" w:cs="Arial"/>
          <w:sz w:val="28"/>
        </w:rPr>
      </w:pPr>
      <w:r>
        <w:rPr>
          <w:rFonts w:ascii="Arial" w:hAnsi="Arial" w:cs="Arial" w:eastAsia="仿宋_GB2312;仿宋"/>
          <w:sz w:val="28"/>
        </w:rPr>
        <w:t>土地开发费</w:t>
      </w:r>
      <w:r>
        <w:rPr>
          <w:rFonts w:eastAsia="仿宋_GB2312;仿宋" w:cs="Arial" w:ascii="Arial" w:hAnsi="Arial"/>
          <w:sz w:val="28"/>
        </w:rPr>
        <w:t>=315×10738.85÷10000</w:t>
      </w:r>
    </w:p>
    <w:p>
      <w:pPr>
        <w:pStyle w:val="Normal"/>
        <w:spacing w:lineRule="auto" w:line="360"/>
        <w:ind w:firstLine="1963"/>
        <w:rPr/>
      </w:pPr>
      <w:r>
        <w:rPr>
          <w:rFonts w:eastAsia="仿宋_GB2312;仿宋" w:cs="Arial" w:ascii="Arial" w:hAnsi="Arial"/>
          <w:sz w:val="28"/>
        </w:rPr>
        <w:t>=338.2738</w:t>
      </w:r>
      <w:r>
        <w:rPr>
          <w:rFonts w:ascii="Arial" w:hAnsi="Arial" w:cs="Arial" w:eastAsia="仿宋_GB2312;仿宋"/>
          <w:sz w:val="28"/>
        </w:rPr>
        <w:t>（万元）</w:t>
      </w:r>
    </w:p>
    <w:p>
      <w:pPr>
        <w:pStyle w:val="Normal"/>
        <w:spacing w:lineRule="auto" w:line="360"/>
        <w:ind w:firstLine="565"/>
        <w:rPr/>
      </w:pPr>
      <w:r>
        <w:rPr>
          <w:rFonts w:eastAsia="仿宋_GB2312;仿宋" w:cs="Arial" w:ascii="Arial" w:hAnsi="Arial"/>
          <w:b/>
          <w:sz w:val="28"/>
        </w:rPr>
        <w:t>3.</w:t>
      </w:r>
      <w:r>
        <w:rPr>
          <w:rFonts w:ascii="Arial" w:hAnsi="Arial" w:cs="Arial" w:eastAsia="仿宋_GB2312;仿宋"/>
          <w:b/>
          <w:sz w:val="28"/>
        </w:rPr>
        <w:t>投资利息</w:t>
      </w:r>
    </w:p>
    <w:p>
      <w:pPr>
        <w:pStyle w:val="Normal"/>
        <w:spacing w:lineRule="auto" w:line="360"/>
        <w:ind w:firstLine="563"/>
        <w:jc w:val="both"/>
        <w:rPr/>
      </w:pPr>
      <w:r>
        <w:rPr>
          <w:rFonts w:ascii="Arial" w:hAnsi="Arial" w:cs="Arial" w:eastAsia="仿宋_GB2312;仿宋"/>
          <w:sz w:val="28"/>
        </w:rPr>
        <w:t>根据待估宗地的实际开发程度，设定土地开发周期为</w:t>
      </w:r>
      <w:r>
        <w:rPr>
          <w:rFonts w:eastAsia="仿宋_GB2312;仿宋" w:cs="Arial" w:ascii="Arial" w:hAnsi="Arial"/>
          <w:sz w:val="28"/>
        </w:rPr>
        <w:t>1</w:t>
      </w:r>
      <w:r>
        <w:rPr>
          <w:rFonts w:ascii="Arial" w:hAnsi="Arial" w:cs="Arial" w:eastAsia="仿宋_GB2312;仿宋"/>
          <w:sz w:val="28"/>
        </w:rPr>
        <w:t>年，投资利息率按估价期日</w:t>
      </w:r>
      <w:commentRangeStart w:id="8"/>
      <w:r>
        <w:rPr>
          <w:rFonts w:ascii="Arial" w:hAnsi="Arial" w:cs="Arial" w:eastAsia="仿宋_GB2312;仿宋"/>
          <w:sz w:val="28"/>
        </w:rPr>
        <w:t>中国人民银行公布的</w:t>
      </w:r>
      <w:r>
        <w:rPr>
          <w:rFonts w:eastAsia="仿宋_GB2312;仿宋" w:cs="Arial" w:ascii="Arial" w:hAnsi="Arial"/>
          <w:sz w:val="28"/>
        </w:rPr>
        <w:t>1</w:t>
      </w:r>
      <w:r>
        <w:rPr>
          <w:rFonts w:ascii="Arial" w:hAnsi="Arial" w:cs="Arial" w:eastAsia="仿宋_GB2312;仿宋"/>
          <w:sz w:val="28"/>
        </w:rPr>
        <w:t>年期贷款利息率</w:t>
      </w:r>
      <w:r>
        <w:rPr>
          <w:rFonts w:eastAsia="仿宋_GB2312;仿宋" w:cs="Arial" w:ascii="Arial" w:hAnsi="Arial"/>
          <w:sz w:val="28"/>
        </w:rPr>
        <w:t>4.</w:t>
      </w:r>
      <w:r>
        <w:rPr>
          <w:rFonts w:eastAsia="仿宋_GB2312;仿宋" w:cs="Arial" w:ascii="Arial" w:hAnsi="Arial"/>
          <w:sz w:val="28"/>
        </w:rPr>
        <w:t>3</w:t>
      </w:r>
      <w:r>
        <w:rPr>
          <w:rFonts w:eastAsia="仿宋_GB2312;仿宋" w:cs="Arial" w:ascii="Arial" w:hAnsi="Arial"/>
          <w:sz w:val="28"/>
        </w:rPr>
        <w:t>5%</w:t>
      </w:r>
      <w:r>
        <w:rPr>
          <w:rFonts w:ascii="Arial" w:hAnsi="Arial" w:cs="Arial" w:eastAsia="仿宋_GB2312;仿宋"/>
          <w:sz w:val="28"/>
        </w:rPr>
        <w:t>计</w:t>
      </w:r>
      <w:r>
        <w:rPr>
          <w:rFonts w:ascii="Arial" w:hAnsi="Arial" w:cs="Arial" w:eastAsia="仿宋_GB2312;仿宋"/>
          <w:sz w:val="28"/>
        </w:rPr>
      </w:r>
      <w:commentRangeEnd w:id="8"/>
      <w:r>
        <w:commentReference w:id="8"/>
      </w:r>
      <w:r>
        <w:rPr>
          <w:rFonts w:ascii="Arial" w:hAnsi="Arial" w:cs="Arial" w:eastAsia="仿宋_GB2312;仿宋"/>
          <w:sz w:val="28"/>
        </w:rPr>
        <w:t>，假设土地取得费在土地开发初始时一次性投入，土地开发费在开发周期内均匀投入，按照复利计息，则：</w:t>
      </w:r>
    </w:p>
    <w:p>
      <w:pPr>
        <w:pStyle w:val="Normal"/>
        <w:spacing w:lineRule="auto" w:line="360"/>
        <w:ind w:firstLine="560"/>
        <w:rPr>
          <w:rFonts w:ascii="Arial" w:hAnsi="Arial" w:eastAsia="仿宋_GB2312;仿宋" w:cs="Arial"/>
          <w:sz w:val="28"/>
        </w:rPr>
      </w:pPr>
      <w:r>
        <w:rPr>
          <w:rFonts w:ascii="Arial" w:hAnsi="Arial" w:cs="Arial" w:eastAsia="仿宋_GB2312;仿宋"/>
          <w:sz w:val="28"/>
        </w:rPr>
        <w:t>投资利息＝</w:t>
      </w:r>
      <w:r>
        <w:rPr>
          <w:rFonts w:eastAsia="仿宋_GB2312;仿宋" w:cs="Arial" w:ascii="Arial" w:hAnsi="Arial"/>
          <w:sz w:val="28"/>
        </w:rPr>
        <w:t>9524.2861×[</w:t>
      </w:r>
      <w:r>
        <w:rPr>
          <w:rFonts w:ascii="Arial" w:hAnsi="Arial" w:cs="Arial" w:eastAsia="仿宋_GB2312;仿宋"/>
          <w:sz w:val="28"/>
        </w:rPr>
        <w:t>（</w:t>
      </w:r>
      <w:r>
        <w:rPr>
          <w:rFonts w:eastAsia="仿宋_GB2312;仿宋" w:cs="Arial" w:ascii="Arial" w:hAnsi="Arial"/>
          <w:sz w:val="28"/>
        </w:rPr>
        <w:t>1+4.</w:t>
      </w:r>
      <w:r>
        <w:rPr>
          <w:rFonts w:eastAsia="仿宋_GB2312;仿宋" w:cs="Arial" w:ascii="Arial" w:hAnsi="Arial"/>
          <w:sz w:val="28"/>
        </w:rPr>
        <w:t>3</w:t>
      </w:r>
      <w:r>
        <w:rPr>
          <w:rFonts w:eastAsia="仿宋_GB2312;仿宋" w:cs="Arial" w:ascii="Arial" w:hAnsi="Arial"/>
          <w:sz w:val="28"/>
        </w:rPr>
        <w:t>5%</w:t>
      </w:r>
      <w:r>
        <w:rPr>
          <w:rFonts w:ascii="Arial" w:hAnsi="Arial" w:cs="Arial" w:eastAsia="仿宋_GB2312;仿宋"/>
          <w:sz w:val="28"/>
        </w:rPr>
        <w:t>）</w:t>
      </w:r>
      <w:r>
        <w:rPr>
          <w:rFonts w:eastAsia="仿宋_GB2312;仿宋" w:cs="Arial" w:ascii="Arial" w:hAnsi="Arial"/>
          <w:sz w:val="28"/>
          <w:vertAlign w:val="superscript"/>
        </w:rPr>
        <w:t>1</w:t>
      </w:r>
      <w:r>
        <w:rPr>
          <w:rFonts w:eastAsia="仿宋_GB2312;仿宋" w:cs="Arial" w:ascii="Arial" w:hAnsi="Arial"/>
          <w:sz w:val="28"/>
        </w:rPr>
        <w:t>-1]</w:t>
      </w:r>
      <w:r>
        <w:rPr>
          <w:rFonts w:ascii="Arial" w:hAnsi="Arial" w:cs="Arial" w:eastAsia="仿宋_GB2312;仿宋"/>
          <w:sz w:val="28"/>
        </w:rPr>
        <w:t>＋</w:t>
      </w:r>
      <w:r>
        <w:rPr>
          <w:rFonts w:eastAsia="仿宋_GB2312;仿宋" w:cs="Arial" w:ascii="Arial" w:hAnsi="Arial"/>
          <w:sz w:val="28"/>
        </w:rPr>
        <w:t>338.2738×</w:t>
      </w:r>
    </w:p>
    <w:p>
      <w:pPr>
        <w:pStyle w:val="Normal"/>
        <w:spacing w:lineRule="auto" w:line="360"/>
        <w:ind w:firstLine="560"/>
        <w:rPr>
          <w:rFonts w:ascii="Arial" w:hAnsi="Arial" w:eastAsia="仿宋_GB2312;仿宋" w:cs="Arial"/>
          <w:sz w:val="28"/>
        </w:rPr>
      </w:pPr>
      <w:r>
        <w:rPr>
          <w:rFonts w:eastAsia="仿宋_GB2312;仿宋" w:cs="Arial" w:ascii="Arial" w:hAnsi="Arial"/>
          <w:sz w:val="28"/>
        </w:rPr>
        <w:t>[</w:t>
      </w:r>
      <w:r>
        <w:rPr>
          <w:rFonts w:ascii="Arial" w:hAnsi="Arial" w:cs="Arial" w:eastAsia="仿宋_GB2312;仿宋"/>
          <w:sz w:val="28"/>
        </w:rPr>
        <w:t>（</w:t>
      </w:r>
      <w:r>
        <w:rPr>
          <w:rFonts w:eastAsia="仿宋_GB2312;仿宋" w:cs="Arial" w:ascii="Arial" w:hAnsi="Arial"/>
          <w:sz w:val="28"/>
        </w:rPr>
        <w:t>1+4.</w:t>
      </w:r>
      <w:r>
        <w:rPr>
          <w:rFonts w:eastAsia="仿宋_GB2312;仿宋" w:cs="Arial" w:ascii="Arial" w:hAnsi="Arial"/>
          <w:sz w:val="28"/>
        </w:rPr>
        <w:t>3</w:t>
      </w:r>
      <w:r>
        <w:rPr>
          <w:rFonts w:eastAsia="仿宋_GB2312;仿宋" w:cs="Arial" w:ascii="Arial" w:hAnsi="Arial"/>
          <w:sz w:val="28"/>
        </w:rPr>
        <w:t>5%</w:t>
      </w:r>
      <w:r>
        <w:rPr>
          <w:rFonts w:ascii="Arial" w:hAnsi="Arial" w:cs="Arial" w:eastAsia="仿宋_GB2312;仿宋"/>
          <w:sz w:val="28"/>
        </w:rPr>
        <w:t>）</w:t>
      </w:r>
      <w:r>
        <w:rPr>
          <w:rFonts w:eastAsia="仿宋_GB2312;仿宋" w:cs="Arial" w:ascii="Arial" w:hAnsi="Arial"/>
          <w:sz w:val="28"/>
          <w:vertAlign w:val="superscript"/>
        </w:rPr>
        <w:t>1</w:t>
      </w:r>
      <w:r>
        <w:rPr>
          <w:rFonts w:eastAsia="仿宋_GB2312;仿宋" w:cs="Arial" w:ascii="Arial" w:hAnsi="Arial"/>
          <w:sz w:val="28"/>
          <w:vertAlign w:val="superscript"/>
        </w:rPr>
        <w:t>/2</w:t>
      </w:r>
      <w:r>
        <w:rPr>
          <w:rFonts w:eastAsia="仿宋_GB2312;仿宋" w:cs="Arial" w:ascii="Arial" w:hAnsi="Arial"/>
          <w:sz w:val="28"/>
        </w:rPr>
        <w:t>-1]</w:t>
      </w:r>
      <w:r>
        <w:rPr>
          <w:rFonts w:eastAsia="仿宋_GB2312;仿宋" w:cs="Arial" w:ascii="Arial" w:hAnsi="Arial"/>
          <w:sz w:val="28"/>
          <w:szCs w:val="28"/>
        </w:rPr>
        <w:t xml:space="preserve"> </w:t>
      </w:r>
    </w:p>
    <w:p>
      <w:pPr>
        <w:pStyle w:val="Normal"/>
        <w:spacing w:lineRule="auto" w:line="360"/>
        <w:ind w:firstLine="1680"/>
        <w:rPr>
          <w:rFonts w:ascii="Arial" w:hAnsi="Arial" w:eastAsia="仿宋_GB2312;仿宋" w:cs="Arial"/>
          <w:sz w:val="28"/>
        </w:rPr>
      </w:pPr>
      <w:r>
        <w:rPr>
          <w:rFonts w:ascii="Arial" w:hAnsi="Arial" w:cs="Arial" w:eastAsia="仿宋_GB2312;仿宋"/>
          <w:sz w:val="28"/>
        </w:rPr>
        <w:t>＝</w:t>
      </w:r>
      <w:r>
        <w:rPr>
          <w:rFonts w:eastAsia="仿宋_GB2312;仿宋" w:cs="Arial" w:ascii="Arial" w:hAnsi="Arial"/>
          <w:sz w:val="28"/>
        </w:rPr>
        <w:t>421.6639</w:t>
      </w:r>
      <w:r>
        <w:rPr>
          <w:rFonts w:ascii="Arial" w:hAnsi="Arial" w:cs="Arial" w:eastAsia="仿宋_GB2312;仿宋"/>
          <w:sz w:val="28"/>
        </w:rPr>
        <w:t>（万元）</w:t>
      </w:r>
    </w:p>
    <w:p>
      <w:pPr>
        <w:pStyle w:val="Normal"/>
        <w:spacing w:lineRule="auto" w:line="360"/>
        <w:ind w:firstLine="565"/>
        <w:rPr/>
      </w:pPr>
      <w:r>
        <w:rPr>
          <w:rFonts w:eastAsia="仿宋_GB2312;仿宋" w:cs="Arial" w:ascii="Arial" w:hAnsi="Arial"/>
          <w:b/>
          <w:sz w:val="28"/>
        </w:rPr>
        <w:t>4.</w:t>
      </w:r>
      <w:r>
        <w:rPr>
          <w:rFonts w:ascii="Arial" w:hAnsi="Arial" w:cs="Arial" w:eastAsia="仿宋_GB2312;仿宋"/>
          <w:b/>
          <w:sz w:val="28"/>
        </w:rPr>
        <w:t>投资利润</w:t>
      </w:r>
    </w:p>
    <w:p>
      <w:pPr>
        <w:pStyle w:val="Normal"/>
        <w:spacing w:lineRule="auto" w:line="360"/>
        <w:ind w:firstLine="563"/>
        <w:jc w:val="both"/>
        <w:rPr>
          <w:rFonts w:eastAsia="仿宋_GB2312;仿宋"/>
        </w:rPr>
      </w:pPr>
      <w:r>
        <w:rPr>
          <w:rFonts w:ascii="Arial" w:hAnsi="Arial" w:cs="Arial" w:eastAsia="仿宋_GB2312;仿宋"/>
          <w:sz w:val="28"/>
        </w:rPr>
        <w:t>根据《关于进一步规范土地一级开发项目管理费和利润管理的通知》</w:t>
      </w:r>
      <w:r>
        <w:rPr>
          <w:rFonts w:eastAsia="仿宋_GB2312;仿宋" w:cs="Arial" w:ascii="Arial" w:hAnsi="Arial"/>
          <w:sz w:val="28"/>
        </w:rPr>
        <w:t>[</w:t>
      </w:r>
      <w:r>
        <w:rPr>
          <w:rFonts w:ascii="Arial" w:hAnsi="Arial" w:cs="Arial" w:eastAsia="仿宋_GB2312;仿宋"/>
          <w:sz w:val="28"/>
        </w:rPr>
        <w:t>京规自发（</w:t>
      </w:r>
      <w:r>
        <w:rPr>
          <w:rFonts w:eastAsia="仿宋_GB2312;仿宋" w:cs="Arial" w:ascii="Arial" w:hAnsi="Arial"/>
          <w:sz w:val="28"/>
        </w:rPr>
        <w:t>2021</w:t>
      </w:r>
      <w:r>
        <w:rPr>
          <w:rFonts w:ascii="Arial" w:hAnsi="Arial" w:cs="Arial" w:eastAsia="仿宋_GB2312;仿宋"/>
          <w:sz w:val="28"/>
        </w:rPr>
        <w:t>）</w:t>
      </w:r>
      <w:r>
        <w:rPr>
          <w:rFonts w:eastAsia="仿宋_GB2312;仿宋" w:cs="Arial" w:ascii="Arial" w:hAnsi="Arial"/>
          <w:sz w:val="28"/>
        </w:rPr>
        <w:t>303</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，该意见规定，开发时间</w:t>
      </w:r>
      <w:r>
        <w:rPr>
          <w:rFonts w:eastAsia="仿宋_GB2312;仿宋" w:cs="Arial" w:ascii="Arial" w:hAnsi="Arial"/>
          <w:sz w:val="28"/>
        </w:rPr>
        <w:t>1</w:t>
      </w:r>
      <w:r>
        <w:rPr>
          <w:rFonts w:ascii="Arial" w:hAnsi="Arial" w:cs="Arial" w:eastAsia="仿宋_GB2312;仿宋"/>
          <w:sz w:val="28"/>
        </w:rPr>
        <w:t>年期的利润率为</w:t>
      </w:r>
      <w:r>
        <w:rPr>
          <w:rFonts w:eastAsia="仿宋_GB2312;仿宋" w:cs="Arial" w:ascii="Arial" w:hAnsi="Arial"/>
          <w:sz w:val="28"/>
        </w:rPr>
        <w:t>15%</w:t>
      </w:r>
      <w:r>
        <w:rPr>
          <w:rFonts w:ascii="Arial" w:hAnsi="Arial" w:cs="Arial" w:eastAsia="仿宋_GB2312;仿宋"/>
          <w:sz w:val="28"/>
        </w:rPr>
        <w:t>，本次</w:t>
      </w:r>
      <w:r>
        <w:rPr>
          <w:rFonts w:ascii="Arial" w:hAnsi="Arial" w:cs="Arial" w:eastAsia="仿宋_GB2312;仿宋"/>
          <w:sz w:val="28"/>
        </w:rPr>
        <w:t>估算</w:t>
      </w:r>
      <w:r>
        <w:rPr>
          <w:rFonts w:ascii="Arial" w:hAnsi="Arial" w:cs="Arial" w:eastAsia="仿宋_GB2312;仿宋"/>
          <w:sz w:val="28"/>
        </w:rPr>
        <w:t>参考该规定确定土地开发投资利润率取</w:t>
      </w:r>
      <w:r>
        <w:rPr>
          <w:rFonts w:eastAsia="仿宋_GB2312;仿宋" w:cs="Arial" w:ascii="Arial" w:hAnsi="Arial"/>
          <w:sz w:val="28"/>
        </w:rPr>
        <w:t>15%</w:t>
      </w:r>
      <w:r>
        <w:rPr>
          <w:rFonts w:ascii="Arial" w:hAnsi="Arial" w:cs="Arial" w:eastAsia="仿宋_GB2312;仿宋"/>
          <w:sz w:val="28"/>
        </w:rPr>
        <w:t>，则：</w:t>
      </w:r>
      <w:r>
        <w:rPr>
          <w:rFonts w:ascii="Arial" w:hAnsi="Arial" w:cs="Arial" w:eastAsia="Arial"/>
          <w:sz w:val="28"/>
        </w:rPr>
        <w:t xml:space="preserve"> </w:t>
      </w:r>
    </w:p>
    <w:p>
      <w:pPr>
        <w:pStyle w:val="Normal"/>
        <w:spacing w:lineRule="auto" w:line="360"/>
        <w:ind w:firstLine="563"/>
        <w:rPr/>
      </w:pPr>
      <w:r>
        <w:rPr>
          <w:rFonts w:ascii="Arial" w:hAnsi="Arial" w:cs="Arial" w:eastAsia="仿宋_GB2312;仿宋"/>
          <w:sz w:val="28"/>
        </w:rPr>
        <w:t>投资利润＝（土地取得费</w:t>
      </w:r>
      <w:r>
        <w:rPr>
          <w:rFonts w:eastAsia="仿宋_GB2312;仿宋" w:cs="Arial" w:ascii="Arial" w:hAnsi="Arial"/>
          <w:sz w:val="28"/>
        </w:rPr>
        <w:t>+</w:t>
      </w:r>
      <w:r>
        <w:rPr>
          <w:rFonts w:ascii="Arial" w:hAnsi="Arial" w:cs="Arial" w:eastAsia="仿宋_GB2312;仿宋"/>
          <w:sz w:val="28"/>
        </w:rPr>
        <w:t>土地开发费）</w:t>
      </w:r>
      <w:r>
        <w:rPr>
          <w:rFonts w:ascii="Arial" w:hAnsi="Arial" w:cs="Arial" w:eastAsia="Arial"/>
          <w:sz w:val="28"/>
        </w:rPr>
        <w:t xml:space="preserve"> </w:t>
      </w:r>
      <w:r>
        <w:rPr>
          <w:rFonts w:eastAsia="仿宋_GB2312;仿宋" w:cs="Arial" w:ascii="Arial" w:hAnsi="Arial"/>
          <w:sz w:val="28"/>
        </w:rPr>
        <w:t>×</w:t>
      </w:r>
      <w:r>
        <w:rPr>
          <w:rFonts w:ascii="Arial" w:hAnsi="Arial" w:cs="Arial" w:eastAsia="仿宋_GB2312;仿宋"/>
          <w:sz w:val="28"/>
        </w:rPr>
        <w:t>投资利润率</w:t>
      </w:r>
    </w:p>
    <w:p>
      <w:pPr>
        <w:pStyle w:val="Normal"/>
        <w:spacing w:lineRule="auto" w:line="360"/>
        <w:ind w:firstLine="1683"/>
        <w:rPr/>
      </w:pPr>
      <w:r>
        <w:rPr>
          <w:rFonts w:ascii="Arial" w:hAnsi="Arial" w:cs="Arial" w:eastAsia="仿宋_GB2312;仿宋"/>
          <w:sz w:val="28"/>
        </w:rPr>
        <w:t>＝（</w:t>
      </w:r>
      <w:r>
        <w:rPr>
          <w:rFonts w:eastAsia="仿宋_GB2312;仿宋" w:cs="Arial" w:ascii="Arial" w:hAnsi="Arial"/>
          <w:sz w:val="28"/>
        </w:rPr>
        <w:t>9524.2861+338.2738</w:t>
      </w:r>
      <w:r>
        <w:rPr>
          <w:rFonts w:ascii="Arial" w:hAnsi="Arial" w:cs="Arial" w:eastAsia="仿宋_GB2312;仿宋"/>
          <w:sz w:val="28"/>
        </w:rPr>
        <w:t>）</w:t>
      </w:r>
      <w:r>
        <w:rPr>
          <w:rFonts w:eastAsia="仿宋_GB2312;仿宋" w:cs="Arial" w:ascii="Arial" w:hAnsi="Arial"/>
          <w:sz w:val="28"/>
        </w:rPr>
        <w:t>×15%</w:t>
      </w:r>
    </w:p>
    <w:p>
      <w:pPr>
        <w:pStyle w:val="Normal"/>
        <w:spacing w:lineRule="auto" w:line="360"/>
        <w:ind w:firstLine="1683"/>
        <w:rPr>
          <w:rFonts w:ascii="Arial" w:hAnsi="Arial" w:eastAsia="仿宋_GB2312;仿宋" w:cs="Arial"/>
          <w:sz w:val="28"/>
        </w:rPr>
      </w:pPr>
      <w:r>
        <w:rPr>
          <w:rFonts w:ascii="Arial" w:hAnsi="Arial" w:cs="Arial" w:eastAsia="仿宋_GB2312;仿宋"/>
          <w:sz w:val="28"/>
        </w:rPr>
        <w:t>＝</w:t>
      </w:r>
      <w:r>
        <w:rPr>
          <w:rFonts w:eastAsia="仿宋_GB2312;仿宋" w:cs="Arial" w:ascii="Arial" w:hAnsi="Arial"/>
          <w:sz w:val="28"/>
        </w:rPr>
        <w:t>1479.3840</w:t>
      </w:r>
      <w:r>
        <w:rPr>
          <w:rFonts w:ascii="Arial" w:hAnsi="Arial" w:cs="Arial" w:eastAsia="仿宋_GB2312;仿宋"/>
          <w:sz w:val="28"/>
        </w:rPr>
        <w:t>（万元）</w:t>
      </w:r>
    </w:p>
    <w:p>
      <w:pPr>
        <w:pStyle w:val="Normal"/>
        <w:spacing w:lineRule="auto" w:line="360"/>
        <w:ind w:firstLine="565"/>
        <w:rPr/>
      </w:pPr>
      <w:r>
        <w:rPr>
          <w:rFonts w:eastAsia="仿宋_GB2312;仿宋" w:cs="Arial" w:ascii="Arial" w:hAnsi="Arial"/>
          <w:b/>
          <w:sz w:val="28"/>
        </w:rPr>
        <w:t>5.</w:t>
      </w:r>
      <w:r>
        <w:rPr>
          <w:rFonts w:ascii="Arial" w:hAnsi="Arial" w:cs="Arial" w:eastAsia="仿宋_GB2312;仿宋"/>
          <w:b/>
          <w:sz w:val="28"/>
        </w:rPr>
        <w:t>土地增值</w:t>
      </w:r>
    </w:p>
    <w:p>
      <w:pPr>
        <w:pStyle w:val="Normal"/>
        <w:numPr>
          <w:ilvl w:val="0"/>
          <w:numId w:val="0"/>
        </w:numPr>
        <w:spacing w:lineRule="auto" w:line="360"/>
        <w:ind w:firstLine="560"/>
        <w:jc w:val="both"/>
        <w:outlineLvl w:val="0"/>
        <w:rPr>
          <w:rFonts w:ascii="Arial" w:hAnsi="Arial" w:eastAsia="仿宋_GB2312;仿宋" w:cs="Arial"/>
          <w:sz w:val="28"/>
          <w:szCs w:val="28"/>
        </w:rPr>
      </w:pPr>
      <w:r>
        <w:rPr>
          <w:rFonts w:ascii="Arial" w:hAnsi="Arial" w:cs="Arial" w:eastAsia="仿宋_GB2312;仿宋"/>
          <w:sz w:val="28"/>
          <w:szCs w:val="28"/>
        </w:rPr>
        <w:t>土地增值按该区域土地内，因用途等土地使用条件改变或进行土地开发而产生的价值增值额或比例测算。估价对象为划拨用地，故本次评估未考虑土地增值收益的影响。</w:t>
      </w:r>
    </w:p>
    <w:p>
      <w:pPr>
        <w:pStyle w:val="Normal"/>
        <w:spacing w:lineRule="auto" w:line="360"/>
        <w:ind w:firstLine="565"/>
        <w:rPr/>
      </w:pPr>
      <w:r>
        <w:rPr>
          <w:rFonts w:eastAsia="仿宋_GB2312;仿宋" w:cs="Arial" w:ascii="Arial" w:hAnsi="Arial"/>
          <w:b/>
          <w:sz w:val="28"/>
        </w:rPr>
        <w:t>6.</w:t>
      </w:r>
      <w:r>
        <w:rPr>
          <w:rFonts w:ascii="Arial" w:hAnsi="Arial" w:cs="Arial" w:eastAsia="仿宋_GB2312;仿宋"/>
          <w:b/>
          <w:sz w:val="28"/>
        </w:rPr>
        <w:t>无年期限制</w:t>
      </w:r>
      <w:r>
        <w:rPr>
          <w:rFonts w:ascii="Arial" w:hAnsi="Arial" w:cs="Arial" w:eastAsia="仿宋_GB2312;仿宋"/>
          <w:b/>
          <w:sz w:val="28"/>
        </w:rPr>
        <w:t>下土地使用权价格</w:t>
      </w:r>
    </w:p>
    <w:p>
      <w:pPr>
        <w:pStyle w:val="Normal"/>
        <w:numPr>
          <w:ilvl w:val="0"/>
          <w:numId w:val="0"/>
        </w:numPr>
        <w:spacing w:lineRule="auto" w:line="360"/>
        <w:ind w:firstLine="560"/>
        <w:jc w:val="both"/>
        <w:outlineLvl w:val="0"/>
        <w:rPr/>
      </w:pPr>
      <w:r>
        <w:rPr>
          <w:rFonts w:ascii="Arial" w:hAnsi="Arial" w:cs="Arial" w:eastAsia="仿宋_GB2312;仿宋"/>
          <w:sz w:val="28"/>
          <w:szCs w:val="28"/>
        </w:rPr>
        <w:t>估价对象为划拨用地，为</w:t>
      </w:r>
      <w:r>
        <w:rPr>
          <w:rFonts w:ascii="Arial" w:hAnsi="Arial" w:cs="Arial" w:eastAsia="仿宋_GB2312;仿宋"/>
          <w:sz w:val="28"/>
          <w:szCs w:val="28"/>
        </w:rPr>
        <w:t>无年期限制的土地使用权价格</w:t>
      </w:r>
      <w:r>
        <w:rPr>
          <w:rFonts w:ascii="Arial" w:hAnsi="Arial" w:cs="Arial" w:eastAsia="仿宋_GB2312;仿宋"/>
          <w:sz w:val="28"/>
          <w:szCs w:val="28"/>
        </w:rPr>
        <w:t>价格，故不进行年期修正。</w:t>
      </w:r>
    </w:p>
    <w:p>
      <w:pPr>
        <w:pStyle w:val="Normal"/>
        <w:spacing w:lineRule="auto" w:line="360"/>
        <w:ind w:firstLine="563"/>
        <w:rPr>
          <w:rFonts w:ascii="Arial" w:hAnsi="Arial" w:eastAsia="仿宋_GB2312;仿宋" w:cs="Arial"/>
          <w:sz w:val="28"/>
          <w:szCs w:val="28"/>
        </w:rPr>
      </w:pPr>
      <w:r>
        <w:rPr>
          <w:rFonts w:ascii="Arial" w:hAnsi="Arial" w:cs="Arial" w:eastAsia="仿宋_GB2312;仿宋"/>
          <w:sz w:val="28"/>
          <w:szCs w:val="28"/>
        </w:rPr>
        <w:t>承上，本次评估采用成本逼近法测算宗地地价的结果为：</w:t>
      </w:r>
      <w:r>
        <w:rPr>
          <w:rFonts w:ascii="Arial" w:hAnsi="Arial" w:cs="Arial" w:eastAsia="Arial"/>
          <w:sz w:val="28"/>
          <w:szCs w:val="28"/>
        </w:rPr>
        <w:t xml:space="preserve"> </w:t>
      </w:r>
    </w:p>
    <w:p>
      <w:pPr>
        <w:pStyle w:val="Normal"/>
        <w:numPr>
          <w:ilvl w:val="0"/>
          <w:numId w:val="0"/>
        </w:numPr>
        <w:spacing w:lineRule="auto" w:line="360"/>
        <w:ind w:firstLine="560"/>
        <w:jc w:val="both"/>
        <w:outlineLvl w:val="0"/>
        <w:rPr>
          <w:rFonts w:ascii="Arial" w:hAnsi="Arial" w:eastAsia="仿宋_GB2312;仿宋" w:cs="Arial"/>
          <w:sz w:val="28"/>
          <w:szCs w:val="28"/>
        </w:rPr>
      </w:pPr>
      <w:r>
        <w:rPr>
          <w:rFonts w:ascii="Arial" w:hAnsi="Arial" w:cs="Arial" w:eastAsia="仿宋_GB2312;仿宋"/>
          <w:sz w:val="28"/>
          <w:szCs w:val="28"/>
        </w:rPr>
        <w:t>土地价格</w:t>
      </w:r>
      <w:r>
        <w:rPr>
          <w:rFonts w:eastAsia="仿宋_GB2312;仿宋" w:cs="Arial" w:ascii="Arial" w:hAnsi="Arial"/>
          <w:sz w:val="28"/>
          <w:szCs w:val="28"/>
        </w:rPr>
        <w:t>=</w:t>
      </w:r>
      <w:r>
        <w:rPr>
          <w:rFonts w:ascii="Arial" w:hAnsi="Arial" w:cs="Arial" w:eastAsia="仿宋_GB2312;仿宋"/>
          <w:sz w:val="28"/>
          <w:szCs w:val="28"/>
        </w:rPr>
        <w:t>土地取得费及相关税费</w:t>
      </w:r>
      <w:r>
        <w:rPr>
          <w:rFonts w:eastAsia="仿宋_GB2312;仿宋" w:cs="Arial" w:ascii="Arial" w:hAnsi="Arial"/>
          <w:sz w:val="28"/>
          <w:szCs w:val="28"/>
        </w:rPr>
        <w:t>+</w:t>
      </w:r>
      <w:r>
        <w:rPr>
          <w:rFonts w:ascii="Arial" w:hAnsi="Arial" w:cs="Arial" w:eastAsia="仿宋_GB2312;仿宋"/>
          <w:sz w:val="28"/>
          <w:szCs w:val="28"/>
        </w:rPr>
        <w:t>土地开发费</w:t>
      </w:r>
      <w:r>
        <w:rPr>
          <w:rFonts w:eastAsia="仿宋_GB2312;仿宋" w:cs="Arial" w:ascii="Arial" w:hAnsi="Arial"/>
          <w:sz w:val="28"/>
          <w:szCs w:val="28"/>
        </w:rPr>
        <w:t>+</w:t>
      </w:r>
      <w:r>
        <w:rPr>
          <w:rFonts w:ascii="Arial" w:hAnsi="Arial" w:cs="Arial" w:eastAsia="仿宋_GB2312;仿宋"/>
          <w:sz w:val="28"/>
          <w:szCs w:val="28"/>
        </w:rPr>
        <w:t>利息</w:t>
      </w:r>
      <w:r>
        <w:rPr>
          <w:rFonts w:eastAsia="仿宋_GB2312;仿宋" w:cs="Arial" w:ascii="Arial" w:hAnsi="Arial"/>
          <w:sz w:val="28"/>
          <w:szCs w:val="28"/>
        </w:rPr>
        <w:t>+</w:t>
      </w:r>
      <w:r>
        <w:rPr>
          <w:rFonts w:ascii="Arial" w:hAnsi="Arial" w:cs="Arial" w:eastAsia="仿宋_GB2312;仿宋"/>
          <w:sz w:val="28"/>
          <w:szCs w:val="28"/>
        </w:rPr>
        <w:t>利润</w:t>
      </w:r>
      <w:r>
        <w:rPr>
          <w:rFonts w:eastAsia="仿宋_GB2312;仿宋" w:cs="Arial" w:ascii="Arial" w:hAnsi="Arial"/>
          <w:sz w:val="28"/>
          <w:szCs w:val="28"/>
        </w:rPr>
        <w:t>+</w:t>
      </w:r>
      <w:r>
        <w:rPr>
          <w:rFonts w:ascii="Arial" w:hAnsi="Arial" w:cs="Arial" w:eastAsia="仿宋_GB2312;仿宋"/>
          <w:sz w:val="28"/>
          <w:szCs w:val="28"/>
        </w:rPr>
        <w:t>土地增值</w:t>
      </w:r>
    </w:p>
    <w:p>
      <w:pPr>
        <w:pStyle w:val="Normal"/>
        <w:spacing w:lineRule="auto" w:line="360"/>
        <w:ind w:firstLine="563"/>
        <w:rPr>
          <w:rFonts w:ascii="Arial" w:hAnsi="Arial" w:eastAsia="仿宋_GB2312;仿宋" w:cs="Arial"/>
          <w:sz w:val="28"/>
        </w:rPr>
      </w:pPr>
      <w:r>
        <w:rPr>
          <w:rFonts w:eastAsia="仿宋_GB2312;仿宋" w:cs="Arial" w:ascii="Arial" w:hAnsi="Arial"/>
          <w:sz w:val="28"/>
          <w:szCs w:val="28"/>
        </w:rPr>
        <w:t>=</w:t>
      </w:r>
      <w:r>
        <w:rPr>
          <w:rFonts w:eastAsia="仿宋_GB2312;仿宋" w:cs="Arial" w:ascii="Arial" w:hAnsi="Arial"/>
          <w:sz w:val="28"/>
        </w:rPr>
        <w:t>9524.2861+338.2738+421.6639+1479.3840+0</w:t>
      </w:r>
    </w:p>
    <w:p>
      <w:pPr>
        <w:pStyle w:val="Normal"/>
        <w:spacing w:lineRule="auto" w:line="360"/>
        <w:ind w:firstLine="560"/>
        <w:rPr/>
      </w:pPr>
      <w:r>
        <w:rPr>
          <w:rFonts w:eastAsia="仿宋_GB2312;仿宋" w:cs="Arial" w:ascii="Arial" w:hAnsi="Arial"/>
          <w:sz w:val="28"/>
          <w:szCs w:val="28"/>
        </w:rPr>
        <w:t>=</w:t>
      </w:r>
      <w:r>
        <w:rPr>
          <w:rFonts w:eastAsia="仿宋_GB2312;仿宋" w:cs="Arial" w:ascii="Arial" w:hAnsi="Arial"/>
          <w:sz w:val="28"/>
        </w:rPr>
        <w:t>11763.6078</w:t>
      </w:r>
      <w:r>
        <w:rPr>
          <w:rFonts w:ascii="Arial" w:hAnsi="Arial" w:cs="Arial" w:eastAsia="仿宋_GB2312;仿宋"/>
          <w:sz w:val="28"/>
        </w:rPr>
        <w:t>（万元）</w:t>
      </w:r>
    </w:p>
    <w:p>
      <w:pPr>
        <w:pStyle w:val="Normal"/>
        <w:spacing w:lineRule="auto" w:line="360"/>
        <w:ind w:firstLine="565"/>
        <w:rPr>
          <w:rFonts w:ascii="Arial" w:hAnsi="Arial" w:eastAsia="仿宋_GB2312;仿宋" w:cs="Arial"/>
          <w:b/>
          <w:b/>
          <w:sz w:val="28"/>
        </w:rPr>
      </w:pPr>
      <w:r>
        <w:rPr>
          <w:rFonts w:eastAsia="仿宋_GB2312;仿宋" w:cs="Arial" w:ascii="Arial" w:hAnsi="Arial"/>
          <w:b/>
          <w:sz w:val="28"/>
        </w:rPr>
        <w:t>7.</w:t>
      </w:r>
      <w:r>
        <w:rPr>
          <w:rFonts w:ascii="Arial" w:hAnsi="Arial" w:cs="Arial" w:eastAsia="仿宋_GB2312;仿宋"/>
          <w:b/>
          <w:sz w:val="28"/>
        </w:rPr>
        <w:t>估价对象土地使用权地面价</w:t>
      </w:r>
    </w:p>
    <w:p>
      <w:pPr>
        <w:pStyle w:val="Normal"/>
        <w:spacing w:lineRule="auto" w:line="360"/>
        <w:ind w:firstLine="563"/>
        <w:rPr>
          <w:rFonts w:ascii="Arial" w:hAnsi="Arial" w:eastAsia="仿宋_GB2312;仿宋" w:cs="Arial"/>
          <w:sz w:val="28"/>
        </w:rPr>
      </w:pPr>
      <w:r>
        <w:rPr>
          <w:rFonts w:ascii="Arial" w:hAnsi="Arial" w:cs="Arial" w:eastAsia="仿宋_GB2312;仿宋"/>
          <w:sz w:val="28"/>
        </w:rPr>
        <w:t>估价对象土地使用权地面价</w:t>
      </w:r>
    </w:p>
    <w:p>
      <w:pPr>
        <w:pStyle w:val="Normal"/>
        <w:spacing w:lineRule="auto" w:line="360"/>
        <w:ind w:firstLine="563"/>
        <w:rPr>
          <w:rFonts w:ascii="Arial" w:hAnsi="Arial" w:eastAsia="仿宋_GB2312;仿宋" w:cs="Arial"/>
          <w:sz w:val="28"/>
        </w:rPr>
      </w:pPr>
      <w:r>
        <w:rPr>
          <w:rFonts w:eastAsia="仿宋_GB2312;仿宋" w:cs="Arial" w:ascii="Arial" w:hAnsi="Arial"/>
          <w:sz w:val="28"/>
        </w:rPr>
        <w:t>=11763.6078×10000÷10738.85</w:t>
      </w:r>
    </w:p>
    <w:p>
      <w:pPr>
        <w:pStyle w:val="Normal"/>
        <w:spacing w:lineRule="auto" w:line="360"/>
        <w:ind w:firstLine="563"/>
        <w:rPr>
          <w:rFonts w:ascii="Arial" w:hAnsi="Arial" w:eastAsia="仿宋_GB2312;仿宋" w:cs="Arial"/>
          <w:sz w:val="28"/>
        </w:rPr>
      </w:pPr>
      <w:r>
        <w:rPr>
          <w:rFonts w:eastAsia="仿宋_GB2312;仿宋" w:cs="Arial" w:ascii="Arial" w:hAnsi="Arial"/>
          <w:sz w:val="28"/>
        </w:rPr>
        <w:t>=10954</w:t>
      </w:r>
      <w:r>
        <w:rPr>
          <w:rFonts w:ascii="Arial" w:hAnsi="Arial" w:cs="Arial" w:eastAsia="仿宋_GB2312;仿宋"/>
          <w:sz w:val="28"/>
        </w:rPr>
        <w:t>（元</w:t>
      </w:r>
      <w:r>
        <w:rPr>
          <w:rFonts w:eastAsia="仿宋_GB2312;仿宋" w:cs="Arial" w:ascii="Arial" w:hAnsi="Arial"/>
          <w:sz w:val="28"/>
        </w:rPr>
        <w:t>/</w:t>
      </w:r>
      <w:r>
        <w:rPr>
          <w:rFonts w:ascii="Arial" w:hAnsi="Arial" w:cs="Arial" w:eastAsia="仿宋_GB2312;仿宋"/>
          <w:sz w:val="28"/>
        </w:rPr>
        <w:t>平方米）</w:t>
      </w:r>
    </w:p>
    <w:p>
      <w:pPr>
        <w:pStyle w:val="Normal"/>
        <w:spacing w:lineRule="auto" w:line="360"/>
        <w:rPr>
          <w:rFonts w:ascii="Arial" w:hAnsi="Arial" w:eastAsia="仿宋_GB2312;仿宋" w:cs="Arial"/>
          <w:b/>
          <w:b/>
          <w:sz w:val="28"/>
        </w:rPr>
      </w:pPr>
      <w:r>
        <w:rPr>
          <w:rFonts w:ascii="Arial" w:hAnsi="Arial" w:cs="Arial" w:eastAsia="仿宋_GB2312;仿宋"/>
          <w:sz w:val="28"/>
        </w:rPr>
        <w:t>二、</w:t>
      </w:r>
      <w:r>
        <w:rPr>
          <w:rFonts w:ascii="Arial" w:hAnsi="Arial" w:cs="Arial" w:eastAsia="仿宋_GB2312;仿宋"/>
          <w:b/>
          <w:sz w:val="28"/>
        </w:rPr>
        <w:t>运用</w:t>
      </w:r>
      <w:r>
        <w:rPr>
          <w:rFonts w:ascii="Arial" w:hAnsi="Arial" w:cs="Arial" w:eastAsia="仿宋_GB2312;仿宋"/>
          <w:b/>
          <w:sz w:val="28"/>
        </w:rPr>
        <w:t>市场比较法</w:t>
      </w:r>
      <w:r>
        <w:rPr>
          <w:rFonts w:ascii="Arial" w:hAnsi="Arial" w:cs="Arial" w:eastAsia="仿宋_GB2312;仿宋"/>
          <w:b/>
          <w:sz w:val="28"/>
        </w:rPr>
        <w:t>求取土地使用权价格</w:t>
      </w:r>
    </w:p>
    <w:p>
      <w:pPr>
        <w:pStyle w:val="Style27"/>
        <w:spacing w:lineRule="auto" w:line="360"/>
        <w:ind w:firstLine="562"/>
        <w:rPr>
          <w:rFonts w:ascii="仿宋_GB2312;仿宋" w:hAnsi="仿宋_GB2312;仿宋" w:eastAsia="仿宋_GB2312;仿宋" w:cs="Arial"/>
          <w:sz w:val="28"/>
          <w:szCs w:val="28"/>
          <w:lang w:eastAsia="zh-CN"/>
        </w:rPr>
      </w:pPr>
      <w:r>
        <w:rPr>
          <w:rFonts w:eastAsia="仿宋_GB2312;仿宋" w:cs="Arial" w:ascii="Arial" w:hAnsi="Arial"/>
          <w:b/>
          <w:sz w:val="28"/>
          <w:szCs w:val="28"/>
        </w:rPr>
        <w:t>1.</w:t>
      </w:r>
      <w:r>
        <w:rPr>
          <w:rFonts w:ascii="Arial" w:hAnsi="Arial" w:cs="Arial" w:eastAsia="仿宋_GB2312;仿宋"/>
          <w:sz w:val="28"/>
        </w:rPr>
        <w:t>根据替代原则</w:t>
      </w:r>
      <w:r>
        <w:rPr>
          <w:rFonts w:ascii="仿宋_GB2312;仿宋" w:hAnsi="仿宋_GB2312;仿宋" w:cs="Arial" w:eastAsia="仿宋_GB2312;仿宋"/>
          <w:sz w:val="28"/>
          <w:szCs w:val="28"/>
          <w:lang w:eastAsia="zh-CN"/>
        </w:rPr>
        <w:t>选取可比实例</w:t>
      </w:r>
    </w:p>
    <w:p>
      <w:pPr>
        <w:pStyle w:val="Style27"/>
        <w:spacing w:lineRule="auto" w:line="360"/>
        <w:ind w:firstLine="560"/>
        <w:rPr>
          <w:rFonts w:ascii="Arial" w:hAnsi="Arial" w:eastAsia="仿宋_GB2312;仿宋" w:cs="Arial"/>
          <w:b/>
          <w:b/>
          <w:sz w:val="28"/>
          <w:szCs w:val="28"/>
        </w:rPr>
      </w:pPr>
      <w:bookmarkStart w:id="50" w:name="_Hlk149318091"/>
      <w:r>
        <w:rPr>
          <w:rFonts w:ascii="Arial" w:hAnsi="Arial" w:cs="Arial" w:eastAsia="仿宋_GB2312;仿宋"/>
          <w:sz w:val="28"/>
          <w:szCs w:val="28"/>
        </w:rPr>
        <w:t>企业国有企业建设用地使用权收购是一个历时较久的经济行为，通过对北京市类似</w:t>
      </w:r>
      <w:r>
        <w:rPr>
          <w:rFonts w:ascii="Arial" w:hAnsi="Arial" w:cs="Arial" w:eastAsia="仿宋_GB2312;仿宋"/>
          <w:sz w:val="28"/>
          <w:szCs w:val="28"/>
          <w:lang w:eastAsia="zh-CN"/>
        </w:rPr>
        <w:t>用途划拨</w:t>
      </w:r>
      <w:r>
        <w:rPr>
          <w:rFonts w:ascii="Arial" w:hAnsi="Arial" w:cs="Arial" w:eastAsia="仿宋_GB2312;仿宋"/>
          <w:sz w:val="28"/>
          <w:szCs w:val="28"/>
        </w:rPr>
        <w:t>用地市场的调查，每个区域类似交易不均衡。</w:t>
      </w:r>
      <w:r>
        <w:rPr>
          <w:rFonts w:eastAsia="仿宋_GB2312;仿宋" w:cs="Arial" w:ascii="Arial" w:hAnsi="Arial"/>
          <w:sz w:val="28"/>
          <w:szCs w:val="28"/>
        </w:rPr>
        <w:t>2021</w:t>
      </w:r>
      <w:r>
        <w:rPr>
          <w:rFonts w:ascii="Arial" w:hAnsi="Arial" w:cs="Arial" w:eastAsia="仿宋_GB2312;仿宋"/>
          <w:sz w:val="28"/>
          <w:szCs w:val="28"/>
        </w:rPr>
        <w:t>年</w:t>
      </w:r>
      <w:r>
        <w:rPr>
          <w:rFonts w:eastAsia="仿宋_GB2312;仿宋" w:cs="Arial" w:ascii="Arial" w:hAnsi="Arial"/>
          <w:sz w:val="28"/>
          <w:szCs w:val="28"/>
        </w:rPr>
        <w:t>-2023</w:t>
      </w:r>
      <w:r>
        <w:rPr>
          <w:rFonts w:ascii="Arial" w:hAnsi="Arial" w:cs="Arial" w:eastAsia="仿宋_GB2312;仿宋"/>
          <w:sz w:val="28"/>
          <w:szCs w:val="28"/>
        </w:rPr>
        <w:t>年，全市类似交易较少。</w:t>
      </w:r>
      <w:r>
        <w:rPr>
          <w:rFonts w:ascii="Arial" w:hAnsi="Arial" w:cs="Arial" w:eastAsia="仿宋_GB2312;仿宋"/>
          <w:sz w:val="28"/>
          <w:szCs w:val="28"/>
          <w:lang w:eastAsia="zh-CN"/>
        </w:rPr>
        <w:t>海淀</w:t>
      </w:r>
      <w:r>
        <w:rPr>
          <w:rFonts w:ascii="Arial" w:hAnsi="Arial" w:cs="Arial" w:eastAsia="仿宋_GB2312;仿宋"/>
          <w:sz w:val="28"/>
          <w:szCs w:val="28"/>
        </w:rPr>
        <w:t>区近三年</w:t>
      </w:r>
      <w:r>
        <w:rPr>
          <w:rFonts w:ascii="Arial" w:hAnsi="Arial" w:cs="Arial" w:eastAsia="仿宋_GB2312;仿宋"/>
          <w:sz w:val="28"/>
          <w:szCs w:val="28"/>
          <w:lang w:eastAsia="zh-CN"/>
        </w:rPr>
        <w:t>鲜有成交</w:t>
      </w:r>
      <w:r>
        <w:rPr>
          <w:rFonts w:ascii="Arial" w:hAnsi="Arial" w:cs="Arial" w:eastAsia="仿宋_GB2312;仿宋"/>
          <w:sz w:val="28"/>
          <w:szCs w:val="28"/>
        </w:rPr>
        <w:t>，有的项目是复合型，集体土地和国有土地混合，住宅和非住宅混合，很难分解到具体细项。</w:t>
      </w:r>
      <w:bookmarkEnd w:id="50"/>
      <w:r>
        <w:rPr>
          <w:rFonts w:ascii="Arial" w:hAnsi="Arial" w:cs="Arial" w:eastAsia="仿宋_GB2312;仿宋"/>
          <w:sz w:val="28"/>
          <w:szCs w:val="28"/>
        </w:rPr>
        <w:t>目前我们选取了所搜集到</w:t>
      </w:r>
      <w:r>
        <w:rPr>
          <w:rFonts w:ascii="Arial" w:hAnsi="Arial" w:cs="Arial" w:eastAsia="仿宋_GB2312;仿宋"/>
          <w:sz w:val="28"/>
          <w:szCs w:val="28"/>
          <w:lang w:eastAsia="zh-CN"/>
        </w:rPr>
        <w:t>海淀、</w:t>
      </w:r>
      <w:r>
        <w:rPr>
          <w:rFonts w:ascii="Arial" w:hAnsi="Arial" w:cs="Arial" w:eastAsia="仿宋_GB2312;仿宋"/>
          <w:sz w:val="28"/>
          <w:szCs w:val="28"/>
        </w:rPr>
        <w:t>丰台、顺义类似交易</w:t>
      </w:r>
      <w:r>
        <w:rPr>
          <w:rFonts w:ascii="仿宋_GB2312;仿宋" w:hAnsi="仿宋_GB2312;仿宋" w:cs="Arial" w:eastAsia="仿宋_GB2312;仿宋"/>
          <w:sz w:val="28"/>
          <w:szCs w:val="28"/>
          <w:lang w:eastAsia="zh-CN"/>
        </w:rPr>
        <w:t>实例</w:t>
      </w:r>
      <w:r>
        <w:rPr>
          <w:rFonts w:ascii="Arial" w:hAnsi="Arial" w:cs="Arial" w:eastAsia="仿宋_GB2312;仿宋"/>
          <w:sz w:val="28"/>
          <w:szCs w:val="28"/>
        </w:rPr>
        <w:t>，这些</w:t>
      </w:r>
      <w:r>
        <w:rPr>
          <w:rFonts w:ascii="仿宋_GB2312;仿宋" w:hAnsi="仿宋_GB2312;仿宋" w:cs="Arial" w:eastAsia="仿宋_GB2312;仿宋"/>
          <w:sz w:val="28"/>
          <w:szCs w:val="28"/>
          <w:lang w:eastAsia="zh-CN"/>
        </w:rPr>
        <w:t>实例</w:t>
      </w:r>
      <w:r>
        <w:rPr>
          <w:rFonts w:ascii="Arial" w:hAnsi="Arial" w:cs="Arial" w:eastAsia="仿宋_GB2312;仿宋"/>
          <w:sz w:val="28"/>
          <w:szCs w:val="28"/>
        </w:rPr>
        <w:t>发生在</w:t>
      </w:r>
      <w:r>
        <w:rPr>
          <w:rFonts w:eastAsia="仿宋_GB2312;仿宋" w:cs="Arial" w:ascii="Arial" w:hAnsi="Arial"/>
          <w:sz w:val="28"/>
          <w:szCs w:val="28"/>
        </w:rPr>
        <w:t>2018</w:t>
      </w:r>
      <w:r>
        <w:rPr>
          <w:rFonts w:ascii="Arial" w:hAnsi="Arial" w:cs="Arial" w:eastAsia="仿宋_GB2312;仿宋"/>
          <w:sz w:val="28"/>
          <w:szCs w:val="28"/>
        </w:rPr>
        <w:t>年、</w:t>
      </w:r>
      <w:r>
        <w:rPr>
          <w:rFonts w:eastAsia="仿宋_GB2312;仿宋" w:cs="Arial" w:ascii="Arial" w:hAnsi="Arial"/>
          <w:sz w:val="28"/>
          <w:szCs w:val="28"/>
        </w:rPr>
        <w:t>2023</w:t>
      </w:r>
      <w:r>
        <w:rPr>
          <w:rFonts w:ascii="Arial" w:hAnsi="Arial" w:cs="Arial" w:eastAsia="仿宋_GB2312;仿宋"/>
          <w:sz w:val="28"/>
          <w:szCs w:val="28"/>
        </w:rPr>
        <w:t>年（在比较过程中进行了交易时间修正），</w:t>
      </w:r>
      <w:r>
        <w:rPr>
          <w:rFonts w:ascii="仿宋_GB2312;仿宋" w:hAnsi="仿宋_GB2312;仿宋" w:cs="Arial" w:eastAsia="仿宋_GB2312;仿宋"/>
          <w:sz w:val="28"/>
          <w:szCs w:val="28"/>
          <w:lang w:eastAsia="zh-CN"/>
        </w:rPr>
        <w:t>实例</w:t>
      </w:r>
      <w:r>
        <w:rPr>
          <w:rFonts w:eastAsia="仿宋_GB2312;仿宋" w:cs="Arial" w:ascii="Arial" w:hAnsi="Arial"/>
          <w:sz w:val="28"/>
          <w:szCs w:val="28"/>
        </w:rPr>
        <w:t>A</w:t>
      </w:r>
      <w:r>
        <w:rPr>
          <w:rFonts w:ascii="Arial" w:hAnsi="Arial" w:cs="Arial" w:eastAsia="仿宋_GB2312;仿宋"/>
          <w:sz w:val="28"/>
          <w:szCs w:val="28"/>
        </w:rPr>
        <w:t>海淀位于西北</w:t>
      </w:r>
      <w:r>
        <w:rPr>
          <w:rFonts w:ascii="Arial" w:hAnsi="Arial" w:cs="Arial" w:eastAsia="仿宋_GB2312;仿宋"/>
          <w:sz w:val="28"/>
          <w:szCs w:val="28"/>
          <w:lang w:eastAsia="zh-CN"/>
        </w:rPr>
        <w:t>五</w:t>
      </w:r>
      <w:r>
        <w:rPr>
          <w:rFonts w:ascii="Arial" w:hAnsi="Arial" w:cs="Arial" w:eastAsia="仿宋_GB2312;仿宋"/>
          <w:sz w:val="28"/>
          <w:szCs w:val="28"/>
        </w:rPr>
        <w:t>环与六环之间、实例</w:t>
      </w:r>
      <w:r>
        <w:rPr>
          <w:rFonts w:eastAsia="仿宋_GB2312;仿宋" w:cs="Arial" w:ascii="Arial" w:hAnsi="Arial"/>
          <w:sz w:val="28"/>
          <w:szCs w:val="28"/>
        </w:rPr>
        <w:t>B</w:t>
      </w:r>
      <w:r>
        <w:rPr>
          <w:rFonts w:ascii="Arial" w:hAnsi="Arial" w:cs="Arial" w:eastAsia="仿宋_GB2312;仿宋"/>
          <w:sz w:val="28"/>
          <w:szCs w:val="28"/>
        </w:rPr>
        <w:t>丰台位于南四环与五环之间、实例</w:t>
      </w:r>
      <w:r>
        <w:rPr>
          <w:rFonts w:eastAsia="仿宋_GB2312;仿宋" w:cs="Arial" w:ascii="Arial" w:hAnsi="Arial"/>
          <w:sz w:val="28"/>
          <w:szCs w:val="28"/>
        </w:rPr>
        <w:t>C</w:t>
      </w:r>
      <w:r>
        <w:rPr>
          <w:rFonts w:ascii="Arial" w:hAnsi="Arial" w:cs="Arial" w:eastAsia="仿宋_GB2312;仿宋"/>
          <w:sz w:val="28"/>
          <w:szCs w:val="28"/>
        </w:rPr>
        <w:t>顺义</w:t>
      </w:r>
      <w:r>
        <w:rPr>
          <w:rFonts w:ascii="Arial" w:hAnsi="Arial" w:cs="Arial" w:eastAsia="仿宋_GB2312;仿宋"/>
          <w:sz w:val="28"/>
          <w:szCs w:val="28"/>
          <w:lang w:eastAsia="zh-CN"/>
        </w:rPr>
        <w:t>东</w:t>
      </w:r>
      <w:r>
        <w:rPr>
          <w:rFonts w:ascii="Arial" w:hAnsi="Arial" w:cs="Arial" w:eastAsia="仿宋_GB2312;仿宋"/>
          <w:sz w:val="28"/>
          <w:szCs w:val="28"/>
        </w:rPr>
        <w:t>北</w:t>
      </w:r>
      <w:r>
        <w:rPr>
          <w:rFonts w:ascii="Arial" w:hAnsi="Arial" w:cs="Arial" w:eastAsia="仿宋_GB2312;仿宋"/>
          <w:sz w:val="28"/>
          <w:szCs w:val="28"/>
          <w:lang w:eastAsia="zh-CN"/>
        </w:rPr>
        <w:t>五</w:t>
      </w:r>
      <w:r>
        <w:rPr>
          <w:rFonts w:ascii="Arial" w:hAnsi="Arial" w:cs="Arial" w:eastAsia="仿宋_GB2312;仿宋"/>
          <w:sz w:val="28"/>
          <w:szCs w:val="28"/>
        </w:rPr>
        <w:t>环与六环之间，距离区域中心均较近（</w:t>
      </w:r>
      <w:r>
        <w:rPr>
          <w:rFonts w:eastAsia="仿宋_GB2312;仿宋" w:cs="Arial" w:ascii="Arial" w:hAnsi="Arial"/>
          <w:sz w:val="28"/>
          <w:szCs w:val="28"/>
        </w:rPr>
        <w:t>5</w:t>
      </w:r>
      <w:r>
        <w:rPr>
          <w:rFonts w:ascii="Arial" w:hAnsi="Arial" w:cs="Arial" w:eastAsia="仿宋_GB2312;仿宋"/>
          <w:sz w:val="28"/>
          <w:szCs w:val="28"/>
        </w:rPr>
        <w:t>公里范围内）</w:t>
      </w:r>
      <w:r>
        <w:rPr>
          <w:rFonts w:ascii="Arial" w:hAnsi="Arial" w:cs="Arial" w:eastAsia="仿宋_GB2312;仿宋"/>
          <w:sz w:val="28"/>
          <w:szCs w:val="28"/>
          <w:lang w:eastAsia="zh-CN"/>
        </w:rPr>
        <w:t>。</w:t>
      </w:r>
      <w:r>
        <w:rPr>
          <w:rFonts w:ascii="Arial" w:hAnsi="Arial" w:cs="Arial" w:eastAsia="仿宋"/>
          <w:sz w:val="28"/>
          <w:szCs w:val="28"/>
        </w:rPr>
        <w:t>考虑产业集聚度、基础设施配套、区域土地利用方向、交通便捷程度及宗地自身情况等因素，选取位置相似、交易时间较接近、土地用途相同的三宗交易实例。</w:t>
      </w:r>
      <w:r>
        <w:rPr>
          <w:rFonts w:ascii="Arial" w:hAnsi="Arial" w:cs="Arial" w:eastAsia="仿宋_GB2312;仿宋"/>
          <w:sz w:val="28"/>
          <w:szCs w:val="28"/>
          <w:lang w:eastAsia="zh-CN"/>
        </w:rPr>
        <w:t>具体情况如下</w:t>
      </w:r>
      <w:r>
        <w:rPr>
          <w:rFonts w:ascii="Arial" w:hAnsi="Arial" w:cs="Arial" w:eastAsia="仿宋_GB2312;仿宋"/>
          <w:sz w:val="28"/>
          <w:szCs w:val="28"/>
        </w:rPr>
        <w:t>：</w:t>
      </w:r>
    </w:p>
    <w:p>
      <w:pPr>
        <w:pStyle w:val="Normal"/>
        <w:spacing w:lineRule="auto" w:line="360"/>
        <w:ind w:firstLine="562"/>
        <w:jc w:val="both"/>
        <w:textAlignment w:val="bottom"/>
        <w:rPr>
          <w:rFonts w:ascii="仿宋_GB2312;仿宋" w:hAnsi="仿宋_GB2312;仿宋" w:eastAsia="仿宋_GB2312;仿宋"/>
          <w:color w:val="000000"/>
          <w:sz w:val="28"/>
        </w:rPr>
      </w:pPr>
      <w:r>
        <w:rPr>
          <w:rFonts w:ascii="仿宋_GB2312;仿宋" w:hAnsi="仿宋_GB2312;仿宋" w:eastAsia="仿宋_GB2312;仿宋"/>
          <w:b/>
          <w:color w:val="000000"/>
          <w:sz w:val="28"/>
        </w:rPr>
        <w:t>实例</w:t>
      </w:r>
      <w:r>
        <w:rPr>
          <w:rFonts w:eastAsia="仿宋_GB2312;仿宋" w:cs="Arial" w:ascii="Arial" w:hAnsi="Arial"/>
          <w:b/>
          <w:color w:val="000000"/>
          <w:sz w:val="28"/>
        </w:rPr>
        <w:t>A</w:t>
      </w:r>
      <w:r>
        <w:rPr>
          <w:rFonts w:ascii="仿宋_GB2312;仿宋" w:hAnsi="仿宋_GB2312;仿宋" w:eastAsia="仿宋_GB2312;仿宋"/>
          <w:b/>
          <w:color w:val="000000"/>
          <w:sz w:val="28"/>
        </w:rPr>
        <w:t>：</w:t>
      </w:r>
      <w:r>
        <w:rPr>
          <w:rFonts w:ascii="仿宋_GB2312;仿宋" w:hAnsi="仿宋_GB2312;仿宋" w:eastAsia="仿宋_GB2312;仿宋"/>
          <w:sz w:val="28"/>
        </w:rPr>
        <w:t>海淀区清河安宁庄东路</w:t>
      </w:r>
      <w:r>
        <w:rPr>
          <w:rFonts w:eastAsia="仿宋_GB2312;仿宋" w:ascii="仿宋_GB2312;仿宋" w:hAnsi="仿宋_GB2312;仿宋"/>
          <w:sz w:val="28"/>
        </w:rPr>
        <w:t>1</w:t>
      </w:r>
      <w:r>
        <w:rPr>
          <w:rFonts w:ascii="仿宋_GB2312;仿宋" w:hAnsi="仿宋_GB2312;仿宋" w:eastAsia="仿宋_GB2312;仿宋"/>
          <w:sz w:val="28"/>
        </w:rPr>
        <w:t>号</w:t>
      </w:r>
    </w:p>
    <w:p>
      <w:pPr>
        <w:pStyle w:val="Normal"/>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土地用途为工业，土地使用权人为北京金隅股份有限公司，土地使用权类型为划拨，无年期限制，宗地形状较规则。土地面积</w:t>
      </w:r>
      <w:r>
        <w:rPr>
          <w:rFonts w:eastAsia="仿宋_GB2312;仿宋" w:cs="Arial" w:ascii="Arial" w:hAnsi="Arial"/>
          <w:sz w:val="28"/>
        </w:rPr>
        <w:t>130380.53</w:t>
      </w:r>
      <w:r>
        <w:rPr>
          <w:rFonts w:ascii="Arial" w:hAnsi="Arial" w:cs="Arial" w:eastAsia="仿宋_GB2312;仿宋"/>
          <w:sz w:val="28"/>
        </w:rPr>
        <w:t>平方米，容积率小于</w:t>
      </w:r>
      <w:r>
        <w:rPr>
          <w:rFonts w:eastAsia="仿宋_GB2312;仿宋" w:cs="Arial" w:ascii="Arial" w:hAnsi="Arial"/>
          <w:sz w:val="28"/>
        </w:rPr>
        <w:t>1.0</w:t>
      </w:r>
      <w:r>
        <w:rPr>
          <w:rFonts w:ascii="Arial" w:hAnsi="Arial" w:cs="Arial" w:eastAsia="仿宋_GB2312;仿宋"/>
          <w:sz w:val="28"/>
        </w:rPr>
        <w:t>。交易日期为</w:t>
      </w:r>
      <w:r>
        <w:rPr>
          <w:rFonts w:eastAsia="仿宋_GB2312;仿宋" w:cs="Arial" w:ascii="Arial" w:hAnsi="Arial"/>
          <w:sz w:val="28"/>
        </w:rPr>
        <w:t>2018</w:t>
      </w:r>
      <w:r>
        <w:rPr>
          <w:rFonts w:ascii="Arial" w:hAnsi="Arial" w:cs="Arial" w:eastAsia="仿宋_GB2312;仿宋"/>
          <w:sz w:val="28"/>
        </w:rPr>
        <w:t>年</w:t>
      </w:r>
      <w:r>
        <w:rPr>
          <w:rFonts w:eastAsia="仿宋_GB2312;仿宋" w:cs="Arial" w:ascii="Arial" w:hAnsi="Arial"/>
          <w:sz w:val="28"/>
        </w:rPr>
        <w:t>11</w:t>
      </w:r>
      <w:r>
        <w:rPr>
          <w:rFonts w:ascii="Arial" w:hAnsi="Arial" w:cs="Arial" w:eastAsia="仿宋_GB2312;仿宋"/>
          <w:sz w:val="28"/>
        </w:rPr>
        <w:t>月，交易情况为收储，单位面积土地交易价格为</w:t>
      </w:r>
      <w:r>
        <w:rPr>
          <w:rFonts w:eastAsia="仿宋_GB2312;仿宋" w:cs="Arial" w:ascii="Arial" w:hAnsi="Arial"/>
          <w:sz w:val="28"/>
        </w:rPr>
        <w:t>9355</w:t>
      </w:r>
      <w:r>
        <w:rPr>
          <w:rFonts w:ascii="Arial" w:hAnsi="Arial" w:cs="Arial" w:eastAsia="仿宋_GB2312;仿宋"/>
          <w:sz w:val="28"/>
        </w:rPr>
        <w:t>元</w:t>
      </w:r>
      <w:r>
        <w:rPr>
          <w:rFonts w:eastAsia="仿宋_GB2312;仿宋" w:cs="Arial" w:ascii="Arial" w:hAnsi="Arial"/>
          <w:sz w:val="28"/>
        </w:rPr>
        <w:t>/</w:t>
      </w:r>
      <w:r>
        <w:rPr>
          <w:rFonts w:ascii="Arial" w:hAnsi="Arial" w:cs="Arial" w:eastAsia="仿宋_GB2312;仿宋"/>
          <w:sz w:val="28"/>
        </w:rPr>
        <w:t>平方米。</w:t>
      </w:r>
    </w:p>
    <w:p>
      <w:pPr>
        <w:pStyle w:val="Normal"/>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产业聚集度：实例</w:t>
      </w:r>
      <w:r>
        <w:rPr>
          <w:rFonts w:eastAsia="仿宋_GB2312;仿宋" w:cs="Arial" w:ascii="Arial" w:hAnsi="Arial"/>
          <w:sz w:val="28"/>
        </w:rPr>
        <w:t>A</w:t>
      </w:r>
      <w:r>
        <w:rPr>
          <w:rFonts w:ascii="Arial" w:hAnsi="Arial" w:cs="Arial" w:eastAsia="仿宋_GB2312;仿宋"/>
          <w:sz w:val="28"/>
        </w:rPr>
        <w:t>位于海淀区清河镇，邻近小米科技园区、元中心、和盈中心等多个产业园区，产业集聚程度较好；</w:t>
      </w:r>
    </w:p>
    <w:p>
      <w:pPr>
        <w:pStyle w:val="Normal"/>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交通便捷度：临近城市支路</w:t>
      </w:r>
      <w:r>
        <w:rPr>
          <w:rFonts w:ascii="Arial" w:hAnsi="Arial" w:cs="Arial" w:eastAsia="仿宋_GB2312;仿宋"/>
          <w:sz w:val="28"/>
        </w:rPr>
        <w:t>——</w:t>
      </w:r>
      <w:r>
        <w:rPr>
          <w:rFonts w:ascii="Arial" w:hAnsi="Arial" w:cs="Arial" w:eastAsia="仿宋_GB2312;仿宋"/>
          <w:sz w:val="28"/>
        </w:rPr>
        <w:t>安宁庄东路，周边有多条公交线路经停，距地铁</w:t>
      </w:r>
      <w:r>
        <w:rPr>
          <w:rFonts w:eastAsia="仿宋_GB2312;仿宋" w:cs="Arial" w:ascii="Arial" w:hAnsi="Arial"/>
          <w:sz w:val="28"/>
        </w:rPr>
        <w:t>1</w:t>
      </w:r>
      <w:r>
        <w:rPr>
          <w:rFonts w:eastAsia="仿宋_GB2312;仿宋" w:cs="Arial" w:ascii="Arial" w:hAnsi="Arial"/>
          <w:sz w:val="28"/>
        </w:rPr>
        <w:t>3</w:t>
      </w:r>
      <w:r>
        <w:rPr>
          <w:rFonts w:ascii="Arial" w:hAnsi="Arial" w:cs="Arial" w:eastAsia="仿宋_GB2312;仿宋"/>
          <w:sz w:val="28"/>
        </w:rPr>
        <w:t>号线</w:t>
      </w:r>
      <w:r>
        <w:rPr>
          <w:rFonts w:ascii="Arial" w:hAnsi="Arial" w:cs="Arial" w:eastAsia="仿宋_GB2312;仿宋"/>
          <w:sz w:val="28"/>
        </w:rPr>
        <w:t>（</w:t>
      </w:r>
      <w:r>
        <w:rPr>
          <w:rFonts w:ascii="Arial" w:hAnsi="Arial" w:cs="Arial" w:eastAsia="仿宋_GB2312;仿宋"/>
          <w:sz w:val="28"/>
        </w:rPr>
        <w:t>西二旗站</w:t>
      </w:r>
      <w:r>
        <w:rPr>
          <w:rFonts w:ascii="Arial" w:hAnsi="Arial" w:cs="Arial" w:eastAsia="仿宋_GB2312;仿宋"/>
          <w:sz w:val="28"/>
        </w:rPr>
        <w:t>）约</w:t>
      </w:r>
      <w:r>
        <w:rPr>
          <w:rFonts w:eastAsia="仿宋_GB2312;仿宋" w:cs="Arial" w:ascii="Arial" w:hAnsi="Arial"/>
          <w:sz w:val="28"/>
        </w:rPr>
        <w:t>2</w:t>
      </w:r>
      <w:r>
        <w:rPr>
          <w:rFonts w:ascii="Arial" w:hAnsi="Arial" w:cs="Arial" w:eastAsia="仿宋_GB2312;仿宋"/>
          <w:sz w:val="28"/>
        </w:rPr>
        <w:t>公里，区域道路较密集，交通便捷度一般；</w:t>
      </w:r>
    </w:p>
    <w:p>
      <w:pPr>
        <w:pStyle w:val="Normal"/>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区域土地利用方向：所在区域目前以住宅用地为主，工业用地、绿化用地、办公用地为辅，该区域土地利用方向一般；</w:t>
      </w:r>
    </w:p>
    <w:p>
      <w:pPr>
        <w:pStyle w:val="Normal"/>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区域设施及基础设施水平：</w:t>
      </w:r>
      <w:bookmarkStart w:id="51" w:name="_Hlk149317818"/>
      <w:r>
        <w:rPr>
          <w:rFonts w:ascii="Arial" w:hAnsi="Arial" w:cs="Arial" w:eastAsia="仿宋_GB2312;仿宋"/>
          <w:sz w:val="28"/>
        </w:rPr>
        <w:t>所处区域目前已拥有较完善的基础设施配套保障，区域内大部分基础设施配套目前可达到“七通”条件，公共服务设施配套完善，</w:t>
      </w:r>
      <w:bookmarkEnd w:id="51"/>
      <w:r>
        <w:rPr>
          <w:rFonts w:ascii="Arial" w:hAnsi="Arial" w:cs="Arial" w:eastAsia="仿宋_GB2312;仿宋"/>
          <w:sz w:val="28"/>
        </w:rPr>
        <w:t>能够保证工作、生产需要，基础设施配套完善度好；</w:t>
      </w:r>
    </w:p>
    <w:p>
      <w:pPr>
        <w:pStyle w:val="Normal"/>
        <w:spacing w:lineRule="auto" w:line="360"/>
        <w:ind w:firstLine="560"/>
        <w:jc w:val="both"/>
        <w:textAlignment w:val="bottom"/>
        <w:rPr>
          <w:rFonts w:ascii="仿宋_GB2312;仿宋" w:hAnsi="仿宋_GB2312;仿宋" w:eastAsia="仿宋_GB2312;仿宋"/>
          <w:color w:val="E36C0A"/>
          <w:sz w:val="28"/>
        </w:rPr>
      </w:pPr>
      <w:r>
        <w:rPr>
          <w:rFonts w:ascii="Arial" w:hAnsi="Arial" w:cs="Arial" w:eastAsia="仿宋_GB2312;仿宋"/>
          <w:sz w:val="28"/>
        </w:rPr>
        <w:t>环境状况：所在区域内有安宁庄公园、中关村公园等绿地，该区域内无重污染型企业，绿化条件较好，卫生条件良好，整体环境状况良好。</w:t>
      </w:r>
    </w:p>
    <w:p>
      <w:pPr>
        <w:pStyle w:val="Normal"/>
        <w:spacing w:lineRule="auto" w:line="360"/>
        <w:ind w:firstLine="562"/>
        <w:jc w:val="both"/>
        <w:textAlignment w:val="bottom"/>
        <w:rPr>
          <w:rFonts w:ascii="仿宋_GB2312;仿宋" w:hAnsi="仿宋_GB2312;仿宋" w:eastAsia="仿宋_GB2312;仿宋"/>
          <w:color w:val="000000"/>
          <w:sz w:val="28"/>
        </w:rPr>
      </w:pPr>
      <w:r>
        <w:rPr>
          <w:rFonts w:ascii="仿宋_GB2312;仿宋" w:hAnsi="仿宋_GB2312;仿宋" w:eastAsia="仿宋_GB2312;仿宋"/>
          <w:b/>
          <w:color w:val="000000"/>
          <w:sz w:val="28"/>
        </w:rPr>
        <w:t>实例</w:t>
      </w:r>
      <w:r>
        <w:rPr>
          <w:rFonts w:eastAsia="仿宋_GB2312;仿宋" w:cs="Arial" w:ascii="Arial" w:hAnsi="Arial"/>
          <w:b/>
          <w:color w:val="000000"/>
          <w:sz w:val="28"/>
        </w:rPr>
        <w:t>B</w:t>
      </w:r>
      <w:r>
        <w:rPr>
          <w:rFonts w:ascii="仿宋_GB2312;仿宋" w:hAnsi="仿宋_GB2312;仿宋" w:eastAsia="仿宋_GB2312;仿宋"/>
          <w:b/>
          <w:color w:val="000000"/>
          <w:sz w:val="28"/>
        </w:rPr>
        <w:t>：</w:t>
      </w:r>
      <w:r>
        <w:rPr>
          <w:rFonts w:ascii="Arial" w:hAnsi="Arial" w:cs="Arial" w:eastAsia="仿宋_GB2312;仿宋"/>
          <w:sz w:val="28"/>
        </w:rPr>
        <w:t>丰台区南四环中路</w:t>
      </w:r>
      <w:r>
        <w:rPr>
          <w:rFonts w:eastAsia="仿宋_GB2312;仿宋" w:cs="Arial" w:ascii="Arial" w:hAnsi="Arial"/>
          <w:sz w:val="28"/>
        </w:rPr>
        <w:t>10</w:t>
      </w:r>
      <w:r>
        <w:rPr>
          <w:rFonts w:ascii="Arial" w:hAnsi="Arial" w:cs="Arial" w:eastAsia="仿宋_GB2312;仿宋"/>
          <w:sz w:val="28"/>
        </w:rPr>
        <w:t>号</w:t>
      </w:r>
    </w:p>
    <w:p>
      <w:pPr>
        <w:pStyle w:val="Normal"/>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土地用途为工业，土地使用权人为北京环境卫生工程集团有限公司，土地使用权类型为划拨，无年期限制，宗地形状较规则。土地面积</w:t>
      </w:r>
      <w:r>
        <w:rPr>
          <w:rFonts w:eastAsia="仿宋_GB2312;仿宋" w:cs="Arial" w:ascii="Arial" w:hAnsi="Arial"/>
          <w:sz w:val="28"/>
        </w:rPr>
        <w:t>30040.8</w:t>
      </w:r>
      <w:r>
        <w:rPr>
          <w:rFonts w:ascii="Arial" w:hAnsi="Arial" w:cs="Arial" w:eastAsia="仿宋_GB2312;仿宋"/>
          <w:sz w:val="28"/>
        </w:rPr>
        <w:t>平方米，容积率小于</w:t>
      </w:r>
      <w:r>
        <w:rPr>
          <w:rFonts w:eastAsia="仿宋_GB2312;仿宋" w:cs="Arial" w:ascii="Arial" w:hAnsi="Arial"/>
          <w:sz w:val="28"/>
        </w:rPr>
        <w:t>1.0</w:t>
      </w:r>
      <w:r>
        <w:rPr>
          <w:rFonts w:ascii="Arial" w:hAnsi="Arial" w:cs="Arial" w:eastAsia="仿宋_GB2312;仿宋"/>
          <w:sz w:val="28"/>
        </w:rPr>
        <w:t>。交易日期为</w:t>
      </w:r>
      <w:r>
        <w:rPr>
          <w:rFonts w:eastAsia="仿宋_GB2312;仿宋" w:cs="Arial" w:ascii="Arial" w:hAnsi="Arial"/>
          <w:sz w:val="28"/>
        </w:rPr>
        <w:t>2018</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月，交易情况为收储，单位面积土地交易价格为</w:t>
      </w:r>
      <w:r>
        <w:rPr>
          <w:rFonts w:eastAsia="仿宋_GB2312;仿宋" w:cs="Arial" w:ascii="Arial" w:hAnsi="Arial"/>
          <w:sz w:val="28"/>
        </w:rPr>
        <w:t>6661</w:t>
      </w:r>
      <w:r>
        <w:rPr>
          <w:rFonts w:ascii="Arial" w:hAnsi="Arial" w:cs="Arial" w:eastAsia="仿宋_GB2312;仿宋"/>
          <w:sz w:val="28"/>
        </w:rPr>
        <w:t>元</w:t>
      </w:r>
      <w:r>
        <w:rPr>
          <w:rFonts w:eastAsia="仿宋_GB2312;仿宋" w:cs="Arial" w:ascii="Arial" w:hAnsi="Arial"/>
          <w:sz w:val="28"/>
        </w:rPr>
        <w:t>/</w:t>
      </w:r>
      <w:r>
        <w:rPr>
          <w:rFonts w:ascii="Arial" w:hAnsi="Arial" w:cs="Arial" w:eastAsia="仿宋_GB2312;仿宋"/>
          <w:sz w:val="28"/>
        </w:rPr>
        <w:t>平方米。</w:t>
      </w:r>
    </w:p>
    <w:p>
      <w:pPr>
        <w:pStyle w:val="Normal"/>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产业聚集度：实例</w:t>
      </w:r>
      <w:r>
        <w:rPr>
          <w:rFonts w:eastAsia="仿宋_GB2312;仿宋" w:cs="Arial" w:ascii="Arial" w:hAnsi="Arial"/>
          <w:sz w:val="28"/>
        </w:rPr>
        <w:t>B</w:t>
      </w:r>
      <w:r>
        <w:rPr>
          <w:rFonts w:ascii="Arial" w:hAnsi="Arial" w:cs="Arial" w:eastAsia="仿宋_GB2312;仿宋"/>
          <w:sz w:val="28"/>
        </w:rPr>
        <w:t>位于丰台区和义街道，邻近宝辰汽车园、永乐工业园等多个产业园区，产业集聚程度较好；</w:t>
      </w:r>
    </w:p>
    <w:p>
      <w:pPr>
        <w:pStyle w:val="Normal"/>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交通便捷度：临近城市快速路</w:t>
      </w:r>
      <w:r>
        <w:rPr>
          <w:rFonts w:ascii="Arial" w:hAnsi="Arial" w:cs="Arial" w:eastAsia="仿宋_GB2312;仿宋"/>
          <w:sz w:val="28"/>
        </w:rPr>
        <w:t>——</w:t>
      </w:r>
      <w:r>
        <w:rPr>
          <w:rFonts w:ascii="Arial" w:hAnsi="Arial" w:cs="Arial" w:eastAsia="仿宋_GB2312;仿宋"/>
          <w:sz w:val="28"/>
        </w:rPr>
        <w:t>南四环中路，周边有多条公交线路经停，距地铁</w:t>
      </w:r>
      <w:r>
        <w:rPr>
          <w:rFonts w:eastAsia="仿宋_GB2312;仿宋" w:cs="Arial" w:ascii="Arial" w:hAnsi="Arial"/>
          <w:sz w:val="28"/>
        </w:rPr>
        <w:t>8</w:t>
      </w:r>
      <w:r>
        <w:rPr>
          <w:rFonts w:ascii="Arial" w:hAnsi="Arial" w:cs="Arial" w:eastAsia="仿宋_GB2312;仿宋"/>
          <w:sz w:val="28"/>
        </w:rPr>
        <w:t>号线</w:t>
      </w:r>
      <w:r>
        <w:rPr>
          <w:rFonts w:ascii="Arial" w:hAnsi="Arial" w:cs="Arial" w:eastAsia="仿宋_GB2312;仿宋"/>
          <w:sz w:val="28"/>
        </w:rPr>
        <w:t>（大红门</w:t>
      </w:r>
      <w:r>
        <w:rPr>
          <w:rFonts w:ascii="Arial" w:hAnsi="Arial" w:cs="Arial" w:eastAsia="仿宋_GB2312;仿宋"/>
          <w:sz w:val="28"/>
        </w:rPr>
        <w:t>南站</w:t>
      </w:r>
      <w:r>
        <w:rPr>
          <w:rFonts w:ascii="Arial" w:hAnsi="Arial" w:cs="Arial" w:eastAsia="仿宋_GB2312;仿宋"/>
          <w:sz w:val="28"/>
        </w:rPr>
        <w:t>）约</w:t>
      </w:r>
      <w:r>
        <w:rPr>
          <w:rFonts w:eastAsia="仿宋_GB2312;仿宋" w:cs="Arial" w:ascii="Arial" w:hAnsi="Arial"/>
          <w:sz w:val="28"/>
        </w:rPr>
        <w:t>2</w:t>
      </w:r>
      <w:r>
        <w:rPr>
          <w:rFonts w:ascii="Arial" w:hAnsi="Arial" w:cs="Arial" w:eastAsia="仿宋_GB2312;仿宋"/>
          <w:sz w:val="28"/>
        </w:rPr>
        <w:t>公里，区域道路较密集，交通便捷度一般；</w:t>
      </w:r>
    </w:p>
    <w:p>
      <w:pPr>
        <w:pStyle w:val="Normal"/>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区域土地利用方向：所在区域目前以住宅用地为主，工业用地、绿化用地、办公用地为辅，该区域土地利用方向一般；</w:t>
      </w:r>
    </w:p>
    <w:p>
      <w:pPr>
        <w:pStyle w:val="Normal"/>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区域设施及基础设施水平：所处区域目前已拥有较完善的基础设施配套保障，区内大部分区域基础设施配套目前可达到“七通”条件，公共服务设施配套完善，能够保证工作、生产需要，基础设施配套完善度好；</w:t>
      </w:r>
    </w:p>
    <w:p>
      <w:pPr>
        <w:pStyle w:val="Normal"/>
        <w:spacing w:lineRule="auto" w:line="360"/>
        <w:ind w:firstLine="560"/>
        <w:jc w:val="both"/>
        <w:textAlignment w:val="bottom"/>
        <w:rPr>
          <w:rFonts w:ascii="仿宋_GB2312;仿宋" w:hAnsi="仿宋_GB2312;仿宋" w:eastAsia="仿宋_GB2312;仿宋"/>
          <w:color w:val="E36C0A"/>
          <w:sz w:val="28"/>
        </w:rPr>
      </w:pPr>
      <w:r>
        <w:rPr>
          <w:rFonts w:ascii="Arial" w:hAnsi="Arial" w:cs="Arial" w:eastAsia="仿宋_GB2312;仿宋"/>
          <w:sz w:val="28"/>
        </w:rPr>
        <w:t>环境状况：周边有石榴庄城市休闲公园、凉水河等自然景观；人文设施较少，综合评价环境状况一般。</w:t>
      </w:r>
    </w:p>
    <w:p>
      <w:pPr>
        <w:pStyle w:val="Normal"/>
        <w:spacing w:lineRule="auto" w:line="360"/>
        <w:ind w:firstLine="562"/>
        <w:jc w:val="both"/>
        <w:textAlignment w:val="bottom"/>
        <w:rPr>
          <w:rFonts w:ascii="仿宋_GB2312;仿宋" w:hAnsi="仿宋_GB2312;仿宋" w:eastAsia="仿宋_GB2312;仿宋"/>
          <w:color w:val="E36C0A"/>
          <w:sz w:val="28"/>
        </w:rPr>
      </w:pPr>
      <w:r>
        <w:rPr>
          <w:rFonts w:ascii="仿宋_GB2312;仿宋" w:hAnsi="仿宋_GB2312;仿宋" w:eastAsia="仿宋_GB2312;仿宋"/>
          <w:b/>
          <w:color w:val="000000"/>
          <w:sz w:val="28"/>
        </w:rPr>
        <w:t>实例</w:t>
      </w:r>
      <w:r>
        <w:rPr>
          <w:rFonts w:eastAsia="仿宋_GB2312;仿宋" w:cs="Arial" w:ascii="Arial" w:hAnsi="Arial"/>
          <w:b/>
          <w:color w:val="000000"/>
          <w:sz w:val="28"/>
        </w:rPr>
        <w:t>C</w:t>
      </w:r>
      <w:r>
        <w:rPr>
          <w:rFonts w:ascii="仿宋_GB2312;仿宋" w:hAnsi="仿宋_GB2312;仿宋" w:eastAsia="仿宋_GB2312;仿宋"/>
          <w:b/>
          <w:color w:val="000000"/>
          <w:sz w:val="28"/>
        </w:rPr>
        <w:t>：</w:t>
      </w:r>
      <w:r>
        <w:rPr>
          <w:rFonts w:ascii="Arial" w:hAnsi="Arial" w:cs="Arial" w:eastAsia="仿宋_GB2312;仿宋"/>
          <w:sz w:val="28"/>
        </w:rPr>
        <w:t>顺义区南法信地区刘家河村顺余东路</w:t>
      </w:r>
      <w:r>
        <w:rPr>
          <w:rFonts w:eastAsia="仿宋_GB2312;仿宋" w:cs="Arial" w:ascii="Arial" w:hAnsi="Arial"/>
          <w:sz w:val="28"/>
        </w:rPr>
        <w:t>1</w:t>
      </w:r>
      <w:r>
        <w:rPr>
          <w:rFonts w:ascii="Arial" w:hAnsi="Arial" w:cs="Arial" w:eastAsia="仿宋_GB2312;仿宋"/>
          <w:sz w:val="28"/>
        </w:rPr>
        <w:t>号</w:t>
      </w:r>
    </w:p>
    <w:p>
      <w:pPr>
        <w:pStyle w:val="Normal"/>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土地用途为工业，土地使用权人为北京广播器材厂，土地使用权类型为划拨，无年期限制，宗地形状较规则。土地面积</w:t>
      </w:r>
      <w:r>
        <w:rPr>
          <w:rFonts w:eastAsia="仿宋_GB2312;仿宋" w:cs="Arial" w:ascii="Arial" w:hAnsi="Arial"/>
          <w:sz w:val="28"/>
        </w:rPr>
        <w:t>22121.8</w:t>
      </w:r>
      <w:r>
        <w:rPr>
          <w:rFonts w:ascii="Arial" w:hAnsi="Arial" w:cs="Arial" w:eastAsia="仿宋_GB2312;仿宋"/>
          <w:sz w:val="28"/>
        </w:rPr>
        <w:t>平方米，容积率小于</w:t>
      </w:r>
      <w:r>
        <w:rPr>
          <w:rFonts w:eastAsia="仿宋_GB2312;仿宋" w:cs="Arial" w:ascii="Arial" w:hAnsi="Arial"/>
          <w:sz w:val="28"/>
        </w:rPr>
        <w:t>1.0</w:t>
      </w:r>
      <w:r>
        <w:rPr>
          <w:rFonts w:ascii="Arial" w:hAnsi="Arial" w:cs="Arial" w:eastAsia="仿宋_GB2312;仿宋"/>
          <w:sz w:val="28"/>
        </w:rPr>
        <w:t>。交易日期为</w:t>
      </w:r>
      <w:r>
        <w:rPr>
          <w:rFonts w:eastAsia="仿宋_GB2312;仿宋" w:cs="Arial" w:ascii="Arial" w:hAnsi="Arial"/>
          <w:sz w:val="28"/>
        </w:rPr>
        <w:t>2023</w:t>
      </w:r>
      <w:r>
        <w:rPr>
          <w:rFonts w:ascii="Arial" w:hAnsi="Arial" w:cs="Arial" w:eastAsia="仿宋_GB2312;仿宋"/>
          <w:sz w:val="28"/>
        </w:rPr>
        <w:t>年</w:t>
      </w:r>
      <w:r>
        <w:rPr>
          <w:rFonts w:eastAsia="仿宋_GB2312;仿宋" w:cs="Arial" w:ascii="Arial" w:hAnsi="Arial"/>
          <w:sz w:val="28"/>
        </w:rPr>
        <w:t>11</w:t>
      </w:r>
      <w:r>
        <w:rPr>
          <w:rFonts w:ascii="Arial" w:hAnsi="Arial" w:cs="Arial" w:eastAsia="仿宋_GB2312;仿宋"/>
          <w:sz w:val="28"/>
        </w:rPr>
        <w:t>月，交易情况为收储，单位面积土地交易价格为</w:t>
      </w:r>
      <w:r>
        <w:rPr>
          <w:rFonts w:eastAsia="仿宋_GB2312;仿宋" w:cs="Arial" w:ascii="Arial" w:hAnsi="Arial"/>
          <w:sz w:val="28"/>
        </w:rPr>
        <w:t>4477</w:t>
      </w:r>
      <w:r>
        <w:rPr>
          <w:rFonts w:eastAsia="仿宋_GB2312;仿宋" w:cs="Arial" w:ascii="Arial" w:hAnsi="Arial"/>
          <w:sz w:val="28"/>
        </w:rPr>
        <w:t>/</w:t>
      </w:r>
      <w:r>
        <w:rPr>
          <w:rFonts w:ascii="Arial" w:hAnsi="Arial" w:cs="Arial" w:eastAsia="仿宋_GB2312;仿宋"/>
          <w:sz w:val="28"/>
        </w:rPr>
        <w:t>平方米。</w:t>
      </w:r>
    </w:p>
    <w:p>
      <w:pPr>
        <w:pStyle w:val="Normal"/>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产业聚集度：实例</w:t>
      </w:r>
      <w:r>
        <w:rPr>
          <w:rFonts w:eastAsia="仿宋_GB2312;仿宋" w:cs="Arial" w:ascii="Arial" w:hAnsi="Arial"/>
          <w:sz w:val="28"/>
        </w:rPr>
        <w:t>C</w:t>
      </w:r>
      <w:r>
        <w:rPr>
          <w:rFonts w:ascii="Arial" w:hAnsi="Arial" w:cs="Arial" w:eastAsia="仿宋_GB2312;仿宋"/>
          <w:sz w:val="28"/>
        </w:rPr>
        <w:t>位于顺义区，邻近乐铁设备（北京）有限公司、综合信兴物流（南法信卫生院东北）、安博北京首都机场第二物流中心等，物流企业较多，产业集聚程度较好。；</w:t>
      </w:r>
    </w:p>
    <w:p>
      <w:pPr>
        <w:pStyle w:val="Normal"/>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交通便捷度：临近城市次干道——顺于路，周边有多条公交线路经停，区域道路较密集，距地铁</w:t>
      </w:r>
      <w:r>
        <w:rPr>
          <w:rFonts w:eastAsia="仿宋_GB2312;仿宋" w:cs="Arial" w:ascii="Arial" w:hAnsi="Arial"/>
          <w:sz w:val="28"/>
        </w:rPr>
        <w:t>15</w:t>
      </w:r>
      <w:r>
        <w:rPr>
          <w:rFonts w:ascii="Arial" w:hAnsi="Arial" w:cs="Arial" w:eastAsia="仿宋_GB2312;仿宋"/>
          <w:sz w:val="28"/>
        </w:rPr>
        <w:t>号线（南法信站）约</w:t>
      </w:r>
      <w:r>
        <w:rPr>
          <w:rFonts w:eastAsia="仿宋_GB2312;仿宋" w:cs="Arial" w:ascii="Arial" w:hAnsi="Arial"/>
          <w:sz w:val="28"/>
        </w:rPr>
        <w:t>0</w:t>
      </w:r>
      <w:r>
        <w:rPr>
          <w:rFonts w:eastAsia="仿宋_GB2312;仿宋" w:cs="Arial" w:ascii="Arial" w:hAnsi="Arial"/>
          <w:sz w:val="28"/>
        </w:rPr>
        <w:t>.5</w:t>
      </w:r>
      <w:r>
        <w:rPr>
          <w:rFonts w:ascii="Arial" w:hAnsi="Arial" w:cs="Arial" w:eastAsia="仿宋_GB2312;仿宋"/>
          <w:sz w:val="28"/>
        </w:rPr>
        <w:t>公里</w:t>
      </w:r>
      <w:r>
        <w:rPr>
          <w:rFonts w:ascii="Arial" w:hAnsi="Arial" w:cs="Arial" w:eastAsia="仿宋_GB2312;仿宋"/>
          <w:sz w:val="28"/>
        </w:rPr>
        <w:t>，交通便捷度较好；</w:t>
      </w:r>
    </w:p>
    <w:p>
      <w:pPr>
        <w:pStyle w:val="Normal"/>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区域土地利用方向：所在区域目前以住宅用地为主，工业用地、绿化用地、办公用地为辅，该区域土地利用方向一般；</w:t>
      </w:r>
    </w:p>
    <w:p>
      <w:pPr>
        <w:pStyle w:val="Normal"/>
        <w:spacing w:lineRule="auto" w:line="360"/>
        <w:ind w:firstLine="560"/>
        <w:jc w:val="both"/>
        <w:textAlignment w:val="bottom"/>
        <w:rPr>
          <w:rFonts w:ascii="Arial" w:hAnsi="Arial" w:eastAsia="仿宋_GB2312;仿宋" w:cs="Arial"/>
          <w:sz w:val="28"/>
        </w:rPr>
      </w:pPr>
      <w:r>
        <w:rPr>
          <w:rFonts w:ascii="Arial" w:hAnsi="Arial" w:cs="Arial" w:eastAsia="仿宋_GB2312;仿宋"/>
          <w:sz w:val="28"/>
        </w:rPr>
        <w:t>区域设施及基础设施水平：区域市政基础设施条件达五通，基本能够保证工作、生产需要，基础设施配套完善度一般；</w:t>
      </w:r>
    </w:p>
    <w:p>
      <w:pPr>
        <w:pStyle w:val="Style27"/>
        <w:spacing w:lineRule="auto" w:line="360"/>
        <w:ind w:firstLine="560"/>
        <w:rPr>
          <w:rFonts w:ascii="Arial" w:hAnsi="Arial" w:eastAsia="仿宋_GB2312;仿宋" w:cs="Arial"/>
          <w:sz w:val="28"/>
        </w:rPr>
      </w:pPr>
      <w:r>
        <w:rPr>
          <w:rFonts w:ascii="Arial" w:hAnsi="Arial" w:cs="Arial" w:eastAsia="仿宋_GB2312;仿宋"/>
          <w:sz w:val="28"/>
        </w:rPr>
        <w:t>环境状况：周边有小中河等自然景观；国家新闻出版广电总局研修学院等人文设施，综合评价环境状况一般。</w:t>
      </w:r>
    </w:p>
    <w:p>
      <w:pPr>
        <w:pStyle w:val="Style27"/>
        <w:spacing w:lineRule="auto" w:line="360"/>
        <w:ind w:firstLine="560"/>
        <w:rPr>
          <w:rFonts w:ascii="Arial" w:hAnsi="Arial" w:eastAsia="仿宋_GB2312;仿宋" w:cs="Arial"/>
          <w:bCs/>
          <w:sz w:val="28"/>
          <w:szCs w:val="28"/>
        </w:rPr>
      </w:pPr>
      <w:r>
        <w:rPr>
          <w:rFonts w:eastAsia="仿宋_GB2312;仿宋" w:cs="Arial" w:ascii="Arial" w:hAnsi="Arial"/>
          <w:bCs/>
          <w:sz w:val="28"/>
          <w:szCs w:val="28"/>
        </w:rPr>
        <w:t>2</w:t>
      </w:r>
      <w:r>
        <w:rPr>
          <w:rFonts w:eastAsia="仿宋_GB2312;仿宋" w:cs="Arial" w:ascii="Arial" w:hAnsi="Arial"/>
          <w:bCs/>
          <w:sz w:val="28"/>
          <w:szCs w:val="28"/>
        </w:rPr>
        <w:t>.</w:t>
      </w:r>
      <w:r>
        <w:rPr>
          <w:rFonts w:ascii="Arial" w:hAnsi="Arial" w:cs="Arial" w:eastAsia="仿宋_GB2312;仿宋"/>
          <w:bCs/>
          <w:sz w:val="28"/>
          <w:szCs w:val="28"/>
        </w:rPr>
        <w:t>特殊因素</w:t>
      </w:r>
    </w:p>
    <w:p>
      <w:pPr>
        <w:pStyle w:val="Normal"/>
        <w:autoSpaceDE w:val="false"/>
        <w:spacing w:lineRule="auto" w:line="360"/>
        <w:ind w:firstLine="560"/>
        <w:jc w:val="both"/>
        <w:rPr>
          <w:rFonts w:ascii="Arial" w:hAnsi="Arial" w:eastAsia="仿宋" w:cs="Arial"/>
          <w:sz w:val="28"/>
          <w:szCs w:val="28"/>
        </w:rPr>
      </w:pPr>
      <w:r>
        <w:rPr>
          <w:rFonts w:ascii="Arial" w:hAnsi="Arial" w:cs="Arial" w:eastAsia="仿宋"/>
          <w:sz w:val="28"/>
          <w:szCs w:val="28"/>
        </w:rPr>
        <w:t>根据《国务院关于促进节约集约用地的通知》</w:t>
      </w:r>
      <w:r>
        <w:rPr>
          <w:rFonts w:eastAsia="仿宋" w:cs="Arial" w:ascii="Arial" w:hAnsi="Arial"/>
          <w:sz w:val="28"/>
          <w:szCs w:val="28"/>
        </w:rPr>
        <w:t>(</w:t>
      </w:r>
      <w:r>
        <w:rPr>
          <w:rFonts w:ascii="Arial" w:hAnsi="Arial" w:cs="Arial" w:eastAsia="仿宋"/>
          <w:sz w:val="28"/>
          <w:szCs w:val="28"/>
        </w:rPr>
        <w:t>国发</w:t>
      </w:r>
      <w:r>
        <w:rPr>
          <w:rFonts w:eastAsia="仿宋" w:cs="Arial" w:ascii="Arial" w:hAnsi="Arial"/>
          <w:sz w:val="28"/>
          <w:szCs w:val="28"/>
        </w:rPr>
        <w:t>(2008)3</w:t>
      </w:r>
      <w:r>
        <w:rPr>
          <w:rFonts w:ascii="Arial" w:hAnsi="Arial" w:cs="Arial" w:eastAsia="仿宋"/>
          <w:sz w:val="28"/>
          <w:szCs w:val="28"/>
        </w:rPr>
        <w:t>号</w:t>
      </w:r>
      <w:r>
        <w:rPr>
          <w:rFonts w:eastAsia="仿宋" w:cs="Arial" w:ascii="Arial" w:hAnsi="Arial"/>
          <w:sz w:val="28"/>
          <w:szCs w:val="28"/>
        </w:rPr>
        <w:t>)</w:t>
      </w:r>
      <w:r>
        <w:rPr>
          <w:rFonts w:ascii="Arial" w:hAnsi="Arial" w:cs="Arial" w:eastAsia="仿宋"/>
          <w:sz w:val="28"/>
          <w:szCs w:val="28"/>
        </w:rPr>
        <w:t>第八条</w:t>
      </w:r>
      <w:r>
        <w:rPr>
          <w:rFonts w:ascii="Arial" w:hAnsi="Arial" w:cs="Arial" w:eastAsia="仿宋"/>
          <w:sz w:val="28"/>
          <w:szCs w:val="28"/>
        </w:rPr>
        <w:t>“</w:t>
      </w:r>
      <w:r>
        <w:rPr>
          <w:rFonts w:ascii="Arial" w:hAnsi="Arial" w:cs="Arial" w:eastAsia="仿宋"/>
          <w:sz w:val="28"/>
          <w:szCs w:val="28"/>
        </w:rPr>
        <w:t>对现有工业用地，在符合规划、不改变用途的前提下，提高土地利用率和增加容积率的，不再增收土地价款</w:t>
      </w:r>
      <w:r>
        <w:rPr>
          <w:rFonts w:eastAsia="仿宋" w:cs="Arial" w:ascii="Arial" w:hAnsi="Arial"/>
          <w:sz w:val="28"/>
          <w:szCs w:val="28"/>
        </w:rPr>
        <w:t>;</w:t>
      </w:r>
      <w:r>
        <w:rPr>
          <w:rFonts w:ascii="Arial" w:hAnsi="Arial" w:cs="Arial" w:eastAsia="仿宋"/>
          <w:sz w:val="28"/>
          <w:szCs w:val="28"/>
        </w:rPr>
        <w:t>对新增工业用地，要进一步提高工业用地控制指标，厂房建筑面积高于容积率控制指标的部分，不再增收土地价款</w:t>
      </w:r>
      <w:r>
        <w:rPr>
          <w:rFonts w:ascii="Arial" w:hAnsi="Arial" w:cs="Arial" w:eastAsia="仿宋"/>
          <w:sz w:val="28"/>
          <w:szCs w:val="28"/>
        </w:rPr>
        <w:t>”</w:t>
      </w:r>
      <w:r>
        <w:rPr>
          <w:rFonts w:ascii="Arial" w:hAnsi="Arial" w:cs="Arial" w:eastAsia="仿宋"/>
          <w:sz w:val="28"/>
          <w:szCs w:val="28"/>
        </w:rPr>
        <w:t>；</w:t>
      </w:r>
    </w:p>
    <w:p>
      <w:pPr>
        <w:pStyle w:val="Normal"/>
        <w:autoSpaceDE w:val="false"/>
        <w:spacing w:lineRule="auto" w:line="360"/>
        <w:ind w:firstLine="560"/>
        <w:jc w:val="both"/>
        <w:rPr>
          <w:rFonts w:ascii="Arial" w:hAnsi="Arial" w:eastAsia="仿宋" w:cs="Arial"/>
          <w:sz w:val="28"/>
          <w:szCs w:val="28"/>
        </w:rPr>
      </w:pPr>
      <w:r>
        <w:rPr>
          <w:rFonts w:ascii="Arial" w:hAnsi="Arial" w:cs="Arial" w:eastAsia="仿宋"/>
          <w:sz w:val="28"/>
          <w:szCs w:val="28"/>
        </w:rPr>
        <w:t>《节约集约利用土地规定》</w:t>
      </w:r>
      <w:r>
        <w:rPr>
          <w:rFonts w:eastAsia="仿宋" w:cs="Arial" w:ascii="Arial" w:hAnsi="Arial"/>
          <w:sz w:val="28"/>
          <w:szCs w:val="28"/>
        </w:rPr>
        <w:t>(</w:t>
      </w:r>
      <w:r>
        <w:rPr>
          <w:rFonts w:ascii="Arial" w:hAnsi="Arial" w:cs="Arial" w:eastAsia="仿宋"/>
          <w:sz w:val="28"/>
          <w:szCs w:val="28"/>
        </w:rPr>
        <w:t>中华人民共和国国土资源部令第</w:t>
      </w:r>
      <w:r>
        <w:rPr>
          <w:rFonts w:eastAsia="仿宋" w:cs="Arial" w:ascii="Arial" w:hAnsi="Arial"/>
          <w:sz w:val="28"/>
          <w:szCs w:val="28"/>
        </w:rPr>
        <w:t>61</w:t>
      </w:r>
      <w:r>
        <w:rPr>
          <w:rFonts w:ascii="Arial" w:hAnsi="Arial" w:cs="Arial" w:eastAsia="仿宋"/>
          <w:sz w:val="28"/>
          <w:szCs w:val="28"/>
        </w:rPr>
        <w:t>号，</w:t>
      </w:r>
      <w:r>
        <w:rPr>
          <w:rFonts w:eastAsia="仿宋" w:cs="Arial" w:ascii="Arial" w:hAnsi="Arial"/>
          <w:sz w:val="28"/>
          <w:szCs w:val="28"/>
        </w:rPr>
        <w:t>2014</w:t>
      </w:r>
      <w:r>
        <w:rPr>
          <w:rFonts w:ascii="Arial" w:hAnsi="Arial" w:cs="Arial" w:eastAsia="仿宋"/>
          <w:sz w:val="28"/>
          <w:szCs w:val="28"/>
        </w:rPr>
        <w:t>年</w:t>
      </w:r>
      <w:r>
        <w:rPr>
          <w:rFonts w:eastAsia="仿宋" w:cs="Arial" w:ascii="Arial" w:hAnsi="Arial"/>
          <w:sz w:val="28"/>
          <w:szCs w:val="28"/>
        </w:rPr>
        <w:t>)</w:t>
      </w:r>
      <w:r>
        <w:rPr>
          <w:rFonts w:ascii="Arial" w:hAnsi="Arial" w:cs="Arial" w:eastAsia="仿宋"/>
          <w:sz w:val="28"/>
          <w:szCs w:val="28"/>
        </w:rPr>
        <w:t>第二十四条</w:t>
      </w:r>
      <w:r>
        <w:rPr>
          <w:rFonts w:ascii="Arial" w:hAnsi="Arial" w:cs="Arial" w:eastAsia="仿宋"/>
          <w:sz w:val="28"/>
          <w:szCs w:val="28"/>
        </w:rPr>
        <w:t>“</w:t>
      </w:r>
      <w:r>
        <w:rPr>
          <w:rFonts w:ascii="Arial" w:hAnsi="Arial" w:cs="Arial" w:eastAsia="仿宋"/>
          <w:sz w:val="28"/>
          <w:szCs w:val="28"/>
        </w:rPr>
        <w:t>鼓励土地使用者在符合规划的前提下，通过厂房加层、厂区改造、内部用地整理等途径提高土地利用率。在符合规划、不改变用途的前提下，现有工业用地提高土地利用率和增加容积率的，不再增收土地价款</w:t>
      </w:r>
      <w:r>
        <w:rPr>
          <w:rFonts w:ascii="Arial" w:hAnsi="Arial" w:cs="Arial" w:eastAsia="仿宋"/>
          <w:sz w:val="28"/>
          <w:szCs w:val="28"/>
        </w:rPr>
        <w:t>”</w:t>
      </w:r>
      <w:r>
        <w:rPr>
          <w:rFonts w:ascii="Arial" w:hAnsi="Arial" w:cs="Arial" w:eastAsia="仿宋"/>
          <w:sz w:val="28"/>
          <w:szCs w:val="28"/>
        </w:rPr>
        <w:t>。对符合节约集约相关规定的工业用地而言，容积率不作为影响工业用地地价的主要因素，符合相关规定的工业用地不进行容积率修正；</w:t>
      </w:r>
    </w:p>
    <w:p>
      <w:pPr>
        <w:pStyle w:val="Normal"/>
        <w:autoSpaceDE w:val="false"/>
        <w:spacing w:lineRule="auto" w:line="360"/>
        <w:ind w:firstLine="560"/>
        <w:jc w:val="both"/>
        <w:rPr/>
      </w:pPr>
      <w:r>
        <w:rPr>
          <w:rFonts w:ascii="Arial" w:hAnsi="Arial" w:cs="Arial" w:eastAsia="仿宋"/>
          <w:sz w:val="28"/>
          <w:szCs w:val="28"/>
        </w:rPr>
        <w:t>参照《北京市国土资源局关于出让国有建设用地使用权基准地价应用有关问题的公告》，</w:t>
      </w:r>
      <w:r>
        <w:rPr>
          <w:rFonts w:ascii="Arial" w:hAnsi="Arial" w:cs="Arial" w:eastAsia="仿宋"/>
          <w:sz w:val="28"/>
          <w:szCs w:val="28"/>
        </w:rPr>
        <w:t>“</w:t>
      </w:r>
      <w:r>
        <w:rPr>
          <w:rFonts w:ascii="Arial" w:hAnsi="Arial" w:cs="Arial" w:eastAsia="仿宋"/>
          <w:sz w:val="28"/>
          <w:szCs w:val="28"/>
        </w:rPr>
        <w:t>为推动存量建设用地盘活利用，鼓励对现有工业用地（包括一类工业用地（</w:t>
      </w:r>
      <w:r>
        <w:rPr>
          <w:rFonts w:eastAsia="仿宋" w:cs="Arial" w:ascii="Arial" w:hAnsi="Arial"/>
          <w:sz w:val="28"/>
          <w:szCs w:val="28"/>
        </w:rPr>
        <w:t>M1</w:t>
      </w:r>
      <w:r>
        <w:rPr>
          <w:rFonts w:ascii="Arial" w:hAnsi="Arial" w:cs="Arial" w:eastAsia="仿宋"/>
          <w:sz w:val="28"/>
          <w:szCs w:val="28"/>
        </w:rPr>
        <w:t>）、二类工业用地（</w:t>
      </w:r>
      <w:r>
        <w:rPr>
          <w:rFonts w:eastAsia="仿宋" w:cs="Arial" w:ascii="Arial" w:hAnsi="Arial"/>
          <w:sz w:val="28"/>
          <w:szCs w:val="28"/>
        </w:rPr>
        <w:t>M2</w:t>
      </w:r>
      <w:r>
        <w:rPr>
          <w:rFonts w:ascii="Arial" w:hAnsi="Arial" w:cs="Arial" w:eastAsia="仿宋"/>
          <w:sz w:val="28"/>
          <w:szCs w:val="28"/>
        </w:rPr>
        <w:t>）、三类工业用地（</w:t>
      </w:r>
      <w:r>
        <w:rPr>
          <w:rFonts w:eastAsia="仿宋" w:cs="Arial" w:ascii="Arial" w:hAnsi="Arial"/>
          <w:sz w:val="28"/>
          <w:szCs w:val="28"/>
        </w:rPr>
        <w:t>M3</w:t>
      </w:r>
      <w:r>
        <w:rPr>
          <w:rFonts w:ascii="Arial" w:hAnsi="Arial" w:cs="Arial" w:eastAsia="仿宋"/>
          <w:sz w:val="28"/>
          <w:szCs w:val="28"/>
        </w:rPr>
        <w:t>））追加投资，提高土地利用强度。对于经规划部门批准，已出让工业用地不改变土地用途、调整容积率的项目，依据规划批准文件变更土地出让合同，不再增收土地出让价款。</w:t>
      </w:r>
      <w:r>
        <w:rPr>
          <w:rFonts w:ascii="Arial" w:hAnsi="Arial" w:cs="Arial" w:eastAsia="仿宋"/>
          <w:sz w:val="28"/>
          <w:szCs w:val="28"/>
        </w:rPr>
        <w:t>”</w:t>
      </w:r>
    </w:p>
    <w:p>
      <w:pPr>
        <w:pStyle w:val="Normal"/>
        <w:autoSpaceDE w:val="false"/>
        <w:spacing w:lineRule="auto" w:line="360"/>
        <w:ind w:firstLine="560"/>
        <w:jc w:val="both"/>
        <w:rPr>
          <w:rFonts w:ascii="Arial" w:hAnsi="Arial" w:eastAsia="仿宋" w:cs="Arial"/>
          <w:sz w:val="28"/>
          <w:szCs w:val="28"/>
        </w:rPr>
      </w:pPr>
      <w:r>
        <w:rPr>
          <w:rFonts w:ascii="Arial" w:hAnsi="Arial" w:cs="Arial" w:eastAsia="仿宋"/>
          <w:sz w:val="28"/>
          <w:szCs w:val="28"/>
        </w:rPr>
        <w:t>故本次评估对估价对象容积率不作修正。在比较过程中，估价对象及比较实例的实际容积率均小于</w:t>
      </w:r>
      <w:r>
        <w:rPr>
          <w:rFonts w:eastAsia="仿宋" w:cs="Arial" w:ascii="Arial" w:hAnsi="Arial"/>
          <w:sz w:val="28"/>
          <w:szCs w:val="28"/>
        </w:rPr>
        <w:t>1</w:t>
      </w:r>
      <w:r>
        <w:rPr>
          <w:rFonts w:ascii="Arial" w:hAnsi="Arial" w:cs="Arial" w:eastAsia="仿宋"/>
          <w:sz w:val="28"/>
          <w:szCs w:val="28"/>
        </w:rPr>
        <w:t>，设定容积率均为</w:t>
      </w:r>
      <w:r>
        <w:rPr>
          <w:rFonts w:eastAsia="仿宋" w:cs="Arial" w:ascii="Arial" w:hAnsi="Arial"/>
          <w:sz w:val="28"/>
          <w:szCs w:val="28"/>
        </w:rPr>
        <w:t>1</w:t>
      </w:r>
      <w:r>
        <w:rPr>
          <w:rFonts w:ascii="Arial" w:hAnsi="Arial" w:cs="Arial" w:eastAsia="仿宋"/>
          <w:sz w:val="28"/>
          <w:szCs w:val="28"/>
        </w:rPr>
        <w:t>。根据《北京市人民政府关于更新出让国有建设用地使用权基准地价的通知》</w:t>
      </w:r>
      <w:r>
        <w:rPr>
          <w:rFonts w:eastAsia="仿宋" w:cs="Arial" w:ascii="Arial" w:hAnsi="Arial"/>
          <w:sz w:val="28"/>
          <w:szCs w:val="28"/>
        </w:rPr>
        <w:t>[</w:t>
      </w:r>
      <w:r>
        <w:rPr>
          <w:rFonts w:ascii="Arial" w:hAnsi="Arial" w:cs="Arial" w:eastAsia="仿宋"/>
          <w:sz w:val="28"/>
          <w:szCs w:val="28"/>
        </w:rPr>
        <w:t>京政发（</w:t>
      </w:r>
      <w:r>
        <w:rPr>
          <w:rFonts w:eastAsia="仿宋" w:cs="Arial" w:ascii="Arial" w:hAnsi="Arial"/>
          <w:sz w:val="28"/>
          <w:szCs w:val="28"/>
        </w:rPr>
        <w:t>2022</w:t>
      </w:r>
      <w:r>
        <w:rPr>
          <w:rFonts w:ascii="Arial" w:hAnsi="Arial" w:cs="Arial" w:eastAsia="仿宋"/>
          <w:sz w:val="28"/>
          <w:szCs w:val="28"/>
        </w:rPr>
        <w:t>）</w:t>
      </w:r>
      <w:r>
        <w:rPr>
          <w:rFonts w:eastAsia="仿宋" w:cs="Arial" w:ascii="Arial" w:hAnsi="Arial"/>
          <w:sz w:val="28"/>
          <w:szCs w:val="28"/>
        </w:rPr>
        <w:t>12</w:t>
      </w:r>
      <w:r>
        <w:rPr>
          <w:rFonts w:ascii="Arial" w:hAnsi="Arial" w:cs="Arial" w:eastAsia="仿宋"/>
          <w:sz w:val="28"/>
          <w:szCs w:val="28"/>
        </w:rPr>
        <w:t>号</w:t>
      </w:r>
      <w:r>
        <w:rPr>
          <w:rFonts w:eastAsia="仿宋" w:cs="Arial" w:ascii="Arial" w:hAnsi="Arial"/>
          <w:sz w:val="28"/>
          <w:szCs w:val="28"/>
        </w:rPr>
        <w:t>]</w:t>
      </w:r>
      <w:r>
        <w:rPr>
          <w:rFonts w:ascii="Arial" w:hAnsi="Arial" w:cs="Arial" w:eastAsia="仿宋"/>
          <w:sz w:val="28"/>
          <w:szCs w:val="28"/>
        </w:rPr>
        <w:t>的规定，当容积率小于</w:t>
      </w:r>
      <w:r>
        <w:rPr>
          <w:rFonts w:eastAsia="仿宋" w:cs="Arial" w:ascii="Arial" w:hAnsi="Arial"/>
          <w:sz w:val="28"/>
          <w:szCs w:val="28"/>
        </w:rPr>
        <w:t>1</w:t>
      </w:r>
      <w:r>
        <w:rPr>
          <w:rFonts w:ascii="Arial" w:hAnsi="Arial" w:cs="Arial" w:eastAsia="仿宋"/>
          <w:sz w:val="28"/>
          <w:szCs w:val="28"/>
        </w:rPr>
        <w:t>时，容积率按</w:t>
      </w:r>
      <w:r>
        <w:rPr>
          <w:rFonts w:eastAsia="仿宋" w:cs="Arial" w:ascii="Arial" w:hAnsi="Arial"/>
          <w:sz w:val="28"/>
          <w:szCs w:val="28"/>
        </w:rPr>
        <w:t>1</w:t>
      </w:r>
      <w:r>
        <w:rPr>
          <w:rFonts w:ascii="Arial" w:hAnsi="Arial" w:cs="Arial" w:eastAsia="仿宋"/>
          <w:sz w:val="28"/>
          <w:szCs w:val="28"/>
        </w:rPr>
        <w:t>进行计算，即按照“建筑面积”</w:t>
      </w:r>
      <w:r>
        <w:rPr>
          <w:rFonts w:eastAsia="仿宋" w:cs="Arial" w:ascii="Arial" w:hAnsi="Arial"/>
          <w:sz w:val="28"/>
          <w:szCs w:val="28"/>
        </w:rPr>
        <w:t>=“</w:t>
      </w:r>
      <w:r>
        <w:rPr>
          <w:rFonts w:ascii="Arial" w:hAnsi="Arial" w:cs="Arial" w:eastAsia="仿宋"/>
          <w:sz w:val="28"/>
          <w:szCs w:val="28"/>
        </w:rPr>
        <w:t>土地面积</w:t>
      </w:r>
      <w:r>
        <w:rPr>
          <w:rFonts w:ascii="Arial" w:hAnsi="Arial" w:cs="Arial" w:eastAsia="仿宋"/>
          <w:sz w:val="28"/>
          <w:szCs w:val="28"/>
        </w:rPr>
        <w:t>”</w:t>
      </w:r>
      <w:r>
        <w:rPr>
          <w:rFonts w:ascii="Arial" w:hAnsi="Arial" w:cs="Arial" w:eastAsia="仿宋"/>
          <w:sz w:val="28"/>
          <w:szCs w:val="28"/>
        </w:rPr>
        <w:t>进行测算。此处采用地面价进行比较。</w:t>
      </w:r>
      <w:r>
        <w:br w:type="page"/>
      </w:r>
    </w:p>
    <w:p>
      <w:pPr>
        <w:pStyle w:val="Normal"/>
        <w:spacing w:lineRule="auto" w:line="360"/>
        <w:ind w:firstLine="560"/>
        <w:jc w:val="both"/>
        <w:rPr>
          <w:rFonts w:ascii="仿宋_GB2312;仿宋" w:hAnsi="仿宋_GB2312;仿宋" w:eastAsia="仿宋_GB2312;仿宋"/>
          <w:sz w:val="28"/>
          <w:szCs w:val="28"/>
        </w:rPr>
      </w:pPr>
      <w:r>
        <w:rPr>
          <w:rFonts w:ascii="仿宋_GB2312;仿宋" w:hAnsi="仿宋_GB2312;仿宋" w:eastAsia="仿宋_GB2312;仿宋"/>
          <w:sz w:val="28"/>
          <w:szCs w:val="28"/>
        </w:rPr>
        <w:t>估价对象及实例位置示意图：</w:t>
      </w:r>
    </w:p>
    <w:p>
      <w:pPr>
        <w:pStyle w:val="Normal"/>
        <w:spacing w:lineRule="auto" w:line="360"/>
        <w:jc w:val="center"/>
        <w:rPr>
          <w:rFonts w:ascii="仿宋_GB2312;仿宋" w:hAnsi="仿宋_GB2312;仿宋" w:eastAsia="仿宋_GB2312;仿宋" w:cs="Arial"/>
          <w:bCs/>
          <w:sz w:val="28"/>
        </w:rPr>
      </w:pPr>
      <w:r>
        <w:rPr>
          <w:lang w:val="zh-CN" w:eastAsia="zh-CN"/>
        </w:rPr>
        <w:drawing>
          <wp:inline distT="0" distB="0" distL="0" distR="0">
            <wp:extent cx="5390515" cy="4819015"/>
            <wp:effectExtent l="0" t="0" r="0" b="0"/>
            <wp:docPr id="36" name="图片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
                    <pic:cNvPicPr>
                      <a:picLocks noChangeAspect="1" noChangeArrowheads="1"/>
                    </pic:cNvPicPr>
                  </pic:nvPicPr>
                  <pic:blipFill>
                    <a:blip r:embed="rId73"/>
                    <a:srcRect l="-6" t="-7" r="-6" b="-7"/>
                    <a:stretch>
                      <a:fillRect/>
                    </a:stretch>
                  </pic:blipFill>
                  <pic:spPr bwMode="auto">
                    <a:xfrm>
                      <a:off x="0" y="0"/>
                      <a:ext cx="5390515" cy="4819015"/>
                    </a:xfrm>
                    <a:prstGeom prst="rect">
                      <a:avLst/>
                    </a:prstGeom>
                  </pic:spPr>
                </pic:pic>
              </a:graphicData>
            </a:graphic>
          </wp:inline>
        </w:drawing>
      </w:r>
    </w:p>
    <w:p>
      <w:pPr>
        <w:sectPr>
          <w:headerReference w:type="default" r:id="rId74"/>
          <w:footerReference w:type="default" r:id="rId75"/>
          <w:type w:val="nextPage"/>
          <w:pgSz w:w="11906" w:h="16838"/>
          <w:pgMar w:left="1304" w:right="1304" w:header="1134" w:top="1843" w:footer="907" w:bottom="1134" w:gutter="0"/>
          <w:pgNumType w:fmt="decimal"/>
          <w:formProt w:val="false"/>
          <w:textDirection w:val="lrTb"/>
          <w:docGrid w:type="lines" w:linePitch="326" w:charSpace="0"/>
        </w:sectPr>
        <w:pStyle w:val="Normal"/>
        <w:numPr>
          <w:ilvl w:val="0"/>
          <w:numId w:val="0"/>
        </w:numPr>
        <w:spacing w:lineRule="auto" w:line="360"/>
        <w:ind w:firstLine="560"/>
        <w:outlineLvl w:val="0"/>
        <w:rPr>
          <w:rFonts w:ascii="Arial" w:hAnsi="Arial" w:eastAsia="仿宋_GB2312;仿宋" w:cs="Arial"/>
          <w:bCs/>
          <w:sz w:val="28"/>
          <w:szCs w:val="28"/>
        </w:rPr>
      </w:pPr>
      <w:r>
        <w:rPr>
          <w:rFonts w:eastAsia="仿宋_GB2312;仿宋" w:cs="Arial" w:ascii="Arial" w:hAnsi="Arial"/>
          <w:bCs/>
          <w:sz w:val="28"/>
          <w:szCs w:val="28"/>
        </w:rPr>
      </w:r>
    </w:p>
    <w:p>
      <w:pPr>
        <w:pStyle w:val="Style27"/>
        <w:spacing w:lineRule="auto" w:line="360"/>
        <w:ind w:firstLine="560"/>
        <w:rPr>
          <w:rFonts w:ascii="Arial" w:hAnsi="Arial" w:eastAsia="仿宋_GB2312;仿宋" w:cs="Arial"/>
          <w:bCs/>
          <w:sz w:val="28"/>
        </w:rPr>
      </w:pPr>
      <w:r>
        <w:rPr>
          <w:rFonts w:eastAsia="仿宋_GB2312;仿宋" w:cs="Arial" w:ascii="Arial" w:hAnsi="Arial"/>
          <w:bCs/>
          <w:sz w:val="28"/>
        </w:rPr>
        <w:t>3.</w:t>
      </w:r>
      <w:r>
        <w:rPr>
          <w:rFonts w:ascii="Arial" w:hAnsi="Arial" w:cs="Arial" w:eastAsia="仿宋_GB2312;仿宋"/>
          <w:bCs/>
          <w:sz w:val="28"/>
        </w:rPr>
        <w:t>市场比较法中估价对象及三个成交实例</w:t>
      </w:r>
    </w:p>
    <w:p>
      <w:pPr>
        <w:pStyle w:val="Normal"/>
        <w:spacing w:lineRule="auto" w:line="360"/>
        <w:jc w:val="center"/>
        <w:rPr/>
      </w:pPr>
      <w:r>
        <w:rPr/>
        <w:t>比较因素条件说明表</w:t>
      </w:r>
    </w:p>
    <w:tbl>
      <w:tblPr>
        <w:tblW w:w="9310" w:type="dxa"/>
        <w:jc w:val="center"/>
        <w:tblInd w:w="0" w:type="dxa"/>
        <w:tblCellMar>
          <w:top w:w="57" w:type="dxa"/>
          <w:left w:w="28" w:type="dxa"/>
          <w:bottom w:w="57" w:type="dxa"/>
          <w:right w:w="28" w:type="dxa"/>
        </w:tblCellMar>
      </w:tblPr>
      <w:tblGrid>
        <w:gridCol w:w="537"/>
        <w:gridCol w:w="1552"/>
        <w:gridCol w:w="1814"/>
        <w:gridCol w:w="1814"/>
        <w:gridCol w:w="1814"/>
        <w:gridCol w:w="1779"/>
      </w:tblGrid>
      <w:tr>
        <w:trPr>
          <w:cantSplit w:val="true"/>
        </w:trPr>
        <w:tc>
          <w:tcPr>
            <w:tcW w:w="2089" w:type="dxa"/>
            <w:gridSpan w:val="2"/>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比较因素</w:t>
            </w:r>
          </w:p>
        </w:tc>
        <w:tc>
          <w:tcPr>
            <w:tcW w:w="18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估价对象</w:t>
            </w:r>
          </w:p>
        </w:tc>
        <w:tc>
          <w:tcPr>
            <w:tcW w:w="18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实例</w:t>
            </w:r>
            <w:r>
              <w:rPr>
                <w:rFonts w:eastAsia="仿宋_GB2312;仿宋" w:cs="宋体;SimSun" w:ascii="Arial" w:hAnsi="Arial"/>
                <w:sz w:val="18"/>
                <w:szCs w:val="18"/>
              </w:rPr>
              <w:t>A</w:t>
            </w:r>
          </w:p>
        </w:tc>
        <w:tc>
          <w:tcPr>
            <w:tcW w:w="18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实例</w:t>
            </w:r>
            <w:r>
              <w:rPr>
                <w:rFonts w:eastAsia="仿宋_GB2312;仿宋" w:cs="宋体;SimSun" w:ascii="Arial" w:hAnsi="Arial"/>
                <w:sz w:val="18"/>
                <w:szCs w:val="18"/>
              </w:rPr>
              <w:t>B</w:t>
            </w:r>
          </w:p>
        </w:tc>
        <w:tc>
          <w:tcPr>
            <w:tcW w:w="177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实例</w:t>
            </w:r>
            <w:r>
              <w:rPr>
                <w:rFonts w:eastAsia="仿宋_GB2312;仿宋" w:cs="宋体;SimSun" w:ascii="Arial" w:hAnsi="Arial"/>
                <w:sz w:val="18"/>
                <w:szCs w:val="18"/>
              </w:rPr>
              <w:t>C</w:t>
            </w:r>
          </w:p>
        </w:tc>
      </w:tr>
      <w:tr>
        <w:trPr>
          <w:cantSplit w:val="true"/>
        </w:trPr>
        <w:tc>
          <w:tcPr>
            <w:tcW w:w="2089" w:type="dxa"/>
            <w:gridSpan w:val="2"/>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仿宋_GB2312;仿宋" w:hAnsi="仿宋_GB2312;仿宋" w:eastAsia="仿宋_GB2312;仿宋" w:cs="宋体;SimSun"/>
                <w:sz w:val="18"/>
                <w:szCs w:val="18"/>
              </w:rPr>
            </w:pPr>
            <w:r>
              <w:rPr>
                <w:rFonts w:eastAsia="仿宋_GB2312;仿宋" w:cs="宋体;SimSun" w:ascii="仿宋_GB2312;仿宋" w:hAnsi="仿宋_GB2312;仿宋"/>
                <w:sz w:val="18"/>
                <w:szCs w:val="18"/>
              </w:rPr>
            </w:r>
          </w:p>
        </w:tc>
        <w:tc>
          <w:tcPr>
            <w:tcW w:w="1814" w:type="dxa"/>
            <w:tcBorders>
              <w:top w:val="single" w:sz="4" w:space="0" w:color="000000"/>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北京市海淀区建材城中路</w:t>
            </w:r>
            <w:r>
              <w:rPr>
                <w:rFonts w:eastAsia="仿宋_GB2312;仿宋" w:cs="宋体;SimSun" w:ascii="仿宋_GB2312;仿宋" w:hAnsi="仿宋_GB2312;仿宋"/>
                <w:sz w:val="18"/>
                <w:szCs w:val="18"/>
              </w:rPr>
              <w:t>2</w:t>
            </w:r>
            <w:r>
              <w:rPr>
                <w:rFonts w:ascii="仿宋_GB2312;仿宋" w:hAnsi="仿宋_GB2312;仿宋" w:cs="宋体;SimSun" w:eastAsia="仿宋_GB2312;仿宋"/>
                <w:sz w:val="18"/>
                <w:szCs w:val="18"/>
              </w:rPr>
              <w:t>号</w:t>
            </w:r>
          </w:p>
        </w:tc>
        <w:tc>
          <w:tcPr>
            <w:tcW w:w="1814" w:type="dxa"/>
            <w:tcBorders>
              <w:top w:val="single" w:sz="4" w:space="0" w:color="000000"/>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海淀区清河安宁庄东路</w:t>
            </w:r>
            <w:r>
              <w:rPr>
                <w:rFonts w:eastAsia="仿宋_GB2312;仿宋" w:cs="宋体;SimSun" w:ascii="仿宋_GB2312;仿宋" w:hAnsi="仿宋_GB2312;仿宋"/>
                <w:sz w:val="18"/>
                <w:szCs w:val="18"/>
              </w:rPr>
              <w:t>1</w:t>
            </w:r>
            <w:r>
              <w:rPr>
                <w:rFonts w:ascii="仿宋_GB2312;仿宋" w:hAnsi="仿宋_GB2312;仿宋" w:cs="宋体;SimSun" w:eastAsia="仿宋_GB2312;仿宋"/>
                <w:sz w:val="18"/>
                <w:szCs w:val="18"/>
              </w:rPr>
              <w:t>号</w:t>
            </w:r>
          </w:p>
        </w:tc>
        <w:tc>
          <w:tcPr>
            <w:tcW w:w="1814" w:type="dxa"/>
            <w:tcBorders>
              <w:top w:val="single" w:sz="4" w:space="0" w:color="000000"/>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丰台区南四环中路</w:t>
            </w:r>
            <w:r>
              <w:rPr>
                <w:rFonts w:eastAsia="仿宋_GB2312;仿宋" w:cs="宋体;SimSun" w:ascii="仿宋_GB2312;仿宋" w:hAnsi="仿宋_GB2312;仿宋"/>
                <w:sz w:val="18"/>
                <w:szCs w:val="18"/>
              </w:rPr>
              <w:t>10</w:t>
            </w:r>
            <w:r>
              <w:rPr>
                <w:rFonts w:ascii="仿宋_GB2312;仿宋" w:hAnsi="仿宋_GB2312;仿宋" w:cs="宋体;SimSun" w:eastAsia="仿宋_GB2312;仿宋"/>
                <w:sz w:val="18"/>
                <w:szCs w:val="18"/>
              </w:rPr>
              <w:t>号</w:t>
            </w:r>
          </w:p>
        </w:tc>
        <w:tc>
          <w:tcPr>
            <w:tcW w:w="177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顺义区南法信地区刘家河村顺余东路</w:t>
            </w:r>
            <w:r>
              <w:rPr>
                <w:rFonts w:eastAsia="仿宋_GB2312;仿宋" w:cs="宋体;SimSun" w:ascii="仿宋_GB2312;仿宋" w:hAnsi="仿宋_GB2312;仿宋"/>
                <w:sz w:val="18"/>
                <w:szCs w:val="18"/>
              </w:rPr>
              <w:t>1</w:t>
            </w:r>
            <w:r>
              <w:rPr>
                <w:rFonts w:ascii="仿宋_GB2312;仿宋" w:hAnsi="仿宋_GB2312;仿宋" w:cs="宋体;SimSun" w:eastAsia="仿宋_GB2312;仿宋"/>
                <w:sz w:val="18"/>
                <w:szCs w:val="18"/>
              </w:rPr>
              <w:t>号</w:t>
            </w:r>
          </w:p>
        </w:tc>
      </w:tr>
      <w:tr>
        <w:trPr>
          <w:cantSplit w:val="true"/>
        </w:trPr>
        <w:tc>
          <w:tcPr>
            <w:tcW w:w="2089" w:type="dxa"/>
            <w:gridSpan w:val="2"/>
            <w:tcBorders>
              <w:top w:val="single" w:sz="4" w:space="0" w:color="000000"/>
              <w:left w:val="single" w:sz="4" w:space="0" w:color="000000"/>
              <w:bottom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交易时间</w:t>
            </w:r>
          </w:p>
        </w:tc>
        <w:tc>
          <w:tcPr>
            <w:tcW w:w="1814" w:type="dxa"/>
            <w:tcBorders>
              <w:left w:val="single" w:sz="4" w:space="0" w:color="000000"/>
              <w:bottom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eastAsia="仿宋_GB2312;仿宋" w:cs="宋体;SimSun" w:ascii="仿宋_GB2312;仿宋" w:hAnsi="仿宋_GB2312;仿宋"/>
                <w:sz w:val="18"/>
                <w:szCs w:val="18"/>
              </w:rPr>
              <w:t>2023</w:t>
            </w:r>
            <w:r>
              <w:rPr>
                <w:rFonts w:ascii="仿宋_GB2312;仿宋" w:hAnsi="仿宋_GB2312;仿宋" w:cs="宋体;SimSun" w:eastAsia="仿宋_GB2312;仿宋"/>
                <w:sz w:val="18"/>
                <w:szCs w:val="18"/>
              </w:rPr>
              <w:t>年</w:t>
            </w:r>
            <w:r>
              <w:rPr>
                <w:rFonts w:eastAsia="仿宋_GB2312;仿宋" w:cs="宋体;SimSun" w:ascii="仿宋_GB2312;仿宋" w:hAnsi="仿宋_GB2312;仿宋"/>
                <w:sz w:val="18"/>
                <w:szCs w:val="18"/>
              </w:rPr>
              <w:t>11</w:t>
            </w:r>
            <w:r>
              <w:rPr>
                <w:rFonts w:ascii="仿宋_GB2312;仿宋" w:hAnsi="仿宋_GB2312;仿宋" w:cs="宋体;SimSun" w:eastAsia="仿宋_GB2312;仿宋"/>
                <w:sz w:val="18"/>
                <w:szCs w:val="18"/>
              </w:rPr>
              <w:t>月</w:t>
            </w:r>
            <w:r>
              <w:rPr>
                <w:rFonts w:eastAsia="仿宋_GB2312;仿宋" w:cs="宋体;SimSun" w:ascii="仿宋_GB2312;仿宋" w:hAnsi="仿宋_GB2312;仿宋"/>
                <w:sz w:val="18"/>
                <w:szCs w:val="18"/>
              </w:rPr>
              <w:t>18</w:t>
            </w:r>
            <w:r>
              <w:rPr>
                <w:rFonts w:ascii="仿宋_GB2312;仿宋" w:hAnsi="仿宋_GB2312;仿宋" w:cs="宋体;SimSun" w:eastAsia="仿宋_GB2312;仿宋"/>
                <w:sz w:val="18"/>
                <w:szCs w:val="18"/>
              </w:rPr>
              <w:t>日</w:t>
            </w:r>
          </w:p>
        </w:tc>
        <w:tc>
          <w:tcPr>
            <w:tcW w:w="1814" w:type="dxa"/>
            <w:tcBorders>
              <w:left w:val="single" w:sz="4" w:space="0" w:color="000000"/>
              <w:bottom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eastAsia="仿宋_GB2312;仿宋" w:cs="宋体;SimSun" w:ascii="仿宋_GB2312;仿宋" w:hAnsi="仿宋_GB2312;仿宋"/>
                <w:sz w:val="18"/>
                <w:szCs w:val="18"/>
              </w:rPr>
              <w:t>2018-11</w:t>
            </w:r>
          </w:p>
        </w:tc>
        <w:tc>
          <w:tcPr>
            <w:tcW w:w="1814" w:type="dxa"/>
            <w:tcBorders>
              <w:left w:val="single" w:sz="4" w:space="0" w:color="000000"/>
              <w:bottom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eastAsia="仿宋_GB2312;仿宋" w:cs="宋体;SimSun" w:ascii="仿宋_GB2312;仿宋" w:hAnsi="仿宋_GB2312;仿宋"/>
                <w:sz w:val="18"/>
                <w:szCs w:val="18"/>
              </w:rPr>
              <w:t>2018-9</w:t>
            </w:r>
          </w:p>
        </w:tc>
        <w:tc>
          <w:tcPr>
            <w:tcW w:w="1779" w:type="dxa"/>
            <w:tcBorders>
              <w:left w:val="single" w:sz="4" w:space="0" w:color="000000"/>
              <w:bottom w:val="single" w:sz="4" w:space="0" w:color="000000"/>
              <w:right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eastAsia="仿宋_GB2312;仿宋" w:cs="宋体;SimSun" w:ascii="仿宋_GB2312;仿宋" w:hAnsi="仿宋_GB2312;仿宋"/>
                <w:sz w:val="18"/>
                <w:szCs w:val="18"/>
              </w:rPr>
              <w:t>2023-11</w:t>
            </w:r>
          </w:p>
        </w:tc>
      </w:tr>
      <w:tr>
        <w:trPr>
          <w:cantSplit w:val="true"/>
        </w:trPr>
        <w:tc>
          <w:tcPr>
            <w:tcW w:w="2089" w:type="dxa"/>
            <w:gridSpan w:val="2"/>
            <w:tcBorders>
              <w:top w:val="single" w:sz="4" w:space="0" w:color="000000"/>
              <w:left w:val="single" w:sz="4" w:space="0" w:color="000000"/>
              <w:bottom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交易情况</w:t>
            </w:r>
          </w:p>
        </w:tc>
        <w:tc>
          <w:tcPr>
            <w:tcW w:w="1814" w:type="dxa"/>
            <w:tcBorders>
              <w:left w:val="single" w:sz="4" w:space="0" w:color="000000"/>
              <w:bottom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收储</w:t>
            </w:r>
          </w:p>
        </w:tc>
        <w:tc>
          <w:tcPr>
            <w:tcW w:w="1814" w:type="dxa"/>
            <w:tcBorders>
              <w:left w:val="single" w:sz="4" w:space="0" w:color="000000"/>
              <w:bottom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征收</w:t>
            </w:r>
          </w:p>
        </w:tc>
        <w:tc>
          <w:tcPr>
            <w:tcW w:w="1814" w:type="dxa"/>
            <w:tcBorders>
              <w:left w:val="single" w:sz="4" w:space="0" w:color="000000"/>
              <w:bottom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征收</w:t>
            </w:r>
          </w:p>
        </w:tc>
        <w:tc>
          <w:tcPr>
            <w:tcW w:w="1779" w:type="dxa"/>
            <w:tcBorders>
              <w:left w:val="single" w:sz="4" w:space="0" w:color="000000"/>
              <w:bottom w:val="single" w:sz="4" w:space="0" w:color="000000"/>
              <w:right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收储</w:t>
            </w:r>
          </w:p>
        </w:tc>
      </w:tr>
      <w:tr>
        <w:trPr>
          <w:cantSplit w:val="true"/>
        </w:trPr>
        <w:tc>
          <w:tcPr>
            <w:tcW w:w="2089" w:type="dxa"/>
            <w:gridSpan w:val="2"/>
            <w:tcBorders>
              <w:top w:val="single" w:sz="4" w:space="0" w:color="000000"/>
              <w:left w:val="single" w:sz="4" w:space="0" w:color="000000"/>
              <w:bottom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土地用途</w:t>
            </w:r>
          </w:p>
        </w:tc>
        <w:tc>
          <w:tcPr>
            <w:tcW w:w="1814"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工业</w:t>
            </w:r>
          </w:p>
        </w:tc>
        <w:tc>
          <w:tcPr>
            <w:tcW w:w="1814"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工业</w:t>
            </w:r>
          </w:p>
        </w:tc>
        <w:tc>
          <w:tcPr>
            <w:tcW w:w="1814"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工业</w:t>
            </w:r>
          </w:p>
        </w:tc>
        <w:tc>
          <w:tcPr>
            <w:tcW w:w="1779" w:type="dxa"/>
            <w:tcBorders>
              <w:left w:val="single" w:sz="4" w:space="0" w:color="000000"/>
              <w:bottom w:val="single" w:sz="4" w:space="0" w:color="000000"/>
              <w:right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工业</w:t>
            </w:r>
          </w:p>
        </w:tc>
      </w:tr>
      <w:tr>
        <w:trPr>
          <w:cantSplit w:val="true"/>
        </w:trPr>
        <w:tc>
          <w:tcPr>
            <w:tcW w:w="2089" w:type="dxa"/>
            <w:gridSpan w:val="2"/>
            <w:tcBorders>
              <w:top w:val="single" w:sz="4" w:space="0" w:color="000000"/>
              <w:left w:val="single" w:sz="4" w:space="0" w:color="000000"/>
              <w:bottom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土地级别</w:t>
            </w:r>
          </w:p>
        </w:tc>
        <w:tc>
          <w:tcPr>
            <w:tcW w:w="1814" w:type="dxa"/>
            <w:tcBorders>
              <w:left w:val="single" w:sz="4" w:space="0" w:color="000000"/>
              <w:bottom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六级</w:t>
            </w:r>
          </w:p>
        </w:tc>
        <w:tc>
          <w:tcPr>
            <w:tcW w:w="1814" w:type="dxa"/>
            <w:tcBorders>
              <w:left w:val="single" w:sz="4" w:space="0" w:color="000000"/>
              <w:bottom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五级</w:t>
            </w:r>
          </w:p>
        </w:tc>
        <w:tc>
          <w:tcPr>
            <w:tcW w:w="1814" w:type="dxa"/>
            <w:tcBorders>
              <w:left w:val="single" w:sz="4" w:space="0" w:color="000000"/>
              <w:bottom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五级</w:t>
            </w:r>
          </w:p>
        </w:tc>
        <w:tc>
          <w:tcPr>
            <w:tcW w:w="1779" w:type="dxa"/>
            <w:tcBorders>
              <w:left w:val="single" w:sz="4" w:space="0" w:color="000000"/>
              <w:bottom w:val="single" w:sz="4" w:space="0" w:color="000000"/>
              <w:right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八级</w:t>
            </w:r>
          </w:p>
        </w:tc>
      </w:tr>
      <w:tr>
        <w:trPr>
          <w:cantSplit w:val="true"/>
        </w:trPr>
        <w:tc>
          <w:tcPr>
            <w:tcW w:w="537"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区域因素</w:t>
            </w:r>
          </w:p>
        </w:tc>
        <w:tc>
          <w:tcPr>
            <w:tcW w:w="1552"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产业聚集度</w:t>
            </w:r>
          </w:p>
        </w:tc>
        <w:tc>
          <w:tcPr>
            <w:tcW w:w="1814"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估价对象位于北五环外，工业六级</w:t>
            </w:r>
            <w:r>
              <w:rPr>
                <w:rFonts w:eastAsia="仿宋_GB2312;仿宋" w:cs="宋体;SimSun" w:ascii="仿宋_GB2312;仿宋" w:hAnsi="仿宋_GB2312;仿宋"/>
                <w:sz w:val="18"/>
                <w:szCs w:val="18"/>
              </w:rPr>
              <w:t>VI-01</w:t>
            </w:r>
            <w:r>
              <w:rPr>
                <w:rFonts w:ascii="仿宋_GB2312;仿宋" w:hAnsi="仿宋_GB2312;仿宋" w:cs="宋体;SimSun" w:eastAsia="仿宋_GB2312;仿宋"/>
                <w:sz w:val="18"/>
                <w:szCs w:val="18"/>
              </w:rPr>
              <w:t>地价片区，受城市经济发展扩大的影响，该区域有少量工业用地，如永丰高新技术产业园、东升科技园等产业园区，规模一般，产业集聚程度一般。</w:t>
            </w:r>
          </w:p>
        </w:tc>
        <w:tc>
          <w:tcPr>
            <w:tcW w:w="1814" w:type="dxa"/>
            <w:tcBorders>
              <w:left w:val="single" w:sz="4" w:space="0" w:color="000000"/>
              <w:bottom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实例</w:t>
            </w:r>
            <w:r>
              <w:rPr>
                <w:rFonts w:eastAsia="仿宋_GB2312;仿宋" w:cs="宋体;SimSun" w:ascii="仿宋_GB2312;仿宋" w:hAnsi="仿宋_GB2312;仿宋"/>
                <w:sz w:val="18"/>
                <w:szCs w:val="18"/>
              </w:rPr>
              <w:t>A</w:t>
            </w:r>
            <w:r>
              <w:rPr>
                <w:rFonts w:ascii="仿宋_GB2312;仿宋" w:hAnsi="仿宋_GB2312;仿宋" w:cs="宋体;SimSun" w:eastAsia="仿宋_GB2312;仿宋"/>
                <w:sz w:val="18"/>
                <w:szCs w:val="18"/>
              </w:rPr>
              <w:t>位于海淀区清河镇，邻近小米科技园区、元中心、和盈中心等多个产业园区，产业集聚程度较好。</w:t>
            </w:r>
          </w:p>
        </w:tc>
        <w:tc>
          <w:tcPr>
            <w:tcW w:w="1814" w:type="dxa"/>
            <w:tcBorders>
              <w:left w:val="single" w:sz="4" w:space="0" w:color="000000"/>
              <w:bottom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实例</w:t>
            </w:r>
            <w:r>
              <w:rPr>
                <w:rFonts w:eastAsia="仿宋_GB2312;仿宋" w:cs="宋体;SimSun" w:ascii="仿宋_GB2312;仿宋" w:hAnsi="仿宋_GB2312;仿宋"/>
                <w:sz w:val="18"/>
                <w:szCs w:val="18"/>
              </w:rPr>
              <w:t>B</w:t>
            </w:r>
            <w:r>
              <w:rPr>
                <w:rFonts w:ascii="仿宋_GB2312;仿宋" w:hAnsi="仿宋_GB2312;仿宋" w:cs="宋体;SimSun" w:eastAsia="仿宋_GB2312;仿宋"/>
                <w:sz w:val="18"/>
                <w:szCs w:val="18"/>
              </w:rPr>
              <w:t>位于丰台区和义街道，邻近宝辰汽车园、永乐工业园等多个产业园区，产业集聚程度较好。</w:t>
            </w:r>
          </w:p>
        </w:tc>
        <w:tc>
          <w:tcPr>
            <w:tcW w:w="1779" w:type="dxa"/>
            <w:tcBorders>
              <w:left w:val="single" w:sz="4" w:space="0" w:color="000000"/>
              <w:bottom w:val="single" w:sz="4" w:space="0" w:color="000000"/>
              <w:right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实例</w:t>
            </w:r>
            <w:r>
              <w:rPr>
                <w:rFonts w:eastAsia="仿宋_GB2312;仿宋" w:cs="宋体;SimSun" w:ascii="仿宋_GB2312;仿宋" w:hAnsi="仿宋_GB2312;仿宋"/>
                <w:sz w:val="18"/>
                <w:szCs w:val="18"/>
              </w:rPr>
              <w:t>C</w:t>
            </w:r>
            <w:r>
              <w:rPr>
                <w:rFonts w:ascii="仿宋_GB2312;仿宋" w:hAnsi="仿宋_GB2312;仿宋" w:cs="宋体;SimSun" w:eastAsia="仿宋_GB2312;仿宋"/>
                <w:sz w:val="18"/>
                <w:szCs w:val="18"/>
              </w:rPr>
              <w:t>位于顺义区，邻近乐铁设备（北京）有限公司、综合信兴物流（南法信卫生院东北）、安博北京首都机场第二物流中心等，物流企业较多，产业集聚程度较好。</w:t>
            </w:r>
          </w:p>
        </w:tc>
      </w:tr>
      <w:tr>
        <w:trPr>
          <w:cantSplit w:val="true"/>
        </w:trPr>
        <w:tc>
          <w:tcPr>
            <w:tcW w:w="537"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仿宋_GB2312;仿宋" w:hAnsi="仿宋_GB2312;仿宋" w:eastAsia="仿宋_GB2312;仿宋" w:cs="宋体;SimSun"/>
                <w:sz w:val="18"/>
                <w:szCs w:val="18"/>
              </w:rPr>
            </w:pPr>
            <w:r>
              <w:rPr>
                <w:rFonts w:eastAsia="仿宋_GB2312;仿宋" w:cs="宋体;SimSun" w:ascii="仿宋_GB2312;仿宋" w:hAnsi="仿宋_GB2312;仿宋"/>
                <w:sz w:val="18"/>
                <w:szCs w:val="18"/>
              </w:rPr>
            </w:r>
          </w:p>
        </w:tc>
        <w:tc>
          <w:tcPr>
            <w:tcW w:w="1552"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交通便捷度</w:t>
            </w:r>
          </w:p>
        </w:tc>
        <w:tc>
          <w:tcPr>
            <w:tcW w:w="1814"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估价对象所在区域交通道路有</w:t>
            </w:r>
            <w:r>
              <w:rPr>
                <w:rFonts w:eastAsia="仿宋_GB2312;仿宋" w:cs="宋体;SimSun" w:ascii="仿宋_GB2312;仿宋" w:hAnsi="仿宋_GB2312;仿宋"/>
                <w:sz w:val="18"/>
                <w:szCs w:val="18"/>
              </w:rPr>
              <w:t>G6</w:t>
            </w:r>
            <w:r>
              <w:rPr>
                <w:rFonts w:ascii="仿宋_GB2312;仿宋" w:hAnsi="仿宋_GB2312;仿宋" w:cs="宋体;SimSun" w:eastAsia="仿宋_GB2312;仿宋"/>
                <w:sz w:val="18"/>
                <w:szCs w:val="18"/>
              </w:rPr>
              <w:t>高速公路、建材城西路、后屯路、黄平路等，区域路网密集程度好，对外交通状况较好。有</w:t>
            </w:r>
            <w:r>
              <w:rPr>
                <w:rFonts w:eastAsia="仿宋_GB2312;仿宋" w:cs="宋体;SimSun" w:ascii="仿宋_GB2312;仿宋" w:hAnsi="仿宋_GB2312;仿宋"/>
                <w:sz w:val="18"/>
                <w:szCs w:val="18"/>
              </w:rPr>
              <w:t>315</w:t>
            </w:r>
            <w:r>
              <w:rPr>
                <w:rFonts w:ascii="仿宋_GB2312;仿宋" w:hAnsi="仿宋_GB2312;仿宋" w:cs="宋体;SimSun" w:eastAsia="仿宋_GB2312;仿宋"/>
                <w:sz w:val="18"/>
                <w:szCs w:val="18"/>
              </w:rPr>
              <w:t>路、</w:t>
            </w:r>
            <w:r>
              <w:rPr>
                <w:rFonts w:eastAsia="仿宋_GB2312;仿宋" w:cs="宋体;SimSun" w:ascii="仿宋_GB2312;仿宋" w:hAnsi="仿宋_GB2312;仿宋"/>
                <w:sz w:val="18"/>
                <w:szCs w:val="18"/>
              </w:rPr>
              <w:t>462</w:t>
            </w:r>
            <w:r>
              <w:rPr>
                <w:rFonts w:ascii="仿宋_GB2312;仿宋" w:hAnsi="仿宋_GB2312;仿宋" w:cs="宋体;SimSun" w:eastAsia="仿宋_GB2312;仿宋"/>
                <w:sz w:val="18"/>
                <w:szCs w:val="18"/>
              </w:rPr>
              <w:t>路、</w:t>
            </w:r>
            <w:r>
              <w:rPr>
                <w:rFonts w:eastAsia="仿宋_GB2312;仿宋" w:cs="宋体;SimSun" w:ascii="仿宋_GB2312;仿宋" w:hAnsi="仿宋_GB2312;仿宋"/>
                <w:sz w:val="18"/>
                <w:szCs w:val="18"/>
              </w:rPr>
              <w:t>520</w:t>
            </w:r>
            <w:r>
              <w:rPr>
                <w:rFonts w:ascii="仿宋_GB2312;仿宋" w:hAnsi="仿宋_GB2312;仿宋" w:cs="宋体;SimSun" w:eastAsia="仿宋_GB2312;仿宋"/>
                <w:sz w:val="18"/>
                <w:szCs w:val="18"/>
              </w:rPr>
              <w:t>路、运通</w:t>
            </w:r>
            <w:r>
              <w:rPr>
                <w:rFonts w:eastAsia="仿宋_GB2312;仿宋" w:cs="宋体;SimSun" w:ascii="仿宋_GB2312;仿宋" w:hAnsi="仿宋_GB2312;仿宋"/>
                <w:sz w:val="18"/>
                <w:szCs w:val="18"/>
              </w:rPr>
              <w:t>119</w:t>
            </w:r>
            <w:r>
              <w:rPr>
                <w:rFonts w:ascii="仿宋_GB2312;仿宋" w:hAnsi="仿宋_GB2312;仿宋" w:cs="宋体;SimSun" w:eastAsia="仿宋_GB2312;仿宋"/>
                <w:sz w:val="18"/>
                <w:szCs w:val="18"/>
              </w:rPr>
              <w:t>路等多条公交线路经过，距地铁</w:t>
            </w:r>
            <w:r>
              <w:rPr>
                <w:rFonts w:eastAsia="仿宋_GB2312;仿宋" w:cs="宋体;SimSun" w:ascii="仿宋_GB2312;仿宋" w:hAnsi="仿宋_GB2312;仿宋"/>
                <w:sz w:val="18"/>
                <w:szCs w:val="18"/>
              </w:rPr>
              <w:t>13</w:t>
            </w:r>
            <w:r>
              <w:rPr>
                <w:rFonts w:ascii="仿宋_GB2312;仿宋" w:hAnsi="仿宋_GB2312;仿宋" w:cs="宋体;SimSun" w:eastAsia="仿宋_GB2312;仿宋"/>
                <w:sz w:val="18"/>
                <w:szCs w:val="18"/>
              </w:rPr>
              <w:t>号线霍营站约</w:t>
            </w:r>
            <w:r>
              <w:rPr>
                <w:rFonts w:eastAsia="仿宋_GB2312;仿宋" w:cs="宋体;SimSun" w:ascii="仿宋_GB2312;仿宋" w:hAnsi="仿宋_GB2312;仿宋"/>
                <w:sz w:val="18"/>
                <w:szCs w:val="18"/>
              </w:rPr>
              <w:t>0.8</w:t>
            </w:r>
            <w:r>
              <w:rPr>
                <w:rFonts w:ascii="仿宋_GB2312;仿宋" w:hAnsi="仿宋_GB2312;仿宋" w:cs="宋体;SimSun" w:eastAsia="仿宋_GB2312;仿宋"/>
                <w:sz w:val="18"/>
                <w:szCs w:val="18"/>
              </w:rPr>
              <w:t>公里，综合评价交通便捷度较好。</w:t>
            </w:r>
          </w:p>
        </w:tc>
        <w:tc>
          <w:tcPr>
            <w:tcW w:w="1814" w:type="dxa"/>
            <w:tcBorders>
              <w:left w:val="single" w:sz="4" w:space="0" w:color="000000"/>
              <w:bottom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临近城市支路——安宁庄东路，周边有多条公交线路经停，距地铁</w:t>
            </w:r>
            <w:r>
              <w:rPr>
                <w:rFonts w:eastAsia="仿宋_GB2312;仿宋" w:cs="宋体;SimSun" w:ascii="仿宋_GB2312;仿宋" w:hAnsi="仿宋_GB2312;仿宋"/>
                <w:sz w:val="18"/>
                <w:szCs w:val="18"/>
              </w:rPr>
              <w:t>13</w:t>
            </w:r>
            <w:r>
              <w:rPr>
                <w:rFonts w:ascii="仿宋_GB2312;仿宋" w:hAnsi="仿宋_GB2312;仿宋" w:cs="宋体;SimSun" w:eastAsia="仿宋_GB2312;仿宋"/>
                <w:sz w:val="18"/>
                <w:szCs w:val="18"/>
              </w:rPr>
              <w:t>号线（西二旗站）约</w:t>
            </w:r>
            <w:r>
              <w:rPr>
                <w:rFonts w:eastAsia="仿宋_GB2312;仿宋" w:cs="宋体;SimSun" w:ascii="仿宋_GB2312;仿宋" w:hAnsi="仿宋_GB2312;仿宋"/>
                <w:sz w:val="18"/>
                <w:szCs w:val="18"/>
              </w:rPr>
              <w:t>2</w:t>
            </w:r>
            <w:r>
              <w:rPr>
                <w:rFonts w:ascii="仿宋_GB2312;仿宋" w:hAnsi="仿宋_GB2312;仿宋" w:cs="宋体;SimSun" w:eastAsia="仿宋_GB2312;仿宋"/>
                <w:sz w:val="18"/>
                <w:szCs w:val="18"/>
              </w:rPr>
              <w:t>公里，区域道路较密集，交通便捷度一般。</w:t>
            </w:r>
          </w:p>
        </w:tc>
        <w:tc>
          <w:tcPr>
            <w:tcW w:w="1814" w:type="dxa"/>
            <w:tcBorders>
              <w:left w:val="single" w:sz="4" w:space="0" w:color="000000"/>
              <w:bottom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临近城市快速路——南四环中路，周边有多条公交线路经停，距地铁</w:t>
            </w:r>
            <w:r>
              <w:rPr>
                <w:rFonts w:eastAsia="仿宋_GB2312;仿宋" w:cs="宋体;SimSun" w:ascii="仿宋_GB2312;仿宋" w:hAnsi="仿宋_GB2312;仿宋"/>
                <w:sz w:val="18"/>
                <w:szCs w:val="18"/>
              </w:rPr>
              <w:t>8</w:t>
            </w:r>
            <w:r>
              <w:rPr>
                <w:rFonts w:ascii="仿宋_GB2312;仿宋" w:hAnsi="仿宋_GB2312;仿宋" w:cs="宋体;SimSun" w:eastAsia="仿宋_GB2312;仿宋"/>
                <w:sz w:val="18"/>
                <w:szCs w:val="18"/>
              </w:rPr>
              <w:t>号线（大红门南站）约</w:t>
            </w:r>
            <w:r>
              <w:rPr>
                <w:rFonts w:eastAsia="仿宋_GB2312;仿宋" w:cs="宋体;SimSun" w:ascii="仿宋_GB2312;仿宋" w:hAnsi="仿宋_GB2312;仿宋"/>
                <w:sz w:val="18"/>
                <w:szCs w:val="18"/>
              </w:rPr>
              <w:t>2</w:t>
            </w:r>
            <w:r>
              <w:rPr>
                <w:rFonts w:ascii="仿宋_GB2312;仿宋" w:hAnsi="仿宋_GB2312;仿宋" w:cs="宋体;SimSun" w:eastAsia="仿宋_GB2312;仿宋"/>
                <w:sz w:val="18"/>
                <w:szCs w:val="18"/>
              </w:rPr>
              <w:t>公里，区域道路较密集，交通便捷度一般。</w:t>
            </w:r>
          </w:p>
        </w:tc>
        <w:tc>
          <w:tcPr>
            <w:tcW w:w="1779" w:type="dxa"/>
            <w:tcBorders>
              <w:left w:val="single" w:sz="4" w:space="0" w:color="000000"/>
              <w:bottom w:val="single" w:sz="4" w:space="0" w:color="000000"/>
              <w:right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临近城市次干道——顺于路，周边有多条公交线路经停，区域道路较密集，距地铁</w:t>
            </w:r>
            <w:r>
              <w:rPr>
                <w:rFonts w:eastAsia="仿宋_GB2312;仿宋" w:cs="宋体;SimSun" w:ascii="仿宋_GB2312;仿宋" w:hAnsi="仿宋_GB2312;仿宋"/>
                <w:sz w:val="18"/>
                <w:szCs w:val="18"/>
              </w:rPr>
              <w:t>15</w:t>
            </w:r>
            <w:r>
              <w:rPr>
                <w:rFonts w:ascii="仿宋_GB2312;仿宋" w:hAnsi="仿宋_GB2312;仿宋" w:cs="宋体;SimSun" w:eastAsia="仿宋_GB2312;仿宋"/>
                <w:sz w:val="18"/>
                <w:szCs w:val="18"/>
              </w:rPr>
              <w:t>号线（南法信站）约</w:t>
            </w:r>
            <w:r>
              <w:rPr>
                <w:rFonts w:eastAsia="仿宋_GB2312;仿宋" w:cs="宋体;SimSun" w:ascii="仿宋_GB2312;仿宋" w:hAnsi="仿宋_GB2312;仿宋"/>
                <w:sz w:val="18"/>
                <w:szCs w:val="18"/>
              </w:rPr>
              <w:t>0.5</w:t>
            </w:r>
            <w:r>
              <w:rPr>
                <w:rFonts w:ascii="仿宋_GB2312;仿宋" w:hAnsi="仿宋_GB2312;仿宋" w:cs="宋体;SimSun" w:eastAsia="仿宋_GB2312;仿宋"/>
                <w:sz w:val="18"/>
                <w:szCs w:val="18"/>
              </w:rPr>
              <w:t>公里，交通便捷度较好。</w:t>
            </w:r>
          </w:p>
        </w:tc>
      </w:tr>
      <w:tr>
        <w:trPr>
          <w:cantSplit w:val="true"/>
        </w:trPr>
        <w:tc>
          <w:tcPr>
            <w:tcW w:w="537"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仿宋_GB2312;仿宋" w:hAnsi="仿宋_GB2312;仿宋" w:eastAsia="仿宋_GB2312;仿宋" w:cs="宋体;SimSun"/>
                <w:sz w:val="18"/>
                <w:szCs w:val="18"/>
              </w:rPr>
            </w:pPr>
            <w:r>
              <w:rPr>
                <w:rFonts w:eastAsia="仿宋_GB2312;仿宋" w:cs="宋体;SimSun" w:ascii="仿宋_GB2312;仿宋" w:hAnsi="仿宋_GB2312;仿宋"/>
                <w:sz w:val="18"/>
                <w:szCs w:val="18"/>
              </w:rPr>
            </w:r>
          </w:p>
        </w:tc>
        <w:tc>
          <w:tcPr>
            <w:tcW w:w="1552"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区域土地利用方向</w:t>
            </w:r>
          </w:p>
        </w:tc>
        <w:tc>
          <w:tcPr>
            <w:tcW w:w="1814" w:type="dxa"/>
            <w:tcBorders>
              <w:left w:val="single" w:sz="4" w:space="0" w:color="000000"/>
              <w:bottom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周边以产业用地为主，零星有其他用地，基本不影响本宗地，区域土地利用方向一般。</w:t>
            </w:r>
          </w:p>
        </w:tc>
        <w:tc>
          <w:tcPr>
            <w:tcW w:w="1814" w:type="dxa"/>
            <w:tcBorders>
              <w:left w:val="single" w:sz="4" w:space="0" w:color="000000"/>
              <w:bottom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周边以产业用地为主，零星有其他用地，基本不影响本宗地，区域土地利用方向一般。</w:t>
            </w:r>
          </w:p>
        </w:tc>
        <w:tc>
          <w:tcPr>
            <w:tcW w:w="1814" w:type="dxa"/>
            <w:tcBorders>
              <w:left w:val="single" w:sz="4" w:space="0" w:color="000000"/>
              <w:bottom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周边以产业用地为主，零星有其他用地，基本不影响本宗地，区域土地利用方向一般。</w:t>
            </w:r>
          </w:p>
        </w:tc>
        <w:tc>
          <w:tcPr>
            <w:tcW w:w="1779" w:type="dxa"/>
            <w:tcBorders>
              <w:left w:val="single" w:sz="4" w:space="0" w:color="000000"/>
              <w:bottom w:val="single" w:sz="4" w:space="0" w:color="000000"/>
              <w:right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周边以产业用地为主，零星有其他用地，基本不影响本宗地，区域土地利用方向一般。</w:t>
            </w:r>
          </w:p>
        </w:tc>
      </w:tr>
      <w:tr>
        <w:trPr>
          <w:cantSplit w:val="true"/>
        </w:trPr>
        <w:tc>
          <w:tcPr>
            <w:tcW w:w="537"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仿宋_GB2312;仿宋" w:hAnsi="仿宋_GB2312;仿宋" w:eastAsia="仿宋_GB2312;仿宋" w:cs="宋体;SimSun"/>
                <w:sz w:val="18"/>
                <w:szCs w:val="18"/>
              </w:rPr>
            </w:pPr>
            <w:r>
              <w:rPr>
                <w:rFonts w:eastAsia="仿宋_GB2312;仿宋" w:cs="宋体;SimSun" w:ascii="仿宋_GB2312;仿宋" w:hAnsi="仿宋_GB2312;仿宋"/>
                <w:sz w:val="18"/>
                <w:szCs w:val="18"/>
              </w:rPr>
            </w:r>
          </w:p>
        </w:tc>
        <w:tc>
          <w:tcPr>
            <w:tcW w:w="1552"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区域设施及基础设施水平</w:t>
            </w:r>
          </w:p>
        </w:tc>
        <w:tc>
          <w:tcPr>
            <w:tcW w:w="1814" w:type="dxa"/>
            <w:tcBorders>
              <w:left w:val="single" w:sz="4" w:space="0" w:color="000000"/>
              <w:bottom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所处区域目前已拥有较完善的基础设施配套保障，区内大部分区域基础设施配套目前可达到”七通”（即通路、通上水、通下水、通燃气、通电、通讯、通热）条件，保证程度好。</w:t>
            </w:r>
          </w:p>
        </w:tc>
        <w:tc>
          <w:tcPr>
            <w:tcW w:w="1814" w:type="dxa"/>
            <w:tcBorders>
              <w:left w:val="single" w:sz="4" w:space="0" w:color="000000"/>
              <w:bottom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所处区域目前已拥有较完善的基础设施配套保障，区内大部分区域基础设施配套目前可达到“七通”条件，公共服务设施配套完善，能够保证工作、生产需要，基础设施配套完善度好。</w:t>
            </w:r>
          </w:p>
        </w:tc>
        <w:tc>
          <w:tcPr>
            <w:tcW w:w="1814"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所处区域目前已拥有较完善的基础设施配套保障，区内大部分区域基础设施配套目前可达到“七通”条件，公共服务设施配套完善，能够保证工作、生产需要，基础设施配套完善度好。</w:t>
            </w:r>
          </w:p>
        </w:tc>
        <w:tc>
          <w:tcPr>
            <w:tcW w:w="1779" w:type="dxa"/>
            <w:tcBorders>
              <w:left w:val="single" w:sz="4" w:space="0" w:color="000000"/>
              <w:bottom w:val="single" w:sz="4" w:space="0" w:color="000000"/>
              <w:right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所处区域目前已拥有较完善的基础设施配套保障，区内大部分区域基础设施配套目前可达到”七通”（即通路、通上水、通下水、通燃气、通电、通讯、通热）条件，保证程度好。</w:t>
            </w:r>
          </w:p>
        </w:tc>
      </w:tr>
      <w:tr>
        <w:trPr>
          <w:cantSplit w:val="true"/>
        </w:trPr>
        <w:tc>
          <w:tcPr>
            <w:tcW w:w="537"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仿宋_GB2312;仿宋" w:hAnsi="仿宋_GB2312;仿宋" w:eastAsia="仿宋_GB2312;仿宋" w:cs="宋体;SimSun"/>
                <w:sz w:val="18"/>
                <w:szCs w:val="18"/>
              </w:rPr>
            </w:pPr>
            <w:r>
              <w:rPr>
                <w:rFonts w:eastAsia="仿宋_GB2312;仿宋" w:cs="宋体;SimSun" w:ascii="仿宋_GB2312;仿宋" w:hAnsi="仿宋_GB2312;仿宋"/>
                <w:sz w:val="18"/>
                <w:szCs w:val="18"/>
              </w:rPr>
            </w:r>
          </w:p>
        </w:tc>
        <w:tc>
          <w:tcPr>
            <w:tcW w:w="1552"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环境状况</w:t>
            </w:r>
          </w:p>
        </w:tc>
        <w:tc>
          <w:tcPr>
            <w:tcW w:w="1814"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估价对象所在区域内有东小口森林公园等绿地，该区域内无重污染型企业，绿化条件较好，卫生条件良好，整体环境状况良好。</w:t>
            </w:r>
          </w:p>
        </w:tc>
        <w:tc>
          <w:tcPr>
            <w:tcW w:w="1814" w:type="dxa"/>
            <w:tcBorders>
              <w:left w:val="single" w:sz="4" w:space="0" w:color="000000"/>
              <w:bottom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周边有安宁庄公园、中关村公园等绿地，该区域内无重污染型企业，绿化条件较好，卫生条件良好，整体环境状况良好。</w:t>
            </w:r>
          </w:p>
        </w:tc>
        <w:tc>
          <w:tcPr>
            <w:tcW w:w="1814" w:type="dxa"/>
            <w:tcBorders>
              <w:left w:val="single" w:sz="4" w:space="0" w:color="000000"/>
              <w:bottom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周边有石榴庄城市休闲公园、凉水河等自然景观；人文设施较少，综合评价环境状况一般。</w:t>
            </w:r>
          </w:p>
        </w:tc>
        <w:tc>
          <w:tcPr>
            <w:tcW w:w="1779" w:type="dxa"/>
            <w:tcBorders>
              <w:left w:val="single" w:sz="4" w:space="0" w:color="000000"/>
              <w:bottom w:val="single" w:sz="4" w:space="0" w:color="000000"/>
              <w:right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周边有小中河等自然景观；国家新闻出版广电总局研修学院等人文设施，综合评价环境状况一般。</w:t>
            </w:r>
          </w:p>
        </w:tc>
      </w:tr>
      <w:tr>
        <w:trPr>
          <w:cantSplit w:val="true"/>
        </w:trPr>
        <w:tc>
          <w:tcPr>
            <w:tcW w:w="537"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个别因素</w:t>
            </w:r>
          </w:p>
        </w:tc>
        <w:tc>
          <w:tcPr>
            <w:tcW w:w="1552"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宗地面积</w:t>
            </w:r>
          </w:p>
        </w:tc>
        <w:tc>
          <w:tcPr>
            <w:tcW w:w="1814"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eastAsia="仿宋_GB2312;仿宋" w:cs="宋体;SimSun" w:ascii="仿宋_GB2312;仿宋" w:hAnsi="仿宋_GB2312;仿宋"/>
                <w:sz w:val="18"/>
                <w:szCs w:val="18"/>
              </w:rPr>
              <w:t>10738.85</w:t>
            </w:r>
          </w:p>
        </w:tc>
        <w:tc>
          <w:tcPr>
            <w:tcW w:w="1814"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eastAsia="仿宋_GB2312;仿宋" w:cs="宋体;SimSun" w:ascii="仿宋_GB2312;仿宋" w:hAnsi="仿宋_GB2312;仿宋"/>
                <w:sz w:val="18"/>
                <w:szCs w:val="18"/>
              </w:rPr>
              <w:t>130380.53</w:t>
            </w:r>
          </w:p>
        </w:tc>
        <w:tc>
          <w:tcPr>
            <w:tcW w:w="1814"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eastAsia="仿宋_GB2312;仿宋" w:cs="宋体;SimSun" w:ascii="仿宋_GB2312;仿宋" w:hAnsi="仿宋_GB2312;仿宋"/>
                <w:sz w:val="18"/>
                <w:szCs w:val="18"/>
              </w:rPr>
              <w:t>30040.8</w:t>
            </w:r>
          </w:p>
        </w:tc>
        <w:tc>
          <w:tcPr>
            <w:tcW w:w="1779" w:type="dxa"/>
            <w:tcBorders>
              <w:left w:val="single" w:sz="4" w:space="0" w:color="000000"/>
              <w:bottom w:val="single" w:sz="4" w:space="0" w:color="000000"/>
              <w:right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eastAsia="仿宋_GB2312;仿宋" w:cs="宋体;SimSun" w:ascii="仿宋_GB2312;仿宋" w:hAnsi="仿宋_GB2312;仿宋"/>
                <w:sz w:val="18"/>
                <w:szCs w:val="18"/>
              </w:rPr>
              <w:t>22121.8</w:t>
            </w:r>
          </w:p>
        </w:tc>
      </w:tr>
      <w:tr>
        <w:trPr>
          <w:cantSplit w:val="true"/>
        </w:trPr>
        <w:tc>
          <w:tcPr>
            <w:tcW w:w="537"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仿宋_GB2312;仿宋" w:hAnsi="仿宋_GB2312;仿宋" w:eastAsia="仿宋_GB2312;仿宋" w:cs="宋体;SimSun"/>
                <w:sz w:val="18"/>
                <w:szCs w:val="18"/>
              </w:rPr>
            </w:pPr>
            <w:r>
              <w:rPr>
                <w:rFonts w:eastAsia="仿宋_GB2312;仿宋" w:cs="宋体;SimSun" w:ascii="仿宋_GB2312;仿宋" w:hAnsi="仿宋_GB2312;仿宋"/>
                <w:sz w:val="18"/>
                <w:szCs w:val="18"/>
              </w:rPr>
            </w:r>
          </w:p>
        </w:tc>
        <w:tc>
          <w:tcPr>
            <w:tcW w:w="1552"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宗地形状</w:t>
            </w:r>
          </w:p>
        </w:tc>
        <w:tc>
          <w:tcPr>
            <w:tcW w:w="1814" w:type="dxa"/>
            <w:tcBorders>
              <w:left w:val="single" w:sz="4" w:space="0" w:color="000000"/>
              <w:bottom w:val="single" w:sz="4" w:space="0" w:color="000000"/>
            </w:tcBorders>
            <w:shd w:fill="auto" w:val="clear"/>
            <w:vAlign w:val="center"/>
          </w:tcPr>
          <w:p>
            <w:pPr>
              <w:pStyle w:val="Normal"/>
              <w:spacing w:lineRule="exact" w:line="240"/>
              <w:rPr/>
            </w:pPr>
            <w:r>
              <w:rPr>
                <w:rFonts w:ascii="仿宋_GB2312;仿宋" w:hAnsi="仿宋_GB2312;仿宋" w:cs="宋体;SimSun" w:eastAsia="仿宋_GB2312;仿宋"/>
                <w:sz w:val="18"/>
                <w:szCs w:val="18"/>
              </w:rPr>
              <w:t>较不规则</w:t>
            </w:r>
          </w:p>
        </w:tc>
        <w:tc>
          <w:tcPr>
            <w:tcW w:w="1814"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较规则</w:t>
            </w:r>
          </w:p>
        </w:tc>
        <w:tc>
          <w:tcPr>
            <w:tcW w:w="1814"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较规则</w:t>
            </w:r>
          </w:p>
        </w:tc>
        <w:tc>
          <w:tcPr>
            <w:tcW w:w="1779" w:type="dxa"/>
            <w:tcBorders>
              <w:left w:val="single" w:sz="4" w:space="0" w:color="000000"/>
              <w:bottom w:val="single" w:sz="4" w:space="0" w:color="000000"/>
              <w:right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较规则</w:t>
            </w:r>
          </w:p>
        </w:tc>
      </w:tr>
      <w:tr>
        <w:trPr>
          <w:cantSplit w:val="true"/>
        </w:trPr>
        <w:tc>
          <w:tcPr>
            <w:tcW w:w="537"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仿宋_GB2312;仿宋" w:hAnsi="仿宋_GB2312;仿宋" w:eastAsia="仿宋_GB2312;仿宋" w:cs="宋体;SimSun"/>
                <w:sz w:val="18"/>
                <w:szCs w:val="18"/>
              </w:rPr>
            </w:pPr>
            <w:r>
              <w:rPr>
                <w:rFonts w:eastAsia="仿宋_GB2312;仿宋" w:cs="宋体;SimSun" w:ascii="仿宋_GB2312;仿宋" w:hAnsi="仿宋_GB2312;仿宋"/>
                <w:sz w:val="18"/>
                <w:szCs w:val="18"/>
              </w:rPr>
            </w:r>
          </w:p>
        </w:tc>
        <w:tc>
          <w:tcPr>
            <w:tcW w:w="1552"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宗地容积率</w:t>
            </w:r>
          </w:p>
        </w:tc>
        <w:tc>
          <w:tcPr>
            <w:tcW w:w="1814"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实际小于</w:t>
            </w:r>
            <w:r>
              <w:rPr>
                <w:rFonts w:eastAsia="仿宋_GB2312;仿宋" w:cs="宋体;SimSun" w:ascii="仿宋_GB2312;仿宋" w:hAnsi="仿宋_GB2312;仿宋"/>
                <w:sz w:val="18"/>
                <w:szCs w:val="18"/>
              </w:rPr>
              <w:t>1</w:t>
            </w:r>
            <w:r>
              <w:rPr>
                <w:rFonts w:ascii="仿宋_GB2312;仿宋" w:hAnsi="仿宋_GB2312;仿宋" w:cs="宋体;SimSun" w:eastAsia="仿宋_GB2312;仿宋"/>
                <w:sz w:val="18"/>
                <w:szCs w:val="18"/>
              </w:rPr>
              <w:t>，设定为</w:t>
            </w:r>
            <w:r>
              <w:rPr>
                <w:rFonts w:eastAsia="仿宋_GB2312;仿宋" w:cs="宋体;SimSun" w:ascii="仿宋_GB2312;仿宋" w:hAnsi="仿宋_GB2312;仿宋"/>
                <w:sz w:val="18"/>
                <w:szCs w:val="18"/>
              </w:rPr>
              <w:t>1</w:t>
            </w:r>
          </w:p>
        </w:tc>
        <w:tc>
          <w:tcPr>
            <w:tcW w:w="1814"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实际小于</w:t>
            </w:r>
            <w:r>
              <w:rPr>
                <w:rFonts w:eastAsia="仿宋_GB2312;仿宋" w:cs="宋体;SimSun" w:ascii="仿宋_GB2312;仿宋" w:hAnsi="仿宋_GB2312;仿宋"/>
                <w:sz w:val="18"/>
                <w:szCs w:val="18"/>
              </w:rPr>
              <w:t>1</w:t>
            </w:r>
            <w:r>
              <w:rPr>
                <w:rFonts w:ascii="仿宋_GB2312;仿宋" w:hAnsi="仿宋_GB2312;仿宋" w:cs="宋体;SimSun" w:eastAsia="仿宋_GB2312;仿宋"/>
                <w:sz w:val="18"/>
                <w:szCs w:val="18"/>
              </w:rPr>
              <w:t>，设定为</w:t>
            </w:r>
            <w:r>
              <w:rPr>
                <w:rFonts w:eastAsia="仿宋_GB2312;仿宋" w:cs="宋体;SimSun" w:ascii="仿宋_GB2312;仿宋" w:hAnsi="仿宋_GB2312;仿宋"/>
                <w:sz w:val="18"/>
                <w:szCs w:val="18"/>
              </w:rPr>
              <w:t>1</w:t>
            </w:r>
          </w:p>
        </w:tc>
        <w:tc>
          <w:tcPr>
            <w:tcW w:w="1814" w:type="dxa"/>
            <w:tcBorders>
              <w:left w:val="single" w:sz="4" w:space="0" w:color="000000"/>
              <w:bottom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实际小于</w:t>
            </w:r>
            <w:r>
              <w:rPr>
                <w:rFonts w:eastAsia="仿宋_GB2312;仿宋" w:cs="宋体;SimSun" w:ascii="仿宋_GB2312;仿宋" w:hAnsi="仿宋_GB2312;仿宋"/>
                <w:sz w:val="18"/>
                <w:szCs w:val="18"/>
              </w:rPr>
              <w:t>1</w:t>
            </w:r>
            <w:r>
              <w:rPr>
                <w:rFonts w:ascii="仿宋_GB2312;仿宋" w:hAnsi="仿宋_GB2312;仿宋" w:cs="宋体;SimSun" w:eastAsia="仿宋_GB2312;仿宋"/>
                <w:sz w:val="18"/>
                <w:szCs w:val="18"/>
              </w:rPr>
              <w:t>，设定为</w:t>
            </w:r>
            <w:r>
              <w:rPr>
                <w:rFonts w:eastAsia="仿宋_GB2312;仿宋" w:cs="宋体;SimSun" w:ascii="仿宋_GB2312;仿宋" w:hAnsi="仿宋_GB2312;仿宋"/>
                <w:sz w:val="18"/>
                <w:szCs w:val="18"/>
              </w:rPr>
              <w:t>1</w:t>
            </w:r>
          </w:p>
        </w:tc>
        <w:tc>
          <w:tcPr>
            <w:tcW w:w="1779" w:type="dxa"/>
            <w:tcBorders>
              <w:left w:val="single" w:sz="4" w:space="0" w:color="000000"/>
              <w:bottom w:val="single" w:sz="4" w:space="0" w:color="000000"/>
              <w:right w:val="single" w:sz="4" w:space="0" w:color="000000"/>
            </w:tcBorders>
            <w:shd w:fill="auto" w:val="clear"/>
            <w:vAlign w:val="center"/>
          </w:tcPr>
          <w:p>
            <w:pPr>
              <w:pStyle w:val="Normal"/>
              <w:spacing w:lineRule="exact" w:line="240"/>
              <w:rPr>
                <w:rFonts w:ascii="仿宋_GB2312;仿宋" w:hAnsi="仿宋_GB2312;仿宋" w:eastAsia="仿宋_GB2312;仿宋" w:cs="宋体;SimSun"/>
                <w:sz w:val="18"/>
                <w:szCs w:val="18"/>
              </w:rPr>
            </w:pPr>
            <w:r>
              <w:rPr>
                <w:rFonts w:ascii="仿宋_GB2312;仿宋" w:hAnsi="仿宋_GB2312;仿宋" w:cs="宋体;SimSun" w:eastAsia="仿宋_GB2312;仿宋"/>
                <w:sz w:val="18"/>
                <w:szCs w:val="18"/>
              </w:rPr>
              <w:t>实际小于</w:t>
            </w:r>
            <w:r>
              <w:rPr>
                <w:rFonts w:eastAsia="仿宋_GB2312;仿宋" w:cs="宋体;SimSun" w:ascii="仿宋_GB2312;仿宋" w:hAnsi="仿宋_GB2312;仿宋"/>
                <w:sz w:val="18"/>
                <w:szCs w:val="18"/>
              </w:rPr>
              <w:t>1</w:t>
            </w:r>
            <w:r>
              <w:rPr>
                <w:rFonts w:ascii="仿宋_GB2312;仿宋" w:hAnsi="仿宋_GB2312;仿宋" w:cs="宋体;SimSun" w:eastAsia="仿宋_GB2312;仿宋"/>
                <w:sz w:val="18"/>
                <w:szCs w:val="18"/>
              </w:rPr>
              <w:t>，设定为</w:t>
            </w:r>
            <w:r>
              <w:rPr>
                <w:rFonts w:eastAsia="仿宋_GB2312;仿宋" w:cs="宋体;SimSun" w:ascii="仿宋_GB2312;仿宋" w:hAnsi="仿宋_GB2312;仿宋"/>
                <w:sz w:val="18"/>
                <w:szCs w:val="18"/>
              </w:rPr>
              <w:t>1</w:t>
            </w:r>
          </w:p>
        </w:tc>
      </w:tr>
    </w:tbl>
    <w:p>
      <w:pPr>
        <w:pStyle w:val="Normal"/>
        <w:spacing w:lineRule="auto" w:line="360"/>
        <w:ind w:firstLine="560"/>
        <w:jc w:val="both"/>
        <w:rPr/>
      </w:pPr>
      <w:r>
        <w:rPr>
          <w:rFonts w:ascii="Arial" w:hAnsi="Arial" w:cs="Arial" w:eastAsia="仿宋_GB2312;仿宋"/>
          <w:sz w:val="28"/>
          <w:szCs w:val="28"/>
        </w:rPr>
        <w:t>（</w:t>
      </w:r>
      <w:r>
        <w:rPr>
          <w:rFonts w:eastAsia="仿宋_GB2312;仿宋" w:cs="Arial" w:ascii="Arial" w:hAnsi="Arial"/>
          <w:sz w:val="28"/>
          <w:szCs w:val="28"/>
        </w:rPr>
        <w:t>3</w:t>
      </w:r>
      <w:r>
        <w:rPr>
          <w:rFonts w:ascii="Arial" w:hAnsi="Arial" w:cs="Arial" w:eastAsia="仿宋_GB2312;仿宋"/>
          <w:sz w:val="28"/>
          <w:szCs w:val="28"/>
        </w:rPr>
        <w:t>）</w:t>
      </w:r>
      <w:r>
        <w:rPr>
          <w:rFonts w:ascii="仿宋_GB2312;仿宋" w:hAnsi="仿宋_GB2312;仿宋" w:eastAsia="仿宋_GB2312;仿宋"/>
          <w:sz w:val="28"/>
          <w:szCs w:val="28"/>
        </w:rPr>
        <w:t>比较因素选择</w:t>
      </w:r>
    </w:p>
    <w:p>
      <w:pPr>
        <w:pStyle w:val="Normal"/>
        <w:spacing w:lineRule="auto" w:line="360"/>
        <w:ind w:firstLine="560"/>
        <w:jc w:val="both"/>
        <w:rPr>
          <w:rFonts w:ascii="仿宋_GB2312;仿宋" w:hAnsi="仿宋_GB2312;仿宋" w:eastAsia="仿宋_GB2312;仿宋" w:cs="Arial"/>
          <w:sz w:val="28"/>
          <w:szCs w:val="28"/>
        </w:rPr>
      </w:pPr>
      <w:r>
        <w:rPr>
          <w:rFonts w:ascii="仿宋_GB2312;仿宋" w:hAnsi="仿宋_GB2312;仿宋" w:cs="Arial" w:eastAsia="仿宋_GB2312;仿宋"/>
          <w:sz w:val="28"/>
          <w:szCs w:val="28"/>
        </w:rPr>
        <w:t>依据估价对象的区域条件及个别条件</w:t>
      </w:r>
      <w:r>
        <w:rPr>
          <w:rFonts w:eastAsia="仿宋_GB2312;仿宋" w:cs="Arial" w:ascii="仿宋_GB2312;仿宋" w:hAnsi="仿宋_GB2312;仿宋"/>
          <w:sz w:val="28"/>
          <w:szCs w:val="28"/>
        </w:rPr>
        <w:t>,</w:t>
      </w:r>
      <w:r>
        <w:rPr>
          <w:rFonts w:ascii="仿宋_GB2312;仿宋" w:hAnsi="仿宋_GB2312;仿宋" w:cs="Arial" w:eastAsia="仿宋_GB2312;仿宋"/>
          <w:sz w:val="28"/>
          <w:szCs w:val="28"/>
        </w:rPr>
        <w:t>采用市场比较法时选择的比较因素主要有</w:t>
      </w:r>
      <w:r>
        <w:rPr>
          <w:rFonts w:eastAsia="仿宋_GB2312;仿宋" w:cs="Arial" w:ascii="仿宋_GB2312;仿宋" w:hAnsi="仿宋_GB2312;仿宋"/>
          <w:sz w:val="28"/>
          <w:szCs w:val="28"/>
        </w:rPr>
        <w:t>:</w:t>
      </w:r>
      <w:r>
        <w:rPr>
          <w:rFonts w:ascii="仿宋_GB2312;仿宋" w:hAnsi="仿宋_GB2312;仿宋" w:cs="Arial" w:eastAsia="仿宋_GB2312;仿宋"/>
          <w:sz w:val="28"/>
          <w:szCs w:val="28"/>
        </w:rPr>
        <w:t>交易时间、交易情况、土地用途、土地级别、区域因素、个别因素。</w:t>
      </w:r>
    </w:p>
    <w:p>
      <w:pPr>
        <w:pStyle w:val="Normal"/>
        <w:snapToGrid w:val="false"/>
        <w:spacing w:lineRule="auto" w:line="360"/>
        <w:ind w:firstLine="560"/>
        <w:jc w:val="both"/>
        <w:rPr/>
      </w:pPr>
      <w:r>
        <w:rPr>
          <w:rFonts w:eastAsia="仿宋_GB2312;仿宋" w:cs="Arial" w:ascii="Arial" w:hAnsi="Arial"/>
          <w:sz w:val="28"/>
          <w:szCs w:val="28"/>
        </w:rPr>
        <w:t>1</w:t>
      </w:r>
      <w:r>
        <w:rPr>
          <w:rFonts w:ascii="Arial" w:hAnsi="Arial" w:cs="Arial" w:eastAsia="仿宋_GB2312;仿宋"/>
          <w:sz w:val="28"/>
          <w:szCs w:val="28"/>
        </w:rPr>
        <w:t>）</w:t>
      </w:r>
      <w:r>
        <w:rPr>
          <w:rFonts w:ascii="仿宋_GB2312;仿宋" w:hAnsi="仿宋_GB2312;仿宋" w:cs="Arial" w:eastAsia="仿宋_GB2312;仿宋"/>
          <w:sz w:val="28"/>
          <w:szCs w:val="28"/>
        </w:rPr>
        <w:t xml:space="preserve">交易时间因素：指由于时间的因素房地产交易价格会不同； </w:t>
      </w:r>
    </w:p>
    <w:p>
      <w:pPr>
        <w:pStyle w:val="Normal"/>
        <w:snapToGrid w:val="false"/>
        <w:spacing w:lineRule="auto" w:line="360"/>
        <w:ind w:firstLine="560"/>
        <w:jc w:val="both"/>
        <w:rPr/>
      </w:pPr>
      <w:r>
        <w:rPr>
          <w:rFonts w:eastAsia="仿宋_GB2312;仿宋" w:cs="Arial" w:ascii="Arial" w:hAnsi="Arial"/>
          <w:sz w:val="28"/>
          <w:szCs w:val="28"/>
        </w:rPr>
        <w:t>2</w:t>
      </w:r>
      <w:r>
        <w:rPr>
          <w:rFonts w:ascii="Arial" w:hAnsi="Arial" w:cs="Arial" w:eastAsia="仿宋_GB2312;仿宋"/>
          <w:sz w:val="28"/>
          <w:szCs w:val="28"/>
        </w:rPr>
        <w:t>）</w:t>
      </w:r>
      <w:r>
        <w:rPr>
          <w:rFonts w:ascii="仿宋_GB2312;仿宋" w:hAnsi="仿宋_GB2312;仿宋" w:cs="Arial" w:eastAsia="仿宋_GB2312;仿宋"/>
          <w:sz w:val="28"/>
          <w:szCs w:val="28"/>
        </w:rPr>
        <w:t xml:space="preserve">交易情况因素：指房地产交易中交易双方的公开、公平及客观程度等； </w:t>
      </w:r>
    </w:p>
    <w:p>
      <w:pPr>
        <w:pStyle w:val="Normal"/>
        <w:snapToGrid w:val="false"/>
        <w:spacing w:lineRule="auto" w:line="360"/>
        <w:ind w:firstLine="560"/>
        <w:jc w:val="both"/>
        <w:rPr/>
      </w:pPr>
      <w:r>
        <w:rPr>
          <w:rFonts w:eastAsia="仿宋_GB2312;仿宋" w:cs="Arial" w:ascii="Arial" w:hAnsi="Arial"/>
          <w:sz w:val="28"/>
          <w:szCs w:val="28"/>
        </w:rPr>
        <w:t>3</w:t>
      </w:r>
      <w:r>
        <w:rPr>
          <w:rFonts w:ascii="Arial" w:hAnsi="Arial" w:cs="Arial" w:eastAsia="仿宋_GB2312;仿宋"/>
          <w:sz w:val="28"/>
          <w:szCs w:val="28"/>
        </w:rPr>
        <w:t>）</w:t>
      </w:r>
      <w:r>
        <w:rPr>
          <w:rFonts w:ascii="仿宋_GB2312;仿宋" w:hAnsi="仿宋_GB2312;仿宋" w:cs="Arial" w:eastAsia="仿宋_GB2312;仿宋"/>
          <w:sz w:val="28"/>
          <w:szCs w:val="28"/>
        </w:rPr>
        <w:t>土地用途：指土地的合法规划用途；</w:t>
      </w:r>
    </w:p>
    <w:p>
      <w:pPr>
        <w:pStyle w:val="Normal"/>
        <w:snapToGrid w:val="false"/>
        <w:spacing w:lineRule="auto" w:line="360"/>
        <w:ind w:firstLine="560"/>
        <w:jc w:val="both"/>
        <w:rPr/>
      </w:pPr>
      <w:r>
        <w:rPr>
          <w:rFonts w:eastAsia="仿宋_GB2312;仿宋" w:cs="Arial" w:ascii="Arial" w:hAnsi="Arial"/>
          <w:sz w:val="28"/>
          <w:szCs w:val="28"/>
        </w:rPr>
        <w:t>4</w:t>
      </w:r>
      <w:r>
        <w:rPr>
          <w:rFonts w:ascii="Arial" w:hAnsi="Arial" w:cs="Arial" w:eastAsia="仿宋_GB2312;仿宋"/>
          <w:sz w:val="28"/>
          <w:szCs w:val="28"/>
        </w:rPr>
        <w:t>）</w:t>
      </w:r>
      <w:r>
        <w:rPr>
          <w:rFonts w:ascii="仿宋_GB2312;仿宋" w:hAnsi="仿宋_GB2312;仿宋" w:cs="Arial" w:eastAsia="仿宋_GB2312;仿宋"/>
          <w:sz w:val="28"/>
          <w:szCs w:val="28"/>
        </w:rPr>
        <w:t>土地级别：指土地所在区域的土地级别等级；</w:t>
      </w:r>
    </w:p>
    <w:p>
      <w:pPr>
        <w:pStyle w:val="Normal"/>
        <w:snapToGrid w:val="false"/>
        <w:spacing w:lineRule="auto" w:line="360"/>
        <w:ind w:firstLine="560"/>
        <w:jc w:val="both"/>
        <w:rPr/>
      </w:pPr>
      <w:r>
        <w:rPr>
          <w:rFonts w:eastAsia="仿宋_GB2312;仿宋" w:cs="Arial" w:ascii="Arial" w:hAnsi="Arial"/>
          <w:sz w:val="28"/>
          <w:szCs w:val="28"/>
        </w:rPr>
        <w:t>5</w:t>
      </w:r>
      <w:r>
        <w:rPr>
          <w:rFonts w:ascii="Arial" w:hAnsi="Arial" w:cs="Arial" w:eastAsia="仿宋_GB2312;仿宋"/>
          <w:sz w:val="28"/>
          <w:szCs w:val="28"/>
        </w:rPr>
        <w:t>）</w:t>
      </w:r>
      <w:r>
        <w:rPr>
          <w:rFonts w:ascii="仿宋_GB2312;仿宋" w:hAnsi="仿宋_GB2312;仿宋" w:cs="Arial" w:eastAsia="仿宋_GB2312;仿宋"/>
          <w:sz w:val="28"/>
          <w:szCs w:val="28"/>
        </w:rPr>
        <w:t>区域</w:t>
      </w:r>
      <w:r>
        <w:rPr>
          <w:rFonts w:ascii="Arial" w:hAnsi="Arial" w:cs="Arial" w:eastAsia="仿宋_GB2312;仿宋"/>
          <w:sz w:val="28"/>
          <w:szCs w:val="28"/>
        </w:rPr>
        <w:t>因素：产业聚集度、交通便捷度、区域土地利用方向、区域设施及基础设施水平、环境状况；</w:t>
      </w:r>
    </w:p>
    <w:p>
      <w:pPr>
        <w:pStyle w:val="Normal"/>
        <w:snapToGrid w:val="false"/>
        <w:spacing w:lineRule="auto" w:line="360"/>
        <w:ind w:firstLine="560"/>
        <w:jc w:val="both"/>
        <w:rPr>
          <w:rFonts w:ascii="Arial" w:hAnsi="Arial" w:eastAsia="仿宋_GB2312;仿宋" w:cs="Arial"/>
          <w:sz w:val="28"/>
          <w:szCs w:val="28"/>
        </w:rPr>
      </w:pPr>
      <w:r>
        <w:rPr>
          <w:rFonts w:eastAsia="仿宋_GB2312;仿宋" w:cs="Arial" w:ascii="Arial" w:hAnsi="Arial"/>
          <w:sz w:val="28"/>
          <w:szCs w:val="28"/>
        </w:rPr>
        <w:t>6</w:t>
      </w:r>
      <w:r>
        <w:rPr>
          <w:rFonts w:ascii="Arial" w:hAnsi="Arial" w:cs="Arial" w:eastAsia="仿宋_GB2312;仿宋"/>
          <w:sz w:val="28"/>
          <w:szCs w:val="28"/>
        </w:rPr>
        <w:t>）个别因素：宗地面积、宗地形状、宗地容积率。</w:t>
      </w:r>
    </w:p>
    <w:p>
      <w:pPr>
        <w:pStyle w:val="Normal"/>
        <w:snapToGrid w:val="false"/>
        <w:spacing w:lineRule="auto" w:line="360"/>
        <w:ind w:firstLine="560"/>
        <w:jc w:val="both"/>
        <w:rPr>
          <w:rFonts w:ascii="Arial" w:hAnsi="Arial" w:eastAsia="仿宋_GB2312;仿宋" w:cs="Arial"/>
          <w:sz w:val="28"/>
          <w:szCs w:val="28"/>
        </w:rPr>
      </w:pPr>
      <w:r>
        <w:rPr>
          <w:rFonts w:ascii="Arial" w:hAnsi="Arial" w:cs="Arial" w:eastAsia="仿宋_GB2312;仿宋"/>
          <w:sz w:val="28"/>
          <w:szCs w:val="28"/>
        </w:rPr>
        <w:t>（</w:t>
      </w:r>
      <w:r>
        <w:rPr>
          <w:rFonts w:eastAsia="仿宋_GB2312;仿宋" w:cs="Arial" w:ascii="Arial" w:hAnsi="Arial"/>
          <w:sz w:val="28"/>
          <w:szCs w:val="28"/>
        </w:rPr>
        <w:t>4</w:t>
      </w:r>
      <w:r>
        <w:rPr>
          <w:rFonts w:ascii="Arial" w:hAnsi="Arial" w:cs="Arial" w:eastAsia="仿宋_GB2312;仿宋"/>
          <w:sz w:val="28"/>
          <w:szCs w:val="28"/>
        </w:rPr>
        <w:t>）比较因素</w:t>
      </w:r>
      <w:r>
        <w:rPr>
          <w:rFonts w:ascii="Arial" w:hAnsi="Arial" w:cs="Arial" w:eastAsia="仿宋_GB2312;仿宋"/>
          <w:spacing w:val="-20"/>
          <w:sz w:val="28"/>
          <w:szCs w:val="28"/>
        </w:rPr>
        <w:t>条件说明</w:t>
      </w:r>
    </w:p>
    <w:p>
      <w:pPr>
        <w:pStyle w:val="Normal"/>
        <w:autoSpaceDE w:val="false"/>
        <w:spacing w:lineRule="auto" w:line="360"/>
        <w:ind w:firstLine="560"/>
        <w:jc w:val="both"/>
        <w:rPr>
          <w:rFonts w:ascii="Arial" w:hAnsi="Arial" w:eastAsia="仿宋_GB2312;仿宋" w:cs="Arial"/>
          <w:sz w:val="28"/>
          <w:szCs w:val="28"/>
        </w:rPr>
      </w:pPr>
      <w:r>
        <w:rPr>
          <w:rFonts w:ascii="Arial" w:hAnsi="Arial" w:cs="Arial" w:eastAsia="仿宋_GB2312;仿宋"/>
          <w:sz w:val="28"/>
          <w:szCs w:val="28"/>
        </w:rPr>
        <w:t>将以上实例与待估宗地进行分析比较，并作具体的因素条件说明。各因素条件指数确定说明如下：</w:t>
      </w:r>
    </w:p>
    <w:p>
      <w:pPr>
        <w:pStyle w:val="Normal"/>
        <w:autoSpaceDE w:val="false"/>
        <w:spacing w:lineRule="auto" w:line="360"/>
        <w:ind w:firstLine="560"/>
        <w:jc w:val="both"/>
        <w:rPr>
          <w:rFonts w:ascii="Arial" w:hAnsi="Arial" w:eastAsia="仿宋_GB2312;仿宋" w:cs="Arial"/>
          <w:sz w:val="28"/>
          <w:szCs w:val="28"/>
        </w:rPr>
      </w:pPr>
      <w:r>
        <w:rPr>
          <w:rFonts w:eastAsia="仿宋_GB2312;仿宋" w:cs="Arial" w:ascii="Arial" w:hAnsi="Arial"/>
          <w:sz w:val="28"/>
          <w:szCs w:val="28"/>
        </w:rPr>
        <w:t>1</w:t>
      </w:r>
      <w:r>
        <w:rPr>
          <w:rFonts w:ascii="Arial" w:hAnsi="Arial" w:cs="Arial" w:eastAsia="仿宋_GB2312;仿宋"/>
          <w:sz w:val="28"/>
          <w:szCs w:val="28"/>
        </w:rPr>
        <w:t>）交易日期价格指数的确定</w:t>
      </w:r>
    </w:p>
    <w:p>
      <w:pPr>
        <w:pStyle w:val="Normal"/>
        <w:spacing w:lineRule="auto" w:line="360"/>
        <w:ind w:firstLine="560"/>
        <w:jc w:val="both"/>
        <w:rPr>
          <w:rFonts w:cs="Arial"/>
        </w:rPr>
      </w:pPr>
      <w:r>
        <w:rPr>
          <w:rFonts w:ascii="Arial" w:hAnsi="Arial" w:cs="Arial" w:eastAsia="仿宋_GB2312;仿宋"/>
          <w:sz w:val="28"/>
          <w:szCs w:val="28"/>
        </w:rPr>
        <w:t>根据查阅北京市规划和自然资源委员会网站公布的数据，北京市工业用地地价水平自</w:t>
      </w:r>
      <w:r>
        <w:rPr>
          <w:rFonts w:eastAsia="仿宋_GB2312;仿宋" w:cs="Arial" w:ascii="Arial" w:hAnsi="Arial"/>
          <w:sz w:val="28"/>
          <w:szCs w:val="28"/>
        </w:rPr>
        <w:t>2018</w:t>
      </w:r>
      <w:r>
        <w:rPr>
          <w:rFonts w:ascii="Arial" w:hAnsi="Arial" w:cs="Arial" w:eastAsia="仿宋_GB2312;仿宋"/>
          <w:sz w:val="28"/>
          <w:szCs w:val="28"/>
        </w:rPr>
        <w:t>年</w:t>
      </w:r>
      <w:r>
        <w:rPr>
          <w:rFonts w:eastAsia="仿宋_GB2312;仿宋" w:cs="Arial" w:ascii="Arial" w:hAnsi="Arial"/>
          <w:sz w:val="28"/>
          <w:szCs w:val="28"/>
        </w:rPr>
        <w:t>3</w:t>
      </w:r>
      <w:r>
        <w:rPr>
          <w:rFonts w:ascii="Arial" w:hAnsi="Arial" w:cs="Arial" w:eastAsia="仿宋_GB2312;仿宋"/>
          <w:sz w:val="28"/>
          <w:szCs w:val="28"/>
        </w:rPr>
        <w:t>季度至</w:t>
      </w:r>
      <w:r>
        <w:rPr>
          <w:rFonts w:eastAsia="仿宋_GB2312;仿宋" w:cs="Arial" w:ascii="Arial" w:hAnsi="Arial"/>
          <w:sz w:val="28"/>
          <w:szCs w:val="28"/>
        </w:rPr>
        <w:t>2023</w:t>
      </w:r>
      <w:r>
        <w:rPr>
          <w:rFonts w:ascii="Arial" w:hAnsi="Arial" w:cs="Arial" w:eastAsia="仿宋_GB2312;仿宋"/>
          <w:sz w:val="28"/>
          <w:szCs w:val="28"/>
        </w:rPr>
        <w:t>年</w:t>
      </w:r>
      <w:r>
        <w:rPr>
          <w:rFonts w:eastAsia="仿宋_GB2312;仿宋" w:cs="Arial" w:ascii="Arial" w:hAnsi="Arial"/>
          <w:sz w:val="28"/>
          <w:szCs w:val="28"/>
        </w:rPr>
        <w:t>3</w:t>
      </w:r>
      <w:r>
        <w:rPr>
          <w:rFonts w:ascii="Arial" w:hAnsi="Arial" w:cs="Arial" w:eastAsia="仿宋_GB2312;仿宋"/>
          <w:sz w:val="28"/>
          <w:szCs w:val="28"/>
        </w:rPr>
        <w:t>季度的增长率况如下表所示：</w:t>
      </w:r>
    </w:p>
    <w:tbl>
      <w:tblPr>
        <w:tblW w:w="9305" w:type="dxa"/>
        <w:jc w:val="center"/>
        <w:tblInd w:w="0" w:type="dxa"/>
        <w:tblCellMar>
          <w:top w:w="57" w:type="dxa"/>
          <w:left w:w="57" w:type="dxa"/>
          <w:bottom w:w="57" w:type="dxa"/>
          <w:right w:w="57" w:type="dxa"/>
        </w:tblCellMar>
      </w:tblPr>
      <w:tblGrid>
        <w:gridCol w:w="1860"/>
        <w:gridCol w:w="1860"/>
        <w:gridCol w:w="1860"/>
        <w:gridCol w:w="1860"/>
        <w:gridCol w:w="1865"/>
      </w:tblGrid>
      <w:tr>
        <w:trPr>
          <w:cantSplit w:val="true"/>
        </w:trPr>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ind w:firstLine="810"/>
              <w:jc w:val="right"/>
              <w:rPr>
                <w:rFonts w:ascii="Arial" w:hAnsi="Arial" w:eastAsia="华文细黑" w:cs="Arial"/>
                <w:sz w:val="18"/>
              </w:rPr>
            </w:pPr>
            <w:r>
              <w:rPr>
                <w:rFonts w:ascii="Arial" w:hAnsi="Arial" w:cs="Arial" w:eastAsia="华文细黑"/>
                <w:sz w:val="18"/>
              </w:rPr>
              <w:t>季度</w:t>
            </w:r>
          </w:p>
          <w:p>
            <w:pPr>
              <w:pStyle w:val="Normal"/>
              <w:tabs>
                <w:tab w:val="clear" w:pos="420"/>
                <w:tab w:val="left" w:pos="2160" w:leader="none"/>
              </w:tabs>
              <w:spacing w:lineRule="exact" w:line="240"/>
              <w:rPr>
                <w:rFonts w:ascii="Arial" w:hAnsi="Arial" w:eastAsia="华文细黑" w:cs="Arial"/>
                <w:sz w:val="18"/>
              </w:rPr>
            </w:pPr>
            <w:r>
              <w:rPr>
                <w:rFonts w:ascii="Arial" w:hAnsi="Arial" w:cs="Arial" w:eastAsia="华文细黑"/>
                <w:sz w:val="18"/>
              </w:rPr>
              <w:t>年度</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1</w:t>
            </w:r>
            <w:r>
              <w:rPr>
                <w:rFonts w:ascii="Arial" w:hAnsi="Arial" w:cs="Arial" w:eastAsia="华文细黑"/>
                <w:sz w:val="18"/>
              </w:rPr>
              <w:t>季度</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2</w:t>
            </w:r>
            <w:r>
              <w:rPr>
                <w:rFonts w:ascii="Arial" w:hAnsi="Arial" w:cs="Arial" w:eastAsia="华文细黑"/>
                <w:sz w:val="18"/>
              </w:rPr>
              <w:t>季度</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3</w:t>
            </w:r>
            <w:r>
              <w:rPr>
                <w:rFonts w:ascii="Arial" w:hAnsi="Arial" w:cs="Arial" w:eastAsia="华文细黑"/>
                <w:sz w:val="18"/>
              </w:rPr>
              <w:t>季度</w:t>
            </w:r>
          </w:p>
        </w:tc>
        <w:tc>
          <w:tcPr>
            <w:tcW w:w="186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4</w:t>
            </w:r>
            <w:r>
              <w:rPr>
                <w:rFonts w:ascii="Arial" w:hAnsi="Arial" w:cs="Arial" w:eastAsia="华文细黑"/>
                <w:sz w:val="18"/>
              </w:rPr>
              <w:t>季度</w:t>
            </w:r>
          </w:p>
        </w:tc>
      </w:tr>
      <w:tr>
        <w:trPr>
          <w:cantSplit w:val="true"/>
        </w:trPr>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2</w:t>
            </w:r>
            <w:r>
              <w:rPr>
                <w:rFonts w:eastAsia="华文细黑" w:cs="Arial" w:ascii="Arial" w:hAnsi="Arial"/>
                <w:sz w:val="18"/>
              </w:rPr>
              <w:t>018</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ascii="华文细黑" w:hAnsi="华文细黑" w:cs="华文细黑" w:eastAsia="华文细黑"/>
                <w:sz w:val="18"/>
              </w:rPr>
              <w:t>——</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ascii="华文细黑" w:hAnsi="华文细黑" w:cs="华文细黑" w:eastAsia="华文细黑"/>
                <w:sz w:val="18"/>
              </w:rPr>
              <w:t>——</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1</w:t>
            </w:r>
            <w:r>
              <w:rPr>
                <w:rFonts w:eastAsia="华文细黑" w:cs="Arial" w:ascii="Arial" w:hAnsi="Arial"/>
                <w:sz w:val="18"/>
              </w:rPr>
              <w:t>.74%</w:t>
            </w:r>
          </w:p>
        </w:tc>
        <w:tc>
          <w:tcPr>
            <w:tcW w:w="186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1</w:t>
            </w:r>
            <w:r>
              <w:rPr>
                <w:rFonts w:eastAsia="华文细黑" w:cs="Arial" w:ascii="Arial" w:hAnsi="Arial"/>
                <w:sz w:val="18"/>
              </w:rPr>
              <w:t>.29%</w:t>
            </w:r>
          </w:p>
        </w:tc>
      </w:tr>
      <w:tr>
        <w:trPr>
          <w:cantSplit w:val="true"/>
        </w:trPr>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2</w:t>
            </w:r>
            <w:r>
              <w:rPr>
                <w:rFonts w:eastAsia="华文细黑" w:cs="Arial" w:ascii="Arial" w:hAnsi="Arial"/>
                <w:sz w:val="18"/>
              </w:rPr>
              <w:t>019</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1</w:t>
            </w:r>
            <w:r>
              <w:rPr>
                <w:rFonts w:eastAsia="华文细黑" w:cs="Arial" w:ascii="Arial" w:hAnsi="Arial"/>
                <w:sz w:val="18"/>
              </w:rPr>
              <w:t>.13%</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1</w:t>
            </w:r>
            <w:r>
              <w:rPr>
                <w:rFonts w:eastAsia="华文细黑" w:cs="Arial" w:ascii="Arial" w:hAnsi="Arial"/>
                <w:sz w:val="18"/>
              </w:rPr>
              <w:t>.25%</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1</w:t>
            </w:r>
            <w:r>
              <w:rPr>
                <w:rFonts w:eastAsia="华文细黑" w:cs="Arial" w:ascii="Arial" w:hAnsi="Arial"/>
                <w:sz w:val="18"/>
              </w:rPr>
              <w:t>.03%</w:t>
            </w:r>
          </w:p>
        </w:tc>
        <w:tc>
          <w:tcPr>
            <w:tcW w:w="186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0</w:t>
            </w:r>
            <w:r>
              <w:rPr>
                <w:rFonts w:eastAsia="华文细黑" w:cs="Arial" w:ascii="Arial" w:hAnsi="Arial"/>
                <w:sz w:val="18"/>
              </w:rPr>
              <w:t>.48%</w:t>
            </w:r>
          </w:p>
        </w:tc>
      </w:tr>
      <w:tr>
        <w:trPr>
          <w:cantSplit w:val="true"/>
        </w:trPr>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2</w:t>
            </w:r>
            <w:r>
              <w:rPr>
                <w:rFonts w:eastAsia="华文细黑" w:cs="Arial" w:ascii="Arial" w:hAnsi="Arial"/>
                <w:sz w:val="18"/>
              </w:rPr>
              <w:t>020</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0</w:t>
            </w:r>
            <w:r>
              <w:rPr>
                <w:rFonts w:eastAsia="华文细黑" w:cs="Arial" w:ascii="Arial" w:hAnsi="Arial"/>
                <w:sz w:val="18"/>
              </w:rPr>
              <w:t>.27%</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0</w:t>
            </w:r>
            <w:r>
              <w:rPr>
                <w:rFonts w:eastAsia="华文细黑" w:cs="Arial" w:ascii="Arial" w:hAnsi="Arial"/>
                <w:sz w:val="18"/>
              </w:rPr>
              <w:t>.47%</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0</w:t>
            </w:r>
            <w:r>
              <w:rPr>
                <w:rFonts w:eastAsia="华文细黑" w:cs="Arial" w:ascii="Arial" w:hAnsi="Arial"/>
                <w:sz w:val="18"/>
              </w:rPr>
              <w:t>.07%</w:t>
            </w:r>
          </w:p>
        </w:tc>
        <w:tc>
          <w:tcPr>
            <w:tcW w:w="186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0"/>
                <w:tab w:val="left" w:pos="2160" w:leader="none"/>
              </w:tabs>
              <w:spacing w:lineRule="exact" w:line="240"/>
              <w:rPr/>
            </w:pPr>
            <w:r>
              <w:rPr>
                <w:rFonts w:eastAsia="华文细黑" w:cs="Arial" w:ascii="Arial" w:hAnsi="Arial"/>
                <w:sz w:val="18"/>
              </w:rPr>
              <w:t>2</w:t>
            </w:r>
            <w:r>
              <w:rPr>
                <w:rFonts w:eastAsia="华文细黑" w:cs="Arial" w:ascii="Arial" w:hAnsi="Arial"/>
                <w:sz w:val="18"/>
              </w:rPr>
              <w:t>.69%</w:t>
            </w:r>
          </w:p>
        </w:tc>
      </w:tr>
      <w:tr>
        <w:trPr>
          <w:cantSplit w:val="true"/>
        </w:trPr>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2021</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0.36%</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1.01%</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0.48%</w:t>
            </w:r>
          </w:p>
        </w:tc>
        <w:tc>
          <w:tcPr>
            <w:tcW w:w="186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0.55%</w:t>
            </w:r>
          </w:p>
        </w:tc>
      </w:tr>
      <w:tr>
        <w:trPr>
          <w:cantSplit w:val="true"/>
        </w:trPr>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2022</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0.64%</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1.08%</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0.63%</w:t>
            </w:r>
          </w:p>
        </w:tc>
        <w:tc>
          <w:tcPr>
            <w:tcW w:w="186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0.53%</w:t>
            </w:r>
          </w:p>
        </w:tc>
      </w:tr>
      <w:tr>
        <w:trPr>
          <w:cantSplit w:val="true"/>
        </w:trPr>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2023</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0.50%</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0.71%</w:t>
            </w:r>
          </w:p>
        </w:tc>
        <w:tc>
          <w:tcPr>
            <w:tcW w:w="1860" w:type="dxa"/>
            <w:tcBorders>
              <w:top w:val="single" w:sz="2" w:space="0" w:color="404040"/>
              <w:left w:val="single" w:sz="2" w:space="0" w:color="404040"/>
              <w:bottom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eastAsia="华文细黑" w:cs="Arial" w:ascii="Arial" w:hAnsi="Arial"/>
                <w:sz w:val="18"/>
              </w:rPr>
              <w:t>0.43%</w:t>
            </w:r>
          </w:p>
        </w:tc>
        <w:tc>
          <w:tcPr>
            <w:tcW w:w="186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0"/>
                <w:tab w:val="left" w:pos="2160" w:leader="none"/>
              </w:tabs>
              <w:spacing w:lineRule="exact" w:line="240"/>
              <w:rPr>
                <w:rFonts w:ascii="Arial" w:hAnsi="Arial" w:eastAsia="华文细黑" w:cs="Arial"/>
                <w:sz w:val="18"/>
              </w:rPr>
            </w:pPr>
            <w:r>
              <w:rPr>
                <w:rFonts w:ascii="Arial" w:hAnsi="Arial" w:cs="Arial" w:eastAsia="华文细黑"/>
                <w:sz w:val="18"/>
              </w:rPr>
              <w:t>——</w:t>
            </w:r>
          </w:p>
        </w:tc>
      </w:tr>
    </w:tbl>
    <w:p>
      <w:pPr>
        <w:pStyle w:val="Normal"/>
        <w:autoSpaceDE w:val="false"/>
        <w:spacing w:lineRule="auto" w:line="360"/>
        <w:ind w:firstLine="560"/>
        <w:jc w:val="both"/>
        <w:rPr>
          <w:rFonts w:ascii="Arial" w:hAnsi="Arial" w:eastAsia="仿宋" w:cs="Arial"/>
          <w:sz w:val="28"/>
          <w:szCs w:val="28"/>
        </w:rPr>
      </w:pPr>
      <w:r>
        <w:rPr>
          <w:rFonts w:ascii="Arial" w:hAnsi="Arial" w:cs="Arial" w:eastAsia="仿宋"/>
          <w:sz w:val="28"/>
          <w:szCs w:val="28"/>
        </w:rPr>
        <w:t>根据上述北京市地价变化水平，确定该地区土地地价增幅。估价对象估价期日为</w:t>
      </w:r>
      <w:r>
        <w:rPr>
          <w:rFonts w:eastAsia="仿宋" w:cs="Arial" w:ascii="Arial" w:hAnsi="Arial"/>
          <w:sz w:val="28"/>
          <w:szCs w:val="28"/>
        </w:rPr>
        <w:t>2023</w:t>
      </w:r>
      <w:r>
        <w:rPr>
          <w:rFonts w:ascii="Arial" w:hAnsi="Arial" w:cs="Arial" w:eastAsia="仿宋"/>
          <w:sz w:val="28"/>
          <w:szCs w:val="28"/>
        </w:rPr>
        <w:t>年</w:t>
      </w:r>
      <w:r>
        <w:rPr>
          <w:rFonts w:eastAsia="仿宋" w:cs="Arial" w:ascii="Arial" w:hAnsi="Arial"/>
          <w:sz w:val="28"/>
          <w:szCs w:val="28"/>
        </w:rPr>
        <w:t>11</w:t>
      </w:r>
      <w:r>
        <w:rPr>
          <w:rFonts w:ascii="Arial" w:hAnsi="Arial" w:cs="Arial" w:eastAsia="仿宋"/>
          <w:sz w:val="28"/>
          <w:szCs w:val="28"/>
        </w:rPr>
        <w:t>月，实例</w:t>
      </w:r>
      <w:r>
        <w:rPr>
          <w:rFonts w:eastAsia="仿宋" w:cs="Arial" w:ascii="Arial" w:hAnsi="Arial"/>
          <w:sz w:val="28"/>
          <w:szCs w:val="28"/>
        </w:rPr>
        <w:t>A</w:t>
      </w:r>
      <w:r>
        <w:rPr>
          <w:rFonts w:ascii="Arial" w:hAnsi="Arial" w:cs="Arial" w:eastAsia="仿宋"/>
          <w:sz w:val="28"/>
          <w:szCs w:val="28"/>
        </w:rPr>
        <w:t>、</w:t>
      </w:r>
      <w:r>
        <w:rPr>
          <w:rFonts w:eastAsia="仿宋" w:cs="Arial" w:ascii="Arial" w:hAnsi="Arial"/>
          <w:sz w:val="28"/>
          <w:szCs w:val="28"/>
        </w:rPr>
        <w:t>B</w:t>
      </w:r>
      <w:r>
        <w:rPr>
          <w:rFonts w:ascii="Arial" w:hAnsi="Arial" w:cs="Arial" w:eastAsia="仿宋"/>
          <w:sz w:val="28"/>
          <w:szCs w:val="28"/>
        </w:rPr>
        <w:t>、</w:t>
      </w:r>
      <w:r>
        <w:rPr>
          <w:rFonts w:eastAsia="仿宋" w:cs="Arial" w:ascii="Arial" w:hAnsi="Arial"/>
          <w:sz w:val="28"/>
          <w:szCs w:val="28"/>
        </w:rPr>
        <w:t>C</w:t>
      </w:r>
      <w:r>
        <w:rPr>
          <w:rFonts w:ascii="Arial" w:hAnsi="Arial" w:cs="Arial" w:eastAsia="仿宋"/>
          <w:sz w:val="28"/>
          <w:szCs w:val="28"/>
        </w:rPr>
        <w:t>交易时间分别为</w:t>
      </w:r>
      <w:r>
        <w:rPr>
          <w:rFonts w:eastAsia="仿宋" w:cs="Arial" w:ascii="Arial" w:hAnsi="Arial"/>
          <w:sz w:val="28"/>
          <w:szCs w:val="28"/>
        </w:rPr>
        <w:t>2018</w:t>
      </w:r>
      <w:r>
        <w:rPr>
          <w:rFonts w:ascii="Arial" w:hAnsi="Arial" w:cs="Arial" w:eastAsia="仿宋"/>
          <w:sz w:val="28"/>
          <w:szCs w:val="28"/>
        </w:rPr>
        <w:t>年</w:t>
      </w:r>
      <w:r>
        <w:rPr>
          <w:rFonts w:eastAsia="仿宋" w:cs="Arial" w:ascii="Arial" w:hAnsi="Arial"/>
          <w:sz w:val="28"/>
          <w:szCs w:val="28"/>
        </w:rPr>
        <w:t>11</w:t>
      </w:r>
      <w:r>
        <w:rPr>
          <w:rFonts w:ascii="Arial" w:hAnsi="Arial" w:cs="Arial" w:eastAsia="仿宋"/>
          <w:sz w:val="28"/>
          <w:szCs w:val="28"/>
        </w:rPr>
        <w:t>月、</w:t>
      </w:r>
      <w:r>
        <w:rPr>
          <w:rFonts w:eastAsia="仿宋" w:cs="Arial" w:ascii="Arial" w:hAnsi="Arial"/>
          <w:sz w:val="28"/>
          <w:szCs w:val="28"/>
        </w:rPr>
        <w:t>2018</w:t>
      </w:r>
      <w:r>
        <w:rPr>
          <w:rFonts w:ascii="Arial" w:hAnsi="Arial" w:cs="Arial" w:eastAsia="仿宋"/>
          <w:sz w:val="28"/>
          <w:szCs w:val="28"/>
        </w:rPr>
        <w:t>年</w:t>
      </w:r>
      <w:r>
        <w:rPr>
          <w:rFonts w:eastAsia="仿宋" w:cs="Arial" w:ascii="Arial" w:hAnsi="Arial"/>
          <w:sz w:val="28"/>
          <w:szCs w:val="28"/>
        </w:rPr>
        <w:t>9</w:t>
      </w:r>
      <w:r>
        <w:rPr>
          <w:rFonts w:ascii="Arial" w:hAnsi="Arial" w:cs="Arial" w:eastAsia="仿宋"/>
          <w:sz w:val="28"/>
          <w:szCs w:val="28"/>
        </w:rPr>
        <w:t>月、</w:t>
      </w:r>
      <w:r>
        <w:rPr>
          <w:rFonts w:eastAsia="仿宋" w:cs="Arial" w:ascii="Arial" w:hAnsi="Arial"/>
          <w:sz w:val="28"/>
          <w:szCs w:val="28"/>
        </w:rPr>
        <w:t>2023</w:t>
      </w:r>
      <w:r>
        <w:rPr>
          <w:rFonts w:ascii="Arial" w:hAnsi="Arial" w:cs="Arial" w:eastAsia="仿宋"/>
          <w:sz w:val="28"/>
          <w:szCs w:val="28"/>
        </w:rPr>
        <w:t>年</w:t>
      </w:r>
      <w:r>
        <w:rPr>
          <w:rFonts w:eastAsia="仿宋" w:cs="Arial" w:ascii="Arial" w:hAnsi="Arial"/>
          <w:sz w:val="28"/>
          <w:szCs w:val="28"/>
        </w:rPr>
        <w:t>11</w:t>
      </w:r>
      <w:r>
        <w:rPr>
          <w:rFonts w:ascii="Arial" w:hAnsi="Arial" w:cs="Arial" w:eastAsia="仿宋"/>
          <w:sz w:val="28"/>
          <w:szCs w:val="28"/>
        </w:rPr>
        <w:t>月。因此，估价对象及实例的修正系数为</w:t>
      </w:r>
      <w:r>
        <w:rPr>
          <w:rFonts w:eastAsia="仿宋" w:cs="Arial" w:ascii="Arial" w:hAnsi="Arial"/>
          <w:sz w:val="28"/>
          <w:szCs w:val="28"/>
        </w:rPr>
        <w:t>100</w:t>
      </w:r>
      <w:r>
        <w:rPr>
          <w:rFonts w:ascii="Arial" w:hAnsi="Arial" w:cs="Arial" w:eastAsia="仿宋"/>
          <w:sz w:val="28"/>
          <w:szCs w:val="28"/>
        </w:rPr>
        <w:t>、</w:t>
      </w:r>
      <w:r>
        <w:rPr>
          <w:rFonts w:eastAsia="仿宋" w:cs="Arial" w:ascii="Arial" w:hAnsi="Arial"/>
          <w:sz w:val="28"/>
          <w:szCs w:val="28"/>
        </w:rPr>
        <w:t>85.29</w:t>
      </w:r>
      <w:r>
        <w:rPr>
          <w:rFonts w:ascii="Arial" w:hAnsi="Arial" w:cs="Arial" w:eastAsia="仿宋"/>
          <w:sz w:val="28"/>
          <w:szCs w:val="28"/>
        </w:rPr>
        <w:t>、</w:t>
      </w:r>
      <w:r>
        <w:rPr>
          <w:rFonts w:eastAsia="仿宋" w:cs="Arial" w:ascii="Arial" w:hAnsi="Arial"/>
          <w:sz w:val="28"/>
          <w:szCs w:val="28"/>
        </w:rPr>
        <w:t>83.83</w:t>
      </w:r>
      <w:r>
        <w:rPr>
          <w:rFonts w:ascii="Arial" w:hAnsi="Arial" w:cs="Arial" w:eastAsia="仿宋"/>
          <w:sz w:val="28"/>
          <w:szCs w:val="28"/>
        </w:rPr>
        <w:t>、</w:t>
      </w:r>
      <w:r>
        <w:rPr>
          <w:rFonts w:eastAsia="仿宋" w:cs="Arial" w:ascii="Arial" w:hAnsi="Arial"/>
          <w:sz w:val="28"/>
          <w:szCs w:val="28"/>
        </w:rPr>
        <w:t>100</w:t>
      </w:r>
      <w:r>
        <w:rPr>
          <w:rFonts w:ascii="Arial" w:hAnsi="Arial" w:cs="Arial" w:eastAsia="仿宋"/>
          <w:sz w:val="28"/>
          <w:szCs w:val="28"/>
        </w:rPr>
        <w:t>。</w:t>
      </w:r>
    </w:p>
    <w:p>
      <w:pPr>
        <w:pStyle w:val="Normal"/>
        <w:autoSpaceDE w:val="false"/>
        <w:spacing w:lineRule="auto" w:line="360"/>
        <w:ind w:firstLine="560"/>
        <w:jc w:val="both"/>
        <w:rPr>
          <w:rFonts w:ascii="Arial" w:hAnsi="Arial" w:eastAsia="仿宋" w:cs="Arial"/>
          <w:sz w:val="28"/>
          <w:szCs w:val="28"/>
        </w:rPr>
      </w:pPr>
      <w:r>
        <w:rPr>
          <w:rFonts w:eastAsia="仿宋" w:cs="Arial" w:ascii="Arial" w:hAnsi="Arial"/>
          <w:sz w:val="28"/>
          <w:szCs w:val="28"/>
        </w:rPr>
        <w:t>2</w:t>
      </w:r>
      <w:r>
        <w:rPr>
          <w:rFonts w:ascii="Arial" w:hAnsi="Arial" w:cs="Arial" w:eastAsia="仿宋"/>
          <w:sz w:val="28"/>
          <w:szCs w:val="28"/>
        </w:rPr>
        <w:t>）交易情况修正指数的确定</w:t>
      </w:r>
    </w:p>
    <w:p>
      <w:pPr>
        <w:pStyle w:val="Normal"/>
        <w:autoSpaceDE w:val="false"/>
        <w:spacing w:lineRule="auto" w:line="360"/>
        <w:ind w:firstLine="560"/>
        <w:jc w:val="both"/>
        <w:rPr>
          <w:rFonts w:ascii="Arial" w:hAnsi="Arial" w:eastAsia="仿宋" w:cs="Arial"/>
          <w:sz w:val="28"/>
          <w:szCs w:val="28"/>
        </w:rPr>
      </w:pPr>
      <w:r>
        <w:rPr>
          <w:rFonts w:ascii="Arial" w:hAnsi="Arial" w:cs="Arial" w:eastAsia="仿宋"/>
          <w:sz w:val="28"/>
          <w:szCs w:val="28"/>
        </w:rPr>
        <w:t>由于估价对象和各实例交易情况相同，均为正常交易，修正系数为</w:t>
      </w:r>
      <w:r>
        <w:rPr>
          <w:rFonts w:eastAsia="仿宋" w:cs="Arial" w:ascii="Arial" w:hAnsi="Arial"/>
          <w:sz w:val="28"/>
          <w:szCs w:val="28"/>
        </w:rPr>
        <w:t>100</w:t>
      </w:r>
      <w:r>
        <w:rPr>
          <w:rFonts w:ascii="Arial" w:hAnsi="Arial" w:cs="Arial" w:eastAsia="仿宋"/>
          <w:sz w:val="28"/>
          <w:szCs w:val="28"/>
        </w:rPr>
        <w:t>。</w:t>
      </w:r>
    </w:p>
    <w:p>
      <w:pPr>
        <w:pStyle w:val="Normal"/>
        <w:autoSpaceDE w:val="false"/>
        <w:spacing w:lineRule="auto" w:line="360"/>
        <w:ind w:firstLine="560"/>
        <w:jc w:val="both"/>
        <w:rPr>
          <w:rFonts w:ascii="Arial" w:hAnsi="Arial" w:eastAsia="仿宋" w:cs="Arial"/>
          <w:sz w:val="28"/>
          <w:szCs w:val="28"/>
        </w:rPr>
      </w:pPr>
      <w:r>
        <w:rPr>
          <w:rFonts w:eastAsia="仿宋" w:cs="Arial" w:ascii="Arial" w:hAnsi="Arial"/>
          <w:sz w:val="28"/>
          <w:szCs w:val="28"/>
        </w:rPr>
        <w:t>3</w:t>
      </w:r>
      <w:r>
        <w:rPr>
          <w:rFonts w:ascii="Arial" w:hAnsi="Arial" w:cs="Arial" w:eastAsia="仿宋"/>
          <w:sz w:val="28"/>
          <w:szCs w:val="28"/>
        </w:rPr>
        <w:t>）土地用途修正指数的确定</w:t>
      </w:r>
    </w:p>
    <w:p>
      <w:pPr>
        <w:pStyle w:val="Normal"/>
        <w:autoSpaceDE w:val="false"/>
        <w:spacing w:lineRule="auto" w:line="360"/>
        <w:ind w:firstLine="560"/>
        <w:jc w:val="both"/>
        <w:rPr>
          <w:rFonts w:ascii="Arial" w:hAnsi="Arial" w:eastAsia="仿宋" w:cs="Arial"/>
          <w:sz w:val="28"/>
          <w:szCs w:val="28"/>
        </w:rPr>
      </w:pPr>
      <w:r>
        <w:rPr>
          <w:rFonts w:ascii="Arial" w:hAnsi="Arial" w:cs="Arial" w:eastAsia="仿宋"/>
          <w:sz w:val="28"/>
          <w:szCs w:val="28"/>
        </w:rPr>
        <w:t>由于估价对象和各实例土地用途相同，均为工业用地，修正系数为</w:t>
      </w:r>
      <w:r>
        <w:rPr>
          <w:rFonts w:eastAsia="仿宋" w:cs="Arial" w:ascii="Arial" w:hAnsi="Arial"/>
          <w:sz w:val="28"/>
          <w:szCs w:val="28"/>
        </w:rPr>
        <w:t>100</w:t>
      </w:r>
      <w:r>
        <w:rPr>
          <w:rFonts w:ascii="Arial" w:hAnsi="Arial" w:cs="Arial" w:eastAsia="仿宋"/>
          <w:sz w:val="28"/>
          <w:szCs w:val="28"/>
        </w:rPr>
        <w:t>。</w:t>
      </w:r>
    </w:p>
    <w:p>
      <w:pPr>
        <w:pStyle w:val="Normal"/>
        <w:autoSpaceDE w:val="false"/>
        <w:spacing w:lineRule="auto" w:line="360"/>
        <w:ind w:firstLine="560"/>
        <w:jc w:val="both"/>
        <w:rPr>
          <w:rFonts w:ascii="Arial" w:hAnsi="Arial" w:eastAsia="仿宋" w:cs="Arial"/>
          <w:sz w:val="28"/>
          <w:szCs w:val="28"/>
        </w:rPr>
      </w:pPr>
      <w:r>
        <w:rPr>
          <w:rFonts w:eastAsia="仿宋" w:cs="Arial" w:ascii="Arial" w:hAnsi="Arial"/>
          <w:sz w:val="28"/>
          <w:szCs w:val="28"/>
        </w:rPr>
        <w:t>4</w:t>
      </w:r>
      <w:r>
        <w:rPr>
          <w:rFonts w:ascii="Arial" w:hAnsi="Arial" w:cs="Arial" w:eastAsia="仿宋"/>
          <w:sz w:val="28"/>
          <w:szCs w:val="28"/>
        </w:rPr>
        <w:t>）土地级别修正指数的确定</w:t>
      </w:r>
    </w:p>
    <w:p>
      <w:pPr>
        <w:pStyle w:val="Normal"/>
        <w:autoSpaceDE w:val="false"/>
        <w:spacing w:lineRule="auto" w:line="360"/>
        <w:ind w:firstLine="560"/>
        <w:jc w:val="both"/>
        <w:rPr>
          <w:rFonts w:ascii="Arial" w:hAnsi="Arial" w:eastAsia="仿宋" w:cs="Arial"/>
          <w:sz w:val="28"/>
          <w:szCs w:val="28"/>
        </w:rPr>
      </w:pPr>
      <w:r>
        <w:rPr>
          <w:rFonts w:ascii="Arial" w:hAnsi="Arial" w:cs="Arial" w:eastAsia="仿宋"/>
          <w:sz w:val="28"/>
          <w:szCs w:val="28"/>
        </w:rPr>
        <w:t>估价对象土地级别为工业六级，实例</w:t>
      </w:r>
      <w:r>
        <w:rPr>
          <w:rFonts w:eastAsia="仿宋" w:cs="Arial" w:ascii="Arial" w:hAnsi="Arial"/>
          <w:sz w:val="28"/>
          <w:szCs w:val="28"/>
        </w:rPr>
        <w:t>A</w:t>
      </w:r>
      <w:r>
        <w:rPr>
          <w:rFonts w:ascii="Arial" w:hAnsi="Arial" w:cs="Arial" w:eastAsia="仿宋"/>
          <w:sz w:val="28"/>
          <w:szCs w:val="28"/>
        </w:rPr>
        <w:t>、</w:t>
      </w:r>
      <w:r>
        <w:rPr>
          <w:rFonts w:eastAsia="仿宋" w:cs="Arial" w:ascii="Arial" w:hAnsi="Arial"/>
          <w:sz w:val="28"/>
          <w:szCs w:val="28"/>
        </w:rPr>
        <w:t>B</w:t>
      </w:r>
      <w:r>
        <w:rPr>
          <w:rFonts w:ascii="Arial" w:hAnsi="Arial" w:cs="Arial" w:eastAsia="仿宋"/>
          <w:sz w:val="28"/>
          <w:szCs w:val="28"/>
        </w:rPr>
        <w:t>的土地级别为工业五级，实例</w:t>
      </w:r>
      <w:r>
        <w:rPr>
          <w:rFonts w:eastAsia="仿宋" w:cs="Arial" w:ascii="Arial" w:hAnsi="Arial"/>
          <w:sz w:val="28"/>
          <w:szCs w:val="28"/>
        </w:rPr>
        <w:t>C</w:t>
      </w:r>
      <w:r>
        <w:rPr>
          <w:rFonts w:ascii="Arial" w:hAnsi="Arial" w:cs="Arial" w:eastAsia="仿宋"/>
          <w:sz w:val="28"/>
          <w:szCs w:val="28"/>
        </w:rPr>
        <w:t>的土地级别为工业八级。不同土地级别的地价差异通常是受了区域因素综合影响的结果，在区域因素修正中体现，级别差异对地价的影响已在区域因素修正中考虑，此处不再修正。</w:t>
      </w:r>
    </w:p>
    <w:p>
      <w:pPr>
        <w:pStyle w:val="Normal"/>
        <w:autoSpaceDE w:val="false"/>
        <w:spacing w:lineRule="auto" w:line="360"/>
        <w:ind w:firstLine="560"/>
        <w:jc w:val="both"/>
        <w:rPr>
          <w:rFonts w:ascii="Arial" w:hAnsi="Arial" w:eastAsia="仿宋" w:cs="Arial"/>
          <w:sz w:val="28"/>
          <w:szCs w:val="28"/>
        </w:rPr>
      </w:pPr>
      <w:r>
        <w:rPr>
          <w:rFonts w:eastAsia="仿宋" w:cs="Arial" w:ascii="Arial" w:hAnsi="Arial"/>
          <w:sz w:val="28"/>
          <w:szCs w:val="28"/>
        </w:rPr>
        <w:t>5</w:t>
      </w:r>
      <w:r>
        <w:rPr>
          <w:rFonts w:ascii="Arial" w:hAnsi="Arial" w:cs="Arial" w:eastAsia="仿宋"/>
          <w:sz w:val="28"/>
          <w:szCs w:val="28"/>
        </w:rPr>
        <w:t>）区域因素</w:t>
      </w:r>
    </w:p>
    <w:p>
      <w:pPr>
        <w:pStyle w:val="Normal"/>
        <w:spacing w:lineRule="auto" w:line="360"/>
        <w:jc w:val="center"/>
        <w:rPr>
          <w:rFonts w:cs="Arial"/>
        </w:rPr>
      </w:pPr>
      <w:r>
        <w:rPr>
          <w:rFonts w:ascii="Arial" w:hAnsi="Arial" w:cs="Arial" w:eastAsia="仿宋_GB2312;仿宋"/>
          <w:b/>
          <w:bCs/>
          <w:szCs w:val="24"/>
        </w:rPr>
        <w:t>区域因素等级说明表</w:t>
      </w:r>
    </w:p>
    <w:tbl>
      <w:tblPr>
        <w:tblW w:w="9305" w:type="dxa"/>
        <w:jc w:val="center"/>
        <w:tblInd w:w="0" w:type="dxa"/>
        <w:tblCellMar>
          <w:top w:w="57" w:type="dxa"/>
          <w:left w:w="30" w:type="dxa"/>
          <w:bottom w:w="57" w:type="dxa"/>
          <w:right w:w="30" w:type="dxa"/>
        </w:tblCellMar>
      </w:tblPr>
      <w:tblGrid>
        <w:gridCol w:w="2309"/>
        <w:gridCol w:w="1213"/>
        <w:gridCol w:w="1207"/>
        <w:gridCol w:w="1213"/>
        <w:gridCol w:w="1211"/>
        <w:gridCol w:w="1213"/>
        <w:gridCol w:w="939"/>
      </w:tblGrid>
      <w:tr>
        <w:trPr>
          <w:cantSplit w:val="true"/>
        </w:trPr>
        <w:tc>
          <w:tcPr>
            <w:tcW w:w="2309"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区域因素</w:t>
            </w:r>
          </w:p>
        </w:tc>
        <w:tc>
          <w:tcPr>
            <w:tcW w:w="6057" w:type="dxa"/>
            <w:gridSpan w:val="5"/>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等级划分</w:t>
            </w:r>
          </w:p>
        </w:tc>
        <w:tc>
          <w:tcPr>
            <w:tcW w:w="939"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每等级向下修正幅度</w:t>
            </w:r>
          </w:p>
        </w:tc>
      </w:tr>
      <w:tr>
        <w:trPr>
          <w:cantSplit w:val="true"/>
        </w:trPr>
        <w:tc>
          <w:tcPr>
            <w:tcW w:w="2309" w:type="dxa"/>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18"/>
                <w:szCs w:val="18"/>
              </w:rPr>
            </w:pPr>
            <w:r>
              <w:rPr>
                <w:rFonts w:ascii="Arial" w:hAnsi="Arial" w:cs="Arial" w:eastAsia="仿宋_GB2312;仿宋"/>
                <w:sz w:val="18"/>
                <w:szCs w:val="18"/>
              </w:rPr>
              <w:t>产业聚集度</w:t>
            </w:r>
          </w:p>
        </w:tc>
        <w:tc>
          <w:tcPr>
            <w:tcW w:w="1213"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好</w:t>
            </w:r>
          </w:p>
        </w:tc>
        <w:tc>
          <w:tcPr>
            <w:tcW w:w="1207"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较好</w:t>
            </w:r>
          </w:p>
        </w:tc>
        <w:tc>
          <w:tcPr>
            <w:tcW w:w="1213"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一般</w:t>
            </w:r>
          </w:p>
        </w:tc>
        <w:tc>
          <w:tcPr>
            <w:tcW w:w="1211"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较差</w:t>
            </w:r>
          </w:p>
        </w:tc>
        <w:tc>
          <w:tcPr>
            <w:tcW w:w="1213"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差</w:t>
            </w:r>
          </w:p>
        </w:tc>
        <w:tc>
          <w:tcPr>
            <w:tcW w:w="939"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eastAsia="仿宋_GB2312;仿宋" w:cs="Arial" w:ascii="Arial" w:hAnsi="Arial"/>
                <w:sz w:val="21"/>
                <w:szCs w:val="21"/>
              </w:rPr>
              <w:t>5</w:t>
            </w:r>
          </w:p>
        </w:tc>
      </w:tr>
      <w:tr>
        <w:trPr>
          <w:cantSplit w:val="true"/>
        </w:trPr>
        <w:tc>
          <w:tcPr>
            <w:tcW w:w="2309" w:type="dxa"/>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18"/>
                <w:szCs w:val="18"/>
              </w:rPr>
            </w:pPr>
            <w:r>
              <w:rPr>
                <w:rFonts w:ascii="Arial" w:hAnsi="Arial" w:cs="Arial" w:eastAsia="仿宋_GB2312;仿宋"/>
                <w:sz w:val="18"/>
                <w:szCs w:val="18"/>
              </w:rPr>
              <w:t>交通便捷度</w:t>
            </w:r>
          </w:p>
        </w:tc>
        <w:tc>
          <w:tcPr>
            <w:tcW w:w="1213"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好</w:t>
            </w:r>
          </w:p>
        </w:tc>
        <w:tc>
          <w:tcPr>
            <w:tcW w:w="1207"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较好</w:t>
            </w:r>
          </w:p>
        </w:tc>
        <w:tc>
          <w:tcPr>
            <w:tcW w:w="1213"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一般</w:t>
            </w:r>
          </w:p>
        </w:tc>
        <w:tc>
          <w:tcPr>
            <w:tcW w:w="1211"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较差</w:t>
            </w:r>
          </w:p>
        </w:tc>
        <w:tc>
          <w:tcPr>
            <w:tcW w:w="1213"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差</w:t>
            </w:r>
          </w:p>
        </w:tc>
        <w:tc>
          <w:tcPr>
            <w:tcW w:w="939"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rPr>
                <w:rFonts w:ascii="Arial" w:hAnsi="Arial" w:eastAsia="仿宋_GB2312;仿宋" w:cs="Arial"/>
                <w:sz w:val="21"/>
                <w:szCs w:val="21"/>
              </w:rPr>
            </w:pPr>
            <w:r>
              <w:rPr>
                <w:rFonts w:eastAsia="仿宋_GB2312;仿宋" w:cs="Arial" w:ascii="Arial" w:hAnsi="Arial"/>
                <w:sz w:val="21"/>
                <w:szCs w:val="21"/>
              </w:rPr>
              <w:t>3</w:t>
            </w:r>
          </w:p>
        </w:tc>
      </w:tr>
      <w:tr>
        <w:trPr>
          <w:cantSplit w:val="true"/>
        </w:trPr>
        <w:tc>
          <w:tcPr>
            <w:tcW w:w="2309" w:type="dxa"/>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18"/>
                <w:szCs w:val="18"/>
              </w:rPr>
            </w:pPr>
            <w:r>
              <w:rPr>
                <w:rFonts w:ascii="Arial" w:hAnsi="Arial" w:cs="Arial" w:eastAsia="仿宋_GB2312;仿宋"/>
                <w:sz w:val="18"/>
                <w:szCs w:val="18"/>
              </w:rPr>
              <w:t>区域土地利用方向</w:t>
            </w:r>
          </w:p>
        </w:tc>
        <w:tc>
          <w:tcPr>
            <w:tcW w:w="1213"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好</w:t>
            </w:r>
          </w:p>
        </w:tc>
        <w:tc>
          <w:tcPr>
            <w:tcW w:w="1207"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较好</w:t>
            </w:r>
          </w:p>
        </w:tc>
        <w:tc>
          <w:tcPr>
            <w:tcW w:w="1213"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一般</w:t>
            </w:r>
          </w:p>
        </w:tc>
        <w:tc>
          <w:tcPr>
            <w:tcW w:w="1211"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较差</w:t>
            </w:r>
          </w:p>
        </w:tc>
        <w:tc>
          <w:tcPr>
            <w:tcW w:w="1213"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差</w:t>
            </w:r>
          </w:p>
        </w:tc>
        <w:tc>
          <w:tcPr>
            <w:tcW w:w="939"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rPr>
                <w:rFonts w:ascii="Arial" w:hAnsi="Arial" w:eastAsia="仿宋_GB2312;仿宋" w:cs="Arial"/>
                <w:sz w:val="21"/>
                <w:szCs w:val="21"/>
              </w:rPr>
            </w:pPr>
            <w:r>
              <w:rPr>
                <w:rFonts w:eastAsia="仿宋_GB2312;仿宋" w:cs="Arial" w:ascii="Arial" w:hAnsi="Arial"/>
                <w:sz w:val="21"/>
                <w:szCs w:val="21"/>
              </w:rPr>
              <w:t>3</w:t>
            </w:r>
          </w:p>
        </w:tc>
      </w:tr>
      <w:tr>
        <w:trPr>
          <w:cantSplit w:val="true"/>
        </w:trPr>
        <w:tc>
          <w:tcPr>
            <w:tcW w:w="2309" w:type="dxa"/>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18"/>
                <w:szCs w:val="18"/>
              </w:rPr>
            </w:pPr>
            <w:r>
              <w:rPr>
                <w:rFonts w:ascii="Arial" w:hAnsi="Arial" w:cs="Arial" w:eastAsia="仿宋_GB2312;仿宋"/>
                <w:sz w:val="18"/>
                <w:szCs w:val="18"/>
              </w:rPr>
              <w:t>区域设施及基础设施水平</w:t>
            </w:r>
          </w:p>
        </w:tc>
        <w:tc>
          <w:tcPr>
            <w:tcW w:w="1213"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好</w:t>
            </w:r>
          </w:p>
        </w:tc>
        <w:tc>
          <w:tcPr>
            <w:tcW w:w="1207"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较好</w:t>
            </w:r>
          </w:p>
        </w:tc>
        <w:tc>
          <w:tcPr>
            <w:tcW w:w="1213"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一般</w:t>
            </w:r>
          </w:p>
        </w:tc>
        <w:tc>
          <w:tcPr>
            <w:tcW w:w="1211"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较差</w:t>
            </w:r>
          </w:p>
        </w:tc>
        <w:tc>
          <w:tcPr>
            <w:tcW w:w="1213"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差</w:t>
            </w:r>
          </w:p>
        </w:tc>
        <w:tc>
          <w:tcPr>
            <w:tcW w:w="939"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rPr>
                <w:rFonts w:ascii="Arial" w:hAnsi="Arial" w:eastAsia="仿宋_GB2312;仿宋" w:cs="Arial"/>
                <w:sz w:val="21"/>
                <w:szCs w:val="21"/>
              </w:rPr>
            </w:pPr>
            <w:r>
              <w:rPr>
                <w:rFonts w:eastAsia="仿宋_GB2312;仿宋" w:cs="Arial" w:ascii="Arial" w:hAnsi="Arial"/>
                <w:sz w:val="21"/>
                <w:szCs w:val="21"/>
              </w:rPr>
              <w:t>2</w:t>
            </w:r>
          </w:p>
        </w:tc>
      </w:tr>
      <w:tr>
        <w:trPr>
          <w:cantSplit w:val="true"/>
        </w:trPr>
        <w:tc>
          <w:tcPr>
            <w:tcW w:w="2309" w:type="dxa"/>
            <w:tcBorders>
              <w:top w:val="single" w:sz="2" w:space="0" w:color="404040"/>
              <w:left w:val="single" w:sz="2" w:space="0" w:color="404040"/>
              <w:bottom w:val="single" w:sz="2" w:space="0" w:color="404040"/>
            </w:tcBorders>
            <w:shd w:fill="auto" w:val="clear"/>
            <w:vAlign w:val="center"/>
          </w:tcPr>
          <w:p>
            <w:pPr>
              <w:pStyle w:val="Normal"/>
              <w:spacing w:lineRule="exact" w:line="240"/>
              <w:rPr>
                <w:rFonts w:ascii="Arial" w:hAnsi="Arial" w:eastAsia="仿宋_GB2312;仿宋" w:cs="Arial"/>
                <w:sz w:val="18"/>
                <w:szCs w:val="18"/>
              </w:rPr>
            </w:pPr>
            <w:r>
              <w:rPr>
                <w:rFonts w:ascii="Arial" w:hAnsi="Arial" w:cs="Arial" w:eastAsia="仿宋_GB2312;仿宋"/>
                <w:sz w:val="18"/>
                <w:szCs w:val="18"/>
              </w:rPr>
              <w:t>环境状况</w:t>
            </w:r>
          </w:p>
        </w:tc>
        <w:tc>
          <w:tcPr>
            <w:tcW w:w="1213"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好</w:t>
            </w:r>
          </w:p>
        </w:tc>
        <w:tc>
          <w:tcPr>
            <w:tcW w:w="1207"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较好</w:t>
            </w:r>
          </w:p>
        </w:tc>
        <w:tc>
          <w:tcPr>
            <w:tcW w:w="1213"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一般</w:t>
            </w:r>
          </w:p>
        </w:tc>
        <w:tc>
          <w:tcPr>
            <w:tcW w:w="1211"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较差</w:t>
            </w:r>
          </w:p>
        </w:tc>
        <w:tc>
          <w:tcPr>
            <w:tcW w:w="1213"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差</w:t>
            </w:r>
          </w:p>
        </w:tc>
        <w:tc>
          <w:tcPr>
            <w:tcW w:w="939"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eastAsia="仿宋_GB2312;仿宋" w:cs="Arial" w:ascii="Arial" w:hAnsi="Arial"/>
                <w:sz w:val="21"/>
                <w:szCs w:val="21"/>
              </w:rPr>
              <w:t>2</w:t>
            </w:r>
          </w:p>
        </w:tc>
      </w:tr>
    </w:tbl>
    <w:p>
      <w:pPr>
        <w:pStyle w:val="Normal"/>
        <w:autoSpaceDE w:val="false"/>
        <w:spacing w:lineRule="exact" w:line="240"/>
        <w:rPr>
          <w:rFonts w:ascii="Arial" w:hAnsi="Arial" w:eastAsia="仿宋_GB2312;仿宋" w:cs="Arial"/>
          <w:sz w:val="21"/>
          <w:szCs w:val="21"/>
        </w:rPr>
      </w:pPr>
      <w:r>
        <w:rPr>
          <w:rFonts w:eastAsia="仿宋_GB2312;仿宋" w:cs="Arial" w:ascii="Arial" w:hAnsi="Arial"/>
          <w:sz w:val="21"/>
          <w:szCs w:val="21"/>
        </w:rPr>
      </w:r>
      <w:r>
        <w:br w:type="page"/>
      </w:r>
    </w:p>
    <w:p>
      <w:pPr>
        <w:pStyle w:val="Normal"/>
        <w:autoSpaceDE w:val="false"/>
        <w:spacing w:lineRule="exact" w:line="500"/>
        <w:ind w:firstLine="560"/>
        <w:rPr>
          <w:rFonts w:ascii="Arial" w:hAnsi="Arial" w:eastAsia="仿宋_GB2312;仿宋" w:cs="Arial"/>
          <w:sz w:val="28"/>
        </w:rPr>
      </w:pPr>
      <w:r>
        <w:rPr>
          <w:rFonts w:eastAsia="仿宋_GB2312;仿宋" w:cs="Arial" w:ascii="Arial" w:hAnsi="Arial"/>
          <w:sz w:val="28"/>
          <w:szCs w:val="28"/>
        </w:rPr>
        <w:t>6</w:t>
      </w:r>
      <w:r>
        <w:rPr>
          <w:rFonts w:ascii="Arial" w:hAnsi="Arial" w:cs="Arial" w:eastAsia="仿宋_GB2312;仿宋"/>
          <w:sz w:val="28"/>
          <w:szCs w:val="28"/>
        </w:rPr>
        <w:t>）</w:t>
      </w:r>
      <w:r>
        <w:rPr>
          <w:rFonts w:ascii="Arial" w:hAnsi="Arial" w:cs="Arial" w:eastAsia="仿宋_GB2312;仿宋"/>
          <w:sz w:val="28"/>
        </w:rPr>
        <w:t>个别因素</w:t>
      </w:r>
    </w:p>
    <w:p>
      <w:pPr>
        <w:pStyle w:val="Normal"/>
        <w:spacing w:lineRule="auto" w:line="360"/>
        <w:jc w:val="center"/>
        <w:rPr>
          <w:rFonts w:cs="Arial"/>
        </w:rPr>
      </w:pPr>
      <w:r>
        <w:rPr>
          <w:rFonts w:ascii="Arial" w:hAnsi="Arial" w:cs="Arial" w:eastAsia="仿宋_GB2312;仿宋"/>
          <w:b/>
          <w:bCs/>
          <w:szCs w:val="24"/>
        </w:rPr>
        <w:t>个别因素等级说明表</w:t>
      </w:r>
    </w:p>
    <w:tbl>
      <w:tblPr>
        <w:tblW w:w="9305" w:type="dxa"/>
        <w:jc w:val="center"/>
        <w:tblInd w:w="0" w:type="dxa"/>
        <w:tblCellMar>
          <w:top w:w="57" w:type="dxa"/>
          <w:left w:w="30" w:type="dxa"/>
          <w:bottom w:w="57" w:type="dxa"/>
          <w:right w:w="30" w:type="dxa"/>
        </w:tblCellMar>
      </w:tblPr>
      <w:tblGrid>
        <w:gridCol w:w="2304"/>
        <w:gridCol w:w="1215"/>
        <w:gridCol w:w="169"/>
        <w:gridCol w:w="709"/>
        <w:gridCol w:w="331"/>
        <w:gridCol w:w="6"/>
        <w:gridCol w:w="370"/>
        <w:gridCol w:w="837"/>
        <w:gridCol w:w="7"/>
        <w:gridCol w:w="577"/>
        <w:gridCol w:w="627"/>
        <w:gridCol w:w="11"/>
        <w:gridCol w:w="1216"/>
        <w:gridCol w:w="926"/>
      </w:tblGrid>
      <w:tr>
        <w:trPr>
          <w:cantSplit w:val="true"/>
        </w:trPr>
        <w:tc>
          <w:tcPr>
            <w:tcW w:w="2304"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个别因素</w:t>
            </w:r>
          </w:p>
        </w:tc>
        <w:tc>
          <w:tcPr>
            <w:tcW w:w="6075" w:type="dxa"/>
            <w:gridSpan w:val="12"/>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等级划分</w:t>
            </w:r>
          </w:p>
        </w:tc>
        <w:tc>
          <w:tcPr>
            <w:tcW w:w="926"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每等级向下修正幅度</w:t>
            </w:r>
          </w:p>
        </w:tc>
      </w:tr>
      <w:tr>
        <w:trPr>
          <w:cantSplit w:val="true"/>
        </w:trPr>
        <w:tc>
          <w:tcPr>
            <w:tcW w:w="2304"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宗地面积</w:t>
            </w:r>
          </w:p>
        </w:tc>
        <w:tc>
          <w:tcPr>
            <w:tcW w:w="1384" w:type="dxa"/>
            <w:gridSpan w:val="2"/>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pPr>
            <w:r>
              <w:rPr>
                <w:rFonts w:eastAsia="仿宋_GB2312;仿宋" w:cs="Arial" w:ascii="Arial" w:hAnsi="Arial"/>
                <w:sz w:val="21"/>
                <w:szCs w:val="21"/>
              </w:rPr>
              <w:t>0-100000</w:t>
            </w:r>
            <w:r>
              <w:rPr>
                <w:rFonts w:ascii="Arial" w:hAnsi="Arial" w:cs="Arial" w:eastAsia="仿宋_GB2312;仿宋"/>
                <w:sz w:val="21"/>
                <w:szCs w:val="21"/>
              </w:rPr>
              <w:t>（含）</w:t>
            </w:r>
          </w:p>
        </w:tc>
        <w:tc>
          <w:tcPr>
            <w:tcW w:w="1416" w:type="dxa"/>
            <w:gridSpan w:val="4"/>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eastAsia="仿宋_GB2312;仿宋" w:cs="Arial" w:ascii="Arial" w:hAnsi="Arial"/>
                <w:sz w:val="21"/>
                <w:szCs w:val="21"/>
              </w:rPr>
              <w:t>100000-150000</w:t>
            </w:r>
            <w:r>
              <w:rPr>
                <w:rFonts w:ascii="Arial" w:hAnsi="Arial" w:cs="Arial" w:eastAsia="仿宋_GB2312;仿宋"/>
                <w:sz w:val="21"/>
                <w:szCs w:val="21"/>
              </w:rPr>
              <w:t>（含）</w:t>
            </w:r>
          </w:p>
        </w:tc>
        <w:tc>
          <w:tcPr>
            <w:tcW w:w="1421" w:type="dxa"/>
            <w:gridSpan w:val="3"/>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eastAsia="仿宋_GB2312;仿宋" w:cs="Arial" w:ascii="Arial" w:hAnsi="Arial"/>
                <w:sz w:val="21"/>
                <w:szCs w:val="21"/>
              </w:rPr>
              <w:t>1</w:t>
            </w:r>
            <w:r>
              <w:rPr>
                <w:rFonts w:eastAsia="仿宋_GB2312;仿宋" w:cs="Arial" w:ascii="Arial" w:hAnsi="Arial"/>
                <w:sz w:val="21"/>
                <w:szCs w:val="21"/>
              </w:rPr>
              <w:t>5</w:t>
            </w:r>
            <w:r>
              <w:rPr>
                <w:rFonts w:eastAsia="仿宋_GB2312;仿宋" w:cs="Arial" w:ascii="Arial" w:hAnsi="Arial"/>
                <w:sz w:val="21"/>
                <w:szCs w:val="21"/>
              </w:rPr>
              <w:t>0000-200000</w:t>
            </w:r>
            <w:r>
              <w:rPr>
                <w:rFonts w:ascii="Arial" w:hAnsi="Arial" w:cs="Arial" w:eastAsia="仿宋_GB2312;仿宋"/>
                <w:sz w:val="21"/>
                <w:szCs w:val="21"/>
              </w:rPr>
              <w:t>（含）</w:t>
            </w:r>
          </w:p>
        </w:tc>
        <w:tc>
          <w:tcPr>
            <w:tcW w:w="1854" w:type="dxa"/>
            <w:gridSpan w:val="3"/>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pPr>
            <w:r>
              <w:rPr>
                <w:rFonts w:ascii="Arial" w:hAnsi="Arial" w:cs="Arial" w:eastAsia="仿宋_GB2312;仿宋"/>
                <w:sz w:val="21"/>
                <w:szCs w:val="21"/>
              </w:rPr>
              <w:t>大于</w:t>
            </w:r>
            <w:r>
              <w:rPr>
                <w:rFonts w:eastAsia="仿宋_GB2312;仿宋" w:cs="Arial" w:ascii="Arial" w:hAnsi="Arial"/>
                <w:sz w:val="21"/>
                <w:szCs w:val="21"/>
              </w:rPr>
              <w:t>200000</w:t>
            </w:r>
          </w:p>
        </w:tc>
        <w:tc>
          <w:tcPr>
            <w:tcW w:w="926"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eastAsia="仿宋_GB2312;仿宋" w:cs="Arial" w:ascii="Arial" w:hAnsi="Arial"/>
                <w:sz w:val="21"/>
                <w:szCs w:val="21"/>
              </w:rPr>
              <w:t>1</w:t>
            </w:r>
          </w:p>
        </w:tc>
      </w:tr>
      <w:tr>
        <w:trPr>
          <w:cantSplit w:val="true"/>
        </w:trPr>
        <w:tc>
          <w:tcPr>
            <w:tcW w:w="2304"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宗地形状</w:t>
            </w:r>
          </w:p>
        </w:tc>
        <w:tc>
          <w:tcPr>
            <w:tcW w:w="1215"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宗地形状规则</w:t>
            </w:r>
          </w:p>
        </w:tc>
        <w:tc>
          <w:tcPr>
            <w:tcW w:w="1209" w:type="dxa"/>
            <w:gridSpan w:val="3"/>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宗地形状较规则</w:t>
            </w:r>
          </w:p>
        </w:tc>
        <w:tc>
          <w:tcPr>
            <w:tcW w:w="1213" w:type="dxa"/>
            <w:gridSpan w:val="3"/>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宗地形状不规则，但对宗地利用影响较小</w:t>
            </w:r>
          </w:p>
        </w:tc>
        <w:tc>
          <w:tcPr>
            <w:tcW w:w="1211" w:type="dxa"/>
            <w:gridSpan w:val="3"/>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宗地形状不规则，对宗地利用有影响</w:t>
            </w:r>
          </w:p>
        </w:tc>
        <w:tc>
          <w:tcPr>
            <w:tcW w:w="1227" w:type="dxa"/>
            <w:gridSpan w:val="2"/>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宗地形状极其不规则，对宗地利用影响很大</w:t>
            </w:r>
          </w:p>
        </w:tc>
        <w:tc>
          <w:tcPr>
            <w:tcW w:w="926"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rPr>
                <w:rFonts w:ascii="Arial" w:hAnsi="Arial" w:eastAsia="仿宋_GB2312;仿宋" w:cs="Arial"/>
                <w:sz w:val="21"/>
                <w:szCs w:val="21"/>
              </w:rPr>
            </w:pPr>
            <w:r>
              <w:rPr>
                <w:rFonts w:eastAsia="仿宋_GB2312;仿宋" w:cs="Arial" w:ascii="Arial" w:hAnsi="Arial"/>
                <w:sz w:val="21"/>
                <w:szCs w:val="21"/>
              </w:rPr>
              <w:t>1.5</w:t>
            </w:r>
          </w:p>
        </w:tc>
      </w:tr>
      <w:tr>
        <w:trPr>
          <w:cantSplit w:val="true"/>
        </w:trPr>
        <w:tc>
          <w:tcPr>
            <w:tcW w:w="2304"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宗地开发程度</w:t>
            </w:r>
          </w:p>
        </w:tc>
        <w:tc>
          <w:tcPr>
            <w:tcW w:w="1215"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七通一平</w:t>
            </w:r>
          </w:p>
        </w:tc>
        <w:tc>
          <w:tcPr>
            <w:tcW w:w="1215" w:type="dxa"/>
            <w:gridSpan w:val="4"/>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六通一平</w:t>
            </w:r>
          </w:p>
        </w:tc>
        <w:tc>
          <w:tcPr>
            <w:tcW w:w="1214" w:type="dxa"/>
            <w:gridSpan w:val="3"/>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pPr>
            <w:r>
              <w:rPr>
                <w:rFonts w:ascii="Arial" w:hAnsi="Arial" w:cs="Arial" w:eastAsia="仿宋_GB2312;仿宋"/>
                <w:sz w:val="21"/>
                <w:szCs w:val="21"/>
              </w:rPr>
              <w:t>五</w:t>
            </w:r>
            <w:r>
              <w:rPr>
                <w:rFonts w:ascii="Arial" w:hAnsi="Arial" w:cs="Arial" w:eastAsia="仿宋_GB2312;仿宋"/>
                <w:sz w:val="21"/>
                <w:szCs w:val="21"/>
              </w:rPr>
              <w:t>通一平</w:t>
            </w:r>
          </w:p>
        </w:tc>
        <w:tc>
          <w:tcPr>
            <w:tcW w:w="1215" w:type="dxa"/>
            <w:gridSpan w:val="3"/>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四通一平</w:t>
            </w:r>
          </w:p>
        </w:tc>
        <w:tc>
          <w:tcPr>
            <w:tcW w:w="1216"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三通一平</w:t>
            </w:r>
          </w:p>
        </w:tc>
        <w:tc>
          <w:tcPr>
            <w:tcW w:w="926"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rPr>
                <w:rFonts w:ascii="Arial" w:hAnsi="Arial" w:eastAsia="仿宋_GB2312;仿宋" w:cs="Arial"/>
                <w:sz w:val="21"/>
                <w:szCs w:val="21"/>
              </w:rPr>
            </w:pPr>
            <w:r>
              <w:rPr>
                <w:rFonts w:eastAsia="仿宋_GB2312;仿宋" w:cs="Arial" w:ascii="Arial" w:hAnsi="Arial"/>
                <w:sz w:val="21"/>
                <w:szCs w:val="21"/>
              </w:rPr>
              <w:t>5</w:t>
            </w:r>
          </w:p>
        </w:tc>
      </w:tr>
      <w:tr>
        <w:trPr>
          <w:cantSplit w:val="true"/>
        </w:trPr>
        <w:tc>
          <w:tcPr>
            <w:tcW w:w="2304" w:type="dxa"/>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ascii="Arial" w:hAnsi="Arial" w:cs="Arial" w:eastAsia="仿宋_GB2312;仿宋"/>
                <w:sz w:val="21"/>
                <w:szCs w:val="21"/>
              </w:rPr>
              <w:t>宗地容积率</w:t>
            </w:r>
          </w:p>
        </w:tc>
        <w:tc>
          <w:tcPr>
            <w:tcW w:w="2093" w:type="dxa"/>
            <w:gridSpan w:val="3"/>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pPr>
            <w:r>
              <w:rPr>
                <w:rFonts w:eastAsia="仿宋_GB2312;仿宋" w:cs="Arial" w:ascii="Arial" w:hAnsi="Arial"/>
                <w:sz w:val="21"/>
                <w:szCs w:val="21"/>
              </w:rPr>
              <w:t>0-1</w:t>
            </w:r>
            <w:r>
              <w:rPr>
                <w:rFonts w:ascii="Arial" w:hAnsi="Arial" w:cs="Arial" w:eastAsia="仿宋_GB2312;仿宋"/>
                <w:sz w:val="21"/>
                <w:szCs w:val="21"/>
              </w:rPr>
              <w:t>（含）</w:t>
            </w:r>
          </w:p>
        </w:tc>
        <w:tc>
          <w:tcPr>
            <w:tcW w:w="2128" w:type="dxa"/>
            <w:gridSpan w:val="6"/>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eastAsia="仿宋_GB2312;仿宋" w:cs="Arial" w:ascii="Arial" w:hAnsi="Arial"/>
                <w:sz w:val="21"/>
                <w:szCs w:val="21"/>
              </w:rPr>
              <w:t>0-1.5</w:t>
            </w:r>
            <w:r>
              <w:rPr>
                <w:rFonts w:ascii="Arial" w:hAnsi="Arial" w:cs="Arial" w:eastAsia="仿宋_GB2312;仿宋"/>
                <w:sz w:val="21"/>
                <w:szCs w:val="21"/>
              </w:rPr>
              <w:t>（含）</w:t>
            </w:r>
          </w:p>
        </w:tc>
        <w:tc>
          <w:tcPr>
            <w:tcW w:w="1854" w:type="dxa"/>
            <w:gridSpan w:val="3"/>
            <w:tcBorders>
              <w:top w:val="single" w:sz="2" w:space="0" w:color="404040"/>
              <w:left w:val="single" w:sz="2" w:space="0" w:color="404040"/>
              <w:bottom w:val="single" w:sz="2" w:space="0" w:color="404040"/>
            </w:tcBorders>
            <w:shd w:fill="auto" w:val="clear"/>
            <w:vAlign w:val="center"/>
          </w:tcPr>
          <w:p>
            <w:pPr>
              <w:pStyle w:val="Normal"/>
              <w:autoSpaceDE w:val="false"/>
              <w:spacing w:lineRule="exact" w:line="240"/>
              <w:rPr>
                <w:rFonts w:ascii="Arial" w:hAnsi="Arial" w:eastAsia="仿宋_GB2312;仿宋" w:cs="Arial"/>
                <w:sz w:val="21"/>
                <w:szCs w:val="21"/>
              </w:rPr>
            </w:pPr>
            <w:r>
              <w:rPr>
                <w:rFonts w:eastAsia="仿宋_GB2312;仿宋" w:cs="Arial" w:ascii="Arial" w:hAnsi="Arial"/>
                <w:sz w:val="21"/>
                <w:szCs w:val="21"/>
              </w:rPr>
              <w:t>1.5-2.0</w:t>
            </w:r>
            <w:r>
              <w:rPr>
                <w:rFonts w:ascii="Arial" w:hAnsi="Arial" w:cs="Arial" w:eastAsia="仿宋_GB2312;仿宋"/>
                <w:sz w:val="21"/>
                <w:szCs w:val="21"/>
              </w:rPr>
              <w:t>（含）</w:t>
            </w:r>
          </w:p>
        </w:tc>
        <w:tc>
          <w:tcPr>
            <w:tcW w:w="926"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rPr>
                <w:rFonts w:ascii="Arial" w:hAnsi="Arial" w:eastAsia="仿宋_GB2312;仿宋" w:cs="Arial"/>
                <w:sz w:val="21"/>
                <w:szCs w:val="21"/>
              </w:rPr>
            </w:pPr>
            <w:r>
              <w:rPr>
                <w:rFonts w:ascii="仿宋_GB2312;仿宋" w:hAnsi="仿宋_GB2312;仿宋" w:cs="仿宋_GB2312;仿宋" w:eastAsia="仿宋_GB2312;仿宋"/>
                <w:sz w:val="21"/>
                <w:szCs w:val="21"/>
              </w:rPr>
              <w:t>——</w:t>
            </w:r>
          </w:p>
        </w:tc>
      </w:tr>
    </w:tbl>
    <w:p>
      <w:pPr>
        <w:pStyle w:val="Normal"/>
        <w:spacing w:lineRule="auto" w:line="360"/>
        <w:ind w:firstLine="560"/>
        <w:jc w:val="both"/>
        <w:rPr>
          <w:rFonts w:ascii="Arial" w:hAnsi="Arial" w:eastAsia="仿宋_GB2312;仿宋" w:cs="Arial"/>
          <w:sz w:val="28"/>
          <w:szCs w:val="28"/>
        </w:rPr>
      </w:pPr>
      <w:r>
        <w:rPr>
          <w:rFonts w:ascii="Arial" w:hAnsi="Arial" w:cs="Arial" w:eastAsia="仿宋_GB2312;仿宋"/>
          <w:sz w:val="28"/>
          <w:szCs w:val="28"/>
        </w:rPr>
        <w:t>（</w:t>
      </w:r>
      <w:r>
        <w:rPr>
          <w:rFonts w:eastAsia="仿宋_GB2312;仿宋" w:cs="Arial" w:ascii="Arial" w:hAnsi="Arial"/>
          <w:sz w:val="28"/>
          <w:szCs w:val="28"/>
        </w:rPr>
        <w:t>5</w:t>
      </w:r>
      <w:r>
        <w:rPr>
          <w:rFonts w:ascii="Arial" w:hAnsi="Arial" w:cs="Arial" w:eastAsia="仿宋_GB2312;仿宋"/>
          <w:sz w:val="28"/>
          <w:szCs w:val="28"/>
        </w:rPr>
        <w:t>）编制比较因素条件指数表</w:t>
      </w:r>
    </w:p>
    <w:p>
      <w:pPr>
        <w:pStyle w:val="Normal"/>
        <w:spacing w:lineRule="auto" w:line="360"/>
        <w:jc w:val="center"/>
        <w:rPr>
          <w:rFonts w:cs="Arial"/>
        </w:rPr>
      </w:pPr>
      <w:r>
        <w:rPr>
          <w:rFonts w:ascii="Arial" w:hAnsi="Arial" w:cs="Arial" w:eastAsia="仿宋_GB2312;仿宋"/>
          <w:b/>
          <w:bCs/>
          <w:szCs w:val="24"/>
        </w:rPr>
        <w:t>比较因素条件指数表</w:t>
      </w:r>
    </w:p>
    <w:tbl>
      <w:tblPr>
        <w:tblW w:w="9310" w:type="dxa"/>
        <w:jc w:val="center"/>
        <w:tblInd w:w="0" w:type="dxa"/>
        <w:tblCellMar>
          <w:top w:w="57" w:type="dxa"/>
          <w:left w:w="57" w:type="dxa"/>
          <w:bottom w:w="57" w:type="dxa"/>
          <w:right w:w="57" w:type="dxa"/>
        </w:tblCellMar>
      </w:tblPr>
      <w:tblGrid>
        <w:gridCol w:w="711"/>
        <w:gridCol w:w="2222"/>
        <w:gridCol w:w="1659"/>
        <w:gridCol w:w="1520"/>
        <w:gridCol w:w="1591"/>
        <w:gridCol w:w="1607"/>
      </w:tblGrid>
      <w:tr>
        <w:trPr>
          <w:cantSplit w:val="true"/>
        </w:trPr>
        <w:tc>
          <w:tcPr>
            <w:tcW w:w="2933" w:type="dxa"/>
            <w:gridSpan w:val="2"/>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ascii="Arial" w:hAnsi="Arial" w:cs="Arial" w:eastAsia="仿宋_GB2312;仿宋"/>
                <w:sz w:val="18"/>
                <w:szCs w:val="18"/>
              </w:rPr>
              <w:t>比较因素</w:t>
            </w:r>
          </w:p>
        </w:tc>
        <w:tc>
          <w:tcPr>
            <w:tcW w:w="165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ascii="Arial" w:hAnsi="Arial" w:cs="Arial" w:eastAsia="仿宋_GB2312;仿宋"/>
                <w:sz w:val="18"/>
                <w:szCs w:val="18"/>
              </w:rPr>
              <w:t>待估宗地</w:t>
            </w:r>
          </w:p>
        </w:tc>
        <w:tc>
          <w:tcPr>
            <w:tcW w:w="1520" w:type="dxa"/>
            <w:tcBorders>
              <w:top w:val="single" w:sz="4" w:space="0" w:color="000000"/>
              <w:left w:val="single" w:sz="4" w:space="0" w:color="000000"/>
              <w:bottom w:val="single" w:sz="4" w:space="0" w:color="000000"/>
            </w:tcBorders>
            <w:shd w:fill="auto" w:val="clear"/>
          </w:tcPr>
          <w:p>
            <w:pPr>
              <w:pStyle w:val="Normal"/>
              <w:spacing w:lineRule="exact" w:line="240"/>
              <w:rPr/>
            </w:pPr>
            <w:r>
              <w:rPr>
                <w:rFonts w:ascii="Arial" w:hAnsi="Arial" w:cs="Arial" w:eastAsia="仿宋_GB2312;仿宋"/>
                <w:sz w:val="18"/>
                <w:szCs w:val="18"/>
              </w:rPr>
              <w:t>实例</w:t>
            </w:r>
            <w:r>
              <w:rPr>
                <w:rFonts w:eastAsia="仿宋_GB2312;仿宋" w:cs="Arial" w:ascii="Arial" w:hAnsi="Arial"/>
                <w:sz w:val="18"/>
                <w:szCs w:val="18"/>
              </w:rPr>
              <w:t>A</w:t>
            </w:r>
          </w:p>
        </w:tc>
        <w:tc>
          <w:tcPr>
            <w:tcW w:w="1591" w:type="dxa"/>
            <w:tcBorders>
              <w:top w:val="single" w:sz="4" w:space="0" w:color="000000"/>
              <w:left w:val="single" w:sz="4" w:space="0" w:color="000000"/>
              <w:bottom w:val="single" w:sz="4" w:space="0" w:color="000000"/>
            </w:tcBorders>
            <w:shd w:fill="auto" w:val="clear"/>
          </w:tcPr>
          <w:p>
            <w:pPr>
              <w:pStyle w:val="Normal"/>
              <w:spacing w:lineRule="exact" w:line="240"/>
              <w:rPr/>
            </w:pPr>
            <w:r>
              <w:rPr>
                <w:rFonts w:ascii="Arial" w:hAnsi="Arial" w:cs="Arial" w:eastAsia="仿宋_GB2312;仿宋"/>
                <w:sz w:val="18"/>
                <w:szCs w:val="18"/>
              </w:rPr>
              <w:t>实例</w:t>
            </w:r>
            <w:r>
              <w:rPr>
                <w:rFonts w:eastAsia="仿宋_GB2312;仿宋" w:cs="Arial" w:ascii="Arial" w:hAnsi="Arial"/>
                <w:sz w:val="18"/>
                <w:szCs w:val="18"/>
              </w:rPr>
              <w:t>B</w:t>
            </w:r>
          </w:p>
        </w:tc>
        <w:tc>
          <w:tcPr>
            <w:tcW w:w="160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exact" w:line="240"/>
              <w:rPr/>
            </w:pPr>
            <w:r>
              <w:rPr>
                <w:rFonts w:ascii="Arial" w:hAnsi="Arial" w:cs="Arial" w:eastAsia="仿宋_GB2312;仿宋"/>
                <w:sz w:val="18"/>
                <w:szCs w:val="18"/>
              </w:rPr>
              <w:t>实例</w:t>
            </w:r>
            <w:r>
              <w:rPr>
                <w:rFonts w:eastAsia="仿宋_GB2312;仿宋" w:cs="Arial" w:ascii="Arial" w:hAnsi="Arial"/>
                <w:sz w:val="18"/>
                <w:szCs w:val="18"/>
              </w:rPr>
              <w:t>C</w:t>
            </w:r>
          </w:p>
        </w:tc>
      </w:tr>
      <w:tr>
        <w:trPr>
          <w:cantSplit w:val="true"/>
        </w:trPr>
        <w:tc>
          <w:tcPr>
            <w:tcW w:w="2933" w:type="dxa"/>
            <w:gridSpan w:val="2"/>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ascii="Arial" w:hAnsi="Arial" w:cs="Arial" w:eastAsia="仿宋_GB2312;仿宋"/>
                <w:sz w:val="18"/>
                <w:szCs w:val="18"/>
              </w:rPr>
              <w:t>交易时间</w:t>
            </w:r>
          </w:p>
        </w:tc>
        <w:tc>
          <w:tcPr>
            <w:tcW w:w="165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20" w:type="dxa"/>
            <w:tcBorders>
              <w:top w:val="single" w:sz="4" w:space="0" w:color="000000"/>
              <w:left w:val="single" w:sz="4" w:space="0" w:color="000000"/>
              <w:bottom w:val="single" w:sz="4" w:space="0" w:color="000000"/>
            </w:tcBorders>
            <w:shd w:fill="auto" w:val="clear"/>
          </w:tcPr>
          <w:p>
            <w:pPr>
              <w:pStyle w:val="Normal"/>
              <w:spacing w:lineRule="exact" w:line="240"/>
              <w:rPr>
                <w:rFonts w:ascii="Arial" w:hAnsi="Arial" w:cs="Arial"/>
                <w:sz w:val="18"/>
                <w:szCs w:val="18"/>
              </w:rPr>
            </w:pPr>
            <w:r>
              <w:rPr>
                <w:rFonts w:eastAsia="仿宋_GB2312;仿宋" w:cs="Arial" w:ascii="Arial" w:hAnsi="Arial"/>
                <w:sz w:val="18"/>
                <w:szCs w:val="18"/>
              </w:rPr>
              <w:t>85.29</w:t>
            </w:r>
          </w:p>
        </w:tc>
        <w:tc>
          <w:tcPr>
            <w:tcW w:w="1591" w:type="dxa"/>
            <w:tcBorders>
              <w:top w:val="single" w:sz="4" w:space="0" w:color="000000"/>
              <w:left w:val="single" w:sz="4" w:space="0" w:color="000000"/>
              <w:bottom w:val="single" w:sz="4" w:space="0" w:color="000000"/>
            </w:tcBorders>
            <w:shd w:fill="auto" w:val="clear"/>
          </w:tcPr>
          <w:p>
            <w:pPr>
              <w:pStyle w:val="Normal"/>
              <w:spacing w:lineRule="exact" w:line="240"/>
              <w:rPr>
                <w:rFonts w:ascii="Arial" w:hAnsi="Arial" w:cs="Arial"/>
                <w:sz w:val="18"/>
                <w:szCs w:val="18"/>
              </w:rPr>
            </w:pPr>
            <w:r>
              <w:rPr>
                <w:rFonts w:eastAsia="仿宋_GB2312;仿宋" w:cs="Arial" w:ascii="Arial" w:hAnsi="Arial"/>
                <w:sz w:val="18"/>
                <w:szCs w:val="18"/>
              </w:rPr>
              <w:t>83.83</w:t>
            </w:r>
          </w:p>
        </w:tc>
        <w:tc>
          <w:tcPr>
            <w:tcW w:w="160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exact" w:line="240"/>
              <w:rPr>
                <w:rFonts w:ascii="Arial" w:hAnsi="Arial" w:cs="Arial"/>
                <w:sz w:val="18"/>
                <w:szCs w:val="18"/>
              </w:rPr>
            </w:pPr>
            <w:r>
              <w:rPr>
                <w:rFonts w:eastAsia="仿宋_GB2312;仿宋" w:cs="Arial" w:ascii="Arial" w:hAnsi="Arial"/>
                <w:sz w:val="18"/>
                <w:szCs w:val="18"/>
              </w:rPr>
              <w:t>100</w:t>
            </w:r>
          </w:p>
        </w:tc>
      </w:tr>
      <w:tr>
        <w:trPr>
          <w:cantSplit w:val="true"/>
        </w:trPr>
        <w:tc>
          <w:tcPr>
            <w:tcW w:w="2933" w:type="dxa"/>
            <w:gridSpan w:val="2"/>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ascii="Arial" w:hAnsi="Arial" w:cs="Arial" w:eastAsia="仿宋_GB2312;仿宋"/>
                <w:sz w:val="18"/>
                <w:szCs w:val="18"/>
              </w:rPr>
              <w:t>交易情况</w:t>
            </w:r>
          </w:p>
        </w:tc>
        <w:tc>
          <w:tcPr>
            <w:tcW w:w="165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20"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60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r>
      <w:tr>
        <w:trPr>
          <w:cantSplit w:val="true"/>
        </w:trPr>
        <w:tc>
          <w:tcPr>
            <w:tcW w:w="2933" w:type="dxa"/>
            <w:gridSpan w:val="2"/>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ascii="Arial" w:hAnsi="Arial" w:cs="Arial" w:eastAsia="仿宋_GB2312;仿宋"/>
                <w:sz w:val="18"/>
                <w:szCs w:val="18"/>
              </w:rPr>
              <w:t>土地用途</w:t>
            </w:r>
          </w:p>
        </w:tc>
        <w:tc>
          <w:tcPr>
            <w:tcW w:w="165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20"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60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r>
      <w:tr>
        <w:trPr>
          <w:cantSplit w:val="true"/>
        </w:trPr>
        <w:tc>
          <w:tcPr>
            <w:tcW w:w="711"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ascii="Arial" w:hAnsi="Arial" w:cs="Arial" w:eastAsia="仿宋_GB2312;仿宋"/>
                <w:sz w:val="18"/>
                <w:szCs w:val="18"/>
              </w:rPr>
              <w:t>区域因素</w:t>
            </w:r>
          </w:p>
        </w:tc>
        <w:tc>
          <w:tcPr>
            <w:tcW w:w="2222" w:type="dxa"/>
            <w:tcBorders>
              <w:top w:val="single" w:sz="4" w:space="0" w:color="000000"/>
              <w:left w:val="single" w:sz="4" w:space="0" w:color="000000"/>
              <w:bottom w:val="single" w:sz="4" w:space="0" w:color="000000"/>
            </w:tcBorders>
            <w:shd w:fill="auto" w:val="clear"/>
            <w:vAlign w:val="center"/>
          </w:tcPr>
          <w:p>
            <w:pPr>
              <w:pStyle w:val="Normal"/>
              <w:spacing w:lineRule="exact" w:line="240"/>
              <w:rPr>
                <w:rFonts w:ascii="Arial" w:hAnsi="Arial" w:eastAsia="仿宋_GB2312;仿宋" w:cs="Arial"/>
                <w:sz w:val="18"/>
                <w:szCs w:val="18"/>
              </w:rPr>
            </w:pPr>
            <w:r>
              <w:rPr>
                <w:rFonts w:ascii="Arial" w:hAnsi="Arial" w:cs="Arial" w:eastAsia="仿宋_GB2312;仿宋"/>
                <w:sz w:val="18"/>
                <w:szCs w:val="18"/>
              </w:rPr>
              <w:t>产业聚集度</w:t>
            </w:r>
          </w:p>
        </w:tc>
        <w:tc>
          <w:tcPr>
            <w:tcW w:w="165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20"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105</w:t>
            </w:r>
          </w:p>
        </w:tc>
        <w:tc>
          <w:tcPr>
            <w:tcW w:w="15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105</w:t>
            </w:r>
          </w:p>
        </w:tc>
        <w:tc>
          <w:tcPr>
            <w:tcW w:w="160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105</w:t>
            </w:r>
          </w:p>
        </w:tc>
      </w:tr>
      <w:tr>
        <w:trPr>
          <w:cantSplit w:val="true"/>
        </w:trPr>
        <w:tc>
          <w:tcPr>
            <w:tcW w:w="711"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18"/>
                <w:szCs w:val="18"/>
              </w:rPr>
            </w:pPr>
            <w:r>
              <w:rPr>
                <w:rFonts w:eastAsia="仿宋_GB2312;仿宋" w:cs="Arial" w:ascii="Arial" w:hAnsi="Arial"/>
                <w:sz w:val="18"/>
                <w:szCs w:val="18"/>
              </w:rPr>
            </w:r>
          </w:p>
        </w:tc>
        <w:tc>
          <w:tcPr>
            <w:tcW w:w="2222" w:type="dxa"/>
            <w:tcBorders>
              <w:top w:val="single" w:sz="4" w:space="0" w:color="000000"/>
              <w:left w:val="single" w:sz="4" w:space="0" w:color="000000"/>
              <w:bottom w:val="single" w:sz="4" w:space="0" w:color="000000"/>
            </w:tcBorders>
            <w:shd w:fill="auto" w:val="clear"/>
            <w:vAlign w:val="center"/>
          </w:tcPr>
          <w:p>
            <w:pPr>
              <w:pStyle w:val="Normal"/>
              <w:spacing w:lineRule="exact" w:line="240"/>
              <w:rPr>
                <w:rFonts w:ascii="Arial" w:hAnsi="Arial" w:eastAsia="仿宋_GB2312;仿宋" w:cs="Arial"/>
                <w:sz w:val="18"/>
                <w:szCs w:val="18"/>
              </w:rPr>
            </w:pPr>
            <w:r>
              <w:rPr>
                <w:rFonts w:ascii="Arial" w:hAnsi="Arial" w:cs="Arial" w:eastAsia="仿宋_GB2312;仿宋"/>
                <w:sz w:val="18"/>
                <w:szCs w:val="18"/>
              </w:rPr>
              <w:t>交通便捷度</w:t>
            </w:r>
          </w:p>
        </w:tc>
        <w:tc>
          <w:tcPr>
            <w:tcW w:w="165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20"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97</w:t>
            </w:r>
          </w:p>
        </w:tc>
        <w:tc>
          <w:tcPr>
            <w:tcW w:w="15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97</w:t>
            </w:r>
          </w:p>
        </w:tc>
        <w:tc>
          <w:tcPr>
            <w:tcW w:w="160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r>
      <w:tr>
        <w:trPr>
          <w:cantSplit w:val="true"/>
        </w:trPr>
        <w:tc>
          <w:tcPr>
            <w:tcW w:w="711"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18"/>
                <w:szCs w:val="18"/>
              </w:rPr>
            </w:pPr>
            <w:r>
              <w:rPr>
                <w:rFonts w:eastAsia="仿宋_GB2312;仿宋" w:cs="Arial" w:ascii="Arial" w:hAnsi="Arial"/>
                <w:sz w:val="18"/>
                <w:szCs w:val="18"/>
              </w:rPr>
            </w:r>
          </w:p>
        </w:tc>
        <w:tc>
          <w:tcPr>
            <w:tcW w:w="2222" w:type="dxa"/>
            <w:tcBorders>
              <w:top w:val="single" w:sz="4" w:space="0" w:color="000000"/>
              <w:left w:val="single" w:sz="4" w:space="0" w:color="000000"/>
              <w:bottom w:val="single" w:sz="4" w:space="0" w:color="000000"/>
            </w:tcBorders>
            <w:shd w:fill="auto" w:val="clear"/>
            <w:vAlign w:val="center"/>
          </w:tcPr>
          <w:p>
            <w:pPr>
              <w:pStyle w:val="Normal"/>
              <w:spacing w:lineRule="exact" w:line="240"/>
              <w:rPr>
                <w:rFonts w:ascii="Arial" w:hAnsi="Arial" w:eastAsia="仿宋_GB2312;仿宋" w:cs="Arial"/>
                <w:sz w:val="18"/>
                <w:szCs w:val="18"/>
              </w:rPr>
            </w:pPr>
            <w:r>
              <w:rPr>
                <w:rFonts w:ascii="Arial" w:hAnsi="Arial" w:cs="Arial" w:eastAsia="仿宋_GB2312;仿宋"/>
                <w:sz w:val="18"/>
                <w:szCs w:val="18"/>
              </w:rPr>
              <w:t>区域土地利用方向</w:t>
            </w:r>
          </w:p>
        </w:tc>
        <w:tc>
          <w:tcPr>
            <w:tcW w:w="165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20"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60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r>
      <w:tr>
        <w:trPr>
          <w:cantSplit w:val="true"/>
        </w:trPr>
        <w:tc>
          <w:tcPr>
            <w:tcW w:w="711"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18"/>
                <w:szCs w:val="18"/>
              </w:rPr>
            </w:pPr>
            <w:r>
              <w:rPr>
                <w:rFonts w:eastAsia="仿宋_GB2312;仿宋" w:cs="Arial" w:ascii="Arial" w:hAnsi="Arial"/>
                <w:sz w:val="18"/>
                <w:szCs w:val="18"/>
              </w:rPr>
            </w:r>
          </w:p>
        </w:tc>
        <w:tc>
          <w:tcPr>
            <w:tcW w:w="2222" w:type="dxa"/>
            <w:tcBorders>
              <w:top w:val="single" w:sz="4" w:space="0" w:color="000000"/>
              <w:left w:val="single" w:sz="4" w:space="0" w:color="000000"/>
              <w:bottom w:val="single" w:sz="4" w:space="0" w:color="000000"/>
            </w:tcBorders>
            <w:shd w:fill="auto" w:val="clear"/>
            <w:vAlign w:val="center"/>
          </w:tcPr>
          <w:p>
            <w:pPr>
              <w:pStyle w:val="Normal"/>
              <w:spacing w:lineRule="exact" w:line="240"/>
              <w:rPr>
                <w:rFonts w:ascii="Arial" w:hAnsi="Arial" w:eastAsia="仿宋_GB2312;仿宋" w:cs="Arial"/>
                <w:sz w:val="18"/>
                <w:szCs w:val="18"/>
              </w:rPr>
            </w:pPr>
            <w:r>
              <w:rPr>
                <w:rFonts w:ascii="Arial" w:hAnsi="Arial" w:cs="Arial" w:eastAsia="仿宋_GB2312;仿宋"/>
                <w:sz w:val="18"/>
                <w:szCs w:val="18"/>
              </w:rPr>
              <w:t>区域设施及基础设施水平</w:t>
            </w:r>
          </w:p>
        </w:tc>
        <w:tc>
          <w:tcPr>
            <w:tcW w:w="165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20"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98</w:t>
            </w:r>
          </w:p>
        </w:tc>
        <w:tc>
          <w:tcPr>
            <w:tcW w:w="160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98</w:t>
            </w:r>
          </w:p>
        </w:tc>
      </w:tr>
      <w:tr>
        <w:trPr>
          <w:cantSplit w:val="true"/>
        </w:trPr>
        <w:tc>
          <w:tcPr>
            <w:tcW w:w="711"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18"/>
                <w:szCs w:val="18"/>
              </w:rPr>
            </w:pPr>
            <w:r>
              <w:rPr>
                <w:rFonts w:eastAsia="仿宋_GB2312;仿宋" w:cs="Arial" w:ascii="Arial" w:hAnsi="Arial"/>
                <w:sz w:val="18"/>
                <w:szCs w:val="18"/>
              </w:rPr>
            </w:r>
          </w:p>
        </w:tc>
        <w:tc>
          <w:tcPr>
            <w:tcW w:w="222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rPr>
                <w:rFonts w:ascii="Arial" w:hAnsi="Arial" w:eastAsia="仿宋_GB2312;仿宋" w:cs="Arial"/>
                <w:sz w:val="18"/>
                <w:szCs w:val="18"/>
              </w:rPr>
            </w:pPr>
            <w:r>
              <w:rPr>
                <w:rFonts w:ascii="Arial" w:hAnsi="Arial" w:cs="Arial" w:eastAsia="仿宋_GB2312;仿宋"/>
                <w:sz w:val="18"/>
                <w:szCs w:val="18"/>
              </w:rPr>
              <w:t>环境状况</w:t>
            </w:r>
          </w:p>
        </w:tc>
        <w:tc>
          <w:tcPr>
            <w:tcW w:w="165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20"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60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98</w:t>
            </w:r>
          </w:p>
        </w:tc>
      </w:tr>
      <w:tr>
        <w:trPr>
          <w:cantSplit w:val="true"/>
        </w:trPr>
        <w:tc>
          <w:tcPr>
            <w:tcW w:w="711"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ascii="Arial" w:hAnsi="Arial" w:cs="Arial" w:eastAsia="仿宋_GB2312;仿宋"/>
                <w:sz w:val="18"/>
                <w:szCs w:val="18"/>
              </w:rPr>
              <w:t>个别因素</w:t>
            </w:r>
          </w:p>
        </w:tc>
        <w:tc>
          <w:tcPr>
            <w:tcW w:w="222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rPr>
                <w:rFonts w:ascii="Arial" w:hAnsi="Arial" w:eastAsia="仿宋_GB2312;仿宋" w:cs="Arial"/>
                <w:sz w:val="18"/>
                <w:szCs w:val="18"/>
              </w:rPr>
            </w:pPr>
            <w:r>
              <w:rPr>
                <w:rFonts w:ascii="Arial" w:hAnsi="Arial" w:cs="Arial" w:eastAsia="仿宋_GB2312;仿宋"/>
                <w:sz w:val="18"/>
                <w:szCs w:val="18"/>
              </w:rPr>
              <w:t>宗地面积</w:t>
            </w:r>
          </w:p>
        </w:tc>
        <w:tc>
          <w:tcPr>
            <w:tcW w:w="165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20"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99</w:t>
            </w:r>
          </w:p>
        </w:tc>
        <w:tc>
          <w:tcPr>
            <w:tcW w:w="15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60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r>
      <w:tr>
        <w:trPr>
          <w:cantSplit w:val="true"/>
        </w:trPr>
        <w:tc>
          <w:tcPr>
            <w:tcW w:w="711"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18"/>
                <w:szCs w:val="18"/>
              </w:rPr>
            </w:pPr>
            <w:r>
              <w:rPr>
                <w:rFonts w:eastAsia="仿宋_GB2312;仿宋" w:cs="Arial" w:ascii="Arial" w:hAnsi="Arial"/>
                <w:sz w:val="18"/>
                <w:szCs w:val="18"/>
              </w:rPr>
            </w:r>
          </w:p>
        </w:tc>
        <w:tc>
          <w:tcPr>
            <w:tcW w:w="222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rPr>
                <w:rFonts w:ascii="Arial" w:hAnsi="Arial" w:eastAsia="仿宋_GB2312;仿宋" w:cs="Arial"/>
                <w:sz w:val="18"/>
                <w:szCs w:val="18"/>
              </w:rPr>
            </w:pPr>
            <w:r>
              <w:rPr>
                <w:rFonts w:ascii="Arial" w:hAnsi="Arial" w:cs="Arial" w:eastAsia="仿宋_GB2312;仿宋"/>
                <w:sz w:val="18"/>
                <w:szCs w:val="18"/>
              </w:rPr>
              <w:t>宗地形状</w:t>
            </w:r>
          </w:p>
        </w:tc>
        <w:tc>
          <w:tcPr>
            <w:tcW w:w="165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20"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103</w:t>
            </w:r>
          </w:p>
        </w:tc>
        <w:tc>
          <w:tcPr>
            <w:tcW w:w="15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103</w:t>
            </w:r>
          </w:p>
        </w:tc>
        <w:tc>
          <w:tcPr>
            <w:tcW w:w="160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103</w:t>
            </w:r>
          </w:p>
        </w:tc>
      </w:tr>
      <w:tr>
        <w:trPr>
          <w:cantSplit w:val="true"/>
        </w:trPr>
        <w:tc>
          <w:tcPr>
            <w:tcW w:w="711"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18"/>
                <w:szCs w:val="18"/>
              </w:rPr>
            </w:pPr>
            <w:r>
              <w:rPr>
                <w:rFonts w:eastAsia="仿宋_GB2312;仿宋" w:cs="Arial" w:ascii="Arial" w:hAnsi="Arial"/>
                <w:sz w:val="18"/>
                <w:szCs w:val="18"/>
              </w:rPr>
            </w:r>
          </w:p>
        </w:tc>
        <w:tc>
          <w:tcPr>
            <w:tcW w:w="222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rPr>
                <w:rFonts w:ascii="Arial" w:hAnsi="Arial" w:eastAsia="仿宋_GB2312;仿宋" w:cs="Arial"/>
                <w:sz w:val="18"/>
                <w:szCs w:val="18"/>
              </w:rPr>
            </w:pPr>
            <w:r>
              <w:rPr>
                <w:rFonts w:ascii="Arial" w:hAnsi="Arial" w:cs="Arial" w:eastAsia="仿宋_GB2312;仿宋"/>
                <w:sz w:val="18"/>
                <w:szCs w:val="18"/>
              </w:rPr>
              <w:t>宗地开发程度</w:t>
            </w:r>
          </w:p>
        </w:tc>
        <w:tc>
          <w:tcPr>
            <w:tcW w:w="165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20"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60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ind w:right="31" w:hanging="0"/>
              <w:rPr/>
            </w:pPr>
            <w:r>
              <w:rPr>
                <w:rFonts w:eastAsia="仿宋_GB2312;仿宋" w:cs="Arial" w:ascii="Arial" w:hAnsi="Arial"/>
                <w:sz w:val="18"/>
                <w:szCs w:val="18"/>
              </w:rPr>
              <w:t>9</w:t>
            </w:r>
            <w:r>
              <w:rPr>
                <w:rFonts w:eastAsia="仿宋_GB2312;仿宋" w:cs="Arial" w:ascii="Arial" w:hAnsi="Arial"/>
                <w:sz w:val="18"/>
                <w:szCs w:val="18"/>
              </w:rPr>
              <w:t>0</w:t>
            </w:r>
          </w:p>
        </w:tc>
      </w:tr>
      <w:tr>
        <w:trPr>
          <w:cantSplit w:val="true"/>
        </w:trPr>
        <w:tc>
          <w:tcPr>
            <w:tcW w:w="711"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18"/>
                <w:szCs w:val="18"/>
              </w:rPr>
            </w:pPr>
            <w:r>
              <w:rPr>
                <w:rFonts w:eastAsia="仿宋_GB2312;仿宋" w:cs="Arial" w:ascii="Arial" w:hAnsi="Arial"/>
                <w:sz w:val="18"/>
                <w:szCs w:val="18"/>
              </w:rPr>
            </w:r>
          </w:p>
        </w:tc>
        <w:tc>
          <w:tcPr>
            <w:tcW w:w="222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rPr>
                <w:rFonts w:ascii="Arial" w:hAnsi="Arial" w:eastAsia="仿宋_GB2312;仿宋" w:cs="Arial"/>
                <w:sz w:val="18"/>
                <w:szCs w:val="18"/>
              </w:rPr>
            </w:pPr>
            <w:r>
              <w:rPr>
                <w:rFonts w:ascii="Arial" w:hAnsi="Arial" w:cs="Arial" w:eastAsia="仿宋_GB2312;仿宋"/>
                <w:sz w:val="18"/>
                <w:szCs w:val="18"/>
              </w:rPr>
              <w:t>宗地容积率</w:t>
            </w:r>
          </w:p>
        </w:tc>
        <w:tc>
          <w:tcPr>
            <w:tcW w:w="165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20"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5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c>
          <w:tcPr>
            <w:tcW w:w="160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100</w:t>
            </w:r>
          </w:p>
        </w:tc>
      </w:tr>
    </w:tbl>
    <w:p>
      <w:pPr>
        <w:pStyle w:val="Normal"/>
        <w:spacing w:lineRule="auto" w:line="360"/>
        <w:ind w:firstLine="560"/>
        <w:jc w:val="both"/>
        <w:rPr>
          <w:rFonts w:ascii="Arial" w:hAnsi="Arial" w:eastAsia="仿宋_GB2312;仿宋" w:cs="Arial"/>
          <w:sz w:val="28"/>
          <w:szCs w:val="28"/>
        </w:rPr>
      </w:pPr>
      <w:r>
        <w:rPr>
          <w:rFonts w:ascii="Arial" w:hAnsi="Arial" w:cs="Arial" w:eastAsia="仿宋_GB2312;仿宋"/>
          <w:sz w:val="28"/>
          <w:szCs w:val="28"/>
        </w:rPr>
        <w:t>（</w:t>
      </w:r>
      <w:r>
        <w:rPr>
          <w:rFonts w:eastAsia="仿宋_GB2312;仿宋" w:cs="Arial" w:ascii="Arial" w:hAnsi="Arial"/>
          <w:sz w:val="28"/>
          <w:szCs w:val="28"/>
        </w:rPr>
        <w:t>6</w:t>
      </w:r>
      <w:r>
        <w:rPr>
          <w:rFonts w:ascii="Arial" w:hAnsi="Arial" w:cs="Arial" w:eastAsia="仿宋_GB2312;仿宋"/>
          <w:sz w:val="28"/>
          <w:szCs w:val="28"/>
        </w:rPr>
        <w:t>）因素修正</w:t>
      </w:r>
    </w:p>
    <w:p>
      <w:pPr>
        <w:pStyle w:val="Normal"/>
        <w:spacing w:lineRule="auto" w:line="360"/>
        <w:ind w:firstLine="560"/>
        <w:jc w:val="both"/>
        <w:rPr>
          <w:rFonts w:ascii="Arial" w:hAnsi="Arial" w:eastAsia="仿宋_GB2312;仿宋" w:cs="Arial"/>
          <w:sz w:val="28"/>
          <w:szCs w:val="28"/>
        </w:rPr>
      </w:pPr>
      <w:r>
        <w:rPr>
          <w:rFonts w:ascii="Arial" w:hAnsi="Arial" w:cs="Arial" w:eastAsia="仿宋_GB2312;仿宋"/>
          <w:sz w:val="28"/>
          <w:szCs w:val="28"/>
        </w:rPr>
        <w:t>在各因素条件指数表的基础上，进行比较实例交易时间、交易情况、土地用途、土地级别、区域因素、个别因素修正，即估价对象的因素条件指数与比较实例的因素条件进行比较，得到各因素修正系数，计算得出估价对象单位面积地价：</w:t>
      </w:r>
      <w:r>
        <w:br w:type="page"/>
      </w:r>
    </w:p>
    <w:p>
      <w:pPr>
        <w:pStyle w:val="Normal"/>
        <w:spacing w:lineRule="auto" w:line="360"/>
        <w:jc w:val="center"/>
        <w:rPr>
          <w:rFonts w:cs="Arial"/>
        </w:rPr>
      </w:pPr>
      <w:r>
        <w:rPr>
          <w:rFonts w:ascii="Arial" w:hAnsi="Arial" w:cs="Arial" w:eastAsia="仿宋_GB2312;仿宋"/>
          <w:b/>
          <w:bCs/>
          <w:szCs w:val="24"/>
        </w:rPr>
        <w:t>因素比较修正系数表</w:t>
      </w:r>
    </w:p>
    <w:tbl>
      <w:tblPr>
        <w:tblW w:w="9305" w:type="dxa"/>
        <w:jc w:val="center"/>
        <w:tblInd w:w="0" w:type="dxa"/>
        <w:tblCellMar>
          <w:top w:w="57" w:type="dxa"/>
          <w:left w:w="28" w:type="dxa"/>
          <w:bottom w:w="57" w:type="dxa"/>
          <w:right w:w="28" w:type="dxa"/>
        </w:tblCellMar>
      </w:tblPr>
      <w:tblGrid>
        <w:gridCol w:w="1136"/>
        <w:gridCol w:w="2191"/>
        <w:gridCol w:w="503"/>
        <w:gridCol w:w="1474"/>
        <w:gridCol w:w="510"/>
        <w:gridCol w:w="1488"/>
        <w:gridCol w:w="497"/>
        <w:gridCol w:w="1506"/>
      </w:tblGrid>
      <w:tr>
        <w:trPr>
          <w:cantSplit w:val="true"/>
        </w:trPr>
        <w:tc>
          <w:tcPr>
            <w:tcW w:w="3327" w:type="dxa"/>
            <w:gridSpan w:val="2"/>
            <w:tcBorders>
              <w:top w:val="single" w:sz="2" w:space="0" w:color="404040"/>
              <w:left w:val="single" w:sz="2" w:space="0" w:color="404040"/>
              <w:bottom w:val="single" w:sz="6" w:space="0" w:color="40404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ascii="Arial" w:hAnsi="Arial" w:cs="Arial" w:eastAsia="仿宋_GB2312;仿宋"/>
                <w:sz w:val="18"/>
                <w:szCs w:val="18"/>
              </w:rPr>
              <w:t>比较因素</w:t>
            </w:r>
          </w:p>
        </w:tc>
        <w:tc>
          <w:tcPr>
            <w:tcW w:w="1977" w:type="dxa"/>
            <w:gridSpan w:val="2"/>
            <w:tcBorders>
              <w:top w:val="single" w:sz="2" w:space="0" w:color="404040"/>
              <w:left w:val="single" w:sz="6" w:space="0" w:color="404040"/>
              <w:bottom w:val="single" w:sz="6" w:space="0" w:color="404040"/>
            </w:tcBorders>
            <w:shd w:fill="auto" w:val="clear"/>
            <w:vAlign w:val="center"/>
          </w:tcPr>
          <w:p>
            <w:pPr>
              <w:pStyle w:val="Normal"/>
              <w:widowControl/>
              <w:spacing w:lineRule="exact" w:line="240"/>
              <w:ind w:left="-3" w:right="31" w:hanging="16"/>
              <w:rPr/>
            </w:pPr>
            <w:r>
              <w:rPr>
                <w:rFonts w:ascii="Arial" w:hAnsi="Arial" w:cs="Arial" w:eastAsia="仿宋_GB2312;仿宋"/>
                <w:sz w:val="18"/>
                <w:szCs w:val="18"/>
              </w:rPr>
              <w:t>实例</w:t>
            </w:r>
            <w:r>
              <w:rPr>
                <w:rFonts w:eastAsia="仿宋_GB2312;仿宋" w:cs="Arial" w:ascii="Arial" w:hAnsi="Arial"/>
                <w:sz w:val="18"/>
                <w:szCs w:val="18"/>
              </w:rPr>
              <w:t>A</w:t>
            </w:r>
          </w:p>
        </w:tc>
        <w:tc>
          <w:tcPr>
            <w:tcW w:w="1998" w:type="dxa"/>
            <w:gridSpan w:val="2"/>
            <w:tcBorders>
              <w:top w:val="single" w:sz="2" w:space="0" w:color="404040"/>
              <w:left w:val="single" w:sz="6" w:space="0" w:color="404040"/>
              <w:bottom w:val="single" w:sz="6" w:space="0" w:color="404040"/>
            </w:tcBorders>
            <w:shd w:fill="auto" w:val="clear"/>
            <w:vAlign w:val="center"/>
          </w:tcPr>
          <w:p>
            <w:pPr>
              <w:pStyle w:val="Normal"/>
              <w:widowControl/>
              <w:spacing w:lineRule="exact" w:line="240"/>
              <w:ind w:left="-3" w:right="31" w:hanging="16"/>
              <w:rPr/>
            </w:pPr>
            <w:r>
              <w:rPr>
                <w:rFonts w:ascii="Arial" w:hAnsi="Arial" w:cs="Arial" w:eastAsia="仿宋_GB2312;仿宋"/>
                <w:sz w:val="18"/>
                <w:szCs w:val="18"/>
              </w:rPr>
              <w:t>实例</w:t>
            </w:r>
            <w:r>
              <w:rPr>
                <w:rFonts w:eastAsia="仿宋_GB2312;仿宋" w:cs="Arial" w:ascii="Arial" w:hAnsi="Arial"/>
                <w:sz w:val="18"/>
                <w:szCs w:val="18"/>
              </w:rPr>
              <w:t>B</w:t>
            </w:r>
          </w:p>
        </w:tc>
        <w:tc>
          <w:tcPr>
            <w:tcW w:w="2003" w:type="dxa"/>
            <w:gridSpan w:val="2"/>
            <w:tcBorders>
              <w:top w:val="single" w:sz="2" w:space="0" w:color="404040"/>
              <w:left w:val="single" w:sz="6" w:space="0" w:color="404040"/>
              <w:bottom w:val="single" w:sz="6" w:space="0" w:color="404040"/>
              <w:right w:val="single" w:sz="2" w:space="0" w:color="404040"/>
            </w:tcBorders>
            <w:shd w:fill="auto" w:val="clear"/>
            <w:vAlign w:val="center"/>
          </w:tcPr>
          <w:p>
            <w:pPr>
              <w:pStyle w:val="Normal"/>
              <w:widowControl/>
              <w:spacing w:lineRule="exact" w:line="240"/>
              <w:ind w:left="-3" w:right="31" w:hanging="16"/>
              <w:rPr/>
            </w:pPr>
            <w:r>
              <w:rPr>
                <w:rFonts w:ascii="Arial" w:hAnsi="Arial" w:cs="Arial" w:eastAsia="仿宋_GB2312;仿宋"/>
                <w:sz w:val="18"/>
                <w:szCs w:val="18"/>
              </w:rPr>
              <w:t>实例</w:t>
            </w:r>
            <w:r>
              <w:rPr>
                <w:rFonts w:eastAsia="仿宋_GB2312;仿宋" w:cs="Arial" w:ascii="Arial" w:hAnsi="Arial"/>
                <w:sz w:val="18"/>
                <w:szCs w:val="18"/>
              </w:rPr>
              <w:t>C</w:t>
            </w:r>
          </w:p>
        </w:tc>
      </w:tr>
      <w:tr>
        <w:trPr>
          <w:cantSplit w:val="true"/>
        </w:trPr>
        <w:tc>
          <w:tcPr>
            <w:tcW w:w="3327" w:type="dxa"/>
            <w:gridSpan w:val="2"/>
            <w:tcBorders>
              <w:top w:val="single" w:sz="6" w:space="0" w:color="404040"/>
              <w:left w:val="single" w:sz="2" w:space="0" w:color="404040"/>
              <w:bottom w:val="single" w:sz="6" w:space="0" w:color="40404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ascii="Arial" w:hAnsi="Arial" w:cs="Arial" w:eastAsia="仿宋_GB2312;仿宋"/>
                <w:sz w:val="18"/>
                <w:szCs w:val="18"/>
              </w:rPr>
              <w:t>交易时间</w:t>
            </w:r>
          </w:p>
        </w:tc>
        <w:tc>
          <w:tcPr>
            <w:tcW w:w="503" w:type="dxa"/>
            <w:tcBorders>
              <w:top w:val="single" w:sz="6" w:space="0" w:color="404040"/>
              <w:left w:val="single" w:sz="6" w:space="0" w:color="404040"/>
              <w:bottom w:val="single" w:sz="6" w:space="0" w:color="40404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74" w:type="dxa"/>
            <w:tcBorders>
              <w:top w:val="single" w:sz="6" w:space="0" w:color="404040"/>
              <w:bottom w:val="single" w:sz="6" w:space="0" w:color="40404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85.29</w:t>
            </w:r>
          </w:p>
        </w:tc>
        <w:tc>
          <w:tcPr>
            <w:tcW w:w="510" w:type="dxa"/>
            <w:tcBorders>
              <w:top w:val="single" w:sz="6" w:space="0" w:color="404040"/>
              <w:left w:val="single" w:sz="6" w:space="0" w:color="404040"/>
              <w:bottom w:val="single" w:sz="6" w:space="0" w:color="40404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88" w:type="dxa"/>
            <w:tcBorders>
              <w:top w:val="single" w:sz="6" w:space="0" w:color="404040"/>
              <w:bottom w:val="single" w:sz="6" w:space="0" w:color="40404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83.83</w:t>
            </w:r>
          </w:p>
        </w:tc>
        <w:tc>
          <w:tcPr>
            <w:tcW w:w="497" w:type="dxa"/>
            <w:tcBorders>
              <w:top w:val="single" w:sz="6" w:space="0" w:color="404040"/>
              <w:left w:val="single" w:sz="6" w:space="0" w:color="404040"/>
              <w:bottom w:val="single" w:sz="6" w:space="0" w:color="40404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506" w:type="dxa"/>
            <w:tcBorders>
              <w:top w:val="single" w:sz="6" w:space="0" w:color="404040"/>
              <w:bottom w:val="single" w:sz="6" w:space="0" w:color="404040"/>
              <w:right w:val="single" w:sz="2" w:space="0" w:color="40404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r>
      <w:tr>
        <w:trPr>
          <w:cantSplit w:val="true"/>
        </w:trPr>
        <w:tc>
          <w:tcPr>
            <w:tcW w:w="3327" w:type="dxa"/>
            <w:gridSpan w:val="2"/>
            <w:tcBorders>
              <w:top w:val="single" w:sz="6" w:space="0" w:color="404040"/>
              <w:left w:val="single" w:sz="2" w:space="0" w:color="404040"/>
              <w:bottom w:val="single" w:sz="6" w:space="0" w:color="40404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ascii="Arial" w:hAnsi="Arial" w:cs="Arial" w:eastAsia="仿宋_GB2312;仿宋"/>
                <w:sz w:val="18"/>
                <w:szCs w:val="18"/>
              </w:rPr>
              <w:t>交易情况</w:t>
            </w:r>
          </w:p>
        </w:tc>
        <w:tc>
          <w:tcPr>
            <w:tcW w:w="503" w:type="dxa"/>
            <w:tcBorders>
              <w:top w:val="single" w:sz="6" w:space="0" w:color="404040"/>
              <w:left w:val="single" w:sz="6" w:space="0" w:color="404040"/>
              <w:bottom w:val="single" w:sz="6" w:space="0" w:color="40404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74" w:type="dxa"/>
            <w:tcBorders>
              <w:top w:val="single" w:sz="6" w:space="0" w:color="404040"/>
              <w:bottom w:val="single" w:sz="6" w:space="0" w:color="40404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c>
          <w:tcPr>
            <w:tcW w:w="510" w:type="dxa"/>
            <w:tcBorders>
              <w:top w:val="single" w:sz="6" w:space="0" w:color="404040"/>
              <w:left w:val="single" w:sz="6" w:space="0" w:color="404040"/>
              <w:bottom w:val="single" w:sz="6" w:space="0" w:color="40404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88" w:type="dxa"/>
            <w:tcBorders>
              <w:top w:val="single" w:sz="6" w:space="0" w:color="404040"/>
              <w:bottom w:val="single" w:sz="6" w:space="0" w:color="40404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c>
          <w:tcPr>
            <w:tcW w:w="497" w:type="dxa"/>
            <w:tcBorders>
              <w:top w:val="single" w:sz="6" w:space="0" w:color="404040"/>
              <w:left w:val="single" w:sz="6" w:space="0" w:color="404040"/>
              <w:bottom w:val="single" w:sz="6" w:space="0" w:color="40404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506" w:type="dxa"/>
            <w:tcBorders>
              <w:top w:val="single" w:sz="6" w:space="0" w:color="404040"/>
              <w:bottom w:val="single" w:sz="6" w:space="0" w:color="404040"/>
              <w:right w:val="single" w:sz="2" w:space="0" w:color="40404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r>
      <w:tr>
        <w:trPr>
          <w:cantSplit w:val="true"/>
        </w:trPr>
        <w:tc>
          <w:tcPr>
            <w:tcW w:w="3327" w:type="dxa"/>
            <w:gridSpan w:val="2"/>
            <w:tcBorders>
              <w:top w:val="single" w:sz="6" w:space="0" w:color="404040"/>
              <w:left w:val="single" w:sz="2" w:space="0" w:color="404040"/>
              <w:bottom w:val="single" w:sz="6" w:space="0" w:color="40404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ascii="Arial" w:hAnsi="Arial" w:cs="Arial" w:eastAsia="仿宋_GB2312;仿宋"/>
                <w:sz w:val="18"/>
                <w:szCs w:val="18"/>
              </w:rPr>
              <w:t>土地用途</w:t>
            </w:r>
          </w:p>
        </w:tc>
        <w:tc>
          <w:tcPr>
            <w:tcW w:w="503" w:type="dxa"/>
            <w:tcBorders>
              <w:top w:val="single" w:sz="6" w:space="0" w:color="404040"/>
              <w:left w:val="single" w:sz="6" w:space="0" w:color="404040"/>
              <w:bottom w:val="single" w:sz="6" w:space="0" w:color="40404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74" w:type="dxa"/>
            <w:tcBorders>
              <w:top w:val="single" w:sz="6" w:space="0" w:color="404040"/>
              <w:bottom w:val="single" w:sz="6" w:space="0" w:color="40404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c>
          <w:tcPr>
            <w:tcW w:w="510" w:type="dxa"/>
            <w:tcBorders>
              <w:top w:val="single" w:sz="6" w:space="0" w:color="404040"/>
              <w:left w:val="single" w:sz="6" w:space="0" w:color="404040"/>
              <w:bottom w:val="single" w:sz="6" w:space="0" w:color="40404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88" w:type="dxa"/>
            <w:tcBorders>
              <w:top w:val="single" w:sz="6" w:space="0" w:color="404040"/>
              <w:bottom w:val="single" w:sz="6" w:space="0" w:color="40404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c>
          <w:tcPr>
            <w:tcW w:w="497" w:type="dxa"/>
            <w:tcBorders>
              <w:top w:val="single" w:sz="6" w:space="0" w:color="404040"/>
              <w:left w:val="single" w:sz="6" w:space="0" w:color="404040"/>
              <w:bottom w:val="single" w:sz="6" w:space="0" w:color="40404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506" w:type="dxa"/>
            <w:tcBorders>
              <w:top w:val="single" w:sz="6" w:space="0" w:color="404040"/>
              <w:bottom w:val="single" w:sz="6" w:space="0" w:color="404040"/>
              <w:right w:val="single" w:sz="2" w:space="0" w:color="40404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r>
      <w:tr>
        <w:trPr>
          <w:cantSplit w:val="true"/>
        </w:trPr>
        <w:tc>
          <w:tcPr>
            <w:tcW w:w="1136" w:type="dxa"/>
            <w:vMerge w:val="restart"/>
            <w:tcBorders>
              <w:top w:val="single" w:sz="6" w:space="0" w:color="808080"/>
              <w:left w:val="single" w:sz="2" w:space="0" w:color="808080"/>
              <w:bottom w:val="single" w:sz="6" w:space="0" w:color="80808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ascii="Arial" w:hAnsi="Arial" w:cs="Arial" w:eastAsia="仿宋_GB2312;仿宋"/>
                <w:sz w:val="18"/>
                <w:szCs w:val="18"/>
              </w:rPr>
              <w:t>区域因素</w:t>
            </w:r>
          </w:p>
        </w:tc>
        <w:tc>
          <w:tcPr>
            <w:tcW w:w="2191" w:type="dxa"/>
            <w:tcBorders>
              <w:top w:val="single" w:sz="6" w:space="0" w:color="808080"/>
              <w:left w:val="single" w:sz="6" w:space="0" w:color="808080"/>
              <w:bottom w:val="single" w:sz="6" w:space="0" w:color="808080"/>
            </w:tcBorders>
            <w:shd w:fill="auto" w:val="clear"/>
            <w:vAlign w:val="center"/>
          </w:tcPr>
          <w:p>
            <w:pPr>
              <w:pStyle w:val="Normal"/>
              <w:spacing w:lineRule="exact" w:line="240"/>
              <w:rPr>
                <w:rFonts w:ascii="Arial" w:hAnsi="Arial" w:eastAsia="仿宋_GB2312;仿宋" w:cs="Arial"/>
                <w:sz w:val="18"/>
                <w:szCs w:val="18"/>
              </w:rPr>
            </w:pPr>
            <w:r>
              <w:rPr>
                <w:rFonts w:ascii="Arial" w:hAnsi="Arial" w:cs="Arial" w:eastAsia="仿宋_GB2312;仿宋"/>
                <w:sz w:val="18"/>
                <w:szCs w:val="18"/>
              </w:rPr>
              <w:t>产业聚集度</w:t>
            </w:r>
          </w:p>
        </w:tc>
        <w:tc>
          <w:tcPr>
            <w:tcW w:w="503"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74"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105</w:t>
            </w:r>
          </w:p>
        </w:tc>
        <w:tc>
          <w:tcPr>
            <w:tcW w:w="510"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88"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105</w:t>
            </w:r>
          </w:p>
        </w:tc>
        <w:tc>
          <w:tcPr>
            <w:tcW w:w="497"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506" w:type="dxa"/>
            <w:tcBorders>
              <w:top w:val="single" w:sz="6" w:space="0" w:color="808080"/>
              <w:bottom w:val="single" w:sz="6" w:space="0" w:color="808080"/>
              <w:right w:val="single" w:sz="2"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105</w:t>
            </w:r>
          </w:p>
        </w:tc>
      </w:tr>
      <w:tr>
        <w:trPr>
          <w:cantSplit w:val="true"/>
        </w:trPr>
        <w:tc>
          <w:tcPr>
            <w:tcW w:w="1136" w:type="dxa"/>
            <w:vMerge w:val="continue"/>
            <w:tcBorders>
              <w:top w:val="single" w:sz="6" w:space="0" w:color="808080"/>
              <w:left w:val="single" w:sz="2" w:space="0" w:color="808080"/>
              <w:bottom w:val="single" w:sz="6" w:space="0" w:color="808080"/>
            </w:tcBorders>
            <w:shd w:fill="auto" w:val="clear"/>
            <w:vAlign w:val="center"/>
          </w:tcPr>
          <w:p>
            <w:pPr>
              <w:pStyle w:val="Normal"/>
              <w:widowControl/>
              <w:snapToGrid w:val="false"/>
              <w:spacing w:lineRule="auto" w:line="240"/>
              <w:rPr>
                <w:rFonts w:ascii="Arial" w:hAnsi="Arial" w:eastAsia="仿宋_GB2312;仿宋" w:cs="Arial"/>
                <w:sz w:val="18"/>
                <w:szCs w:val="18"/>
              </w:rPr>
            </w:pPr>
            <w:r>
              <w:rPr>
                <w:rFonts w:eastAsia="仿宋_GB2312;仿宋" w:cs="Arial" w:ascii="Arial" w:hAnsi="Arial"/>
                <w:sz w:val="18"/>
                <w:szCs w:val="18"/>
              </w:rPr>
            </w:r>
          </w:p>
        </w:tc>
        <w:tc>
          <w:tcPr>
            <w:tcW w:w="2191" w:type="dxa"/>
            <w:tcBorders>
              <w:top w:val="single" w:sz="6" w:space="0" w:color="808080"/>
              <w:left w:val="single" w:sz="6" w:space="0" w:color="808080"/>
              <w:bottom w:val="single" w:sz="6" w:space="0" w:color="808080"/>
            </w:tcBorders>
            <w:shd w:fill="auto" w:val="clear"/>
            <w:vAlign w:val="center"/>
          </w:tcPr>
          <w:p>
            <w:pPr>
              <w:pStyle w:val="Normal"/>
              <w:spacing w:lineRule="exact" w:line="240"/>
              <w:rPr>
                <w:rFonts w:ascii="Arial" w:hAnsi="Arial" w:eastAsia="仿宋_GB2312;仿宋" w:cs="Arial"/>
                <w:sz w:val="18"/>
                <w:szCs w:val="18"/>
              </w:rPr>
            </w:pPr>
            <w:r>
              <w:rPr>
                <w:rFonts w:ascii="Arial" w:hAnsi="Arial" w:cs="Arial" w:eastAsia="仿宋_GB2312;仿宋"/>
                <w:sz w:val="18"/>
                <w:szCs w:val="18"/>
              </w:rPr>
              <w:t>交通便捷度</w:t>
            </w:r>
          </w:p>
        </w:tc>
        <w:tc>
          <w:tcPr>
            <w:tcW w:w="503"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74"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97</w:t>
            </w:r>
          </w:p>
        </w:tc>
        <w:tc>
          <w:tcPr>
            <w:tcW w:w="510"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88"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97</w:t>
            </w:r>
          </w:p>
        </w:tc>
        <w:tc>
          <w:tcPr>
            <w:tcW w:w="497"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506" w:type="dxa"/>
            <w:tcBorders>
              <w:top w:val="single" w:sz="6" w:space="0" w:color="808080"/>
              <w:bottom w:val="single" w:sz="6" w:space="0" w:color="808080"/>
              <w:right w:val="single" w:sz="2"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r>
      <w:tr>
        <w:trPr>
          <w:cantSplit w:val="true"/>
        </w:trPr>
        <w:tc>
          <w:tcPr>
            <w:tcW w:w="1136" w:type="dxa"/>
            <w:vMerge w:val="continue"/>
            <w:tcBorders>
              <w:top w:val="single" w:sz="6" w:space="0" w:color="808080"/>
              <w:left w:val="single" w:sz="2" w:space="0" w:color="808080"/>
              <w:bottom w:val="single" w:sz="6" w:space="0" w:color="808080"/>
            </w:tcBorders>
            <w:shd w:fill="auto" w:val="clear"/>
            <w:vAlign w:val="center"/>
          </w:tcPr>
          <w:p>
            <w:pPr>
              <w:pStyle w:val="Normal"/>
              <w:widowControl/>
              <w:snapToGrid w:val="false"/>
              <w:spacing w:lineRule="auto" w:line="240"/>
              <w:rPr>
                <w:rFonts w:ascii="Arial" w:hAnsi="Arial" w:eastAsia="仿宋_GB2312;仿宋" w:cs="Arial"/>
                <w:sz w:val="18"/>
                <w:szCs w:val="18"/>
              </w:rPr>
            </w:pPr>
            <w:r>
              <w:rPr>
                <w:rFonts w:eastAsia="仿宋_GB2312;仿宋" w:cs="Arial" w:ascii="Arial" w:hAnsi="Arial"/>
                <w:sz w:val="18"/>
                <w:szCs w:val="18"/>
              </w:rPr>
            </w:r>
          </w:p>
        </w:tc>
        <w:tc>
          <w:tcPr>
            <w:tcW w:w="2191" w:type="dxa"/>
            <w:tcBorders>
              <w:top w:val="single" w:sz="6" w:space="0" w:color="808080"/>
              <w:left w:val="single" w:sz="6" w:space="0" w:color="808080"/>
              <w:bottom w:val="single" w:sz="6" w:space="0" w:color="808080"/>
            </w:tcBorders>
            <w:shd w:fill="auto" w:val="clear"/>
            <w:vAlign w:val="center"/>
          </w:tcPr>
          <w:p>
            <w:pPr>
              <w:pStyle w:val="Normal"/>
              <w:spacing w:lineRule="exact" w:line="240"/>
              <w:rPr>
                <w:rFonts w:ascii="Arial" w:hAnsi="Arial" w:eastAsia="仿宋_GB2312;仿宋" w:cs="Arial"/>
                <w:sz w:val="18"/>
                <w:szCs w:val="18"/>
              </w:rPr>
            </w:pPr>
            <w:r>
              <w:rPr>
                <w:rFonts w:ascii="Arial" w:hAnsi="Arial" w:cs="Arial" w:eastAsia="仿宋_GB2312;仿宋"/>
                <w:sz w:val="18"/>
                <w:szCs w:val="18"/>
              </w:rPr>
              <w:t>区域土地利用方向</w:t>
            </w:r>
          </w:p>
        </w:tc>
        <w:tc>
          <w:tcPr>
            <w:tcW w:w="503"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74"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c>
          <w:tcPr>
            <w:tcW w:w="510"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88"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c>
          <w:tcPr>
            <w:tcW w:w="497"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506" w:type="dxa"/>
            <w:tcBorders>
              <w:top w:val="single" w:sz="6" w:space="0" w:color="808080"/>
              <w:bottom w:val="single" w:sz="6" w:space="0" w:color="808080"/>
              <w:right w:val="single" w:sz="2"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r>
      <w:tr>
        <w:trPr>
          <w:cantSplit w:val="true"/>
        </w:trPr>
        <w:tc>
          <w:tcPr>
            <w:tcW w:w="1136" w:type="dxa"/>
            <w:vMerge w:val="continue"/>
            <w:tcBorders>
              <w:top w:val="single" w:sz="6" w:space="0" w:color="808080"/>
              <w:left w:val="single" w:sz="2" w:space="0" w:color="808080"/>
              <w:bottom w:val="single" w:sz="6" w:space="0" w:color="808080"/>
            </w:tcBorders>
            <w:shd w:fill="auto" w:val="clear"/>
            <w:vAlign w:val="center"/>
          </w:tcPr>
          <w:p>
            <w:pPr>
              <w:pStyle w:val="Normal"/>
              <w:widowControl/>
              <w:snapToGrid w:val="false"/>
              <w:spacing w:lineRule="auto" w:line="240"/>
              <w:rPr>
                <w:rFonts w:ascii="Arial" w:hAnsi="Arial" w:eastAsia="仿宋_GB2312;仿宋" w:cs="Arial"/>
                <w:sz w:val="18"/>
                <w:szCs w:val="18"/>
              </w:rPr>
            </w:pPr>
            <w:r>
              <w:rPr>
                <w:rFonts w:eastAsia="仿宋_GB2312;仿宋" w:cs="Arial" w:ascii="Arial" w:hAnsi="Arial"/>
                <w:sz w:val="18"/>
                <w:szCs w:val="18"/>
              </w:rPr>
            </w:r>
          </w:p>
        </w:tc>
        <w:tc>
          <w:tcPr>
            <w:tcW w:w="2191" w:type="dxa"/>
            <w:tcBorders>
              <w:top w:val="single" w:sz="6" w:space="0" w:color="808080"/>
              <w:left w:val="single" w:sz="6" w:space="0" w:color="808080"/>
              <w:bottom w:val="single" w:sz="6" w:space="0" w:color="808080"/>
            </w:tcBorders>
            <w:shd w:fill="auto" w:val="clear"/>
            <w:vAlign w:val="center"/>
          </w:tcPr>
          <w:p>
            <w:pPr>
              <w:pStyle w:val="Normal"/>
              <w:spacing w:lineRule="exact" w:line="240"/>
              <w:rPr>
                <w:rFonts w:ascii="Arial" w:hAnsi="Arial" w:eastAsia="仿宋_GB2312;仿宋" w:cs="Arial"/>
                <w:sz w:val="18"/>
                <w:szCs w:val="18"/>
              </w:rPr>
            </w:pPr>
            <w:r>
              <w:rPr>
                <w:rFonts w:ascii="Arial" w:hAnsi="Arial" w:cs="Arial" w:eastAsia="仿宋_GB2312;仿宋"/>
                <w:sz w:val="18"/>
                <w:szCs w:val="18"/>
              </w:rPr>
              <w:t>区域设施及基础设施水平</w:t>
            </w:r>
          </w:p>
        </w:tc>
        <w:tc>
          <w:tcPr>
            <w:tcW w:w="503"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74"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c>
          <w:tcPr>
            <w:tcW w:w="510"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88"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98</w:t>
            </w:r>
          </w:p>
        </w:tc>
        <w:tc>
          <w:tcPr>
            <w:tcW w:w="497"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506" w:type="dxa"/>
            <w:tcBorders>
              <w:top w:val="single" w:sz="6" w:space="0" w:color="808080"/>
              <w:bottom w:val="single" w:sz="6" w:space="0" w:color="808080"/>
              <w:right w:val="single" w:sz="2"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98</w:t>
            </w:r>
          </w:p>
        </w:tc>
      </w:tr>
      <w:tr>
        <w:trPr>
          <w:cantSplit w:val="true"/>
        </w:trPr>
        <w:tc>
          <w:tcPr>
            <w:tcW w:w="1136" w:type="dxa"/>
            <w:vMerge w:val="continue"/>
            <w:tcBorders>
              <w:top w:val="single" w:sz="6" w:space="0" w:color="808080"/>
              <w:left w:val="single" w:sz="2" w:space="0" w:color="808080"/>
              <w:bottom w:val="single" w:sz="6" w:space="0" w:color="808080"/>
            </w:tcBorders>
            <w:shd w:fill="auto" w:val="clear"/>
            <w:vAlign w:val="center"/>
          </w:tcPr>
          <w:p>
            <w:pPr>
              <w:pStyle w:val="Normal"/>
              <w:widowControl/>
              <w:snapToGrid w:val="false"/>
              <w:spacing w:lineRule="auto" w:line="240"/>
              <w:rPr>
                <w:rFonts w:ascii="Arial" w:hAnsi="Arial" w:eastAsia="仿宋_GB2312;仿宋" w:cs="Arial"/>
                <w:sz w:val="18"/>
                <w:szCs w:val="18"/>
              </w:rPr>
            </w:pPr>
            <w:r>
              <w:rPr>
                <w:rFonts w:eastAsia="仿宋_GB2312;仿宋" w:cs="Arial" w:ascii="Arial" w:hAnsi="Arial"/>
                <w:sz w:val="18"/>
                <w:szCs w:val="18"/>
              </w:rPr>
            </w:r>
          </w:p>
        </w:tc>
        <w:tc>
          <w:tcPr>
            <w:tcW w:w="2191"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rPr>
                <w:rFonts w:ascii="Arial" w:hAnsi="Arial" w:eastAsia="仿宋_GB2312;仿宋" w:cs="Arial"/>
                <w:sz w:val="18"/>
                <w:szCs w:val="18"/>
              </w:rPr>
            </w:pPr>
            <w:r>
              <w:rPr>
                <w:rFonts w:ascii="Arial" w:hAnsi="Arial" w:cs="Arial" w:eastAsia="仿宋_GB2312;仿宋"/>
                <w:sz w:val="18"/>
                <w:szCs w:val="18"/>
              </w:rPr>
              <w:t>环境状况</w:t>
            </w:r>
          </w:p>
        </w:tc>
        <w:tc>
          <w:tcPr>
            <w:tcW w:w="503"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74"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c>
          <w:tcPr>
            <w:tcW w:w="510"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88"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c>
          <w:tcPr>
            <w:tcW w:w="497"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506" w:type="dxa"/>
            <w:tcBorders>
              <w:top w:val="single" w:sz="6" w:space="0" w:color="808080"/>
              <w:bottom w:val="single" w:sz="6" w:space="0" w:color="808080"/>
              <w:right w:val="single" w:sz="2"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98</w:t>
            </w:r>
          </w:p>
        </w:tc>
      </w:tr>
      <w:tr>
        <w:trPr>
          <w:cantSplit w:val="true"/>
        </w:trPr>
        <w:tc>
          <w:tcPr>
            <w:tcW w:w="1136" w:type="dxa"/>
            <w:vMerge w:val="restart"/>
            <w:tcBorders>
              <w:top w:val="single" w:sz="6" w:space="0" w:color="808080"/>
              <w:left w:val="single" w:sz="2" w:space="0" w:color="808080"/>
              <w:bottom w:val="single" w:sz="6" w:space="0" w:color="80808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ascii="Arial" w:hAnsi="Arial" w:cs="Arial" w:eastAsia="仿宋_GB2312;仿宋"/>
                <w:sz w:val="18"/>
                <w:szCs w:val="18"/>
              </w:rPr>
              <w:t>个别因素</w:t>
            </w:r>
          </w:p>
        </w:tc>
        <w:tc>
          <w:tcPr>
            <w:tcW w:w="2191"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rPr>
                <w:rFonts w:ascii="Arial" w:hAnsi="Arial" w:eastAsia="仿宋_GB2312;仿宋" w:cs="Arial"/>
                <w:sz w:val="18"/>
                <w:szCs w:val="18"/>
              </w:rPr>
            </w:pPr>
            <w:r>
              <w:rPr>
                <w:rFonts w:ascii="Arial" w:hAnsi="Arial" w:cs="Arial" w:eastAsia="仿宋_GB2312;仿宋"/>
                <w:sz w:val="18"/>
                <w:szCs w:val="18"/>
              </w:rPr>
              <w:t>宗地面积</w:t>
            </w:r>
          </w:p>
        </w:tc>
        <w:tc>
          <w:tcPr>
            <w:tcW w:w="503"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74"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c>
          <w:tcPr>
            <w:tcW w:w="510"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88"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c>
          <w:tcPr>
            <w:tcW w:w="497"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506" w:type="dxa"/>
            <w:tcBorders>
              <w:top w:val="single" w:sz="6" w:space="0" w:color="808080"/>
              <w:bottom w:val="single" w:sz="6" w:space="0" w:color="808080"/>
              <w:right w:val="single" w:sz="2"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r>
      <w:tr>
        <w:trPr>
          <w:cantSplit w:val="true"/>
        </w:trPr>
        <w:tc>
          <w:tcPr>
            <w:tcW w:w="1136" w:type="dxa"/>
            <w:vMerge w:val="continue"/>
            <w:tcBorders>
              <w:top w:val="single" w:sz="6" w:space="0" w:color="808080"/>
              <w:left w:val="single" w:sz="2" w:space="0" w:color="808080"/>
              <w:bottom w:val="single" w:sz="6" w:space="0" w:color="808080"/>
            </w:tcBorders>
            <w:shd w:fill="auto" w:val="clear"/>
            <w:vAlign w:val="center"/>
          </w:tcPr>
          <w:p>
            <w:pPr>
              <w:pStyle w:val="Normal"/>
              <w:widowControl/>
              <w:snapToGrid w:val="false"/>
              <w:spacing w:lineRule="auto" w:line="240"/>
              <w:rPr>
                <w:rFonts w:ascii="Arial" w:hAnsi="Arial" w:eastAsia="仿宋_GB2312;仿宋" w:cs="Arial"/>
                <w:sz w:val="18"/>
                <w:szCs w:val="18"/>
              </w:rPr>
            </w:pPr>
            <w:r>
              <w:rPr>
                <w:rFonts w:eastAsia="仿宋_GB2312;仿宋" w:cs="Arial" w:ascii="Arial" w:hAnsi="Arial"/>
                <w:sz w:val="18"/>
                <w:szCs w:val="18"/>
              </w:rPr>
            </w:r>
          </w:p>
        </w:tc>
        <w:tc>
          <w:tcPr>
            <w:tcW w:w="2191"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rPr>
                <w:rFonts w:ascii="Arial" w:hAnsi="Arial" w:eastAsia="仿宋_GB2312;仿宋" w:cs="Arial"/>
                <w:sz w:val="18"/>
                <w:szCs w:val="18"/>
              </w:rPr>
            </w:pPr>
            <w:r>
              <w:rPr>
                <w:rFonts w:ascii="Arial" w:hAnsi="Arial" w:cs="Arial" w:eastAsia="仿宋_GB2312;仿宋"/>
                <w:sz w:val="18"/>
                <w:szCs w:val="18"/>
              </w:rPr>
              <w:t>宗地形状</w:t>
            </w:r>
          </w:p>
        </w:tc>
        <w:tc>
          <w:tcPr>
            <w:tcW w:w="503"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74"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103</w:t>
            </w:r>
          </w:p>
        </w:tc>
        <w:tc>
          <w:tcPr>
            <w:tcW w:w="510"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88"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103</w:t>
            </w:r>
          </w:p>
        </w:tc>
        <w:tc>
          <w:tcPr>
            <w:tcW w:w="497"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506" w:type="dxa"/>
            <w:tcBorders>
              <w:top w:val="single" w:sz="6" w:space="0" w:color="808080"/>
              <w:bottom w:val="single" w:sz="6" w:space="0" w:color="808080"/>
              <w:right w:val="single" w:sz="2"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103</w:t>
            </w:r>
          </w:p>
        </w:tc>
      </w:tr>
      <w:tr>
        <w:trPr>
          <w:cantSplit w:val="true"/>
        </w:trPr>
        <w:tc>
          <w:tcPr>
            <w:tcW w:w="1136" w:type="dxa"/>
            <w:vMerge w:val="continue"/>
            <w:tcBorders>
              <w:top w:val="single" w:sz="6" w:space="0" w:color="808080"/>
              <w:left w:val="single" w:sz="2" w:space="0" w:color="808080"/>
              <w:bottom w:val="single" w:sz="6" w:space="0" w:color="808080"/>
            </w:tcBorders>
            <w:shd w:fill="auto" w:val="clear"/>
            <w:vAlign w:val="center"/>
          </w:tcPr>
          <w:p>
            <w:pPr>
              <w:pStyle w:val="Normal"/>
              <w:widowControl/>
              <w:snapToGrid w:val="false"/>
              <w:spacing w:lineRule="auto" w:line="240"/>
              <w:rPr>
                <w:rFonts w:ascii="Arial" w:hAnsi="Arial" w:eastAsia="仿宋_GB2312;仿宋" w:cs="Arial"/>
                <w:sz w:val="18"/>
                <w:szCs w:val="18"/>
              </w:rPr>
            </w:pPr>
            <w:r>
              <w:rPr>
                <w:rFonts w:eastAsia="仿宋_GB2312;仿宋" w:cs="Arial" w:ascii="Arial" w:hAnsi="Arial"/>
                <w:sz w:val="18"/>
                <w:szCs w:val="18"/>
              </w:rPr>
            </w:r>
          </w:p>
        </w:tc>
        <w:tc>
          <w:tcPr>
            <w:tcW w:w="2191"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rPr>
                <w:rFonts w:ascii="Arial" w:hAnsi="Arial" w:eastAsia="仿宋_GB2312;仿宋" w:cs="Arial"/>
                <w:sz w:val="18"/>
                <w:szCs w:val="18"/>
              </w:rPr>
            </w:pPr>
            <w:r>
              <w:rPr>
                <w:rFonts w:ascii="Arial" w:hAnsi="Arial" w:cs="Arial" w:eastAsia="仿宋_GB2312;仿宋"/>
                <w:sz w:val="18"/>
                <w:szCs w:val="18"/>
              </w:rPr>
              <w:t>宗地开发程度</w:t>
            </w:r>
          </w:p>
        </w:tc>
        <w:tc>
          <w:tcPr>
            <w:tcW w:w="503"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74"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c>
          <w:tcPr>
            <w:tcW w:w="510"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88"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c>
          <w:tcPr>
            <w:tcW w:w="497"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506" w:type="dxa"/>
            <w:tcBorders>
              <w:top w:val="single" w:sz="6" w:space="0" w:color="808080"/>
              <w:bottom w:val="single" w:sz="6" w:space="0" w:color="808080"/>
              <w:right w:val="single" w:sz="2"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90</w:t>
            </w:r>
          </w:p>
        </w:tc>
      </w:tr>
      <w:tr>
        <w:trPr>
          <w:cantSplit w:val="true"/>
        </w:trPr>
        <w:tc>
          <w:tcPr>
            <w:tcW w:w="1136" w:type="dxa"/>
            <w:vMerge w:val="continue"/>
            <w:tcBorders>
              <w:top w:val="single" w:sz="6" w:space="0" w:color="808080"/>
              <w:left w:val="single" w:sz="2" w:space="0" w:color="808080"/>
              <w:bottom w:val="single" w:sz="6" w:space="0" w:color="808080"/>
            </w:tcBorders>
            <w:shd w:fill="auto" w:val="clear"/>
            <w:vAlign w:val="center"/>
          </w:tcPr>
          <w:p>
            <w:pPr>
              <w:pStyle w:val="Normal"/>
              <w:widowControl/>
              <w:snapToGrid w:val="false"/>
              <w:spacing w:lineRule="auto" w:line="240"/>
              <w:rPr>
                <w:rFonts w:ascii="Arial" w:hAnsi="Arial" w:eastAsia="仿宋_GB2312;仿宋" w:cs="Arial"/>
                <w:sz w:val="18"/>
                <w:szCs w:val="18"/>
              </w:rPr>
            </w:pPr>
            <w:r>
              <w:rPr>
                <w:rFonts w:eastAsia="仿宋_GB2312;仿宋" w:cs="Arial" w:ascii="Arial" w:hAnsi="Arial"/>
                <w:sz w:val="18"/>
                <w:szCs w:val="18"/>
              </w:rPr>
            </w:r>
          </w:p>
        </w:tc>
        <w:tc>
          <w:tcPr>
            <w:tcW w:w="2191"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rPr>
                <w:rFonts w:ascii="Arial" w:hAnsi="Arial" w:eastAsia="仿宋_GB2312;仿宋" w:cs="Arial"/>
                <w:sz w:val="18"/>
                <w:szCs w:val="18"/>
              </w:rPr>
            </w:pPr>
            <w:r>
              <w:rPr>
                <w:rFonts w:ascii="Arial" w:hAnsi="Arial" w:cs="Arial" w:eastAsia="仿宋_GB2312;仿宋"/>
                <w:sz w:val="18"/>
                <w:szCs w:val="18"/>
              </w:rPr>
              <w:t>宗地容积率</w:t>
            </w:r>
          </w:p>
        </w:tc>
        <w:tc>
          <w:tcPr>
            <w:tcW w:w="503"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74"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c>
          <w:tcPr>
            <w:tcW w:w="510"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488" w:type="dxa"/>
            <w:tcBorders>
              <w:top w:val="single" w:sz="6" w:space="0" w:color="808080"/>
              <w:bottom w:val="single" w:sz="6"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c>
          <w:tcPr>
            <w:tcW w:w="497" w:type="dxa"/>
            <w:tcBorders>
              <w:top w:val="single" w:sz="6" w:space="0" w:color="808080"/>
              <w:left w:val="single" w:sz="6" w:space="0" w:color="808080"/>
              <w:bottom w:val="single" w:sz="6" w:space="0" w:color="808080"/>
            </w:tcBorders>
            <w:shd w:fill="auto" w:val="clear"/>
            <w:vAlign w:val="center"/>
          </w:tcPr>
          <w:p>
            <w:pPr>
              <w:pStyle w:val="Normal"/>
              <w:widowControl/>
              <w:spacing w:lineRule="exact" w:line="240"/>
              <w:ind w:right="-53" w:hanging="0"/>
              <w:rPr>
                <w:rFonts w:ascii="Arial" w:hAnsi="Arial" w:eastAsia="仿宋_GB2312;仿宋" w:cs="Arial"/>
                <w:sz w:val="18"/>
                <w:szCs w:val="18"/>
              </w:rPr>
            </w:pPr>
            <w:r>
              <w:rPr>
                <w:rFonts w:eastAsia="仿宋_GB2312;仿宋" w:cs="Arial" w:ascii="Arial" w:hAnsi="Arial"/>
                <w:sz w:val="18"/>
                <w:szCs w:val="18"/>
              </w:rPr>
              <w:t>100/</w:t>
            </w:r>
          </w:p>
        </w:tc>
        <w:tc>
          <w:tcPr>
            <w:tcW w:w="1506" w:type="dxa"/>
            <w:tcBorders>
              <w:top w:val="single" w:sz="6" w:space="0" w:color="808080"/>
              <w:bottom w:val="single" w:sz="6" w:space="0" w:color="808080"/>
              <w:right w:val="single" w:sz="2" w:space="0" w:color="808080"/>
            </w:tcBorders>
            <w:shd w:fill="auto" w:val="clear"/>
            <w:vAlign w:val="center"/>
          </w:tcPr>
          <w:p>
            <w:pPr>
              <w:pStyle w:val="Normal"/>
              <w:widowControl/>
              <w:spacing w:lineRule="exact" w:line="240"/>
              <w:ind w:left="-3" w:right="31" w:hanging="16"/>
              <w:rPr>
                <w:rFonts w:ascii="Arial" w:hAnsi="Arial" w:eastAsia="仿宋_GB2312;仿宋" w:cs="Arial"/>
                <w:sz w:val="18"/>
                <w:szCs w:val="18"/>
              </w:rPr>
            </w:pPr>
            <w:r>
              <w:rPr>
                <w:rFonts w:eastAsia="仿宋_GB2312;仿宋" w:cs="Arial" w:ascii="Arial" w:hAnsi="Arial"/>
                <w:sz w:val="18"/>
                <w:szCs w:val="18"/>
              </w:rPr>
              <w:t>100</w:t>
            </w:r>
          </w:p>
        </w:tc>
      </w:tr>
      <w:tr>
        <w:trPr>
          <w:cantSplit w:val="true"/>
        </w:trPr>
        <w:tc>
          <w:tcPr>
            <w:tcW w:w="3327" w:type="dxa"/>
            <w:gridSpan w:val="2"/>
            <w:tcBorders>
              <w:top w:val="single" w:sz="6" w:space="0" w:color="404040"/>
              <w:left w:val="single" w:sz="2" w:space="0" w:color="404040"/>
              <w:bottom w:val="single" w:sz="6" w:space="0" w:color="40404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ascii="Arial" w:hAnsi="Arial" w:cs="Arial" w:eastAsia="仿宋_GB2312;仿宋"/>
                <w:sz w:val="18"/>
                <w:szCs w:val="18"/>
              </w:rPr>
              <w:t>单位面积地价</w:t>
            </w:r>
          </w:p>
          <w:p>
            <w:pPr>
              <w:pStyle w:val="Normal"/>
              <w:widowControl/>
              <w:spacing w:lineRule="exact" w:line="240"/>
              <w:ind w:right="31" w:hanging="0"/>
              <w:rPr>
                <w:rFonts w:ascii="Arial" w:hAnsi="Arial" w:eastAsia="仿宋_GB2312;仿宋" w:cs="Arial"/>
                <w:sz w:val="18"/>
                <w:szCs w:val="18"/>
              </w:rPr>
            </w:pPr>
            <w:r>
              <w:rPr>
                <w:rFonts w:ascii="Arial" w:hAnsi="Arial" w:cs="Arial" w:eastAsia="仿宋_GB2312;仿宋"/>
                <w:sz w:val="18"/>
                <w:szCs w:val="18"/>
              </w:rPr>
              <w:t>（元</w:t>
            </w:r>
            <w:r>
              <w:rPr>
                <w:rFonts w:eastAsia="仿宋_GB2312;仿宋" w:cs="Arial" w:ascii="Arial" w:hAnsi="Arial"/>
                <w:sz w:val="18"/>
                <w:szCs w:val="18"/>
              </w:rPr>
              <w:t>/</w:t>
            </w:r>
            <w:r>
              <w:rPr>
                <w:rFonts w:ascii="Arial" w:hAnsi="Arial" w:cs="Arial" w:eastAsia="仿宋_GB2312;仿宋"/>
                <w:sz w:val="18"/>
                <w:szCs w:val="18"/>
              </w:rPr>
              <w:t>平方米）</w:t>
            </w:r>
          </w:p>
        </w:tc>
        <w:tc>
          <w:tcPr>
            <w:tcW w:w="1977" w:type="dxa"/>
            <w:gridSpan w:val="2"/>
            <w:tcBorders>
              <w:top w:val="single" w:sz="6" w:space="0" w:color="404040"/>
              <w:left w:val="single" w:sz="6" w:space="0" w:color="404040"/>
              <w:bottom w:val="single" w:sz="6" w:space="0" w:color="40404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9355</w:t>
            </w:r>
          </w:p>
        </w:tc>
        <w:tc>
          <w:tcPr>
            <w:tcW w:w="1998" w:type="dxa"/>
            <w:gridSpan w:val="2"/>
            <w:tcBorders>
              <w:top w:val="single" w:sz="6" w:space="0" w:color="404040"/>
              <w:left w:val="single" w:sz="6" w:space="0" w:color="404040"/>
              <w:bottom w:val="single" w:sz="6" w:space="0" w:color="40404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6661</w:t>
            </w:r>
          </w:p>
        </w:tc>
        <w:tc>
          <w:tcPr>
            <w:tcW w:w="2003" w:type="dxa"/>
            <w:gridSpan w:val="2"/>
            <w:tcBorders>
              <w:top w:val="single" w:sz="6" w:space="0" w:color="404040"/>
              <w:left w:val="single" w:sz="6" w:space="0" w:color="404040"/>
              <w:bottom w:val="single" w:sz="6" w:space="0" w:color="404040"/>
              <w:right w:val="single" w:sz="2" w:space="0" w:color="40404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4477</w:t>
            </w:r>
          </w:p>
        </w:tc>
      </w:tr>
      <w:tr>
        <w:trPr>
          <w:cantSplit w:val="true"/>
        </w:trPr>
        <w:tc>
          <w:tcPr>
            <w:tcW w:w="3327" w:type="dxa"/>
            <w:gridSpan w:val="2"/>
            <w:tcBorders>
              <w:top w:val="single" w:sz="6" w:space="0" w:color="404040"/>
              <w:left w:val="single" w:sz="2" w:space="0" w:color="404040"/>
              <w:bottom w:val="single" w:sz="2" w:space="0" w:color="40404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ascii="Arial" w:hAnsi="Arial" w:cs="Arial" w:eastAsia="仿宋_GB2312;仿宋"/>
                <w:sz w:val="18"/>
                <w:szCs w:val="18"/>
              </w:rPr>
              <w:t>比准价格</w:t>
            </w:r>
          </w:p>
          <w:p>
            <w:pPr>
              <w:pStyle w:val="Normal"/>
              <w:widowControl/>
              <w:spacing w:lineRule="exact" w:line="240"/>
              <w:ind w:right="31" w:hanging="0"/>
              <w:rPr>
                <w:rFonts w:ascii="Arial" w:hAnsi="Arial" w:eastAsia="仿宋_GB2312;仿宋" w:cs="Arial"/>
                <w:sz w:val="18"/>
                <w:szCs w:val="18"/>
              </w:rPr>
            </w:pPr>
            <w:r>
              <w:rPr>
                <w:rFonts w:ascii="Arial" w:hAnsi="Arial" w:cs="Arial" w:eastAsia="仿宋_GB2312;仿宋"/>
                <w:sz w:val="18"/>
                <w:szCs w:val="18"/>
              </w:rPr>
              <w:t>（元</w:t>
            </w:r>
            <w:r>
              <w:rPr>
                <w:rFonts w:eastAsia="仿宋_GB2312;仿宋" w:cs="Arial" w:ascii="Arial" w:hAnsi="Arial"/>
                <w:sz w:val="18"/>
                <w:szCs w:val="18"/>
              </w:rPr>
              <w:t>/</w:t>
            </w:r>
            <w:r>
              <w:rPr>
                <w:rFonts w:ascii="Arial" w:hAnsi="Arial" w:cs="Arial" w:eastAsia="仿宋_GB2312;仿宋"/>
                <w:sz w:val="18"/>
                <w:szCs w:val="18"/>
              </w:rPr>
              <w:t>平方米）</w:t>
            </w:r>
          </w:p>
        </w:tc>
        <w:tc>
          <w:tcPr>
            <w:tcW w:w="1977" w:type="dxa"/>
            <w:gridSpan w:val="2"/>
            <w:tcBorders>
              <w:top w:val="single" w:sz="6" w:space="0" w:color="404040"/>
              <w:left w:val="single" w:sz="6" w:space="0" w:color="404040"/>
              <w:bottom w:val="single" w:sz="2" w:space="0" w:color="40404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10561</w:t>
            </w:r>
          </w:p>
        </w:tc>
        <w:tc>
          <w:tcPr>
            <w:tcW w:w="1998" w:type="dxa"/>
            <w:gridSpan w:val="2"/>
            <w:tcBorders>
              <w:top w:val="single" w:sz="6" w:space="0" w:color="404040"/>
              <w:left w:val="single" w:sz="6" w:space="0" w:color="404040"/>
              <w:bottom w:val="single" w:sz="2" w:space="0" w:color="40404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7729</w:t>
            </w:r>
          </w:p>
        </w:tc>
        <w:tc>
          <w:tcPr>
            <w:tcW w:w="2003" w:type="dxa"/>
            <w:gridSpan w:val="2"/>
            <w:tcBorders>
              <w:top w:val="single" w:sz="6" w:space="0" w:color="404040"/>
              <w:left w:val="single" w:sz="6" w:space="0" w:color="404040"/>
              <w:bottom w:val="single" w:sz="2" w:space="0" w:color="404040"/>
              <w:right w:val="single" w:sz="2" w:space="0" w:color="404040"/>
            </w:tcBorders>
            <w:shd w:fill="auto" w:val="clear"/>
            <w:vAlign w:val="center"/>
          </w:tcPr>
          <w:p>
            <w:pPr>
              <w:pStyle w:val="Normal"/>
              <w:widowControl/>
              <w:spacing w:lineRule="exact" w:line="240"/>
              <w:ind w:right="31" w:hanging="0"/>
              <w:rPr>
                <w:rFonts w:ascii="Arial" w:hAnsi="Arial" w:eastAsia="仿宋_GB2312;仿宋" w:cs="Arial"/>
                <w:sz w:val="18"/>
                <w:szCs w:val="18"/>
              </w:rPr>
            </w:pPr>
            <w:r>
              <w:rPr>
                <w:rFonts w:eastAsia="仿宋_GB2312;仿宋" w:cs="Arial" w:ascii="Arial" w:hAnsi="Arial"/>
                <w:sz w:val="18"/>
                <w:szCs w:val="18"/>
              </w:rPr>
              <w:t>4789</w:t>
            </w:r>
          </w:p>
        </w:tc>
      </w:tr>
    </w:tbl>
    <w:p>
      <w:pPr>
        <w:pStyle w:val="Normal"/>
        <w:spacing w:lineRule="auto" w:line="360"/>
        <w:ind w:firstLine="560"/>
        <w:jc w:val="both"/>
        <w:rPr>
          <w:rFonts w:ascii="Arial" w:hAnsi="Arial" w:eastAsia="仿宋_GB2312;仿宋" w:cs="Arial"/>
          <w:bCs/>
          <w:sz w:val="28"/>
        </w:rPr>
      </w:pPr>
      <w:r>
        <w:rPr>
          <w:rFonts w:ascii="Arial" w:hAnsi="Arial" w:cs="Arial" w:eastAsia="仿宋_GB2312;仿宋"/>
          <w:sz w:val="28"/>
          <w:szCs w:val="28"/>
        </w:rPr>
        <w:t>（</w:t>
      </w:r>
      <w:r>
        <w:rPr>
          <w:rFonts w:eastAsia="仿宋_GB2312;仿宋" w:cs="Arial" w:ascii="Arial" w:hAnsi="Arial"/>
          <w:sz w:val="28"/>
          <w:szCs w:val="28"/>
        </w:rPr>
        <w:t>7</w:t>
      </w:r>
      <w:r>
        <w:rPr>
          <w:rFonts w:ascii="Arial" w:hAnsi="Arial" w:cs="Arial" w:eastAsia="仿宋_GB2312;仿宋"/>
          <w:sz w:val="28"/>
          <w:szCs w:val="28"/>
        </w:rPr>
        <w:t>）</w:t>
      </w:r>
      <w:r>
        <w:rPr>
          <w:rFonts w:ascii="Arial" w:hAnsi="Arial" w:cs="Arial" w:eastAsia="仿宋_GB2312;仿宋"/>
          <w:bCs/>
          <w:sz w:val="28"/>
        </w:rPr>
        <w:t>估价对象比准价格</w:t>
      </w:r>
    </w:p>
    <w:p>
      <w:pPr>
        <w:pStyle w:val="Normal"/>
        <w:spacing w:lineRule="auto" w:line="360"/>
        <w:ind w:firstLine="560"/>
        <w:jc w:val="both"/>
        <w:rPr>
          <w:rFonts w:ascii="Arial" w:hAnsi="Arial" w:eastAsia="仿宋_GB2312;仿宋" w:cs="Arial"/>
          <w:sz w:val="28"/>
        </w:rPr>
      </w:pPr>
      <w:r>
        <w:rPr>
          <w:rFonts w:ascii="Arial" w:hAnsi="Arial" w:cs="Arial" w:eastAsia="仿宋_GB2312;仿宋"/>
          <w:sz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pPr>
        <w:pStyle w:val="Normal"/>
        <w:spacing w:lineRule="auto" w:line="360"/>
        <w:ind w:firstLine="560"/>
        <w:jc w:val="both"/>
        <w:rPr>
          <w:rFonts w:ascii="Arial" w:hAnsi="Arial" w:eastAsia="仿宋_GB2312;仿宋" w:cs="Arial"/>
          <w:sz w:val="28"/>
          <w:szCs w:val="28"/>
        </w:rPr>
      </w:pPr>
      <w:r>
        <w:rPr>
          <w:rFonts w:ascii="Arial" w:hAnsi="Arial" w:cs="Arial" w:eastAsia="仿宋_GB2312;仿宋"/>
          <w:sz w:val="28"/>
          <w:szCs w:val="28"/>
        </w:rPr>
        <w:t>单位面积地价</w:t>
      </w:r>
      <w:r>
        <w:rPr>
          <w:rFonts w:ascii="Arial" w:hAnsi="Arial" w:cs="Arial" w:eastAsia="仿宋_GB2312;仿宋"/>
          <w:bCs/>
          <w:sz w:val="28"/>
        </w:rPr>
        <w:t>＝</w:t>
      </w:r>
      <w:r>
        <w:rPr>
          <w:rFonts w:eastAsia="仿宋_GB2312;仿宋" w:cs="Arial" w:ascii="Arial" w:hAnsi="Arial"/>
          <w:bCs/>
          <w:sz w:val="28"/>
        </w:rPr>
        <w:t>(10561+7729+4789)÷3</w:t>
      </w:r>
      <w:r>
        <w:rPr>
          <w:rFonts w:ascii="Arial" w:hAnsi="Arial" w:cs="Arial" w:eastAsia="仿宋_GB2312;仿宋"/>
          <w:bCs/>
          <w:sz w:val="28"/>
        </w:rPr>
        <w:t>＝</w:t>
      </w:r>
      <w:r>
        <w:rPr>
          <w:rFonts w:eastAsia="仿宋_GB2312;仿宋" w:cs="Arial" w:ascii="Arial" w:hAnsi="Arial"/>
          <w:bCs/>
          <w:sz w:val="28"/>
        </w:rPr>
        <w:t>7693(</w:t>
      </w:r>
      <w:r>
        <w:rPr>
          <w:rFonts w:ascii="Arial" w:hAnsi="Arial" w:cs="Arial" w:eastAsia="仿宋_GB2312;仿宋"/>
          <w:bCs/>
          <w:sz w:val="28"/>
        </w:rPr>
        <w:t>元</w:t>
      </w:r>
      <w:r>
        <w:rPr>
          <w:rFonts w:eastAsia="仿宋_GB2312;仿宋" w:cs="Arial" w:ascii="Arial" w:hAnsi="Arial"/>
          <w:bCs/>
          <w:sz w:val="28"/>
        </w:rPr>
        <w:t>/</w:t>
      </w:r>
      <w:r>
        <w:rPr>
          <w:rFonts w:ascii="Arial" w:hAnsi="Arial" w:cs="Arial" w:eastAsia="仿宋_GB2312;仿宋"/>
          <w:bCs/>
          <w:sz w:val="28"/>
        </w:rPr>
        <w:t>平方米</w:t>
      </w:r>
      <w:r>
        <w:rPr>
          <w:rFonts w:eastAsia="仿宋_GB2312;仿宋" w:cs="Arial" w:ascii="Arial" w:hAnsi="Arial"/>
          <w:bCs/>
          <w:sz w:val="28"/>
        </w:rPr>
        <w:t>)</w:t>
      </w:r>
    </w:p>
    <w:p>
      <w:pPr>
        <w:pStyle w:val="Normal"/>
        <w:spacing w:lineRule="auto" w:line="360"/>
        <w:ind w:firstLine="560"/>
        <w:jc w:val="both"/>
        <w:rPr>
          <w:rFonts w:ascii="仿宋_GB2312;仿宋" w:hAnsi="仿宋_GB2312;仿宋" w:eastAsia="仿宋_GB2312;仿宋" w:cs="Calibri"/>
          <w:sz w:val="28"/>
        </w:rPr>
      </w:pPr>
      <w:r>
        <w:rPr>
          <w:rFonts w:ascii="仿宋_GB2312;仿宋" w:hAnsi="仿宋_GB2312;仿宋" w:cs="Calibri" w:eastAsia="仿宋_GB2312;仿宋"/>
          <w:sz w:val="28"/>
        </w:rPr>
        <w:t>各方法权重确定详见下表：</w:t>
      </w:r>
    </w:p>
    <w:tbl>
      <w:tblPr>
        <w:tblW w:w="10279" w:type="dxa"/>
        <w:jc w:val="center"/>
        <w:tblInd w:w="0" w:type="dxa"/>
        <w:tblCellMar>
          <w:top w:w="0" w:type="dxa"/>
          <w:left w:w="108" w:type="dxa"/>
          <w:bottom w:w="0" w:type="dxa"/>
          <w:right w:w="108" w:type="dxa"/>
        </w:tblCellMar>
      </w:tblPr>
      <w:tblGrid>
        <w:gridCol w:w="1362"/>
        <w:gridCol w:w="895"/>
        <w:gridCol w:w="5741"/>
        <w:gridCol w:w="1134"/>
        <w:gridCol w:w="1147"/>
      </w:tblGrid>
      <w:tr>
        <w:trPr>
          <w:trHeight w:val="425" w:hRule="atLeast"/>
        </w:trPr>
        <w:tc>
          <w:tcPr>
            <w:tcW w:w="10279"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ascii="Arial" w:hAnsi="Arial" w:cs="Arial" w:eastAsia="仿宋_GB2312;仿宋"/>
                <w:sz w:val="22"/>
                <w:szCs w:val="22"/>
              </w:rPr>
              <w:t>权重确定打分评价体系</w:t>
            </w:r>
          </w:p>
        </w:tc>
      </w:tr>
      <w:tr>
        <w:trPr>
          <w:trHeight w:val="425" w:hRule="atLeast"/>
        </w:trPr>
        <w:tc>
          <w:tcPr>
            <w:tcW w:w="1362"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ascii="Arial" w:hAnsi="Arial" w:cs="Arial" w:eastAsia="仿宋_GB2312;仿宋"/>
                <w:sz w:val="22"/>
                <w:szCs w:val="22"/>
              </w:rPr>
              <w:t>评价因素</w:t>
            </w:r>
          </w:p>
        </w:tc>
        <w:tc>
          <w:tcPr>
            <w:tcW w:w="895"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ascii="Arial" w:hAnsi="Arial" w:cs="Arial" w:eastAsia="仿宋_GB2312;仿宋"/>
                <w:sz w:val="22"/>
                <w:szCs w:val="22"/>
              </w:rPr>
              <w:t>标准分值</w:t>
            </w:r>
          </w:p>
        </w:tc>
        <w:tc>
          <w:tcPr>
            <w:tcW w:w="5741"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ascii="Arial" w:hAnsi="Arial" w:cs="Arial" w:eastAsia="仿宋_GB2312;仿宋"/>
                <w:sz w:val="22"/>
                <w:szCs w:val="22"/>
              </w:rPr>
              <w:t>打分考虑因素</w:t>
            </w:r>
          </w:p>
        </w:tc>
        <w:tc>
          <w:tcPr>
            <w:tcW w:w="228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ascii="Arial" w:hAnsi="Arial" w:cs="Arial" w:eastAsia="仿宋_GB2312;仿宋"/>
                <w:sz w:val="22"/>
                <w:szCs w:val="22"/>
              </w:rPr>
              <w:t>估价对象</w:t>
            </w:r>
          </w:p>
        </w:tc>
      </w:tr>
      <w:tr>
        <w:trPr>
          <w:trHeight w:val="425" w:hRule="atLeast"/>
        </w:trPr>
        <w:tc>
          <w:tcPr>
            <w:tcW w:w="1362"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2"/>
              </w:rPr>
            </w:pPr>
            <w:r>
              <w:rPr>
                <w:rFonts w:eastAsia="仿宋_GB2312;仿宋" w:cs="Arial" w:ascii="Arial" w:hAnsi="Arial"/>
                <w:sz w:val="22"/>
                <w:szCs w:val="22"/>
              </w:rPr>
            </w:r>
          </w:p>
        </w:tc>
        <w:tc>
          <w:tcPr>
            <w:tcW w:w="895"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2"/>
              </w:rPr>
            </w:pPr>
            <w:r>
              <w:rPr>
                <w:rFonts w:eastAsia="仿宋_GB2312;仿宋" w:cs="Arial" w:ascii="Arial" w:hAnsi="Arial"/>
                <w:sz w:val="22"/>
                <w:szCs w:val="22"/>
              </w:rPr>
            </w:r>
          </w:p>
        </w:tc>
        <w:tc>
          <w:tcPr>
            <w:tcW w:w="5741"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2"/>
              </w:rPr>
            </w:pPr>
            <w:r>
              <w:rPr>
                <w:rFonts w:eastAsia="仿宋_GB2312;仿宋" w:cs="Arial" w:ascii="Arial" w:hAnsi="Arial"/>
                <w:sz w:val="22"/>
                <w:szCs w:val="22"/>
              </w:rPr>
            </w:r>
          </w:p>
        </w:tc>
        <w:tc>
          <w:tcPr>
            <w:tcW w:w="1134"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ascii="Arial" w:hAnsi="Arial" w:cs="Arial" w:eastAsia="仿宋_GB2312;仿宋"/>
                <w:sz w:val="22"/>
                <w:szCs w:val="22"/>
              </w:rPr>
              <w:t>成本逼近法</w:t>
            </w:r>
          </w:p>
        </w:tc>
        <w:tc>
          <w:tcPr>
            <w:tcW w:w="11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ascii="Arial" w:hAnsi="Arial" w:cs="Arial" w:eastAsia="仿宋_GB2312;仿宋"/>
                <w:sz w:val="22"/>
                <w:szCs w:val="22"/>
              </w:rPr>
              <w:t>市场比较法</w:t>
            </w:r>
          </w:p>
        </w:tc>
      </w:tr>
      <w:tr>
        <w:trPr>
          <w:trHeight w:val="425" w:hRule="atLeast"/>
        </w:trPr>
        <w:tc>
          <w:tcPr>
            <w:tcW w:w="1362"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ascii="Arial" w:hAnsi="Arial" w:cs="Arial" w:eastAsia="仿宋_GB2312;仿宋"/>
                <w:sz w:val="22"/>
                <w:szCs w:val="22"/>
              </w:rPr>
              <w:t>估价方法的代表性</w:t>
            </w:r>
          </w:p>
        </w:tc>
        <w:tc>
          <w:tcPr>
            <w:tcW w:w="895"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eastAsia="仿宋_GB2312;仿宋" w:cs="Arial" w:ascii="Arial" w:hAnsi="Arial"/>
                <w:sz w:val="22"/>
                <w:szCs w:val="22"/>
              </w:rPr>
              <w:t>25</w:t>
            </w:r>
          </w:p>
        </w:tc>
        <w:tc>
          <w:tcPr>
            <w:tcW w:w="5741" w:type="dxa"/>
            <w:tcBorders>
              <w:top w:val="single" w:sz="4" w:space="0" w:color="000000"/>
              <w:left w:val="single" w:sz="4" w:space="0" w:color="000000"/>
              <w:bottom w:val="single" w:sz="4" w:space="0" w:color="000000"/>
            </w:tcBorders>
            <w:shd w:fill="auto" w:val="clear"/>
            <w:vAlign w:val="center"/>
          </w:tcPr>
          <w:p>
            <w:pPr>
              <w:pStyle w:val="Normal"/>
              <w:spacing w:lineRule="auto" w:line="240"/>
              <w:rPr>
                <w:rFonts w:ascii="Arial" w:hAnsi="Arial" w:eastAsia="仿宋_GB2312;仿宋" w:cs="Arial"/>
                <w:sz w:val="22"/>
                <w:szCs w:val="22"/>
              </w:rPr>
            </w:pPr>
            <w:r>
              <w:rPr>
                <w:rFonts w:eastAsia="仿宋_GB2312;仿宋" w:cs="Arial" w:ascii="Arial" w:hAnsi="Arial"/>
                <w:sz w:val="22"/>
                <w:szCs w:val="22"/>
              </w:rPr>
              <w:t>1</w:t>
            </w:r>
            <w:r>
              <w:rPr>
                <w:rFonts w:ascii="Arial" w:hAnsi="Arial" w:cs="Arial" w:eastAsia="仿宋_GB2312;仿宋"/>
                <w:sz w:val="22"/>
                <w:szCs w:val="22"/>
              </w:rPr>
              <w:t>、估价方法选取分析充分、合理，取</w:t>
            </w:r>
            <w:r>
              <w:rPr>
                <w:rFonts w:eastAsia="仿宋_GB2312;仿宋" w:cs="Arial" w:ascii="Arial" w:hAnsi="Arial"/>
                <w:sz w:val="22"/>
                <w:szCs w:val="22"/>
              </w:rPr>
              <w:t>20</w:t>
            </w:r>
            <w:r>
              <w:rPr>
                <w:rFonts w:ascii="Arial" w:hAnsi="Arial" w:cs="Arial" w:eastAsia="仿宋_GB2312;仿宋"/>
                <w:sz w:val="22"/>
                <w:szCs w:val="22"/>
              </w:rPr>
              <w:t>～</w:t>
            </w:r>
            <w:r>
              <w:rPr>
                <w:rFonts w:eastAsia="仿宋_GB2312;仿宋" w:cs="Arial" w:ascii="Arial" w:hAnsi="Arial"/>
                <w:sz w:val="22"/>
                <w:szCs w:val="22"/>
              </w:rPr>
              <w:t>25</w:t>
            </w:r>
            <w:r>
              <w:rPr>
                <w:rFonts w:ascii="Arial" w:hAnsi="Arial" w:cs="Arial" w:eastAsia="仿宋_GB2312;仿宋"/>
                <w:sz w:val="22"/>
                <w:szCs w:val="22"/>
              </w:rPr>
              <w:t>分；</w:t>
            </w:r>
          </w:p>
        </w:tc>
        <w:tc>
          <w:tcPr>
            <w:tcW w:w="1134"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Cs w:val="24"/>
              </w:rPr>
            </w:pPr>
            <w:r>
              <w:rPr>
                <w:rFonts w:eastAsia="仿宋_GB2312;仿宋" w:cs="Arial" w:ascii="Arial" w:hAnsi="Arial"/>
                <w:szCs w:val="24"/>
              </w:rPr>
              <w:t>12</w:t>
            </w:r>
          </w:p>
        </w:tc>
        <w:tc>
          <w:tcPr>
            <w:tcW w:w="1147"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rPr>
                <w:rFonts w:ascii="Arial" w:hAnsi="Arial" w:eastAsia="仿宋_GB2312;仿宋" w:cs="Arial"/>
                <w:szCs w:val="24"/>
              </w:rPr>
            </w:pPr>
            <w:r>
              <w:rPr>
                <w:rFonts w:eastAsia="仿宋_GB2312;仿宋" w:cs="Arial" w:ascii="Arial" w:hAnsi="Arial"/>
                <w:szCs w:val="24"/>
              </w:rPr>
              <w:t>24</w:t>
            </w:r>
          </w:p>
        </w:tc>
      </w:tr>
      <w:tr>
        <w:trPr>
          <w:trHeight w:val="425" w:hRule="atLeast"/>
        </w:trPr>
        <w:tc>
          <w:tcPr>
            <w:tcW w:w="1362"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2"/>
              </w:rPr>
            </w:pPr>
            <w:r>
              <w:rPr>
                <w:rFonts w:eastAsia="仿宋_GB2312;仿宋" w:cs="Arial" w:ascii="Arial" w:hAnsi="Arial"/>
                <w:sz w:val="22"/>
                <w:szCs w:val="22"/>
              </w:rPr>
            </w:r>
          </w:p>
        </w:tc>
        <w:tc>
          <w:tcPr>
            <w:tcW w:w="895"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2"/>
              </w:rPr>
            </w:pPr>
            <w:r>
              <w:rPr>
                <w:rFonts w:eastAsia="仿宋_GB2312;仿宋" w:cs="Arial" w:ascii="Arial" w:hAnsi="Arial"/>
                <w:sz w:val="22"/>
                <w:szCs w:val="22"/>
              </w:rPr>
            </w:r>
          </w:p>
        </w:tc>
        <w:tc>
          <w:tcPr>
            <w:tcW w:w="5741" w:type="dxa"/>
            <w:tcBorders>
              <w:top w:val="single" w:sz="4" w:space="0" w:color="000000"/>
              <w:left w:val="single" w:sz="4" w:space="0" w:color="000000"/>
              <w:bottom w:val="single" w:sz="4" w:space="0" w:color="000000"/>
            </w:tcBorders>
            <w:shd w:fill="auto" w:val="clear"/>
            <w:vAlign w:val="center"/>
          </w:tcPr>
          <w:p>
            <w:pPr>
              <w:pStyle w:val="Normal"/>
              <w:spacing w:lineRule="auto" w:line="240"/>
              <w:rPr>
                <w:rFonts w:ascii="Arial" w:hAnsi="Arial" w:eastAsia="仿宋_GB2312;仿宋" w:cs="Arial"/>
                <w:sz w:val="22"/>
                <w:szCs w:val="22"/>
              </w:rPr>
            </w:pPr>
            <w:r>
              <w:rPr>
                <w:rFonts w:eastAsia="仿宋_GB2312;仿宋" w:cs="Arial" w:ascii="Arial" w:hAnsi="Arial"/>
                <w:sz w:val="22"/>
                <w:szCs w:val="22"/>
              </w:rPr>
              <w:t>2</w:t>
            </w:r>
            <w:r>
              <w:rPr>
                <w:rFonts w:ascii="Arial" w:hAnsi="Arial" w:cs="Arial" w:eastAsia="仿宋_GB2312;仿宋"/>
                <w:sz w:val="22"/>
                <w:szCs w:val="22"/>
              </w:rPr>
              <w:t>、估价方法选取分析较充分、合理，取</w:t>
            </w:r>
            <w:r>
              <w:rPr>
                <w:rFonts w:eastAsia="仿宋_GB2312;仿宋" w:cs="Arial" w:ascii="Arial" w:hAnsi="Arial"/>
                <w:sz w:val="22"/>
                <w:szCs w:val="22"/>
              </w:rPr>
              <w:t>10</w:t>
            </w:r>
            <w:r>
              <w:rPr>
                <w:rFonts w:ascii="Arial" w:hAnsi="Arial" w:cs="Arial" w:eastAsia="仿宋_GB2312;仿宋"/>
                <w:sz w:val="22"/>
                <w:szCs w:val="22"/>
              </w:rPr>
              <w:t>～</w:t>
            </w:r>
            <w:r>
              <w:rPr>
                <w:rFonts w:eastAsia="仿宋_GB2312;仿宋" w:cs="Arial" w:ascii="Arial" w:hAnsi="Arial"/>
                <w:sz w:val="22"/>
                <w:szCs w:val="22"/>
              </w:rPr>
              <w:t>19</w:t>
            </w:r>
            <w:r>
              <w:rPr>
                <w:rFonts w:ascii="Arial" w:hAnsi="Arial" w:cs="Arial" w:eastAsia="仿宋_GB2312;仿宋"/>
                <w:sz w:val="22"/>
                <w:szCs w:val="22"/>
              </w:rPr>
              <w:t>分；</w:t>
            </w:r>
          </w:p>
        </w:tc>
        <w:tc>
          <w:tcPr>
            <w:tcW w:w="1134"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4"/>
              </w:rPr>
            </w:pPr>
            <w:r>
              <w:rPr>
                <w:rFonts w:eastAsia="仿宋_GB2312;仿宋" w:cs="Arial" w:ascii="Arial" w:hAnsi="Arial"/>
                <w:sz w:val="22"/>
                <w:szCs w:val="24"/>
              </w:rPr>
            </w:r>
          </w:p>
        </w:tc>
        <w:tc>
          <w:tcPr>
            <w:tcW w:w="114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spacing w:lineRule="auto" w:line="240"/>
              <w:rPr>
                <w:rFonts w:ascii="Arial" w:hAnsi="Arial" w:eastAsia="仿宋_GB2312;仿宋" w:cs="Arial"/>
                <w:szCs w:val="24"/>
              </w:rPr>
            </w:pPr>
            <w:r>
              <w:rPr>
                <w:rFonts w:eastAsia="仿宋_GB2312;仿宋" w:cs="Arial" w:ascii="Arial" w:hAnsi="Arial"/>
                <w:szCs w:val="24"/>
              </w:rPr>
            </w:r>
          </w:p>
        </w:tc>
      </w:tr>
      <w:tr>
        <w:trPr>
          <w:trHeight w:val="425" w:hRule="atLeast"/>
        </w:trPr>
        <w:tc>
          <w:tcPr>
            <w:tcW w:w="1362"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2"/>
              </w:rPr>
            </w:pPr>
            <w:r>
              <w:rPr>
                <w:rFonts w:eastAsia="仿宋_GB2312;仿宋" w:cs="Arial" w:ascii="Arial" w:hAnsi="Arial"/>
                <w:sz w:val="22"/>
                <w:szCs w:val="22"/>
              </w:rPr>
            </w:r>
          </w:p>
        </w:tc>
        <w:tc>
          <w:tcPr>
            <w:tcW w:w="895"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2"/>
              </w:rPr>
            </w:pPr>
            <w:r>
              <w:rPr>
                <w:rFonts w:eastAsia="仿宋_GB2312;仿宋" w:cs="Arial" w:ascii="Arial" w:hAnsi="Arial"/>
                <w:sz w:val="22"/>
                <w:szCs w:val="22"/>
              </w:rPr>
            </w:r>
          </w:p>
        </w:tc>
        <w:tc>
          <w:tcPr>
            <w:tcW w:w="5741" w:type="dxa"/>
            <w:tcBorders>
              <w:top w:val="single" w:sz="4" w:space="0" w:color="000000"/>
              <w:left w:val="single" w:sz="4" w:space="0" w:color="000000"/>
              <w:bottom w:val="single" w:sz="4" w:space="0" w:color="000000"/>
            </w:tcBorders>
            <w:shd w:fill="auto" w:val="clear"/>
            <w:vAlign w:val="center"/>
          </w:tcPr>
          <w:p>
            <w:pPr>
              <w:pStyle w:val="Normal"/>
              <w:spacing w:lineRule="auto" w:line="240"/>
              <w:rPr>
                <w:rFonts w:ascii="Arial" w:hAnsi="Arial" w:eastAsia="仿宋_GB2312;仿宋" w:cs="Arial"/>
                <w:sz w:val="22"/>
                <w:szCs w:val="22"/>
              </w:rPr>
            </w:pPr>
            <w:r>
              <w:rPr>
                <w:rFonts w:eastAsia="仿宋_GB2312;仿宋" w:cs="Arial" w:ascii="Arial" w:hAnsi="Arial"/>
                <w:sz w:val="22"/>
                <w:szCs w:val="22"/>
              </w:rPr>
              <w:t>3</w:t>
            </w:r>
            <w:r>
              <w:rPr>
                <w:rFonts w:ascii="Arial" w:hAnsi="Arial" w:cs="Arial" w:eastAsia="仿宋_GB2312;仿宋"/>
                <w:sz w:val="22"/>
                <w:szCs w:val="22"/>
              </w:rPr>
              <w:t>、估价方法选取分析较不充分，取</w:t>
            </w:r>
            <w:r>
              <w:rPr>
                <w:rFonts w:eastAsia="仿宋_GB2312;仿宋" w:cs="Arial" w:ascii="Arial" w:hAnsi="Arial"/>
                <w:sz w:val="22"/>
                <w:szCs w:val="22"/>
              </w:rPr>
              <w:t>0</w:t>
            </w:r>
            <w:r>
              <w:rPr>
                <w:rFonts w:ascii="Arial" w:hAnsi="Arial" w:cs="Arial" w:eastAsia="仿宋_GB2312;仿宋"/>
                <w:sz w:val="22"/>
                <w:szCs w:val="22"/>
              </w:rPr>
              <w:t>～</w:t>
            </w:r>
            <w:r>
              <w:rPr>
                <w:rFonts w:eastAsia="仿宋_GB2312;仿宋" w:cs="Arial" w:ascii="Arial" w:hAnsi="Arial"/>
                <w:sz w:val="22"/>
                <w:szCs w:val="22"/>
              </w:rPr>
              <w:t>9</w:t>
            </w:r>
            <w:r>
              <w:rPr>
                <w:rFonts w:ascii="Arial" w:hAnsi="Arial" w:cs="Arial" w:eastAsia="仿宋_GB2312;仿宋"/>
                <w:sz w:val="22"/>
                <w:szCs w:val="22"/>
              </w:rPr>
              <w:t>分；</w:t>
            </w:r>
          </w:p>
        </w:tc>
        <w:tc>
          <w:tcPr>
            <w:tcW w:w="1134"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4"/>
              </w:rPr>
            </w:pPr>
            <w:r>
              <w:rPr>
                <w:rFonts w:eastAsia="仿宋_GB2312;仿宋" w:cs="Arial" w:ascii="Arial" w:hAnsi="Arial"/>
                <w:sz w:val="22"/>
                <w:szCs w:val="24"/>
              </w:rPr>
            </w:r>
          </w:p>
        </w:tc>
        <w:tc>
          <w:tcPr>
            <w:tcW w:w="114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spacing w:lineRule="auto" w:line="240"/>
              <w:rPr>
                <w:rFonts w:ascii="Arial" w:hAnsi="Arial" w:eastAsia="仿宋_GB2312;仿宋" w:cs="Arial"/>
                <w:szCs w:val="24"/>
              </w:rPr>
            </w:pPr>
            <w:r>
              <w:rPr>
                <w:rFonts w:eastAsia="仿宋_GB2312;仿宋" w:cs="Arial" w:ascii="Arial" w:hAnsi="Arial"/>
                <w:szCs w:val="24"/>
              </w:rPr>
            </w:r>
          </w:p>
        </w:tc>
      </w:tr>
      <w:tr>
        <w:trPr>
          <w:trHeight w:val="425" w:hRule="atLeast"/>
        </w:trPr>
        <w:tc>
          <w:tcPr>
            <w:tcW w:w="1362"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ascii="Arial" w:hAnsi="Arial" w:cs="Arial" w:eastAsia="仿宋_GB2312;仿宋"/>
                <w:sz w:val="22"/>
                <w:szCs w:val="22"/>
              </w:rPr>
              <w:t>估价方法所要求的评估资料的完整性</w:t>
            </w:r>
          </w:p>
        </w:tc>
        <w:tc>
          <w:tcPr>
            <w:tcW w:w="895"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eastAsia="仿宋_GB2312;仿宋" w:cs="Arial" w:ascii="Arial" w:hAnsi="Arial"/>
                <w:sz w:val="22"/>
                <w:szCs w:val="22"/>
              </w:rPr>
              <w:t>15</w:t>
            </w:r>
          </w:p>
        </w:tc>
        <w:tc>
          <w:tcPr>
            <w:tcW w:w="5741" w:type="dxa"/>
            <w:tcBorders>
              <w:top w:val="single" w:sz="4" w:space="0" w:color="000000"/>
              <w:left w:val="single" w:sz="4" w:space="0" w:color="000000"/>
              <w:bottom w:val="single" w:sz="4" w:space="0" w:color="000000"/>
            </w:tcBorders>
            <w:shd w:fill="auto" w:val="clear"/>
            <w:vAlign w:val="center"/>
          </w:tcPr>
          <w:p>
            <w:pPr>
              <w:pStyle w:val="Normal"/>
              <w:spacing w:lineRule="auto" w:line="240"/>
              <w:rPr>
                <w:rFonts w:ascii="Arial" w:hAnsi="Arial" w:eastAsia="仿宋_GB2312;仿宋" w:cs="Arial"/>
                <w:sz w:val="22"/>
                <w:szCs w:val="22"/>
              </w:rPr>
            </w:pPr>
            <w:r>
              <w:rPr>
                <w:rFonts w:eastAsia="仿宋_GB2312;仿宋" w:cs="Arial" w:ascii="Arial" w:hAnsi="Arial"/>
                <w:sz w:val="22"/>
                <w:szCs w:val="22"/>
              </w:rPr>
              <w:t>1</w:t>
            </w:r>
            <w:r>
              <w:rPr>
                <w:rFonts w:ascii="Arial" w:hAnsi="Arial" w:cs="Arial" w:eastAsia="仿宋_GB2312;仿宋"/>
                <w:sz w:val="22"/>
                <w:szCs w:val="22"/>
              </w:rPr>
              <w:t>、估算资料完整，来源依据充分，取</w:t>
            </w:r>
            <w:r>
              <w:rPr>
                <w:rFonts w:eastAsia="仿宋_GB2312;仿宋" w:cs="Arial" w:ascii="Arial" w:hAnsi="Arial"/>
                <w:sz w:val="22"/>
                <w:szCs w:val="22"/>
              </w:rPr>
              <w:t>10</w:t>
            </w:r>
            <w:r>
              <w:rPr>
                <w:rFonts w:ascii="Arial" w:hAnsi="Arial" w:cs="Arial" w:eastAsia="仿宋_GB2312;仿宋"/>
                <w:sz w:val="22"/>
                <w:szCs w:val="22"/>
              </w:rPr>
              <w:t>～</w:t>
            </w:r>
            <w:r>
              <w:rPr>
                <w:rFonts w:eastAsia="仿宋_GB2312;仿宋" w:cs="Arial" w:ascii="Arial" w:hAnsi="Arial"/>
                <w:sz w:val="22"/>
                <w:szCs w:val="22"/>
              </w:rPr>
              <w:t>15</w:t>
            </w:r>
            <w:r>
              <w:rPr>
                <w:rFonts w:ascii="Arial" w:hAnsi="Arial" w:cs="Arial" w:eastAsia="仿宋_GB2312;仿宋"/>
                <w:sz w:val="22"/>
                <w:szCs w:val="22"/>
              </w:rPr>
              <w:t>分；</w:t>
            </w:r>
          </w:p>
        </w:tc>
        <w:tc>
          <w:tcPr>
            <w:tcW w:w="1134"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Cs w:val="24"/>
              </w:rPr>
            </w:pPr>
            <w:r>
              <w:rPr>
                <w:rFonts w:eastAsia="仿宋_GB2312;仿宋" w:cs="Arial" w:ascii="Arial" w:hAnsi="Arial"/>
                <w:szCs w:val="24"/>
              </w:rPr>
              <w:t>8</w:t>
            </w:r>
          </w:p>
        </w:tc>
        <w:tc>
          <w:tcPr>
            <w:tcW w:w="1147"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rPr>
                <w:rFonts w:ascii="Arial" w:hAnsi="Arial" w:eastAsia="仿宋_GB2312;仿宋" w:cs="Arial"/>
                <w:szCs w:val="24"/>
              </w:rPr>
            </w:pPr>
            <w:r>
              <w:rPr>
                <w:rFonts w:eastAsia="仿宋_GB2312;仿宋" w:cs="Arial" w:ascii="Arial" w:hAnsi="Arial"/>
                <w:szCs w:val="24"/>
              </w:rPr>
              <w:t>13</w:t>
            </w:r>
          </w:p>
        </w:tc>
      </w:tr>
      <w:tr>
        <w:trPr>
          <w:trHeight w:val="425" w:hRule="atLeast"/>
        </w:trPr>
        <w:tc>
          <w:tcPr>
            <w:tcW w:w="1362"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2"/>
              </w:rPr>
            </w:pPr>
            <w:r>
              <w:rPr>
                <w:rFonts w:eastAsia="仿宋_GB2312;仿宋" w:cs="Arial" w:ascii="Arial" w:hAnsi="Arial"/>
                <w:sz w:val="22"/>
                <w:szCs w:val="22"/>
              </w:rPr>
            </w:r>
          </w:p>
        </w:tc>
        <w:tc>
          <w:tcPr>
            <w:tcW w:w="895"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2"/>
              </w:rPr>
            </w:pPr>
            <w:r>
              <w:rPr>
                <w:rFonts w:eastAsia="仿宋_GB2312;仿宋" w:cs="Arial" w:ascii="Arial" w:hAnsi="Arial"/>
                <w:sz w:val="22"/>
                <w:szCs w:val="22"/>
              </w:rPr>
            </w:r>
          </w:p>
        </w:tc>
        <w:tc>
          <w:tcPr>
            <w:tcW w:w="5741" w:type="dxa"/>
            <w:tcBorders>
              <w:top w:val="single" w:sz="4" w:space="0" w:color="000000"/>
              <w:left w:val="single" w:sz="4" w:space="0" w:color="000000"/>
              <w:bottom w:val="single" w:sz="4" w:space="0" w:color="000000"/>
            </w:tcBorders>
            <w:shd w:fill="auto" w:val="clear"/>
            <w:vAlign w:val="center"/>
          </w:tcPr>
          <w:p>
            <w:pPr>
              <w:pStyle w:val="Normal"/>
              <w:spacing w:lineRule="auto" w:line="240"/>
              <w:rPr>
                <w:rFonts w:ascii="Arial" w:hAnsi="Arial" w:eastAsia="仿宋_GB2312;仿宋" w:cs="Arial"/>
                <w:sz w:val="22"/>
                <w:szCs w:val="22"/>
              </w:rPr>
            </w:pPr>
            <w:r>
              <w:rPr>
                <w:rFonts w:eastAsia="仿宋_GB2312;仿宋" w:cs="Arial" w:ascii="Arial" w:hAnsi="Arial"/>
                <w:sz w:val="22"/>
                <w:szCs w:val="22"/>
              </w:rPr>
              <w:t>2</w:t>
            </w:r>
            <w:r>
              <w:rPr>
                <w:rFonts w:ascii="Arial" w:hAnsi="Arial" w:cs="Arial" w:eastAsia="仿宋_GB2312;仿宋"/>
                <w:sz w:val="22"/>
                <w:szCs w:val="22"/>
              </w:rPr>
              <w:t>、评估资料有欠缺，来源依据较不充分，取</w:t>
            </w:r>
            <w:r>
              <w:rPr>
                <w:rFonts w:eastAsia="仿宋_GB2312;仿宋" w:cs="Arial" w:ascii="Arial" w:hAnsi="Arial"/>
                <w:sz w:val="22"/>
                <w:szCs w:val="22"/>
              </w:rPr>
              <w:t>0</w:t>
            </w:r>
            <w:r>
              <w:rPr>
                <w:rFonts w:ascii="Arial" w:hAnsi="Arial" w:cs="Arial" w:eastAsia="仿宋_GB2312;仿宋"/>
                <w:sz w:val="22"/>
                <w:szCs w:val="22"/>
              </w:rPr>
              <w:t>～</w:t>
            </w:r>
            <w:r>
              <w:rPr>
                <w:rFonts w:eastAsia="仿宋_GB2312;仿宋" w:cs="Arial" w:ascii="Arial" w:hAnsi="Arial"/>
                <w:sz w:val="22"/>
                <w:szCs w:val="22"/>
              </w:rPr>
              <w:t>9</w:t>
            </w:r>
            <w:r>
              <w:rPr>
                <w:rFonts w:ascii="Arial" w:hAnsi="Arial" w:cs="Arial" w:eastAsia="仿宋_GB2312;仿宋"/>
                <w:sz w:val="22"/>
                <w:szCs w:val="22"/>
              </w:rPr>
              <w:t>分；</w:t>
            </w:r>
          </w:p>
        </w:tc>
        <w:tc>
          <w:tcPr>
            <w:tcW w:w="1134"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4"/>
              </w:rPr>
            </w:pPr>
            <w:r>
              <w:rPr>
                <w:rFonts w:eastAsia="仿宋_GB2312;仿宋" w:cs="Arial" w:ascii="Arial" w:hAnsi="Arial"/>
                <w:sz w:val="22"/>
                <w:szCs w:val="24"/>
              </w:rPr>
            </w:r>
          </w:p>
        </w:tc>
        <w:tc>
          <w:tcPr>
            <w:tcW w:w="114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spacing w:lineRule="auto" w:line="240"/>
              <w:rPr>
                <w:rFonts w:ascii="Arial" w:hAnsi="Arial" w:eastAsia="仿宋_GB2312;仿宋" w:cs="Arial"/>
                <w:szCs w:val="24"/>
              </w:rPr>
            </w:pPr>
            <w:r>
              <w:rPr>
                <w:rFonts w:eastAsia="仿宋_GB2312;仿宋" w:cs="Arial" w:ascii="Arial" w:hAnsi="Arial"/>
                <w:szCs w:val="24"/>
              </w:rPr>
            </w:r>
          </w:p>
        </w:tc>
      </w:tr>
      <w:tr>
        <w:trPr>
          <w:trHeight w:val="425" w:hRule="atLeast"/>
        </w:trPr>
        <w:tc>
          <w:tcPr>
            <w:tcW w:w="1362"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ascii="Arial" w:hAnsi="Arial" w:cs="Arial" w:eastAsia="仿宋_GB2312;仿宋"/>
                <w:sz w:val="22"/>
                <w:szCs w:val="22"/>
              </w:rPr>
              <w:t>参数选取的客观性</w:t>
            </w:r>
          </w:p>
        </w:tc>
        <w:tc>
          <w:tcPr>
            <w:tcW w:w="895"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eastAsia="仿宋_GB2312;仿宋" w:cs="Arial" w:ascii="Arial" w:hAnsi="Arial"/>
                <w:sz w:val="22"/>
                <w:szCs w:val="22"/>
              </w:rPr>
              <w:t>15</w:t>
            </w:r>
          </w:p>
        </w:tc>
        <w:tc>
          <w:tcPr>
            <w:tcW w:w="5741" w:type="dxa"/>
            <w:tcBorders>
              <w:top w:val="single" w:sz="4" w:space="0" w:color="000000"/>
              <w:left w:val="single" w:sz="4" w:space="0" w:color="000000"/>
              <w:bottom w:val="single" w:sz="4" w:space="0" w:color="000000"/>
            </w:tcBorders>
            <w:shd w:fill="auto" w:val="clear"/>
            <w:vAlign w:val="center"/>
          </w:tcPr>
          <w:p>
            <w:pPr>
              <w:pStyle w:val="Normal"/>
              <w:spacing w:lineRule="auto" w:line="240"/>
              <w:rPr>
                <w:rFonts w:ascii="Arial" w:hAnsi="Arial" w:eastAsia="仿宋_GB2312;仿宋" w:cs="Arial"/>
                <w:sz w:val="22"/>
                <w:szCs w:val="22"/>
              </w:rPr>
            </w:pPr>
            <w:r>
              <w:rPr>
                <w:rFonts w:eastAsia="仿宋_GB2312;仿宋" w:cs="Arial" w:ascii="Arial" w:hAnsi="Arial"/>
                <w:sz w:val="22"/>
                <w:szCs w:val="22"/>
              </w:rPr>
              <w:t>1</w:t>
            </w:r>
            <w:r>
              <w:rPr>
                <w:rFonts w:ascii="Arial" w:hAnsi="Arial" w:cs="Arial" w:eastAsia="仿宋_GB2312;仿宋"/>
                <w:sz w:val="22"/>
                <w:szCs w:val="22"/>
              </w:rPr>
              <w:t>、参数从市场上获取，或从权威机构发布的信息上获取，取</w:t>
            </w:r>
            <w:r>
              <w:rPr>
                <w:rFonts w:eastAsia="仿宋_GB2312;仿宋" w:cs="Arial" w:ascii="Arial" w:hAnsi="Arial"/>
                <w:sz w:val="22"/>
                <w:szCs w:val="22"/>
              </w:rPr>
              <w:t>10</w:t>
            </w:r>
            <w:r>
              <w:rPr>
                <w:rFonts w:ascii="Arial" w:hAnsi="Arial" w:cs="Arial" w:eastAsia="仿宋_GB2312;仿宋"/>
                <w:sz w:val="22"/>
                <w:szCs w:val="22"/>
              </w:rPr>
              <w:t>～</w:t>
            </w:r>
            <w:r>
              <w:rPr>
                <w:rFonts w:eastAsia="仿宋_GB2312;仿宋" w:cs="Arial" w:ascii="Arial" w:hAnsi="Arial"/>
                <w:sz w:val="22"/>
                <w:szCs w:val="22"/>
              </w:rPr>
              <w:t>15</w:t>
            </w:r>
            <w:r>
              <w:rPr>
                <w:rFonts w:ascii="Arial" w:hAnsi="Arial" w:cs="Arial" w:eastAsia="仿宋_GB2312;仿宋"/>
                <w:sz w:val="22"/>
                <w:szCs w:val="22"/>
              </w:rPr>
              <w:t>分；</w:t>
            </w:r>
          </w:p>
        </w:tc>
        <w:tc>
          <w:tcPr>
            <w:tcW w:w="1134"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Cs w:val="24"/>
              </w:rPr>
            </w:pPr>
            <w:r>
              <w:rPr>
                <w:rFonts w:eastAsia="仿宋_GB2312;仿宋" w:cs="Arial" w:ascii="Arial" w:hAnsi="Arial"/>
                <w:szCs w:val="24"/>
              </w:rPr>
              <w:t>5</w:t>
            </w:r>
          </w:p>
        </w:tc>
        <w:tc>
          <w:tcPr>
            <w:tcW w:w="1147"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rPr>
                <w:rFonts w:ascii="Arial" w:hAnsi="Arial" w:eastAsia="仿宋_GB2312;仿宋" w:cs="Arial"/>
                <w:szCs w:val="24"/>
              </w:rPr>
            </w:pPr>
            <w:r>
              <w:rPr>
                <w:rFonts w:eastAsia="仿宋_GB2312;仿宋" w:cs="Arial" w:ascii="Arial" w:hAnsi="Arial"/>
                <w:szCs w:val="24"/>
              </w:rPr>
              <w:t>11</w:t>
            </w:r>
          </w:p>
        </w:tc>
      </w:tr>
      <w:tr>
        <w:trPr>
          <w:trHeight w:val="425" w:hRule="atLeast"/>
        </w:trPr>
        <w:tc>
          <w:tcPr>
            <w:tcW w:w="1362"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2"/>
              </w:rPr>
            </w:pPr>
            <w:r>
              <w:rPr>
                <w:rFonts w:eastAsia="仿宋_GB2312;仿宋" w:cs="Arial" w:ascii="Arial" w:hAnsi="Arial"/>
                <w:sz w:val="22"/>
                <w:szCs w:val="22"/>
              </w:rPr>
            </w:r>
          </w:p>
        </w:tc>
        <w:tc>
          <w:tcPr>
            <w:tcW w:w="895"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2"/>
              </w:rPr>
            </w:pPr>
            <w:r>
              <w:rPr>
                <w:rFonts w:eastAsia="仿宋_GB2312;仿宋" w:cs="Arial" w:ascii="Arial" w:hAnsi="Arial"/>
                <w:sz w:val="22"/>
                <w:szCs w:val="22"/>
              </w:rPr>
            </w:r>
          </w:p>
        </w:tc>
        <w:tc>
          <w:tcPr>
            <w:tcW w:w="5741" w:type="dxa"/>
            <w:tcBorders>
              <w:top w:val="single" w:sz="4" w:space="0" w:color="000000"/>
              <w:left w:val="single" w:sz="4" w:space="0" w:color="000000"/>
              <w:bottom w:val="single" w:sz="4" w:space="0" w:color="000000"/>
            </w:tcBorders>
            <w:shd w:fill="auto" w:val="clear"/>
            <w:vAlign w:val="center"/>
          </w:tcPr>
          <w:p>
            <w:pPr>
              <w:pStyle w:val="Normal"/>
              <w:spacing w:lineRule="auto" w:line="240"/>
              <w:rPr>
                <w:rFonts w:ascii="Arial" w:hAnsi="Arial" w:eastAsia="仿宋_GB2312;仿宋" w:cs="Arial"/>
                <w:sz w:val="22"/>
                <w:szCs w:val="22"/>
              </w:rPr>
            </w:pPr>
            <w:r>
              <w:rPr>
                <w:rFonts w:eastAsia="仿宋_GB2312;仿宋" w:cs="Arial" w:ascii="Arial" w:hAnsi="Arial"/>
                <w:sz w:val="22"/>
                <w:szCs w:val="22"/>
              </w:rPr>
              <w:t>2</w:t>
            </w:r>
            <w:r>
              <w:rPr>
                <w:rFonts w:ascii="Arial" w:hAnsi="Arial" w:cs="Arial" w:eastAsia="仿宋_GB2312;仿宋"/>
                <w:sz w:val="22"/>
                <w:szCs w:val="22"/>
              </w:rPr>
              <w:t>、部分参数为自行分析取得，理由较充分，取</w:t>
            </w:r>
            <w:r>
              <w:rPr>
                <w:rFonts w:eastAsia="仿宋_GB2312;仿宋" w:cs="Arial" w:ascii="Arial" w:hAnsi="Arial"/>
                <w:sz w:val="22"/>
                <w:szCs w:val="22"/>
              </w:rPr>
              <w:t>0</w:t>
            </w:r>
            <w:r>
              <w:rPr>
                <w:rFonts w:ascii="Arial" w:hAnsi="Arial" w:cs="Arial" w:eastAsia="仿宋_GB2312;仿宋"/>
                <w:sz w:val="22"/>
                <w:szCs w:val="22"/>
              </w:rPr>
              <w:t>～</w:t>
            </w:r>
            <w:r>
              <w:rPr>
                <w:rFonts w:eastAsia="仿宋_GB2312;仿宋" w:cs="Arial" w:ascii="Arial" w:hAnsi="Arial"/>
                <w:sz w:val="22"/>
                <w:szCs w:val="22"/>
              </w:rPr>
              <w:t>9</w:t>
            </w:r>
            <w:r>
              <w:rPr>
                <w:rFonts w:ascii="Arial" w:hAnsi="Arial" w:cs="Arial" w:eastAsia="仿宋_GB2312;仿宋"/>
                <w:sz w:val="22"/>
                <w:szCs w:val="22"/>
              </w:rPr>
              <w:t>分；</w:t>
            </w:r>
          </w:p>
        </w:tc>
        <w:tc>
          <w:tcPr>
            <w:tcW w:w="1134"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4"/>
              </w:rPr>
            </w:pPr>
            <w:r>
              <w:rPr>
                <w:rFonts w:eastAsia="仿宋_GB2312;仿宋" w:cs="Arial" w:ascii="Arial" w:hAnsi="Arial"/>
                <w:sz w:val="22"/>
                <w:szCs w:val="24"/>
              </w:rPr>
            </w:r>
          </w:p>
        </w:tc>
        <w:tc>
          <w:tcPr>
            <w:tcW w:w="114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spacing w:lineRule="auto" w:line="240"/>
              <w:rPr>
                <w:rFonts w:ascii="Arial" w:hAnsi="Arial" w:eastAsia="仿宋_GB2312;仿宋" w:cs="Arial"/>
                <w:szCs w:val="24"/>
              </w:rPr>
            </w:pPr>
            <w:r>
              <w:rPr>
                <w:rFonts w:eastAsia="仿宋_GB2312;仿宋" w:cs="Arial" w:ascii="Arial" w:hAnsi="Arial"/>
                <w:szCs w:val="24"/>
              </w:rPr>
            </w:r>
          </w:p>
        </w:tc>
      </w:tr>
      <w:tr>
        <w:trPr>
          <w:trHeight w:val="425" w:hRule="atLeast"/>
        </w:trPr>
        <w:tc>
          <w:tcPr>
            <w:tcW w:w="1362"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ascii="Arial" w:hAnsi="Arial" w:cs="Arial" w:eastAsia="仿宋_GB2312;仿宋"/>
                <w:sz w:val="22"/>
                <w:szCs w:val="22"/>
              </w:rPr>
              <w:t>参数确定的时效性</w:t>
            </w:r>
          </w:p>
        </w:tc>
        <w:tc>
          <w:tcPr>
            <w:tcW w:w="895"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eastAsia="仿宋_GB2312;仿宋" w:cs="Arial" w:ascii="Arial" w:hAnsi="Arial"/>
                <w:sz w:val="22"/>
                <w:szCs w:val="22"/>
              </w:rPr>
              <w:t>15</w:t>
            </w:r>
          </w:p>
        </w:tc>
        <w:tc>
          <w:tcPr>
            <w:tcW w:w="5741" w:type="dxa"/>
            <w:tcBorders>
              <w:top w:val="single" w:sz="4" w:space="0" w:color="000000"/>
              <w:left w:val="single" w:sz="4" w:space="0" w:color="000000"/>
              <w:bottom w:val="single" w:sz="4" w:space="0" w:color="000000"/>
            </w:tcBorders>
            <w:shd w:fill="auto" w:val="clear"/>
            <w:vAlign w:val="center"/>
          </w:tcPr>
          <w:p>
            <w:pPr>
              <w:pStyle w:val="Normal"/>
              <w:spacing w:lineRule="auto" w:line="240"/>
              <w:rPr>
                <w:rFonts w:ascii="Arial" w:hAnsi="Arial" w:eastAsia="仿宋_GB2312;仿宋" w:cs="Arial"/>
                <w:sz w:val="22"/>
                <w:szCs w:val="22"/>
              </w:rPr>
            </w:pPr>
            <w:r>
              <w:rPr>
                <w:rFonts w:eastAsia="仿宋_GB2312;仿宋" w:cs="Arial" w:ascii="Arial" w:hAnsi="Arial"/>
                <w:sz w:val="22"/>
                <w:szCs w:val="22"/>
              </w:rPr>
              <w:t>1</w:t>
            </w:r>
            <w:r>
              <w:rPr>
                <w:rFonts w:ascii="Arial" w:hAnsi="Arial" w:cs="Arial" w:eastAsia="仿宋_GB2312;仿宋"/>
                <w:sz w:val="22"/>
                <w:szCs w:val="22"/>
              </w:rPr>
              <w:t>、参数在规定的时效范围内，且距估价期日未超过</w:t>
            </w:r>
            <w:r>
              <w:rPr>
                <w:rFonts w:eastAsia="仿宋_GB2312;仿宋" w:cs="Arial" w:ascii="Arial" w:hAnsi="Arial"/>
                <w:sz w:val="22"/>
                <w:szCs w:val="22"/>
              </w:rPr>
              <w:t>1</w:t>
            </w:r>
            <w:r>
              <w:rPr>
                <w:rFonts w:ascii="Arial" w:hAnsi="Arial" w:cs="Arial" w:eastAsia="仿宋_GB2312;仿宋"/>
                <w:sz w:val="22"/>
                <w:szCs w:val="22"/>
              </w:rPr>
              <w:t>年，取</w:t>
            </w:r>
            <w:r>
              <w:rPr>
                <w:rFonts w:eastAsia="仿宋_GB2312;仿宋" w:cs="Arial" w:ascii="Arial" w:hAnsi="Arial"/>
                <w:sz w:val="22"/>
                <w:szCs w:val="22"/>
              </w:rPr>
              <w:t>10</w:t>
            </w:r>
            <w:r>
              <w:rPr>
                <w:rFonts w:ascii="Arial" w:hAnsi="Arial" w:cs="Arial" w:eastAsia="仿宋_GB2312;仿宋"/>
                <w:sz w:val="22"/>
                <w:szCs w:val="22"/>
              </w:rPr>
              <w:t>～</w:t>
            </w:r>
            <w:r>
              <w:rPr>
                <w:rFonts w:eastAsia="仿宋_GB2312;仿宋" w:cs="Arial" w:ascii="Arial" w:hAnsi="Arial"/>
                <w:sz w:val="22"/>
                <w:szCs w:val="22"/>
              </w:rPr>
              <w:t>15</w:t>
            </w:r>
            <w:r>
              <w:rPr>
                <w:rFonts w:ascii="Arial" w:hAnsi="Arial" w:cs="Arial" w:eastAsia="仿宋_GB2312;仿宋"/>
                <w:sz w:val="22"/>
                <w:szCs w:val="22"/>
              </w:rPr>
              <w:t>分；</w:t>
            </w:r>
          </w:p>
        </w:tc>
        <w:tc>
          <w:tcPr>
            <w:tcW w:w="1134"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Cs w:val="24"/>
              </w:rPr>
            </w:pPr>
            <w:r>
              <w:rPr>
                <w:rFonts w:eastAsia="仿宋_GB2312;仿宋" w:cs="Arial" w:ascii="Arial" w:hAnsi="Arial"/>
                <w:szCs w:val="24"/>
              </w:rPr>
              <w:t>3</w:t>
            </w:r>
          </w:p>
        </w:tc>
        <w:tc>
          <w:tcPr>
            <w:tcW w:w="1147"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rPr>
                <w:rFonts w:ascii="Arial" w:hAnsi="Arial" w:eastAsia="仿宋_GB2312;仿宋" w:cs="Arial"/>
                <w:szCs w:val="24"/>
              </w:rPr>
            </w:pPr>
            <w:r>
              <w:rPr>
                <w:rFonts w:eastAsia="仿宋_GB2312;仿宋" w:cs="Arial" w:ascii="Arial" w:hAnsi="Arial"/>
                <w:szCs w:val="24"/>
              </w:rPr>
              <w:t>11</w:t>
            </w:r>
          </w:p>
        </w:tc>
      </w:tr>
      <w:tr>
        <w:trPr>
          <w:trHeight w:val="425" w:hRule="atLeast"/>
        </w:trPr>
        <w:tc>
          <w:tcPr>
            <w:tcW w:w="1362"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2"/>
              </w:rPr>
            </w:pPr>
            <w:r>
              <w:rPr>
                <w:rFonts w:eastAsia="仿宋_GB2312;仿宋" w:cs="Arial" w:ascii="Arial" w:hAnsi="Arial"/>
                <w:sz w:val="22"/>
                <w:szCs w:val="22"/>
              </w:rPr>
            </w:r>
          </w:p>
        </w:tc>
        <w:tc>
          <w:tcPr>
            <w:tcW w:w="895"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2"/>
              </w:rPr>
            </w:pPr>
            <w:r>
              <w:rPr>
                <w:rFonts w:eastAsia="仿宋_GB2312;仿宋" w:cs="Arial" w:ascii="Arial" w:hAnsi="Arial"/>
                <w:sz w:val="22"/>
                <w:szCs w:val="22"/>
              </w:rPr>
            </w:r>
          </w:p>
        </w:tc>
        <w:tc>
          <w:tcPr>
            <w:tcW w:w="5741" w:type="dxa"/>
            <w:tcBorders>
              <w:top w:val="single" w:sz="4" w:space="0" w:color="000000"/>
              <w:left w:val="single" w:sz="4" w:space="0" w:color="000000"/>
              <w:bottom w:val="single" w:sz="4" w:space="0" w:color="000000"/>
            </w:tcBorders>
            <w:shd w:fill="auto" w:val="clear"/>
            <w:vAlign w:val="center"/>
          </w:tcPr>
          <w:p>
            <w:pPr>
              <w:pStyle w:val="Normal"/>
              <w:spacing w:lineRule="auto" w:line="240"/>
              <w:rPr>
                <w:rFonts w:ascii="Arial" w:hAnsi="Arial" w:eastAsia="仿宋_GB2312;仿宋" w:cs="Arial"/>
                <w:sz w:val="22"/>
                <w:szCs w:val="22"/>
              </w:rPr>
            </w:pPr>
            <w:r>
              <w:rPr>
                <w:rFonts w:eastAsia="仿宋_GB2312;仿宋" w:cs="Arial" w:ascii="Arial" w:hAnsi="Arial"/>
                <w:sz w:val="22"/>
                <w:szCs w:val="22"/>
              </w:rPr>
              <w:t>2</w:t>
            </w:r>
            <w:r>
              <w:rPr>
                <w:rFonts w:ascii="Arial" w:hAnsi="Arial" w:cs="Arial" w:eastAsia="仿宋_GB2312;仿宋"/>
                <w:sz w:val="22"/>
                <w:szCs w:val="22"/>
              </w:rPr>
              <w:t>、参数在规定的时效范围内，但距估价期日超过</w:t>
            </w:r>
            <w:r>
              <w:rPr>
                <w:rFonts w:eastAsia="仿宋_GB2312;仿宋" w:cs="Arial" w:ascii="Arial" w:hAnsi="Arial"/>
                <w:sz w:val="22"/>
                <w:szCs w:val="22"/>
              </w:rPr>
              <w:t>1</w:t>
            </w:r>
            <w:r>
              <w:rPr>
                <w:rFonts w:ascii="Arial" w:hAnsi="Arial" w:cs="Arial" w:eastAsia="仿宋_GB2312;仿宋"/>
                <w:sz w:val="22"/>
                <w:szCs w:val="22"/>
              </w:rPr>
              <w:t>年，取</w:t>
            </w:r>
            <w:r>
              <w:rPr>
                <w:rFonts w:eastAsia="仿宋_GB2312;仿宋" w:cs="Arial" w:ascii="Arial" w:hAnsi="Arial"/>
                <w:sz w:val="22"/>
                <w:szCs w:val="22"/>
              </w:rPr>
              <w:t>0</w:t>
            </w:r>
            <w:r>
              <w:rPr>
                <w:rFonts w:ascii="Arial" w:hAnsi="Arial" w:cs="Arial" w:eastAsia="仿宋_GB2312;仿宋"/>
                <w:sz w:val="22"/>
                <w:szCs w:val="22"/>
              </w:rPr>
              <w:t>～</w:t>
            </w:r>
            <w:r>
              <w:rPr>
                <w:rFonts w:eastAsia="仿宋_GB2312;仿宋" w:cs="Arial" w:ascii="Arial" w:hAnsi="Arial"/>
                <w:sz w:val="22"/>
                <w:szCs w:val="22"/>
              </w:rPr>
              <w:t>9</w:t>
            </w:r>
            <w:r>
              <w:rPr>
                <w:rFonts w:ascii="Arial" w:hAnsi="Arial" w:cs="Arial" w:eastAsia="仿宋_GB2312;仿宋"/>
                <w:sz w:val="22"/>
                <w:szCs w:val="22"/>
              </w:rPr>
              <w:t>分；</w:t>
            </w:r>
          </w:p>
        </w:tc>
        <w:tc>
          <w:tcPr>
            <w:tcW w:w="1134"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4"/>
              </w:rPr>
            </w:pPr>
            <w:r>
              <w:rPr>
                <w:rFonts w:eastAsia="仿宋_GB2312;仿宋" w:cs="Arial" w:ascii="Arial" w:hAnsi="Arial"/>
                <w:sz w:val="22"/>
                <w:szCs w:val="24"/>
              </w:rPr>
            </w:r>
          </w:p>
        </w:tc>
        <w:tc>
          <w:tcPr>
            <w:tcW w:w="114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spacing w:lineRule="auto" w:line="240"/>
              <w:rPr>
                <w:rFonts w:ascii="Arial" w:hAnsi="Arial" w:eastAsia="仿宋_GB2312;仿宋" w:cs="Arial"/>
                <w:szCs w:val="24"/>
              </w:rPr>
            </w:pPr>
            <w:r>
              <w:rPr>
                <w:rFonts w:eastAsia="仿宋_GB2312;仿宋" w:cs="Arial" w:ascii="Arial" w:hAnsi="Arial"/>
                <w:szCs w:val="24"/>
              </w:rPr>
            </w:r>
          </w:p>
        </w:tc>
      </w:tr>
      <w:tr>
        <w:trPr>
          <w:trHeight w:val="425" w:hRule="atLeast"/>
        </w:trPr>
        <w:tc>
          <w:tcPr>
            <w:tcW w:w="1362"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ascii="Arial" w:hAnsi="Arial" w:cs="Arial" w:eastAsia="仿宋_GB2312;仿宋"/>
                <w:sz w:val="22"/>
                <w:szCs w:val="22"/>
              </w:rPr>
              <w:t>估价结果的现势性</w:t>
            </w:r>
          </w:p>
        </w:tc>
        <w:tc>
          <w:tcPr>
            <w:tcW w:w="895"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eastAsia="仿宋_GB2312;仿宋" w:cs="Arial" w:ascii="Arial" w:hAnsi="Arial"/>
                <w:sz w:val="22"/>
                <w:szCs w:val="22"/>
              </w:rPr>
              <w:t>30</w:t>
            </w:r>
          </w:p>
        </w:tc>
        <w:tc>
          <w:tcPr>
            <w:tcW w:w="5741" w:type="dxa"/>
            <w:tcBorders>
              <w:top w:val="single" w:sz="4" w:space="0" w:color="000000"/>
              <w:left w:val="single" w:sz="4" w:space="0" w:color="000000"/>
              <w:bottom w:val="single" w:sz="4" w:space="0" w:color="000000"/>
            </w:tcBorders>
            <w:shd w:fill="auto" w:val="clear"/>
            <w:vAlign w:val="center"/>
          </w:tcPr>
          <w:p>
            <w:pPr>
              <w:pStyle w:val="Normal"/>
              <w:spacing w:lineRule="auto" w:line="240"/>
              <w:rPr>
                <w:rFonts w:ascii="Arial" w:hAnsi="Arial" w:eastAsia="仿宋_GB2312;仿宋" w:cs="Arial"/>
                <w:sz w:val="22"/>
                <w:szCs w:val="22"/>
              </w:rPr>
            </w:pPr>
            <w:r>
              <w:rPr>
                <w:rFonts w:eastAsia="仿宋_GB2312;仿宋" w:cs="Arial" w:ascii="Arial" w:hAnsi="Arial"/>
                <w:sz w:val="22"/>
                <w:szCs w:val="22"/>
              </w:rPr>
              <w:t>1</w:t>
            </w:r>
            <w:r>
              <w:rPr>
                <w:rFonts w:ascii="Arial" w:hAnsi="Arial" w:cs="Arial" w:eastAsia="仿宋_GB2312;仿宋"/>
                <w:sz w:val="22"/>
                <w:szCs w:val="22"/>
              </w:rPr>
              <w:t>、估价结果与同类用途房地产市场价格水平一致，且考虑了房地产市场发展趋势，取</w:t>
            </w:r>
            <w:r>
              <w:rPr>
                <w:rFonts w:eastAsia="仿宋_GB2312;仿宋" w:cs="Arial" w:ascii="Arial" w:hAnsi="Arial"/>
                <w:sz w:val="22"/>
                <w:szCs w:val="22"/>
              </w:rPr>
              <w:t>15</w:t>
            </w:r>
            <w:r>
              <w:rPr>
                <w:rFonts w:ascii="Arial" w:hAnsi="Arial" w:cs="Arial" w:eastAsia="仿宋_GB2312;仿宋"/>
                <w:sz w:val="22"/>
                <w:szCs w:val="22"/>
              </w:rPr>
              <w:t>～</w:t>
            </w:r>
            <w:r>
              <w:rPr>
                <w:rFonts w:eastAsia="仿宋_GB2312;仿宋" w:cs="Arial" w:ascii="Arial" w:hAnsi="Arial"/>
                <w:sz w:val="22"/>
                <w:szCs w:val="22"/>
              </w:rPr>
              <w:t>30</w:t>
            </w:r>
            <w:r>
              <w:rPr>
                <w:rFonts w:ascii="Arial" w:hAnsi="Arial" w:cs="Arial" w:eastAsia="仿宋_GB2312;仿宋"/>
                <w:sz w:val="22"/>
                <w:szCs w:val="22"/>
              </w:rPr>
              <w:t>分；</w:t>
            </w:r>
          </w:p>
        </w:tc>
        <w:tc>
          <w:tcPr>
            <w:tcW w:w="1134"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Cs w:val="24"/>
              </w:rPr>
            </w:pPr>
            <w:r>
              <w:rPr>
                <w:rFonts w:eastAsia="仿宋_GB2312;仿宋" w:cs="Arial" w:ascii="Arial" w:hAnsi="Arial"/>
                <w:szCs w:val="24"/>
              </w:rPr>
              <w:t>8</w:t>
            </w:r>
          </w:p>
        </w:tc>
        <w:tc>
          <w:tcPr>
            <w:tcW w:w="1147"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rPr>
                <w:rFonts w:ascii="Arial" w:hAnsi="Arial" w:eastAsia="仿宋_GB2312;仿宋" w:cs="Arial"/>
                <w:szCs w:val="24"/>
              </w:rPr>
            </w:pPr>
            <w:r>
              <w:rPr>
                <w:rFonts w:eastAsia="仿宋_GB2312;仿宋" w:cs="Arial" w:ascii="Arial" w:hAnsi="Arial"/>
                <w:szCs w:val="24"/>
              </w:rPr>
              <w:t>25</w:t>
            </w:r>
          </w:p>
        </w:tc>
      </w:tr>
      <w:tr>
        <w:trPr>
          <w:trHeight w:val="425" w:hRule="atLeast"/>
        </w:trPr>
        <w:tc>
          <w:tcPr>
            <w:tcW w:w="1362"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2"/>
              </w:rPr>
            </w:pPr>
            <w:r>
              <w:rPr>
                <w:rFonts w:eastAsia="仿宋_GB2312;仿宋" w:cs="Arial" w:ascii="Arial" w:hAnsi="Arial"/>
                <w:sz w:val="22"/>
                <w:szCs w:val="22"/>
              </w:rPr>
            </w:r>
          </w:p>
        </w:tc>
        <w:tc>
          <w:tcPr>
            <w:tcW w:w="895"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2"/>
              </w:rPr>
            </w:pPr>
            <w:r>
              <w:rPr>
                <w:rFonts w:eastAsia="仿宋_GB2312;仿宋" w:cs="Arial" w:ascii="Arial" w:hAnsi="Arial"/>
                <w:sz w:val="22"/>
                <w:szCs w:val="22"/>
              </w:rPr>
            </w:r>
          </w:p>
        </w:tc>
        <w:tc>
          <w:tcPr>
            <w:tcW w:w="5741" w:type="dxa"/>
            <w:tcBorders>
              <w:top w:val="single" w:sz="4" w:space="0" w:color="000000"/>
              <w:left w:val="single" w:sz="4" w:space="0" w:color="000000"/>
              <w:bottom w:val="single" w:sz="4" w:space="0" w:color="000000"/>
            </w:tcBorders>
            <w:shd w:fill="auto" w:val="clear"/>
            <w:vAlign w:val="center"/>
          </w:tcPr>
          <w:p>
            <w:pPr>
              <w:pStyle w:val="Normal"/>
              <w:spacing w:lineRule="auto" w:line="240"/>
              <w:rPr>
                <w:rFonts w:ascii="Arial" w:hAnsi="Arial" w:eastAsia="仿宋_GB2312;仿宋" w:cs="Arial"/>
                <w:sz w:val="22"/>
                <w:szCs w:val="22"/>
              </w:rPr>
            </w:pPr>
            <w:r>
              <w:rPr>
                <w:rFonts w:eastAsia="仿宋_GB2312;仿宋" w:cs="Arial" w:ascii="Arial" w:hAnsi="Arial"/>
                <w:sz w:val="22"/>
                <w:szCs w:val="22"/>
              </w:rPr>
              <w:t>2</w:t>
            </w:r>
            <w:r>
              <w:rPr>
                <w:rFonts w:ascii="Arial" w:hAnsi="Arial" w:cs="Arial" w:eastAsia="仿宋_GB2312;仿宋"/>
                <w:sz w:val="22"/>
                <w:szCs w:val="22"/>
              </w:rPr>
              <w:t>、估价结果与同类用途房地产价格水平基本一致，且适当考虑了房地产市场发展趋势，取</w:t>
            </w:r>
            <w:r>
              <w:rPr>
                <w:rFonts w:eastAsia="仿宋_GB2312;仿宋" w:cs="Arial" w:ascii="Arial" w:hAnsi="Arial"/>
                <w:sz w:val="22"/>
                <w:szCs w:val="22"/>
              </w:rPr>
              <w:t>10</w:t>
            </w:r>
            <w:r>
              <w:rPr>
                <w:rFonts w:ascii="Arial" w:hAnsi="Arial" w:cs="Arial" w:eastAsia="仿宋_GB2312;仿宋"/>
                <w:sz w:val="22"/>
                <w:szCs w:val="22"/>
              </w:rPr>
              <w:t>～</w:t>
            </w:r>
            <w:r>
              <w:rPr>
                <w:rFonts w:eastAsia="仿宋_GB2312;仿宋" w:cs="Arial" w:ascii="Arial" w:hAnsi="Arial"/>
                <w:sz w:val="22"/>
                <w:szCs w:val="22"/>
              </w:rPr>
              <w:t>14</w:t>
            </w:r>
            <w:r>
              <w:rPr>
                <w:rFonts w:ascii="Arial" w:hAnsi="Arial" w:cs="Arial" w:eastAsia="仿宋_GB2312;仿宋"/>
                <w:sz w:val="22"/>
                <w:szCs w:val="22"/>
              </w:rPr>
              <w:t>分；</w:t>
            </w:r>
          </w:p>
        </w:tc>
        <w:tc>
          <w:tcPr>
            <w:tcW w:w="1134"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4"/>
              </w:rPr>
            </w:pPr>
            <w:r>
              <w:rPr>
                <w:rFonts w:eastAsia="仿宋_GB2312;仿宋" w:cs="Arial" w:ascii="Arial" w:hAnsi="Arial"/>
                <w:sz w:val="22"/>
                <w:szCs w:val="24"/>
              </w:rPr>
            </w:r>
          </w:p>
        </w:tc>
        <w:tc>
          <w:tcPr>
            <w:tcW w:w="114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spacing w:lineRule="auto" w:line="240"/>
              <w:rPr>
                <w:rFonts w:ascii="Arial" w:hAnsi="Arial" w:eastAsia="仿宋_GB2312;仿宋" w:cs="Arial"/>
                <w:szCs w:val="24"/>
              </w:rPr>
            </w:pPr>
            <w:r>
              <w:rPr>
                <w:rFonts w:eastAsia="仿宋_GB2312;仿宋" w:cs="Arial" w:ascii="Arial" w:hAnsi="Arial"/>
                <w:szCs w:val="24"/>
              </w:rPr>
            </w:r>
          </w:p>
        </w:tc>
      </w:tr>
      <w:tr>
        <w:trPr>
          <w:trHeight w:val="425" w:hRule="atLeast"/>
        </w:trPr>
        <w:tc>
          <w:tcPr>
            <w:tcW w:w="1362"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2"/>
              </w:rPr>
            </w:pPr>
            <w:r>
              <w:rPr>
                <w:rFonts w:eastAsia="仿宋_GB2312;仿宋" w:cs="Arial" w:ascii="Arial" w:hAnsi="Arial"/>
                <w:sz w:val="22"/>
                <w:szCs w:val="22"/>
              </w:rPr>
            </w:r>
          </w:p>
        </w:tc>
        <w:tc>
          <w:tcPr>
            <w:tcW w:w="895"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2"/>
              </w:rPr>
            </w:pPr>
            <w:r>
              <w:rPr>
                <w:rFonts w:eastAsia="仿宋_GB2312;仿宋" w:cs="Arial" w:ascii="Arial" w:hAnsi="Arial"/>
                <w:sz w:val="22"/>
                <w:szCs w:val="22"/>
              </w:rPr>
            </w:r>
          </w:p>
        </w:tc>
        <w:tc>
          <w:tcPr>
            <w:tcW w:w="5741" w:type="dxa"/>
            <w:tcBorders>
              <w:top w:val="single" w:sz="4" w:space="0" w:color="000000"/>
              <w:left w:val="single" w:sz="4" w:space="0" w:color="000000"/>
              <w:bottom w:val="single" w:sz="4" w:space="0" w:color="000000"/>
            </w:tcBorders>
            <w:shd w:fill="auto" w:val="clear"/>
            <w:vAlign w:val="center"/>
          </w:tcPr>
          <w:p>
            <w:pPr>
              <w:pStyle w:val="Normal"/>
              <w:spacing w:lineRule="auto" w:line="240"/>
              <w:rPr>
                <w:rFonts w:ascii="Arial" w:hAnsi="Arial" w:eastAsia="仿宋_GB2312;仿宋" w:cs="Arial"/>
                <w:sz w:val="22"/>
                <w:szCs w:val="22"/>
              </w:rPr>
            </w:pPr>
            <w:r>
              <w:rPr>
                <w:rFonts w:eastAsia="仿宋_GB2312;仿宋" w:cs="Arial" w:ascii="Arial" w:hAnsi="Arial"/>
                <w:sz w:val="22"/>
                <w:szCs w:val="22"/>
              </w:rPr>
              <w:t>3</w:t>
            </w:r>
            <w:r>
              <w:rPr>
                <w:rFonts w:ascii="Arial" w:hAnsi="Arial" w:cs="Arial" w:eastAsia="仿宋_GB2312;仿宋"/>
                <w:sz w:val="22"/>
                <w:szCs w:val="22"/>
              </w:rPr>
              <w:t>、估价结果与同类用途房地产价格水平有一定差距，且适当考虑房地产市场发展趋势，取</w:t>
            </w:r>
            <w:r>
              <w:rPr>
                <w:rFonts w:eastAsia="仿宋_GB2312;仿宋" w:cs="Arial" w:ascii="Arial" w:hAnsi="Arial"/>
                <w:sz w:val="22"/>
                <w:szCs w:val="22"/>
              </w:rPr>
              <w:t>0</w:t>
            </w:r>
            <w:r>
              <w:rPr>
                <w:rFonts w:ascii="Arial" w:hAnsi="Arial" w:cs="Arial" w:eastAsia="仿宋_GB2312;仿宋"/>
                <w:sz w:val="22"/>
                <w:szCs w:val="22"/>
              </w:rPr>
              <w:t>～</w:t>
            </w:r>
            <w:r>
              <w:rPr>
                <w:rFonts w:eastAsia="仿宋_GB2312;仿宋" w:cs="Arial" w:ascii="Arial" w:hAnsi="Arial"/>
                <w:sz w:val="22"/>
                <w:szCs w:val="22"/>
              </w:rPr>
              <w:t>9</w:t>
            </w:r>
            <w:r>
              <w:rPr>
                <w:rFonts w:ascii="Arial" w:hAnsi="Arial" w:cs="Arial" w:eastAsia="仿宋_GB2312;仿宋"/>
                <w:sz w:val="22"/>
                <w:szCs w:val="22"/>
              </w:rPr>
              <w:t>分；</w:t>
            </w:r>
          </w:p>
        </w:tc>
        <w:tc>
          <w:tcPr>
            <w:tcW w:w="1134"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rPr>
                <w:rFonts w:ascii="Arial" w:hAnsi="Arial" w:eastAsia="仿宋_GB2312;仿宋" w:cs="Arial"/>
                <w:sz w:val="22"/>
                <w:szCs w:val="24"/>
              </w:rPr>
            </w:pPr>
            <w:r>
              <w:rPr>
                <w:rFonts w:eastAsia="仿宋_GB2312;仿宋" w:cs="Arial" w:ascii="Arial" w:hAnsi="Arial"/>
                <w:sz w:val="22"/>
                <w:szCs w:val="24"/>
              </w:rPr>
            </w:r>
          </w:p>
        </w:tc>
        <w:tc>
          <w:tcPr>
            <w:tcW w:w="114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spacing w:lineRule="auto" w:line="240"/>
              <w:rPr>
                <w:rFonts w:ascii="Arial" w:hAnsi="Arial" w:eastAsia="仿宋_GB2312;仿宋" w:cs="Arial"/>
                <w:szCs w:val="24"/>
              </w:rPr>
            </w:pPr>
            <w:r>
              <w:rPr>
                <w:rFonts w:eastAsia="仿宋_GB2312;仿宋" w:cs="Arial" w:ascii="Arial" w:hAnsi="Arial"/>
                <w:szCs w:val="24"/>
              </w:rPr>
            </w:r>
          </w:p>
        </w:tc>
      </w:tr>
      <w:tr>
        <w:trPr>
          <w:trHeight w:val="425" w:hRule="atLeast"/>
        </w:trPr>
        <w:tc>
          <w:tcPr>
            <w:tcW w:w="7998" w:type="dxa"/>
            <w:gridSpan w:val="3"/>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b/>
                <w:b/>
                <w:bCs/>
                <w:sz w:val="22"/>
                <w:szCs w:val="22"/>
              </w:rPr>
            </w:pPr>
            <w:r>
              <w:rPr>
                <w:rFonts w:ascii="Arial" w:hAnsi="Arial" w:cs="Arial" w:eastAsia="仿宋_GB2312;仿宋"/>
                <w:b/>
                <w:bCs/>
                <w:sz w:val="22"/>
                <w:szCs w:val="22"/>
              </w:rPr>
              <w:t>分值</w:t>
            </w:r>
          </w:p>
        </w:tc>
        <w:tc>
          <w:tcPr>
            <w:tcW w:w="1134"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eastAsia="仿宋_GB2312;仿宋" w:cs="Arial" w:ascii="Arial" w:hAnsi="Arial"/>
                <w:sz w:val="22"/>
                <w:szCs w:val="22"/>
              </w:rPr>
              <w:t>36</w:t>
            </w:r>
          </w:p>
        </w:tc>
        <w:tc>
          <w:tcPr>
            <w:tcW w:w="11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eastAsia="仿宋_GB2312;仿宋" w:cs="Arial" w:ascii="Arial" w:hAnsi="Arial"/>
                <w:sz w:val="22"/>
                <w:szCs w:val="22"/>
              </w:rPr>
              <w:t>84</w:t>
            </w:r>
          </w:p>
        </w:tc>
      </w:tr>
      <w:tr>
        <w:trPr>
          <w:trHeight w:val="425" w:hRule="atLeast"/>
        </w:trPr>
        <w:tc>
          <w:tcPr>
            <w:tcW w:w="7998" w:type="dxa"/>
            <w:gridSpan w:val="3"/>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b/>
                <w:b/>
                <w:bCs/>
                <w:sz w:val="22"/>
                <w:szCs w:val="22"/>
              </w:rPr>
            </w:pPr>
            <w:r>
              <w:rPr>
                <w:rFonts w:ascii="Arial" w:hAnsi="Arial" w:cs="Arial" w:eastAsia="仿宋_GB2312;仿宋"/>
                <w:b/>
                <w:bCs/>
                <w:sz w:val="22"/>
                <w:szCs w:val="22"/>
              </w:rPr>
              <w:t>权重</w:t>
            </w:r>
          </w:p>
        </w:tc>
        <w:tc>
          <w:tcPr>
            <w:tcW w:w="1134"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eastAsia="仿宋_GB2312;仿宋" w:cs="Arial" w:ascii="Arial" w:hAnsi="Arial"/>
                <w:sz w:val="22"/>
                <w:szCs w:val="22"/>
              </w:rPr>
              <w:t>30%</w:t>
            </w:r>
          </w:p>
        </w:tc>
        <w:tc>
          <w:tcPr>
            <w:tcW w:w="11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rPr>
                <w:rFonts w:ascii="Arial" w:hAnsi="Arial" w:eastAsia="仿宋_GB2312;仿宋" w:cs="Arial"/>
                <w:sz w:val="22"/>
                <w:szCs w:val="22"/>
              </w:rPr>
            </w:pPr>
            <w:r>
              <w:rPr>
                <w:rFonts w:eastAsia="仿宋_GB2312;仿宋" w:cs="Arial" w:ascii="Arial" w:hAnsi="Arial"/>
                <w:sz w:val="22"/>
                <w:szCs w:val="22"/>
              </w:rPr>
              <w:t>70%</w:t>
            </w:r>
          </w:p>
        </w:tc>
      </w:tr>
    </w:tbl>
    <w:p>
      <w:pPr>
        <w:pStyle w:val="Normal"/>
        <w:spacing w:lineRule="auto" w:line="360"/>
        <w:ind w:firstLine="560"/>
        <w:jc w:val="both"/>
        <w:rPr>
          <w:rFonts w:ascii="Arial" w:hAnsi="Arial" w:eastAsia="仿宋_GB2312;仿宋" w:cs="Arial"/>
          <w:bCs/>
          <w:sz w:val="28"/>
          <w:szCs w:val="28"/>
        </w:rPr>
      </w:pPr>
      <w:r>
        <w:rPr>
          <w:rFonts w:ascii="Arial" w:hAnsi="Arial" w:cs="Arial" w:eastAsia="仿宋_GB2312;仿宋"/>
          <w:bCs/>
          <w:sz w:val="28"/>
          <w:szCs w:val="28"/>
        </w:rPr>
        <w:t>成本逼近法是根据贡献原则，是一个土地取得成本、土地开发成本及其他费用累加过程，其中土地取得成本是最重要部分，根据评估指引，本次评估采用市场比较法确定土地取得成本，这些案例数据是项目整体征地拆迁安置补偿成本分摊在项目总用地面积上、且结案通过审定时间是</w:t>
      </w:r>
      <w:r>
        <w:rPr>
          <w:rFonts w:eastAsia="仿宋_GB2312;仿宋" w:cs="Arial" w:ascii="Arial" w:hAnsi="Arial"/>
          <w:bCs/>
          <w:sz w:val="28"/>
          <w:szCs w:val="28"/>
        </w:rPr>
        <w:t>202</w:t>
      </w:r>
      <w:r>
        <w:rPr>
          <w:rFonts w:eastAsia="仿宋_GB2312;仿宋" w:cs="Arial" w:ascii="Arial" w:hAnsi="Arial"/>
          <w:bCs/>
          <w:sz w:val="28"/>
          <w:szCs w:val="28"/>
        </w:rPr>
        <w:t>1</w:t>
      </w:r>
      <w:r>
        <w:rPr>
          <w:rFonts w:eastAsia="仿宋_GB2312;仿宋" w:cs="Arial" w:ascii="Arial" w:hAnsi="Arial"/>
          <w:bCs/>
          <w:sz w:val="28"/>
          <w:szCs w:val="28"/>
        </w:rPr>
        <w:t>-202</w:t>
      </w:r>
      <w:r>
        <w:rPr>
          <w:rFonts w:eastAsia="仿宋_GB2312;仿宋" w:cs="Arial" w:ascii="Arial" w:hAnsi="Arial"/>
          <w:bCs/>
          <w:sz w:val="28"/>
          <w:szCs w:val="28"/>
        </w:rPr>
        <w:t>3</w:t>
      </w:r>
      <w:r>
        <w:rPr>
          <w:rFonts w:ascii="Arial" w:hAnsi="Arial" w:cs="Arial" w:eastAsia="仿宋_GB2312;仿宋"/>
          <w:bCs/>
          <w:sz w:val="28"/>
          <w:szCs w:val="28"/>
        </w:rPr>
        <w:t>年，和一级土地开发发生时间有一定出入。</w:t>
      </w:r>
    </w:p>
    <w:p>
      <w:pPr>
        <w:pStyle w:val="Normal"/>
        <w:spacing w:lineRule="auto" w:line="360"/>
        <w:ind w:firstLine="560"/>
        <w:jc w:val="both"/>
        <w:rPr/>
      </w:pPr>
      <w:r>
        <w:rPr>
          <w:rFonts w:ascii="Arial" w:hAnsi="Arial" w:cs="Arial" w:eastAsia="仿宋_GB2312;仿宋"/>
          <w:bCs/>
          <w:sz w:val="28"/>
          <w:szCs w:val="28"/>
        </w:rPr>
        <w:t>市场比较法采用的是和估价对象类似评估目的、类似项目的纯土地收购成本，尽管发生在</w:t>
      </w:r>
      <w:r>
        <w:rPr>
          <w:rFonts w:eastAsia="仿宋_GB2312;仿宋" w:cs="Arial" w:ascii="Arial" w:hAnsi="Arial"/>
          <w:bCs/>
          <w:sz w:val="28"/>
          <w:szCs w:val="28"/>
        </w:rPr>
        <w:t>2018</w:t>
      </w:r>
      <w:r>
        <w:rPr>
          <w:rFonts w:ascii="Arial" w:hAnsi="Arial" w:cs="Arial" w:eastAsia="仿宋_GB2312;仿宋"/>
          <w:bCs/>
          <w:sz w:val="28"/>
          <w:szCs w:val="28"/>
        </w:rPr>
        <w:t>、</w:t>
      </w:r>
      <w:r>
        <w:rPr>
          <w:rFonts w:eastAsia="仿宋_GB2312;仿宋" w:cs="Arial" w:ascii="Arial" w:hAnsi="Arial"/>
          <w:bCs/>
          <w:sz w:val="28"/>
          <w:szCs w:val="28"/>
        </w:rPr>
        <w:t>2023</w:t>
      </w:r>
      <w:r>
        <w:rPr>
          <w:rFonts w:ascii="Arial" w:hAnsi="Arial" w:cs="Arial" w:eastAsia="仿宋_GB2312;仿宋"/>
          <w:bCs/>
          <w:sz w:val="28"/>
          <w:szCs w:val="28"/>
        </w:rPr>
        <w:t>年，且其余年度类似项目鲜有发生，但是市场比较法案例数据比成本逼近法更有针对性。</w:t>
      </w:r>
    </w:p>
    <w:p>
      <w:pPr>
        <w:pStyle w:val="Normal"/>
        <w:spacing w:lineRule="auto" w:line="360"/>
        <w:ind w:firstLine="560"/>
        <w:jc w:val="both"/>
        <w:rPr>
          <w:rFonts w:cs="Arial"/>
        </w:rPr>
      </w:pPr>
      <w:r>
        <w:rPr>
          <w:rFonts w:ascii="Arial" w:hAnsi="Arial" w:cs="Arial" w:eastAsia="仿宋_GB2312;仿宋"/>
          <w:bCs/>
          <w:sz w:val="28"/>
          <w:szCs w:val="28"/>
        </w:rPr>
        <w:t>综合分析以上两种方法测算的结果，采用加权算术平均法求取估价对象的土地价格。详见下表：</w:t>
      </w:r>
    </w:p>
    <w:tbl>
      <w:tblPr>
        <w:tblW w:w="5000" w:type="pct"/>
        <w:jc w:val="left"/>
        <w:tblInd w:w="-113" w:type="dxa"/>
        <w:tblCellMar>
          <w:top w:w="0" w:type="dxa"/>
          <w:left w:w="108" w:type="dxa"/>
          <w:bottom w:w="0" w:type="dxa"/>
          <w:right w:w="108" w:type="dxa"/>
        </w:tblCellMar>
      </w:tblPr>
      <w:tblGrid>
        <w:gridCol w:w="2752"/>
        <w:gridCol w:w="2891"/>
        <w:gridCol w:w="1659"/>
        <w:gridCol w:w="1996"/>
      </w:tblGrid>
      <w:tr>
        <w:trPr>
          <w:trHeight w:val="397" w:hRule="atLeast"/>
        </w:trPr>
        <w:tc>
          <w:tcPr>
            <w:tcW w:w="2752"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仿宋_GB2312;仿宋" w:hAnsi="仿宋_GB2312;仿宋" w:eastAsia="仿宋_GB2312;仿宋" w:cs="Calibri"/>
                <w:sz w:val="21"/>
                <w:szCs w:val="21"/>
              </w:rPr>
            </w:pPr>
            <w:r>
              <w:rPr>
                <w:rFonts w:ascii="仿宋_GB2312;仿宋" w:hAnsi="仿宋_GB2312;仿宋" w:cs="Calibri" w:eastAsia="仿宋_GB2312;仿宋"/>
                <w:sz w:val="21"/>
                <w:szCs w:val="21"/>
              </w:rPr>
              <w:t>估价方法</w:t>
            </w:r>
          </w:p>
        </w:tc>
        <w:tc>
          <w:tcPr>
            <w:tcW w:w="289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rPr>
                <w:rFonts w:ascii="仿宋_GB2312;仿宋" w:hAnsi="仿宋_GB2312;仿宋" w:eastAsia="仿宋_GB2312;仿宋" w:cs="Calibri"/>
                <w:sz w:val="21"/>
                <w:szCs w:val="21"/>
              </w:rPr>
            </w:pPr>
            <w:r>
              <w:rPr>
                <w:rFonts w:ascii="仿宋_GB2312;仿宋" w:hAnsi="仿宋_GB2312;仿宋" w:cs="Calibri" w:eastAsia="仿宋_GB2312;仿宋"/>
                <w:sz w:val="21"/>
                <w:szCs w:val="21"/>
              </w:rPr>
              <w:t>地面土地补偿费</w:t>
            </w:r>
          </w:p>
          <w:p>
            <w:pPr>
              <w:pStyle w:val="Normal"/>
              <w:widowControl/>
              <w:jc w:val="center"/>
              <w:rPr>
                <w:rFonts w:ascii="仿宋_GB2312;仿宋" w:hAnsi="仿宋_GB2312;仿宋" w:eastAsia="仿宋_GB2312;仿宋" w:cs="Calibri"/>
                <w:sz w:val="21"/>
                <w:szCs w:val="21"/>
              </w:rPr>
            </w:pPr>
            <w:r>
              <w:rPr>
                <w:rFonts w:ascii="仿宋_GB2312;仿宋" w:hAnsi="仿宋_GB2312;仿宋" w:cs="Calibri" w:eastAsia="仿宋_GB2312;仿宋"/>
                <w:sz w:val="21"/>
                <w:szCs w:val="21"/>
              </w:rPr>
              <w:t>（元</w:t>
            </w:r>
            <w:r>
              <w:rPr>
                <w:rFonts w:eastAsia="仿宋_GB2312;仿宋" w:cs="Calibri" w:ascii="仿宋_GB2312;仿宋" w:hAnsi="仿宋_GB2312;仿宋"/>
                <w:sz w:val="21"/>
                <w:szCs w:val="21"/>
              </w:rPr>
              <w:t>/</w:t>
            </w:r>
            <w:r>
              <w:rPr>
                <w:rFonts w:ascii="仿宋_GB2312;仿宋" w:hAnsi="仿宋_GB2312;仿宋" w:cs="Calibri" w:eastAsia="仿宋_GB2312;仿宋"/>
                <w:sz w:val="21"/>
                <w:szCs w:val="21"/>
              </w:rPr>
              <w:t>平方米）</w:t>
            </w:r>
          </w:p>
        </w:tc>
        <w:tc>
          <w:tcPr>
            <w:tcW w:w="1659"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仿宋_GB2312;仿宋" w:hAnsi="仿宋_GB2312;仿宋" w:eastAsia="仿宋_GB2312;仿宋" w:cs="Calibri"/>
                <w:sz w:val="21"/>
                <w:szCs w:val="21"/>
              </w:rPr>
            </w:pPr>
            <w:r>
              <w:rPr>
                <w:rFonts w:ascii="仿宋_GB2312;仿宋" w:hAnsi="仿宋_GB2312;仿宋" w:cs="Calibri" w:eastAsia="仿宋_GB2312;仿宋"/>
                <w:sz w:val="21"/>
                <w:szCs w:val="21"/>
              </w:rPr>
              <w:t>权重</w:t>
            </w:r>
          </w:p>
        </w:tc>
        <w:tc>
          <w:tcPr>
            <w:tcW w:w="199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spacing w:lineRule="auto" w:line="240"/>
              <w:jc w:val="center"/>
              <w:rPr/>
            </w:pPr>
            <w:r>
              <w:rPr>
                <w:rFonts w:ascii="仿宋_GB2312;仿宋" w:hAnsi="仿宋_GB2312;仿宋" w:cs="Calibri" w:eastAsia="仿宋_GB2312;仿宋"/>
                <w:sz w:val="21"/>
                <w:szCs w:val="21"/>
              </w:rPr>
              <w:t>土地评估总额</w:t>
            </w:r>
          </w:p>
          <w:p>
            <w:pPr>
              <w:pStyle w:val="Normal"/>
              <w:widowControl/>
              <w:jc w:val="center"/>
              <w:rPr>
                <w:rFonts w:ascii="仿宋_GB2312;仿宋" w:hAnsi="仿宋_GB2312;仿宋" w:eastAsia="仿宋_GB2312;仿宋" w:cs="Calibri"/>
                <w:sz w:val="21"/>
                <w:szCs w:val="21"/>
              </w:rPr>
            </w:pPr>
            <w:r>
              <w:rPr>
                <w:rFonts w:ascii="仿宋_GB2312;仿宋" w:hAnsi="仿宋_GB2312;仿宋" w:cs="Calibri" w:eastAsia="仿宋_GB2312;仿宋"/>
                <w:sz w:val="21"/>
                <w:szCs w:val="21"/>
              </w:rPr>
              <w:t>（万元）</w:t>
            </w:r>
          </w:p>
        </w:tc>
      </w:tr>
      <w:tr>
        <w:trPr>
          <w:trHeight w:val="397" w:hRule="atLeast"/>
        </w:trPr>
        <w:tc>
          <w:tcPr>
            <w:tcW w:w="2752"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仿宋_GB2312;仿宋" w:hAnsi="仿宋_GB2312;仿宋" w:eastAsia="仿宋_GB2312;仿宋" w:cs="Calibri"/>
                <w:sz w:val="21"/>
                <w:szCs w:val="21"/>
              </w:rPr>
            </w:pPr>
            <w:r>
              <w:rPr>
                <w:rFonts w:ascii="仿宋_GB2312;仿宋" w:hAnsi="仿宋_GB2312;仿宋" w:cs="Calibri" w:eastAsia="仿宋_GB2312;仿宋"/>
                <w:sz w:val="21"/>
                <w:szCs w:val="21"/>
              </w:rPr>
              <w:t>成本逼近法</w:t>
            </w:r>
          </w:p>
        </w:tc>
        <w:tc>
          <w:tcPr>
            <w:tcW w:w="2891"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z w:val="21"/>
                <w:szCs w:val="21"/>
              </w:rPr>
            </w:pPr>
            <w:r>
              <w:rPr>
                <w:rFonts w:eastAsia="仿宋_GB2312;仿宋" w:cs="Arial" w:ascii="Arial" w:hAnsi="Arial"/>
                <w:sz w:val="21"/>
                <w:szCs w:val="21"/>
              </w:rPr>
              <w:t>10954</w:t>
            </w:r>
          </w:p>
        </w:tc>
        <w:tc>
          <w:tcPr>
            <w:tcW w:w="1659"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z w:val="21"/>
                <w:szCs w:val="21"/>
              </w:rPr>
            </w:pPr>
            <w:r>
              <w:rPr>
                <w:rFonts w:eastAsia="仿宋_GB2312;仿宋" w:cs="Arial" w:ascii="Arial" w:hAnsi="Arial"/>
                <w:sz w:val="21"/>
                <w:szCs w:val="21"/>
              </w:rPr>
              <w:t>30%</w:t>
            </w:r>
          </w:p>
        </w:tc>
        <w:tc>
          <w:tcPr>
            <w:tcW w:w="199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jc w:val="center"/>
              <w:rPr>
                <w:rFonts w:ascii="Arial" w:hAnsi="Arial" w:eastAsia="仿宋_GB2312;仿宋" w:cs="Arial"/>
                <w:sz w:val="21"/>
                <w:szCs w:val="21"/>
              </w:rPr>
            </w:pPr>
            <w:r>
              <w:rPr>
                <w:rFonts w:ascii="仿宋_GB2312;仿宋" w:hAnsi="仿宋_GB2312;仿宋" w:cs="仿宋_GB2312;仿宋" w:eastAsia="仿宋_GB2312;仿宋"/>
                <w:sz w:val="21"/>
                <w:szCs w:val="21"/>
              </w:rPr>
              <w:t>——</w:t>
            </w:r>
          </w:p>
        </w:tc>
      </w:tr>
      <w:tr>
        <w:trPr>
          <w:trHeight w:val="397" w:hRule="atLeast"/>
        </w:trPr>
        <w:tc>
          <w:tcPr>
            <w:tcW w:w="2752"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仿宋_GB2312;仿宋" w:hAnsi="仿宋_GB2312;仿宋" w:eastAsia="仿宋_GB2312;仿宋" w:cs="Calibri"/>
                <w:sz w:val="21"/>
                <w:szCs w:val="21"/>
              </w:rPr>
            </w:pPr>
            <w:r>
              <w:rPr>
                <w:rFonts w:ascii="仿宋_GB2312;仿宋" w:hAnsi="仿宋_GB2312;仿宋" w:cs="Calibri" w:eastAsia="仿宋_GB2312;仿宋"/>
                <w:sz w:val="21"/>
                <w:szCs w:val="21"/>
              </w:rPr>
              <w:t>市场比较法</w:t>
            </w:r>
          </w:p>
        </w:tc>
        <w:tc>
          <w:tcPr>
            <w:tcW w:w="2891"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z w:val="21"/>
                <w:szCs w:val="21"/>
              </w:rPr>
            </w:pPr>
            <w:r>
              <w:rPr>
                <w:rFonts w:eastAsia="仿宋_GB2312;仿宋" w:cs="Arial" w:ascii="Arial" w:hAnsi="Arial"/>
                <w:sz w:val="21"/>
                <w:szCs w:val="21"/>
              </w:rPr>
              <w:t>7693</w:t>
            </w:r>
          </w:p>
        </w:tc>
        <w:tc>
          <w:tcPr>
            <w:tcW w:w="1659"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z w:val="21"/>
                <w:szCs w:val="21"/>
              </w:rPr>
            </w:pPr>
            <w:r>
              <w:rPr>
                <w:rFonts w:eastAsia="仿宋_GB2312;仿宋" w:cs="Arial" w:ascii="Arial" w:hAnsi="Arial"/>
                <w:sz w:val="21"/>
                <w:szCs w:val="21"/>
              </w:rPr>
              <w:t>70%</w:t>
            </w:r>
          </w:p>
        </w:tc>
        <w:tc>
          <w:tcPr>
            <w:tcW w:w="199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jc w:val="center"/>
              <w:rPr>
                <w:rFonts w:ascii="Arial" w:hAnsi="Arial" w:eastAsia="仿宋_GB2312;仿宋" w:cs="Arial"/>
                <w:sz w:val="21"/>
                <w:szCs w:val="21"/>
              </w:rPr>
            </w:pPr>
            <w:r>
              <w:rPr>
                <w:rFonts w:ascii="仿宋_GB2312;仿宋" w:hAnsi="仿宋_GB2312;仿宋" w:cs="仿宋_GB2312;仿宋" w:eastAsia="仿宋_GB2312;仿宋"/>
                <w:sz w:val="21"/>
                <w:szCs w:val="21"/>
              </w:rPr>
              <w:t>——</w:t>
            </w:r>
          </w:p>
        </w:tc>
      </w:tr>
      <w:tr>
        <w:trPr>
          <w:trHeight w:val="397" w:hRule="atLeast"/>
        </w:trPr>
        <w:tc>
          <w:tcPr>
            <w:tcW w:w="2752"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仿宋_GB2312;仿宋" w:hAnsi="仿宋_GB2312;仿宋" w:eastAsia="仿宋_GB2312;仿宋" w:cs="Calibri"/>
                <w:sz w:val="21"/>
                <w:szCs w:val="21"/>
              </w:rPr>
            </w:pPr>
            <w:r>
              <w:rPr>
                <w:rFonts w:ascii="仿宋_GB2312;仿宋" w:hAnsi="仿宋_GB2312;仿宋" w:cs="Calibri" w:eastAsia="仿宋_GB2312;仿宋"/>
                <w:sz w:val="21"/>
                <w:szCs w:val="21"/>
              </w:rPr>
              <w:t>估价结果</w:t>
            </w:r>
          </w:p>
        </w:tc>
        <w:tc>
          <w:tcPr>
            <w:tcW w:w="2891"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z w:val="21"/>
                <w:szCs w:val="21"/>
              </w:rPr>
            </w:pPr>
            <w:r>
              <w:rPr>
                <w:rFonts w:eastAsia="仿宋_GB2312;仿宋" w:cs="Arial" w:ascii="Arial" w:hAnsi="Arial"/>
                <w:sz w:val="21"/>
                <w:szCs w:val="21"/>
              </w:rPr>
              <w:t>8671</w:t>
            </w:r>
          </w:p>
        </w:tc>
        <w:tc>
          <w:tcPr>
            <w:tcW w:w="1659" w:type="dxa"/>
            <w:tcBorders>
              <w:top w:val="single" w:sz="4" w:space="0" w:color="000000"/>
              <w:left w:val="single" w:sz="4" w:space="0" w:color="000000"/>
              <w:bottom w:val="single" w:sz="4" w:space="0" w:color="000000"/>
            </w:tcBorders>
            <w:shd w:fill="auto" w:val="clear"/>
            <w:vAlign w:val="center"/>
          </w:tcPr>
          <w:p>
            <w:pPr>
              <w:pStyle w:val="Normal"/>
              <w:widowControl/>
              <w:jc w:val="center"/>
              <w:rPr>
                <w:rFonts w:ascii="Arial" w:hAnsi="Arial" w:eastAsia="仿宋_GB2312;仿宋" w:cs="Arial"/>
                <w:sz w:val="21"/>
                <w:szCs w:val="21"/>
              </w:rPr>
            </w:pPr>
            <w:r>
              <w:rPr>
                <w:rFonts w:eastAsia="仿宋_GB2312;仿宋" w:cs="Arial" w:ascii="Arial" w:hAnsi="Arial"/>
                <w:sz w:val="21"/>
                <w:szCs w:val="21"/>
              </w:rPr>
              <w:t>100%</w:t>
            </w:r>
          </w:p>
        </w:tc>
        <w:tc>
          <w:tcPr>
            <w:tcW w:w="1996" w:type="dxa"/>
            <w:tcBorders>
              <w:top w:val="single" w:sz="4" w:space="0" w:color="000000"/>
              <w:left w:val="single" w:sz="4" w:space="0" w:color="000000"/>
              <w:bottom w:val="single" w:sz="4" w:space="0" w:color="000000"/>
              <w:right w:val="single" w:sz="4" w:space="0" w:color="000000"/>
            </w:tcBorders>
            <w:shd w:fill="auto" w:val="clear"/>
          </w:tcPr>
          <w:p>
            <w:pPr>
              <w:pStyle w:val="Normal"/>
              <w:widowControl/>
              <w:jc w:val="center"/>
              <w:rPr>
                <w:rFonts w:ascii="Arial" w:hAnsi="Arial" w:eastAsia="仿宋_GB2312;仿宋" w:cs="Arial"/>
                <w:sz w:val="21"/>
                <w:szCs w:val="21"/>
              </w:rPr>
            </w:pPr>
            <w:r>
              <w:rPr>
                <w:rFonts w:eastAsia="仿宋_GB2312;仿宋" w:cs="Arial" w:ascii="Arial" w:hAnsi="Arial"/>
                <w:sz w:val="21"/>
                <w:szCs w:val="21"/>
              </w:rPr>
              <w:t>9311.6568</w:t>
            </w:r>
          </w:p>
        </w:tc>
      </w:tr>
    </w:tbl>
    <w:p>
      <w:pPr>
        <w:pStyle w:val="Normal"/>
        <w:spacing w:lineRule="auto" w:line="360"/>
        <w:ind w:firstLine="560"/>
        <w:jc w:val="both"/>
        <w:textAlignment w:val="bottom"/>
        <w:rPr>
          <w:rFonts w:ascii="仿宋_GB2312;仿宋" w:hAnsi="仿宋_GB2312;仿宋" w:eastAsia="仿宋_GB2312;仿宋"/>
          <w:sz w:val="28"/>
        </w:rPr>
      </w:pPr>
      <w:r>
        <w:rPr>
          <w:rFonts w:eastAsia="仿宋_GB2312;仿宋" w:ascii="仿宋_GB2312;仿宋" w:hAnsi="仿宋_GB2312;仿宋"/>
          <w:sz w:val="28"/>
        </w:rPr>
      </w:r>
    </w:p>
    <w:p>
      <w:pPr>
        <w:sectPr>
          <w:headerReference w:type="default" r:id="rId76"/>
          <w:footerReference w:type="default" r:id="rId77"/>
          <w:type w:val="nextPage"/>
          <w:pgSz w:w="11906" w:h="16838"/>
          <w:pgMar w:left="1304" w:right="1304" w:header="1134" w:top="1843" w:footer="907" w:bottom="1134" w:gutter="0"/>
          <w:pgNumType w:fmt="decimal"/>
          <w:formProt w:val="false"/>
          <w:textDirection w:val="lrTb"/>
          <w:docGrid w:type="default" w:linePitch="326" w:charSpace="0"/>
        </w:sectPr>
        <w:pStyle w:val="Normal"/>
        <w:spacing w:lineRule="auto" w:line="360"/>
        <w:jc w:val="both"/>
        <w:rPr>
          <w:rFonts w:ascii="Arial" w:hAnsi="Arial" w:eastAsia="仿宋_GB2312;仿宋" w:cs="Arial"/>
          <w:sz w:val="28"/>
        </w:rPr>
      </w:pPr>
      <w:r>
        <w:rPr>
          <w:rFonts w:eastAsia="仿宋_GB2312;仿宋" w:cs="Arial" w:ascii="Arial" w:hAnsi="Arial"/>
          <w:sz w:val="28"/>
        </w:rPr>
      </w:r>
    </w:p>
    <w:p>
      <w:pPr>
        <w:pStyle w:val="Normal"/>
        <w:ind w:firstLine="560"/>
        <w:rPr>
          <w:rFonts w:cs="仿宋"/>
        </w:rPr>
      </w:pPr>
      <w:r>
        <w:rPr>
          <w:rFonts w:eastAsia="仿宋" w:cs="Arial" w:ascii="仿宋" w:hAnsi="仿宋"/>
          <w:sz w:val="28"/>
          <w:szCs w:val="28"/>
          <w:highlight w:val="yellow"/>
        </w:rPr>
        <w:t>6</w:t>
      </w:r>
      <w:r>
        <w:rPr>
          <w:rFonts w:eastAsia="仿宋" w:cs="Arial" w:ascii="仿宋" w:hAnsi="仿宋"/>
          <w:sz w:val="28"/>
          <w:szCs w:val="28"/>
          <w:highlight w:val="yellow"/>
        </w:rPr>
        <w:t>.</w:t>
      </w:r>
      <w:bookmarkStart w:id="52" w:name="_Hlk148618092"/>
      <w:bookmarkStart w:id="53" w:name="_Hlk148097514"/>
      <w:r>
        <w:rPr>
          <w:rFonts w:ascii="仿宋" w:hAnsi="仿宋" w:cs="Arial" w:eastAsia="仿宋"/>
          <w:sz w:val="28"/>
          <w:szCs w:val="28"/>
          <w:highlight w:val="yellow"/>
        </w:rPr>
        <w:t>国有企业土地收购补偿费案例</w:t>
      </w:r>
      <w:bookmarkEnd w:id="53"/>
      <w:r>
        <w:rPr>
          <w:rFonts w:ascii="仿宋" w:hAnsi="仿宋" w:cs="Arial" w:eastAsia="仿宋"/>
          <w:sz w:val="28"/>
          <w:szCs w:val="28"/>
          <w:highlight w:val="yellow"/>
        </w:rPr>
        <w:t>（</w:t>
      </w:r>
      <w:r>
        <w:rPr>
          <w:rFonts w:eastAsia="仿宋" w:cs="Arial" w:ascii="仿宋" w:hAnsi="仿宋"/>
          <w:sz w:val="28"/>
          <w:szCs w:val="28"/>
          <w:highlight w:val="yellow"/>
        </w:rPr>
        <w:t>2015</w:t>
      </w:r>
      <w:r>
        <w:rPr>
          <w:rFonts w:ascii="仿宋" w:hAnsi="仿宋" w:cs="Arial" w:eastAsia="仿宋"/>
          <w:sz w:val="28"/>
          <w:szCs w:val="28"/>
          <w:highlight w:val="yellow"/>
        </w:rPr>
        <w:t>年至今</w:t>
      </w:r>
      <w:r>
        <w:rPr>
          <w:rFonts w:ascii="仿宋" w:hAnsi="仿宋" w:cs="Arial" w:eastAsia="仿宋"/>
          <w:sz w:val="28"/>
          <w:szCs w:val="28"/>
          <w:highlight w:val="yellow"/>
        </w:rPr>
        <w:t>）</w:t>
      </w:r>
      <w:bookmarkEnd w:id="52"/>
    </w:p>
    <w:tbl>
      <w:tblPr>
        <w:tblW w:w="4700" w:type="pct"/>
        <w:jc w:val="left"/>
        <w:tblInd w:w="-113" w:type="dxa"/>
        <w:tblCellMar>
          <w:top w:w="0" w:type="dxa"/>
          <w:left w:w="108" w:type="dxa"/>
          <w:bottom w:w="0" w:type="dxa"/>
          <w:right w:w="108" w:type="dxa"/>
        </w:tblCellMar>
      </w:tblPr>
      <w:tblGrid>
        <w:gridCol w:w="547"/>
        <w:gridCol w:w="733"/>
        <w:gridCol w:w="795"/>
        <w:gridCol w:w="2718"/>
        <w:gridCol w:w="2214"/>
        <w:gridCol w:w="1380"/>
        <w:gridCol w:w="2302"/>
        <w:gridCol w:w="1442"/>
        <w:gridCol w:w="898"/>
      </w:tblGrid>
      <w:tr>
        <w:trPr>
          <w:trHeight w:val="851" w:hRule="atLeast"/>
        </w:trPr>
        <w:tc>
          <w:tcPr>
            <w:tcW w:w="547"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编号</w:t>
            </w:r>
          </w:p>
        </w:tc>
        <w:tc>
          <w:tcPr>
            <w:tcW w:w="733"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年份</w:t>
            </w:r>
          </w:p>
        </w:tc>
        <w:tc>
          <w:tcPr>
            <w:tcW w:w="795"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区县</w:t>
            </w:r>
          </w:p>
        </w:tc>
        <w:tc>
          <w:tcPr>
            <w:tcW w:w="2718"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项目</w:t>
            </w:r>
          </w:p>
        </w:tc>
        <w:tc>
          <w:tcPr>
            <w:tcW w:w="2214"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被收购企业名称</w:t>
            </w:r>
          </w:p>
        </w:tc>
        <w:tc>
          <w:tcPr>
            <w:tcW w:w="1380"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总用地面积（公顷）</w:t>
            </w:r>
          </w:p>
        </w:tc>
        <w:tc>
          <w:tcPr>
            <w:tcW w:w="2302"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bookmarkStart w:id="54" w:name="_Hlk148618140"/>
            <w:r>
              <w:rPr>
                <w:rFonts w:ascii="Arial" w:hAnsi="Arial" w:cs="Arial" w:eastAsia="仿宋_GB2312;仿宋"/>
                <w:szCs w:val="24"/>
                <w:highlight w:val="yellow"/>
              </w:rPr>
              <w:t>土地收购补偿费</w:t>
            </w:r>
            <w:bookmarkEnd w:id="54"/>
            <w:r>
              <w:rPr>
                <w:rFonts w:ascii="Arial" w:hAnsi="Arial" w:cs="Arial" w:eastAsia="仿宋_GB2312;仿宋"/>
                <w:szCs w:val="24"/>
                <w:highlight w:val="yellow"/>
              </w:rPr>
              <w:t>（万元）</w:t>
            </w:r>
          </w:p>
        </w:tc>
        <w:tc>
          <w:tcPr>
            <w:tcW w:w="1442"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单价（元</w:t>
            </w:r>
            <w:r>
              <w:rPr>
                <w:rFonts w:eastAsia="仿宋_GB2312;仿宋" w:cs="Arial" w:ascii="Arial" w:hAnsi="Arial"/>
                <w:szCs w:val="24"/>
                <w:highlight w:val="yellow"/>
              </w:rPr>
              <w:t>/</w:t>
            </w:r>
            <w:r>
              <w:rPr>
                <w:rFonts w:ascii="Arial" w:hAnsi="Arial" w:cs="Arial" w:eastAsia="仿宋_GB2312;仿宋"/>
                <w:szCs w:val="24"/>
                <w:highlight w:val="yellow"/>
              </w:rPr>
              <w:t>平方米）</w:t>
            </w:r>
          </w:p>
        </w:tc>
        <w:tc>
          <w:tcPr>
            <w:tcW w:w="89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土地级别</w:t>
            </w:r>
          </w:p>
        </w:tc>
      </w:tr>
      <w:tr>
        <w:trPr>
          <w:trHeight w:val="851" w:hRule="atLeast"/>
        </w:trPr>
        <w:tc>
          <w:tcPr>
            <w:tcW w:w="547"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textAlignment w:val="auto"/>
              <w:rPr>
                <w:rFonts w:ascii="Arial" w:hAnsi="Arial" w:eastAsia="仿宋_GB2312;仿宋" w:cs="Arial"/>
                <w:sz w:val="20"/>
                <w:szCs w:val="24"/>
                <w:highlight w:val="yellow"/>
              </w:rPr>
            </w:pPr>
            <w:r>
              <w:rPr>
                <w:rFonts w:eastAsia="仿宋_GB2312;仿宋" w:cs="Arial" w:ascii="Arial" w:hAnsi="Arial"/>
                <w:sz w:val="20"/>
                <w:szCs w:val="24"/>
                <w:highlight w:val="yellow"/>
              </w:rPr>
            </w:r>
          </w:p>
        </w:tc>
        <w:tc>
          <w:tcPr>
            <w:tcW w:w="733"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textAlignment w:val="auto"/>
              <w:rPr>
                <w:rFonts w:ascii="Arial" w:hAnsi="Arial" w:eastAsia="仿宋_GB2312;仿宋" w:cs="Arial"/>
                <w:szCs w:val="24"/>
                <w:highlight w:val="yellow"/>
              </w:rPr>
            </w:pPr>
            <w:r>
              <w:rPr>
                <w:rFonts w:eastAsia="仿宋_GB2312;仿宋" w:cs="Arial" w:ascii="Arial" w:hAnsi="Arial"/>
                <w:szCs w:val="24"/>
                <w:highlight w:val="yellow"/>
              </w:rPr>
            </w:r>
          </w:p>
        </w:tc>
        <w:tc>
          <w:tcPr>
            <w:tcW w:w="795"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textAlignment w:val="auto"/>
              <w:rPr>
                <w:rFonts w:ascii="Arial" w:hAnsi="Arial" w:eastAsia="仿宋_GB2312;仿宋" w:cs="Arial"/>
                <w:szCs w:val="24"/>
                <w:highlight w:val="yellow"/>
              </w:rPr>
            </w:pPr>
            <w:r>
              <w:rPr>
                <w:rFonts w:eastAsia="仿宋_GB2312;仿宋" w:cs="Arial" w:ascii="Arial" w:hAnsi="Arial"/>
                <w:szCs w:val="24"/>
                <w:highlight w:val="yellow"/>
              </w:rPr>
            </w:r>
          </w:p>
        </w:tc>
        <w:tc>
          <w:tcPr>
            <w:tcW w:w="2718"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textAlignment w:val="auto"/>
              <w:rPr>
                <w:rFonts w:ascii="Arial" w:hAnsi="Arial" w:eastAsia="仿宋_GB2312;仿宋" w:cs="Arial"/>
                <w:szCs w:val="24"/>
                <w:highlight w:val="yellow"/>
              </w:rPr>
            </w:pPr>
            <w:r>
              <w:rPr>
                <w:rFonts w:eastAsia="仿宋_GB2312;仿宋" w:cs="Arial" w:ascii="Arial" w:hAnsi="Arial"/>
                <w:szCs w:val="24"/>
                <w:highlight w:val="yellow"/>
              </w:rPr>
            </w:r>
          </w:p>
        </w:tc>
        <w:tc>
          <w:tcPr>
            <w:tcW w:w="2214"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textAlignment w:val="auto"/>
              <w:rPr>
                <w:rFonts w:ascii="Arial" w:hAnsi="Arial" w:eastAsia="仿宋_GB2312;仿宋" w:cs="Arial"/>
                <w:szCs w:val="24"/>
                <w:highlight w:val="yellow"/>
              </w:rPr>
            </w:pPr>
            <w:r>
              <w:rPr>
                <w:rFonts w:eastAsia="仿宋_GB2312;仿宋" w:cs="Arial" w:ascii="Arial" w:hAnsi="Arial"/>
                <w:szCs w:val="24"/>
                <w:highlight w:val="yellow"/>
              </w:rPr>
            </w:r>
          </w:p>
        </w:tc>
        <w:tc>
          <w:tcPr>
            <w:tcW w:w="1380"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textAlignment w:val="auto"/>
              <w:rPr>
                <w:rFonts w:ascii="Arial" w:hAnsi="Arial" w:eastAsia="仿宋_GB2312;仿宋" w:cs="Arial"/>
                <w:szCs w:val="24"/>
                <w:highlight w:val="yellow"/>
              </w:rPr>
            </w:pPr>
            <w:r>
              <w:rPr>
                <w:rFonts w:eastAsia="仿宋_GB2312;仿宋" w:cs="Arial" w:ascii="Arial" w:hAnsi="Arial"/>
                <w:szCs w:val="24"/>
                <w:highlight w:val="yellow"/>
              </w:rPr>
            </w:r>
          </w:p>
        </w:tc>
        <w:tc>
          <w:tcPr>
            <w:tcW w:w="2302"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textAlignment w:val="auto"/>
              <w:rPr>
                <w:rFonts w:ascii="Arial" w:hAnsi="Arial" w:eastAsia="仿宋_GB2312;仿宋" w:cs="Arial"/>
                <w:szCs w:val="24"/>
                <w:highlight w:val="yellow"/>
              </w:rPr>
            </w:pPr>
            <w:r>
              <w:rPr>
                <w:rFonts w:eastAsia="仿宋_GB2312;仿宋" w:cs="Arial" w:ascii="Arial" w:hAnsi="Arial"/>
                <w:szCs w:val="24"/>
                <w:highlight w:val="yellow"/>
              </w:rPr>
            </w:r>
          </w:p>
        </w:tc>
        <w:tc>
          <w:tcPr>
            <w:tcW w:w="1442"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textAlignment w:val="auto"/>
              <w:rPr>
                <w:rFonts w:ascii="Arial" w:hAnsi="Arial" w:eastAsia="仿宋_GB2312;仿宋" w:cs="Arial"/>
                <w:szCs w:val="24"/>
                <w:highlight w:val="yellow"/>
              </w:rPr>
            </w:pPr>
            <w:r>
              <w:rPr>
                <w:rFonts w:eastAsia="仿宋_GB2312;仿宋" w:cs="Arial" w:ascii="Arial" w:hAnsi="Arial"/>
                <w:szCs w:val="24"/>
                <w:highlight w:val="yellow"/>
              </w:rPr>
            </w:r>
          </w:p>
        </w:tc>
        <w:tc>
          <w:tcPr>
            <w:tcW w:w="89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spacing w:lineRule="auto" w:line="240"/>
              <w:textAlignment w:val="auto"/>
              <w:rPr>
                <w:rFonts w:ascii="Arial" w:hAnsi="Arial" w:eastAsia="仿宋_GB2312;仿宋" w:cs="Arial"/>
                <w:szCs w:val="24"/>
                <w:highlight w:val="yellow"/>
              </w:rPr>
            </w:pPr>
            <w:r>
              <w:rPr>
                <w:rFonts w:eastAsia="仿宋_GB2312;仿宋" w:cs="Arial" w:ascii="Arial" w:hAnsi="Arial"/>
                <w:szCs w:val="24"/>
                <w:highlight w:val="yellow"/>
              </w:rPr>
            </w:r>
          </w:p>
        </w:tc>
      </w:tr>
      <w:tr>
        <w:trPr>
          <w:trHeight w:val="851" w:hRule="atLeast"/>
        </w:trPr>
        <w:tc>
          <w:tcPr>
            <w:tcW w:w="547"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1</w:t>
            </w:r>
          </w:p>
        </w:tc>
        <w:tc>
          <w:tcPr>
            <w:tcW w:w="733"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2015</w:t>
            </w:r>
          </w:p>
        </w:tc>
        <w:tc>
          <w:tcPr>
            <w:tcW w:w="79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大兴</w:t>
            </w:r>
          </w:p>
        </w:tc>
        <w:tc>
          <w:tcPr>
            <w:tcW w:w="2718"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大兴新城</w:t>
            </w:r>
            <w:r>
              <w:rPr>
                <w:rFonts w:eastAsia="仿宋_GB2312;仿宋" w:cs="Arial" w:ascii="Arial" w:hAnsi="Arial"/>
                <w:szCs w:val="24"/>
                <w:highlight w:val="yellow"/>
              </w:rPr>
              <w:t>DX00-0202-0305</w:t>
            </w:r>
            <w:r>
              <w:rPr>
                <w:rFonts w:ascii="Arial" w:hAnsi="Arial" w:cs="Arial" w:eastAsia="仿宋_GB2312;仿宋"/>
                <w:szCs w:val="24"/>
                <w:highlight w:val="yellow"/>
              </w:rPr>
              <w:t>等地块</w:t>
            </w:r>
          </w:p>
        </w:tc>
        <w:tc>
          <w:tcPr>
            <w:tcW w:w="2214"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北京雪花电器集团公司</w:t>
            </w:r>
          </w:p>
        </w:tc>
        <w:tc>
          <w:tcPr>
            <w:tcW w:w="13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 xml:space="preserve">14.80 </w:t>
            </w:r>
          </w:p>
        </w:tc>
        <w:tc>
          <w:tcPr>
            <w:tcW w:w="2302"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100000</w:t>
            </w:r>
          </w:p>
        </w:tc>
        <w:tc>
          <w:tcPr>
            <w:tcW w:w="1442"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 xml:space="preserve">6757 </w:t>
            </w:r>
          </w:p>
        </w:tc>
        <w:tc>
          <w:tcPr>
            <w:tcW w:w="898"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六级</w:t>
            </w:r>
          </w:p>
        </w:tc>
      </w:tr>
      <w:tr>
        <w:trPr>
          <w:trHeight w:val="851" w:hRule="atLeast"/>
        </w:trPr>
        <w:tc>
          <w:tcPr>
            <w:tcW w:w="547"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2</w:t>
            </w:r>
          </w:p>
        </w:tc>
        <w:tc>
          <w:tcPr>
            <w:tcW w:w="733"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2015</w:t>
            </w:r>
          </w:p>
        </w:tc>
        <w:tc>
          <w:tcPr>
            <w:tcW w:w="79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通州</w:t>
            </w:r>
          </w:p>
        </w:tc>
        <w:tc>
          <w:tcPr>
            <w:tcW w:w="2718"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通州区宋庄镇</w:t>
            </w:r>
          </w:p>
        </w:tc>
        <w:tc>
          <w:tcPr>
            <w:tcW w:w="2214"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北京云海腾飞铸造有限责任公司</w:t>
            </w:r>
          </w:p>
        </w:tc>
        <w:tc>
          <w:tcPr>
            <w:tcW w:w="13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6.03</w:t>
            </w:r>
          </w:p>
        </w:tc>
        <w:tc>
          <w:tcPr>
            <w:tcW w:w="2302"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 xml:space="preserve">23549.71 </w:t>
            </w:r>
          </w:p>
        </w:tc>
        <w:tc>
          <w:tcPr>
            <w:tcW w:w="1442"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 xml:space="preserve">3905 </w:t>
            </w:r>
          </w:p>
        </w:tc>
        <w:tc>
          <w:tcPr>
            <w:tcW w:w="898"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六级</w:t>
            </w:r>
          </w:p>
        </w:tc>
      </w:tr>
      <w:tr>
        <w:trPr>
          <w:trHeight w:val="851" w:hRule="atLeast"/>
        </w:trPr>
        <w:tc>
          <w:tcPr>
            <w:tcW w:w="547"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3</w:t>
            </w:r>
          </w:p>
        </w:tc>
        <w:tc>
          <w:tcPr>
            <w:tcW w:w="733"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2015</w:t>
            </w:r>
          </w:p>
        </w:tc>
        <w:tc>
          <w:tcPr>
            <w:tcW w:w="79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大兴</w:t>
            </w:r>
          </w:p>
        </w:tc>
        <w:tc>
          <w:tcPr>
            <w:tcW w:w="2718"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大兴新城</w:t>
            </w:r>
            <w:r>
              <w:rPr>
                <w:rFonts w:eastAsia="仿宋_GB2312;仿宋" w:cs="Arial" w:ascii="Arial" w:hAnsi="Arial"/>
                <w:szCs w:val="24"/>
                <w:highlight w:val="yellow"/>
              </w:rPr>
              <w:t>0505</w:t>
            </w:r>
            <w:r>
              <w:rPr>
                <w:rFonts w:ascii="Arial" w:hAnsi="Arial" w:cs="Arial" w:eastAsia="仿宋_GB2312;仿宋"/>
                <w:szCs w:val="24"/>
                <w:highlight w:val="yellow"/>
              </w:rPr>
              <w:t>街区</w:t>
            </w:r>
            <w:r>
              <w:rPr>
                <w:rFonts w:eastAsia="仿宋_GB2312;仿宋" w:cs="Arial" w:ascii="Arial" w:hAnsi="Arial"/>
                <w:szCs w:val="24"/>
                <w:highlight w:val="yellow"/>
              </w:rPr>
              <w:t>DX00-0505-0039</w:t>
            </w:r>
            <w:r>
              <w:rPr>
                <w:rFonts w:ascii="Arial" w:hAnsi="Arial" w:cs="Arial" w:eastAsia="仿宋_GB2312;仿宋"/>
                <w:szCs w:val="24"/>
                <w:highlight w:val="yellow"/>
              </w:rPr>
              <w:t>等地块</w:t>
            </w:r>
          </w:p>
        </w:tc>
        <w:tc>
          <w:tcPr>
            <w:tcW w:w="2214"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北京宝旺印务有限公司</w:t>
            </w:r>
          </w:p>
        </w:tc>
        <w:tc>
          <w:tcPr>
            <w:tcW w:w="13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3.03</w:t>
            </w:r>
          </w:p>
        </w:tc>
        <w:tc>
          <w:tcPr>
            <w:tcW w:w="2302"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 xml:space="preserve">22052.82 </w:t>
            </w:r>
          </w:p>
        </w:tc>
        <w:tc>
          <w:tcPr>
            <w:tcW w:w="1442"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 xml:space="preserve">7278 </w:t>
            </w:r>
          </w:p>
        </w:tc>
        <w:tc>
          <w:tcPr>
            <w:tcW w:w="898"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八级</w:t>
            </w:r>
          </w:p>
        </w:tc>
      </w:tr>
      <w:tr>
        <w:trPr>
          <w:trHeight w:val="851" w:hRule="atLeast"/>
        </w:trPr>
        <w:tc>
          <w:tcPr>
            <w:tcW w:w="547"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4</w:t>
            </w:r>
          </w:p>
        </w:tc>
        <w:tc>
          <w:tcPr>
            <w:tcW w:w="733"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2016</w:t>
            </w:r>
          </w:p>
        </w:tc>
        <w:tc>
          <w:tcPr>
            <w:tcW w:w="79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顺义</w:t>
            </w:r>
          </w:p>
        </w:tc>
        <w:tc>
          <w:tcPr>
            <w:tcW w:w="2718"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顺义区顺通路</w:t>
            </w:r>
          </w:p>
        </w:tc>
        <w:tc>
          <w:tcPr>
            <w:tcW w:w="2214"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北汽</w:t>
            </w:r>
          </w:p>
        </w:tc>
        <w:tc>
          <w:tcPr>
            <w:tcW w:w="13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12.9</w:t>
            </w:r>
          </w:p>
        </w:tc>
        <w:tc>
          <w:tcPr>
            <w:tcW w:w="2302"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 xml:space="preserve">49331.46 </w:t>
            </w:r>
          </w:p>
        </w:tc>
        <w:tc>
          <w:tcPr>
            <w:tcW w:w="1442"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 xml:space="preserve">3824 </w:t>
            </w:r>
          </w:p>
        </w:tc>
        <w:tc>
          <w:tcPr>
            <w:tcW w:w="898"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七级</w:t>
            </w:r>
          </w:p>
        </w:tc>
      </w:tr>
      <w:tr>
        <w:trPr>
          <w:trHeight w:val="851" w:hRule="atLeast"/>
        </w:trPr>
        <w:tc>
          <w:tcPr>
            <w:tcW w:w="547"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5</w:t>
            </w:r>
          </w:p>
        </w:tc>
        <w:tc>
          <w:tcPr>
            <w:tcW w:w="733"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2017</w:t>
            </w:r>
          </w:p>
        </w:tc>
        <w:tc>
          <w:tcPr>
            <w:tcW w:w="79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怀柔</w:t>
            </w:r>
          </w:p>
        </w:tc>
        <w:tc>
          <w:tcPr>
            <w:tcW w:w="2718"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怀柔区庙城</w:t>
            </w:r>
          </w:p>
        </w:tc>
        <w:tc>
          <w:tcPr>
            <w:tcW w:w="2214"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京粮集团</w:t>
            </w:r>
          </w:p>
        </w:tc>
        <w:tc>
          <w:tcPr>
            <w:tcW w:w="13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 xml:space="preserve">5.78 </w:t>
            </w:r>
          </w:p>
        </w:tc>
        <w:tc>
          <w:tcPr>
            <w:tcW w:w="2302"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 xml:space="preserve">49484.00 </w:t>
            </w:r>
          </w:p>
        </w:tc>
        <w:tc>
          <w:tcPr>
            <w:tcW w:w="1442"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 xml:space="preserve">8568 </w:t>
            </w:r>
          </w:p>
        </w:tc>
        <w:tc>
          <w:tcPr>
            <w:tcW w:w="898"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九级</w:t>
            </w:r>
          </w:p>
        </w:tc>
      </w:tr>
      <w:tr>
        <w:trPr>
          <w:trHeight w:val="851" w:hRule="atLeast"/>
        </w:trPr>
        <w:tc>
          <w:tcPr>
            <w:tcW w:w="547"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6</w:t>
            </w:r>
          </w:p>
        </w:tc>
        <w:tc>
          <w:tcPr>
            <w:tcW w:w="733"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2021</w:t>
            </w:r>
          </w:p>
        </w:tc>
        <w:tc>
          <w:tcPr>
            <w:tcW w:w="79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平谷区</w:t>
            </w:r>
          </w:p>
        </w:tc>
        <w:tc>
          <w:tcPr>
            <w:tcW w:w="2718"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平谷区马昌营镇沥青厂</w:t>
            </w:r>
          </w:p>
        </w:tc>
        <w:tc>
          <w:tcPr>
            <w:tcW w:w="2214"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市政路桥集团</w:t>
            </w:r>
          </w:p>
        </w:tc>
        <w:tc>
          <w:tcPr>
            <w:tcW w:w="138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 xml:space="preserve">3.78 </w:t>
            </w:r>
          </w:p>
        </w:tc>
        <w:tc>
          <w:tcPr>
            <w:tcW w:w="2302"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 xml:space="preserve">7155.55 </w:t>
            </w:r>
          </w:p>
        </w:tc>
        <w:tc>
          <w:tcPr>
            <w:tcW w:w="1442"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eastAsia="仿宋_GB2312;仿宋" w:cs="Arial" w:ascii="Arial" w:hAnsi="Arial"/>
                <w:szCs w:val="24"/>
                <w:highlight w:val="yellow"/>
              </w:rPr>
              <w:t xml:space="preserve">1893 </w:t>
            </w:r>
          </w:p>
        </w:tc>
        <w:tc>
          <w:tcPr>
            <w:tcW w:w="898"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Cs w:val="24"/>
                <w:highlight w:val="yellow"/>
              </w:rPr>
            </w:pPr>
            <w:r>
              <w:rPr>
                <w:rFonts w:ascii="Arial" w:hAnsi="Arial" w:cs="Arial" w:eastAsia="仿宋_GB2312;仿宋"/>
                <w:szCs w:val="24"/>
                <w:highlight w:val="yellow"/>
              </w:rPr>
              <w:t>十级</w:t>
            </w:r>
          </w:p>
        </w:tc>
      </w:tr>
    </w:tbl>
    <w:p>
      <w:pPr>
        <w:sectPr>
          <w:headerReference w:type="default" r:id="rId78"/>
          <w:footerReference w:type="default" r:id="rId79"/>
          <w:type w:val="nextPage"/>
          <w:pgSz w:orient="landscape" w:w="16838" w:h="11906"/>
          <w:pgMar w:left="1134" w:right="1843" w:header="1134" w:top="1304" w:footer="907" w:bottom="1304" w:gutter="0"/>
          <w:pgNumType w:fmt="decimal"/>
          <w:formProt w:val="false"/>
          <w:textDirection w:val="lrTb"/>
          <w:docGrid w:type="default" w:linePitch="326" w:charSpace="0"/>
        </w:sectPr>
        <w:pStyle w:val="Normal"/>
        <w:numPr>
          <w:ilvl w:val="0"/>
          <w:numId w:val="0"/>
        </w:numPr>
        <w:spacing w:lineRule="auto" w:line="360"/>
        <w:ind w:firstLine="560"/>
        <w:jc w:val="both"/>
        <w:outlineLvl w:val="0"/>
        <w:rPr>
          <w:rFonts w:ascii="Arial" w:hAnsi="Arial" w:eastAsia="仿宋_GB2312;仿宋" w:cs="Arial"/>
          <w:sz w:val="28"/>
          <w:szCs w:val="28"/>
          <w:highlight w:val="yellow"/>
        </w:rPr>
      </w:pPr>
      <w:r>
        <w:rPr>
          <w:rFonts w:eastAsia="仿宋_GB2312;仿宋" w:cs="Arial" w:ascii="Arial" w:hAnsi="Arial"/>
          <w:sz w:val="28"/>
          <w:szCs w:val="28"/>
          <w:highlight w:val="yellow"/>
        </w:rPr>
      </w:r>
    </w:p>
    <w:p>
      <w:pPr>
        <w:pStyle w:val="Normal"/>
        <w:numPr>
          <w:ilvl w:val="0"/>
          <w:numId w:val="0"/>
        </w:numPr>
        <w:spacing w:lineRule="auto" w:line="360"/>
        <w:ind w:firstLine="560"/>
        <w:jc w:val="both"/>
        <w:outlineLvl w:val="0"/>
        <w:rPr>
          <w:rFonts w:ascii="Arial" w:hAnsi="Arial" w:eastAsia="仿宋_GB2312;仿宋" w:cs="Arial"/>
          <w:sz w:val="28"/>
          <w:szCs w:val="28"/>
        </w:rPr>
      </w:pPr>
      <w:bookmarkStart w:id="55" w:name="_Hlk148624580"/>
      <w:bookmarkEnd w:id="55"/>
      <w:r>
        <w:rPr>
          <w:rFonts w:ascii="Arial" w:hAnsi="Arial" w:cs="Arial" w:eastAsia="仿宋_GB2312;仿宋"/>
          <w:sz w:val="28"/>
          <w:szCs w:val="28"/>
          <w:highlight w:val="yellow"/>
        </w:rPr>
        <w:t>根据我们所掌握自</w:t>
      </w:r>
      <w:r>
        <w:rPr>
          <w:rFonts w:eastAsia="仿宋_GB2312;仿宋" w:cs="Arial" w:ascii="Arial" w:hAnsi="Arial"/>
          <w:sz w:val="28"/>
          <w:szCs w:val="28"/>
          <w:highlight w:val="yellow"/>
        </w:rPr>
        <w:t>2</w:t>
      </w:r>
      <w:r>
        <w:rPr>
          <w:rFonts w:eastAsia="仿宋_GB2312;仿宋" w:cs="Arial" w:ascii="Arial" w:hAnsi="Arial"/>
          <w:sz w:val="28"/>
          <w:szCs w:val="28"/>
          <w:highlight w:val="yellow"/>
        </w:rPr>
        <w:t>015</w:t>
      </w:r>
      <w:r>
        <w:rPr>
          <w:rFonts w:ascii="Arial" w:hAnsi="Arial" w:cs="Arial" w:eastAsia="仿宋_GB2312;仿宋"/>
          <w:sz w:val="28"/>
          <w:szCs w:val="28"/>
          <w:highlight w:val="yellow"/>
        </w:rPr>
        <w:t>年至今的国有企业土地收购补偿费情况，这类收购行为有一定特殊性</w:t>
      </w:r>
      <w:r>
        <w:rPr>
          <w:rFonts w:eastAsia="仿宋_GB2312;仿宋" w:cs="Arial" w:ascii="Arial" w:hAnsi="Arial"/>
          <w:sz w:val="28"/>
          <w:szCs w:val="28"/>
          <w:highlight w:val="yellow"/>
        </w:rPr>
        <w:t>-</w:t>
      </w:r>
      <w:r>
        <w:rPr>
          <w:rFonts w:ascii="Arial" w:hAnsi="Arial" w:cs="Arial" w:eastAsia="仿宋_GB2312;仿宋"/>
          <w:sz w:val="28"/>
          <w:szCs w:val="28"/>
          <w:highlight w:val="yellow"/>
        </w:rPr>
        <w:t>非强制性，已经通过审计案例分布不均匀，有的是顺义本区的，有的和估价对象其他区类似位置、同一个地价级别，这些成本数据跨度较大，本次估价对象的土地收购价格处于正常市场水平。</w:t>
      </w:r>
    </w:p>
    <w:p>
      <w:pPr>
        <w:pStyle w:val="Normal"/>
        <w:numPr>
          <w:ilvl w:val="0"/>
          <w:numId w:val="0"/>
        </w:numPr>
        <w:spacing w:lineRule="auto" w:line="360"/>
        <w:jc w:val="both"/>
        <w:outlineLvl w:val="0"/>
        <w:rPr/>
      </w:pPr>
      <w:bookmarkStart w:id="56" w:name="_Hlk148624580"/>
      <w:bookmarkEnd w:id="56"/>
      <w:r>
        <w:rPr>
          <w:rFonts w:ascii="Arial" w:hAnsi="Arial" w:cs="Arial" w:eastAsia="仿宋_GB2312;仿宋"/>
          <w:bCs/>
          <w:sz w:val="28"/>
        </w:rPr>
        <w:t>（二）</w:t>
      </w:r>
      <w:r>
        <w:rPr>
          <w:rFonts w:ascii="Arial" w:hAnsi="Arial" w:cs="Arial" w:eastAsia="仿宋_GB2312;仿宋"/>
          <w:sz w:val="28"/>
          <w:szCs w:val="28"/>
        </w:rPr>
        <w:t>房屋建筑物采用重置成本法</w:t>
      </w:r>
    </w:p>
    <w:p>
      <w:pPr>
        <w:pStyle w:val="Normal"/>
        <w:numPr>
          <w:ilvl w:val="0"/>
          <w:numId w:val="0"/>
        </w:numPr>
        <w:spacing w:lineRule="auto" w:line="360"/>
        <w:ind w:firstLine="560"/>
        <w:jc w:val="both"/>
        <w:outlineLvl w:val="0"/>
        <w:rPr/>
      </w:pPr>
      <w:r>
        <w:rPr>
          <w:rFonts w:ascii="Arial" w:hAnsi="Arial" w:cs="Arial" w:eastAsia="仿宋_GB2312;仿宋"/>
          <w:sz w:val="28"/>
          <w:szCs w:val="28"/>
        </w:rPr>
        <w:t>建筑物价值由建筑物全新重置价格乘以成新率计算得到，其中建筑物全新重置价格包括建安费用、前期工程费及勘察设计费、管理费、投资利息和投资利润。根据《房地产估价规范》</w:t>
      </w:r>
      <w:r>
        <w:rPr>
          <w:rFonts w:eastAsia="仿宋_GB2312;仿宋" w:cs="Arial" w:ascii="Arial" w:hAnsi="Arial"/>
          <w:sz w:val="28"/>
          <w:szCs w:val="28"/>
        </w:rPr>
        <w:t>[GB/T 50291-2015]</w:t>
      </w:r>
      <w:r>
        <w:rPr>
          <w:rFonts w:ascii="Arial" w:hAnsi="Arial" w:cs="Arial" w:eastAsia="仿宋_GB2312;仿宋"/>
          <w:sz w:val="28"/>
          <w:szCs w:val="28"/>
        </w:rPr>
        <w:t>及《北京市房屋重置成新价评估技术标准》</w:t>
      </w:r>
      <w:r>
        <w:rPr>
          <w:rFonts w:eastAsia="仿宋_GB2312;仿宋" w:cs="Arial" w:ascii="Arial" w:hAnsi="Arial"/>
          <w:sz w:val="28"/>
          <w:szCs w:val="28"/>
        </w:rPr>
        <w:t>[</w:t>
      </w:r>
      <w:r>
        <w:rPr>
          <w:rFonts w:ascii="Arial" w:hAnsi="Arial" w:cs="Arial" w:eastAsia="仿宋_GB2312;仿宋"/>
          <w:sz w:val="28"/>
          <w:szCs w:val="28"/>
        </w:rPr>
        <w:t>北估秘（</w:t>
      </w:r>
      <w:r>
        <w:rPr>
          <w:rFonts w:eastAsia="仿宋_GB2312;仿宋" w:cs="Arial" w:ascii="Arial" w:hAnsi="Arial"/>
          <w:sz w:val="28"/>
          <w:szCs w:val="28"/>
        </w:rPr>
        <w:t>2016</w:t>
      </w:r>
      <w:r>
        <w:rPr>
          <w:rFonts w:ascii="Arial" w:hAnsi="Arial" w:cs="Arial" w:eastAsia="仿宋_GB2312;仿宋"/>
          <w:sz w:val="28"/>
          <w:szCs w:val="28"/>
        </w:rPr>
        <w:t>）</w:t>
      </w:r>
      <w:r>
        <w:rPr>
          <w:rFonts w:eastAsia="仿宋_GB2312;仿宋" w:cs="Arial" w:ascii="Arial" w:hAnsi="Arial"/>
          <w:sz w:val="28"/>
          <w:szCs w:val="28"/>
        </w:rPr>
        <w:t>001</w:t>
      </w:r>
      <w:r>
        <w:rPr>
          <w:rFonts w:ascii="Arial" w:hAnsi="Arial" w:cs="Arial" w:eastAsia="仿宋_GB2312;仿宋"/>
          <w:sz w:val="28"/>
          <w:szCs w:val="28"/>
        </w:rPr>
        <w:t>号</w:t>
      </w:r>
      <w:r>
        <w:rPr>
          <w:rFonts w:eastAsia="仿宋_GB2312;仿宋" w:cs="Arial" w:ascii="Arial" w:hAnsi="Arial"/>
          <w:sz w:val="28"/>
          <w:szCs w:val="28"/>
        </w:rPr>
        <w:t>]</w:t>
      </w:r>
      <w:r>
        <w:rPr>
          <w:rFonts w:ascii="Arial" w:hAnsi="Arial" w:cs="Arial" w:eastAsia="仿宋_GB2312;仿宋"/>
          <w:sz w:val="28"/>
          <w:szCs w:val="28"/>
        </w:rPr>
        <w:t>、</w:t>
      </w:r>
      <w:r>
        <w:rPr>
          <w:rFonts w:ascii="Arial" w:hAnsi="Arial" w:cs="Arial" w:eastAsia="仿宋_GB2312;仿宋"/>
          <w:sz w:val="28"/>
        </w:rPr>
        <w:t>《关于调整〈北京市房屋重置成新价评估技术标准〉相关系数的通知》</w:t>
      </w:r>
      <w:r>
        <w:rPr>
          <w:rFonts w:ascii="Arial" w:hAnsi="Arial" w:cs="Arial" w:eastAsia="仿宋_GB2312;仿宋"/>
          <w:sz w:val="28"/>
        </w:rPr>
        <w:t>（</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10</w:t>
      </w:r>
      <w:r>
        <w:rPr>
          <w:rFonts w:ascii="Arial" w:hAnsi="Arial" w:cs="Arial" w:eastAsia="仿宋_GB2312;仿宋"/>
          <w:sz w:val="28"/>
        </w:rPr>
        <w:t>日发布）</w:t>
      </w:r>
      <w:r>
        <w:rPr>
          <w:rFonts w:ascii="Arial" w:hAnsi="Arial" w:cs="Arial" w:eastAsia="仿宋_GB2312;仿宋"/>
          <w:sz w:val="28"/>
          <w:szCs w:val="28"/>
        </w:rPr>
        <w:t>，结合估价对象建筑物的结构类型及装修水平等实际情况，具体测算过程如下：</w:t>
      </w:r>
    </w:p>
    <w:p>
      <w:pPr>
        <w:pStyle w:val="Normal"/>
        <w:numPr>
          <w:ilvl w:val="0"/>
          <w:numId w:val="0"/>
        </w:numPr>
        <w:spacing w:lineRule="auto" w:line="360"/>
        <w:ind w:firstLine="560"/>
        <w:jc w:val="both"/>
        <w:outlineLvl w:val="0"/>
        <w:rPr/>
      </w:pPr>
      <w:r>
        <w:rPr>
          <w:rFonts w:ascii="Arial" w:hAnsi="Arial" w:cs="Arial" w:eastAsia="仿宋_GB2312;仿宋"/>
          <w:sz w:val="28"/>
          <w:szCs w:val="28"/>
        </w:rPr>
        <w:t>根据《指引》，建筑安装工程费根据《关于发布</w:t>
      </w:r>
      <w:r>
        <w:rPr>
          <w:rFonts w:eastAsia="仿宋_GB2312;仿宋" w:cs="Arial" w:ascii="Arial" w:hAnsi="Arial"/>
          <w:sz w:val="28"/>
          <w:szCs w:val="28"/>
        </w:rPr>
        <w:t>&lt;</w:t>
      </w:r>
      <w:r>
        <w:rPr>
          <w:rFonts w:ascii="Arial" w:hAnsi="Arial" w:cs="Arial" w:eastAsia="仿宋_GB2312;仿宋"/>
          <w:sz w:val="28"/>
          <w:szCs w:val="28"/>
        </w:rPr>
        <w:t>北京市房屋重置成新价评估技术标准</w:t>
      </w:r>
      <w:r>
        <w:rPr>
          <w:rFonts w:eastAsia="仿宋_GB2312;仿宋" w:cs="Arial" w:ascii="Arial" w:hAnsi="Arial"/>
          <w:sz w:val="28"/>
          <w:szCs w:val="28"/>
        </w:rPr>
        <w:t>&gt;</w:t>
      </w:r>
      <w:r>
        <w:rPr>
          <w:rFonts w:ascii="Arial" w:hAnsi="Arial" w:cs="Arial" w:eastAsia="仿宋_GB2312;仿宋"/>
          <w:sz w:val="28"/>
          <w:szCs w:val="28"/>
        </w:rPr>
        <w:t>的通知》</w:t>
      </w:r>
      <w:r>
        <w:rPr>
          <w:rFonts w:eastAsia="仿宋_GB2312;仿宋" w:cs="Arial" w:ascii="Arial" w:hAnsi="Arial"/>
          <w:sz w:val="28"/>
          <w:szCs w:val="28"/>
        </w:rPr>
        <w:t>[</w:t>
      </w:r>
      <w:r>
        <w:rPr>
          <w:rFonts w:ascii="Arial" w:hAnsi="Arial" w:cs="Arial" w:eastAsia="仿宋_GB2312;仿宋"/>
          <w:sz w:val="28"/>
          <w:szCs w:val="28"/>
        </w:rPr>
        <w:t>北估秘</w:t>
      </w:r>
      <w:r>
        <w:rPr>
          <w:rFonts w:eastAsia="仿宋_GB2312;仿宋" w:cs="Arial" w:ascii="Arial" w:hAnsi="Arial"/>
          <w:sz w:val="28"/>
          <w:szCs w:val="28"/>
        </w:rPr>
        <w:t>[2016]001</w:t>
      </w:r>
      <w:r>
        <w:rPr>
          <w:rFonts w:ascii="Arial" w:hAnsi="Arial" w:cs="Arial" w:eastAsia="仿宋_GB2312;仿宋"/>
          <w:sz w:val="28"/>
          <w:szCs w:val="28"/>
        </w:rPr>
        <w:t>号</w:t>
      </w:r>
      <w:r>
        <w:rPr>
          <w:rFonts w:eastAsia="仿宋_GB2312;仿宋" w:cs="Arial" w:ascii="Arial" w:hAnsi="Arial"/>
          <w:sz w:val="28"/>
          <w:szCs w:val="28"/>
        </w:rPr>
        <w:t>]</w:t>
      </w:r>
      <w:r>
        <w:rPr>
          <w:rFonts w:ascii="Arial" w:hAnsi="Arial" w:cs="Arial" w:eastAsia="仿宋_GB2312;仿宋"/>
          <w:sz w:val="28"/>
          <w:szCs w:val="28"/>
        </w:rPr>
        <w:t>、</w:t>
      </w:r>
      <w:r>
        <w:rPr>
          <w:rFonts w:ascii="Arial" w:hAnsi="Arial" w:cs="Arial" w:eastAsia="仿宋_GB2312;仿宋"/>
          <w:sz w:val="28"/>
        </w:rPr>
        <w:t>《关于调整〈北京市房屋重置成新价评估技术标准〉相关系数的通知》</w:t>
      </w:r>
      <w:r>
        <w:rPr>
          <w:rFonts w:ascii="Arial" w:hAnsi="Arial" w:cs="Arial" w:eastAsia="仿宋_GB2312;仿宋"/>
          <w:sz w:val="28"/>
        </w:rPr>
        <w:t>（</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10</w:t>
      </w:r>
      <w:r>
        <w:rPr>
          <w:rFonts w:ascii="Arial" w:hAnsi="Arial" w:cs="Arial" w:eastAsia="仿宋_GB2312;仿宋"/>
          <w:sz w:val="28"/>
        </w:rPr>
        <w:t>日发布）</w:t>
      </w:r>
      <w:r>
        <w:rPr>
          <w:rFonts w:ascii="Arial" w:hAnsi="Arial" w:cs="Arial" w:eastAsia="仿宋_GB2312;仿宋"/>
          <w:sz w:val="28"/>
          <w:szCs w:val="28"/>
        </w:rPr>
        <w:t>测算，根据本报告前文所述，纳入估价对象范围的建筑物为《房屋所有权证》</w:t>
      </w:r>
      <w:r>
        <w:rPr>
          <w:rFonts w:eastAsia="仿宋_GB2312;仿宋" w:cs="Arial" w:ascii="Arial" w:hAnsi="Arial"/>
          <w:sz w:val="28"/>
          <w:szCs w:val="28"/>
        </w:rPr>
        <w:t>[</w:t>
      </w:r>
      <w:r>
        <w:rPr>
          <w:rFonts w:ascii="Arial" w:hAnsi="Arial" w:cs="Arial" w:eastAsia="仿宋_GB2312;仿宋"/>
          <w:sz w:val="28"/>
          <w:szCs w:val="28"/>
        </w:rPr>
        <w:t>海全字第</w:t>
      </w:r>
      <w:r>
        <w:rPr>
          <w:rFonts w:eastAsia="仿宋_GB2312;仿宋" w:cs="Arial" w:ascii="Arial" w:hAnsi="Arial"/>
          <w:sz w:val="28"/>
          <w:szCs w:val="28"/>
        </w:rPr>
        <w:t>01614</w:t>
      </w:r>
      <w:r>
        <w:rPr>
          <w:rFonts w:ascii="Arial" w:hAnsi="Arial" w:cs="Arial" w:eastAsia="仿宋_GB2312;仿宋"/>
          <w:sz w:val="28"/>
          <w:szCs w:val="28"/>
        </w:rPr>
        <w:t>号</w:t>
      </w:r>
      <w:r>
        <w:rPr>
          <w:rFonts w:eastAsia="仿宋_GB2312;仿宋" w:cs="Arial" w:ascii="Arial" w:hAnsi="Arial"/>
          <w:sz w:val="28"/>
          <w:szCs w:val="28"/>
        </w:rPr>
        <w:t>]</w:t>
      </w:r>
      <w:r>
        <w:rPr>
          <w:rFonts w:ascii="Arial" w:hAnsi="Arial" w:cs="Arial" w:eastAsia="仿宋_GB2312;仿宋"/>
          <w:sz w:val="28"/>
          <w:szCs w:val="28"/>
        </w:rPr>
        <w:t>所载部分房屋，建筑面积</w:t>
      </w:r>
      <w:r>
        <w:rPr>
          <w:rFonts w:eastAsia="仿宋_GB2312;仿宋" w:cs="Arial" w:ascii="Arial" w:hAnsi="Arial"/>
          <w:sz w:val="28"/>
          <w:szCs w:val="28"/>
        </w:rPr>
        <w:t>677.9</w:t>
      </w:r>
      <w:r>
        <w:rPr>
          <w:rFonts w:ascii="Arial" w:hAnsi="Arial" w:cs="Arial" w:eastAsia="仿宋_GB2312;仿宋"/>
          <w:sz w:val="28"/>
          <w:szCs w:val="28"/>
        </w:rPr>
        <w:t>平方米。</w:t>
      </w:r>
    </w:p>
    <w:p>
      <w:pPr>
        <w:pStyle w:val="Normal"/>
        <w:numPr>
          <w:ilvl w:val="0"/>
          <w:numId w:val="0"/>
        </w:numPr>
        <w:spacing w:lineRule="auto" w:line="360"/>
        <w:ind w:firstLine="560"/>
        <w:jc w:val="both"/>
        <w:outlineLvl w:val="0"/>
        <w:rPr>
          <w:rFonts w:eastAsia="仿宋_GB2312;仿宋"/>
        </w:rPr>
      </w:pPr>
      <w:r>
        <w:rPr>
          <w:rFonts w:ascii="Arial" w:hAnsi="Arial" w:cs="Arial" w:eastAsia="仿宋_GB2312;仿宋"/>
          <w:sz w:val="28"/>
          <w:szCs w:val="28"/>
        </w:rPr>
        <w:t>参考《北京市房屋重置成新价评估技术标准》</w:t>
      </w:r>
      <w:r>
        <w:rPr>
          <w:rFonts w:eastAsia="仿宋_GB2312;仿宋" w:cs="Arial" w:ascii="Arial" w:hAnsi="Arial"/>
          <w:sz w:val="28"/>
          <w:szCs w:val="28"/>
        </w:rPr>
        <w:t>[</w:t>
      </w:r>
      <w:r>
        <w:rPr>
          <w:rFonts w:ascii="Arial" w:hAnsi="Arial" w:cs="Arial" w:eastAsia="仿宋_GB2312;仿宋"/>
          <w:sz w:val="28"/>
          <w:szCs w:val="28"/>
        </w:rPr>
        <w:t>北估秘</w:t>
      </w:r>
      <w:r>
        <w:rPr>
          <w:rFonts w:eastAsia="仿宋_GB2312;仿宋" w:cs="Arial" w:ascii="Arial" w:hAnsi="Arial"/>
          <w:sz w:val="28"/>
          <w:szCs w:val="28"/>
        </w:rPr>
        <w:t>[2016]001</w:t>
      </w:r>
      <w:r>
        <w:rPr>
          <w:rFonts w:ascii="Arial" w:hAnsi="Arial" w:cs="Arial" w:eastAsia="仿宋_GB2312;仿宋"/>
          <w:sz w:val="28"/>
          <w:szCs w:val="28"/>
        </w:rPr>
        <w:t>号</w:t>
      </w:r>
      <w:r>
        <w:rPr>
          <w:rFonts w:eastAsia="仿宋_GB2312;仿宋" w:cs="Arial" w:ascii="Arial" w:hAnsi="Arial"/>
          <w:sz w:val="28"/>
          <w:szCs w:val="28"/>
        </w:rPr>
        <w:t>]</w:t>
      </w:r>
      <w:r>
        <w:rPr>
          <w:rFonts w:ascii="Arial" w:hAnsi="Arial" w:cs="Arial" w:eastAsia="仿宋_GB2312;仿宋"/>
          <w:sz w:val="28"/>
          <w:szCs w:val="28"/>
        </w:rPr>
        <w:t>、</w:t>
      </w:r>
      <w:r>
        <w:rPr>
          <w:rFonts w:ascii="Arial" w:hAnsi="Arial" w:cs="Arial" w:eastAsia="仿宋_GB2312;仿宋"/>
          <w:sz w:val="28"/>
        </w:rPr>
        <w:t>《关于调整〈北京市房屋重置成新价评估技术标准〉相关系数的通知》</w:t>
      </w:r>
      <w:r>
        <w:rPr>
          <w:rFonts w:ascii="Arial" w:hAnsi="Arial" w:cs="Arial" w:eastAsia="仿宋_GB2312;仿宋"/>
          <w:sz w:val="28"/>
        </w:rPr>
        <w:t>（</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10</w:t>
      </w:r>
      <w:r>
        <w:rPr>
          <w:rFonts w:ascii="Arial" w:hAnsi="Arial" w:cs="Arial" w:eastAsia="仿宋_GB2312;仿宋"/>
          <w:sz w:val="28"/>
        </w:rPr>
        <w:t>日发布）</w:t>
      </w:r>
      <w:r>
        <w:rPr>
          <w:rFonts w:ascii="Arial" w:hAnsi="Arial" w:cs="Arial" w:eastAsia="仿宋_GB2312;仿宋"/>
          <w:sz w:val="28"/>
          <w:szCs w:val="28"/>
        </w:rPr>
        <w:t>及《北京工程造价信息》的相关技术标准，具体计算公式如下：</w:t>
      </w:r>
      <w:r>
        <w:rPr>
          <w:rFonts w:ascii="Arial" w:hAnsi="Arial" w:cs="Arial" w:eastAsia="Arial"/>
          <w:sz w:val="28"/>
          <w:szCs w:val="28"/>
        </w:rPr>
        <w:t xml:space="preserve"> </w:t>
      </w:r>
    </w:p>
    <w:p>
      <w:pPr>
        <w:pStyle w:val="Normal"/>
        <w:numPr>
          <w:ilvl w:val="0"/>
          <w:numId w:val="0"/>
        </w:numPr>
        <w:spacing w:lineRule="auto" w:line="360"/>
        <w:ind w:firstLine="560"/>
        <w:jc w:val="both"/>
        <w:outlineLvl w:val="0"/>
        <w:rPr>
          <w:rFonts w:eastAsia="仿宋_GB2312;仿宋"/>
        </w:rPr>
      </w:pPr>
      <w:r>
        <w:rPr>
          <w:rFonts w:ascii="Arial" w:hAnsi="Arial" w:cs="Arial" w:eastAsia="仿宋_GB2312;仿宋"/>
          <w:sz w:val="28"/>
          <w:szCs w:val="28"/>
        </w:rPr>
        <w:t>（</w:t>
      </w:r>
      <w:r>
        <w:rPr>
          <w:rFonts w:eastAsia="仿宋_GB2312;仿宋" w:cs="Arial" w:ascii="Arial" w:hAnsi="Arial"/>
          <w:sz w:val="28"/>
          <w:szCs w:val="28"/>
        </w:rPr>
        <w:t>1</w:t>
      </w:r>
      <w:r>
        <w:rPr>
          <w:rFonts w:ascii="Arial" w:hAnsi="Arial" w:cs="Arial" w:eastAsia="仿宋_GB2312;仿宋"/>
          <w:sz w:val="28"/>
          <w:szCs w:val="28"/>
        </w:rPr>
        <w:t>）平房、中式楼房评估</w:t>
      </w:r>
      <w:r>
        <w:rPr>
          <w:rFonts w:ascii="Arial" w:hAnsi="Arial" w:cs="Arial" w:eastAsia="Arial"/>
          <w:sz w:val="28"/>
          <w:szCs w:val="28"/>
        </w:rPr>
        <w:t xml:space="preserve"> </w:t>
      </w:r>
    </w:p>
    <w:p>
      <w:pPr>
        <w:pStyle w:val="Normal"/>
        <w:numPr>
          <w:ilvl w:val="0"/>
          <w:numId w:val="0"/>
        </w:numPr>
        <w:spacing w:lineRule="auto" w:line="360"/>
        <w:ind w:firstLine="700"/>
        <w:jc w:val="both"/>
        <w:outlineLvl w:val="0"/>
        <w:rPr>
          <w:rFonts w:eastAsia="仿宋_GB2312;仿宋"/>
        </w:rPr>
      </w:pPr>
      <w:r>
        <w:rPr>
          <w:rFonts w:ascii="宋体;SimSun" w:hAnsi="宋体;SimSun" w:cs="宋体;SimSun"/>
          <w:sz w:val="28"/>
          <w:szCs w:val="28"/>
        </w:rPr>
        <w:t>①</w:t>
      </w:r>
      <w:r>
        <w:rPr>
          <w:rFonts w:ascii="Arial" w:hAnsi="Arial" w:cs="Arial" w:eastAsia="Arial"/>
          <w:sz w:val="28"/>
          <w:szCs w:val="28"/>
        </w:rPr>
        <w:t xml:space="preserve"> </w:t>
      </w:r>
      <w:r>
        <w:rPr>
          <w:rFonts w:ascii="Arial" w:hAnsi="Arial" w:cs="Arial" w:eastAsia="仿宋_GB2312;仿宋"/>
          <w:sz w:val="28"/>
          <w:szCs w:val="28"/>
        </w:rPr>
        <w:t>平房、中式楼房认定标准</w:t>
      </w:r>
      <w:r>
        <w:rPr>
          <w:rFonts w:ascii="Arial" w:hAnsi="Arial" w:cs="Arial" w:eastAsia="Arial"/>
          <w:sz w:val="28"/>
          <w:szCs w:val="28"/>
        </w:rPr>
        <w:t xml:space="preserve">  </w:t>
      </w:r>
    </w:p>
    <w:p>
      <w:pPr>
        <w:pStyle w:val="Normal"/>
        <w:numPr>
          <w:ilvl w:val="0"/>
          <w:numId w:val="0"/>
        </w:numPr>
        <w:spacing w:lineRule="auto" w:line="360"/>
        <w:ind w:firstLine="700"/>
        <w:jc w:val="both"/>
        <w:outlineLvl w:val="0"/>
        <w:rPr>
          <w:rFonts w:eastAsia="仿宋_GB2312;仿宋"/>
        </w:rPr>
      </w:pPr>
      <w:r>
        <w:rPr>
          <w:rFonts w:ascii="Arial" w:hAnsi="Arial" w:cs="Arial" w:eastAsia="仿宋_GB2312;仿宋"/>
          <w:sz w:val="28"/>
          <w:szCs w:val="28"/>
        </w:rPr>
        <w:t>平房，即只有一层的房屋。住宅平房认定标准：屋面、屋架完整，三面有墙，柱高</w:t>
      </w:r>
      <w:r>
        <w:rPr>
          <w:rFonts w:ascii="Arial" w:hAnsi="Arial" w:cs="Arial" w:eastAsia="Arial"/>
          <w:sz w:val="28"/>
          <w:szCs w:val="28"/>
        </w:rPr>
        <w:t xml:space="preserve"> </w:t>
      </w:r>
      <w:r>
        <w:rPr>
          <w:rFonts w:eastAsia="仿宋_GB2312;仿宋" w:cs="Arial" w:ascii="Arial" w:hAnsi="Arial"/>
          <w:sz w:val="28"/>
          <w:szCs w:val="28"/>
        </w:rPr>
        <w:t xml:space="preserve">2.0 </w:t>
      </w:r>
      <w:r>
        <w:rPr>
          <w:rFonts w:ascii="Arial" w:hAnsi="Arial" w:cs="Arial" w:eastAsia="仿宋_GB2312;仿宋"/>
          <w:sz w:val="28"/>
          <w:szCs w:val="28"/>
        </w:rPr>
        <w:t>米以上，有正式门窗。在原有平房或楼房上层加建的房屋按平房认定。</w:t>
      </w:r>
      <w:r>
        <w:rPr>
          <w:rFonts w:ascii="Arial" w:hAnsi="Arial" w:cs="Arial" w:eastAsia="Arial"/>
          <w:sz w:val="28"/>
          <w:szCs w:val="28"/>
        </w:rPr>
        <w:t xml:space="preserve"> </w:t>
      </w:r>
    </w:p>
    <w:p>
      <w:pPr>
        <w:pStyle w:val="Normal"/>
        <w:numPr>
          <w:ilvl w:val="0"/>
          <w:numId w:val="0"/>
        </w:numPr>
        <w:spacing w:lineRule="auto" w:line="360"/>
        <w:ind w:firstLine="700"/>
        <w:jc w:val="both"/>
        <w:outlineLvl w:val="0"/>
        <w:rPr>
          <w:rFonts w:ascii="Arial" w:hAnsi="Arial" w:eastAsia="仿宋_GB2312;仿宋" w:cs="Arial"/>
          <w:sz w:val="28"/>
          <w:szCs w:val="28"/>
        </w:rPr>
      </w:pPr>
      <w:r>
        <w:rPr>
          <w:rFonts w:ascii="Arial" w:hAnsi="Arial" w:cs="Arial" w:eastAsia="仿宋_GB2312;仿宋"/>
          <w:sz w:val="28"/>
          <w:szCs w:val="28"/>
        </w:rPr>
        <w:t>中式楼房即以木结构体系为主，采用构架制的结构原理搭建的多层房屋。</w:t>
      </w:r>
    </w:p>
    <w:p>
      <w:pPr>
        <w:pStyle w:val="Normal"/>
        <w:numPr>
          <w:ilvl w:val="0"/>
          <w:numId w:val="0"/>
        </w:numPr>
        <w:spacing w:lineRule="auto" w:line="360"/>
        <w:ind w:firstLine="700"/>
        <w:jc w:val="both"/>
        <w:outlineLvl w:val="0"/>
        <w:rPr>
          <w:rFonts w:eastAsia="仿宋_GB2312;仿宋"/>
        </w:rPr>
      </w:pPr>
      <w:r>
        <w:rPr>
          <w:rFonts w:ascii="宋体;SimSun" w:hAnsi="宋体;SimSun" w:cs="宋体;SimSun"/>
          <w:sz w:val="28"/>
          <w:szCs w:val="28"/>
        </w:rPr>
        <w:t>②</w:t>
      </w:r>
      <w:r>
        <w:rPr>
          <w:rFonts w:ascii="Arial" w:hAnsi="Arial" w:cs="Arial" w:eastAsia="仿宋_GB2312;仿宋"/>
          <w:sz w:val="28"/>
          <w:szCs w:val="28"/>
        </w:rPr>
        <w:t>技术</w:t>
      </w:r>
      <w:r>
        <w:rPr>
          <w:rFonts w:ascii="Arial" w:hAnsi="Arial" w:cs="Arial" w:eastAsia="仿宋_GB2312;仿宋"/>
          <w:sz w:val="28"/>
          <w:szCs w:val="28"/>
        </w:rPr>
        <w:t>路线、部件及分值</w:t>
      </w:r>
      <w:r>
        <w:rPr>
          <w:rFonts w:ascii="Arial" w:hAnsi="Arial" w:cs="Arial" w:eastAsia="Arial"/>
          <w:sz w:val="28"/>
          <w:szCs w:val="28"/>
        </w:rPr>
        <w:t xml:space="preserve"> </w:t>
      </w:r>
    </w:p>
    <w:p>
      <w:pPr>
        <w:pStyle w:val="Normal"/>
        <w:numPr>
          <w:ilvl w:val="0"/>
          <w:numId w:val="0"/>
        </w:numPr>
        <w:spacing w:lineRule="auto" w:line="360"/>
        <w:ind w:firstLine="700"/>
        <w:jc w:val="both"/>
        <w:outlineLvl w:val="0"/>
        <w:rPr>
          <w:rFonts w:eastAsia="仿宋_GB2312;仿宋"/>
        </w:rPr>
      </w:pPr>
      <w:r>
        <w:rPr>
          <w:rFonts w:ascii="Arial" w:hAnsi="Arial" w:cs="Arial" w:eastAsia="仿宋_GB2312;仿宋"/>
          <w:sz w:val="28"/>
          <w:szCs w:val="28"/>
        </w:rPr>
        <w:t>平房、中式楼房重置成新价的评估采用分部件按条件计分、依成新折扣的办法计算房屋总分，再按价值时点的分值计算房屋价格。价值时点的分值为基本分值乘以分值调整系数。基本分值为</w:t>
      </w:r>
      <w:r>
        <w:rPr>
          <w:rFonts w:ascii="Arial" w:hAnsi="Arial" w:cs="Arial" w:eastAsia="Arial"/>
          <w:sz w:val="28"/>
          <w:szCs w:val="28"/>
        </w:rPr>
        <w:t xml:space="preserve"> </w:t>
      </w:r>
      <w:r>
        <w:rPr>
          <w:rFonts w:eastAsia="仿宋_GB2312;仿宋" w:cs="Arial" w:ascii="Arial" w:hAnsi="Arial"/>
          <w:sz w:val="28"/>
          <w:szCs w:val="28"/>
        </w:rPr>
        <w:t xml:space="preserve">295 </w:t>
      </w:r>
      <w:r>
        <w:rPr>
          <w:rFonts w:ascii="Arial" w:hAnsi="Arial" w:cs="Arial" w:eastAsia="仿宋_GB2312;仿宋"/>
          <w:sz w:val="28"/>
          <w:szCs w:val="28"/>
        </w:rPr>
        <w:t>元</w:t>
      </w:r>
      <w:r>
        <w:rPr>
          <w:rFonts w:eastAsia="仿宋_GB2312;仿宋" w:cs="Arial" w:ascii="Arial" w:hAnsi="Arial"/>
          <w:sz w:val="28"/>
          <w:szCs w:val="28"/>
        </w:rPr>
        <w:t>/</w:t>
      </w:r>
      <w:r>
        <w:rPr>
          <w:rFonts w:ascii="Arial" w:hAnsi="Arial" w:cs="Arial" w:eastAsia="仿宋_GB2312;仿宋"/>
          <w:sz w:val="28"/>
          <w:szCs w:val="28"/>
        </w:rPr>
        <w:t>分。分值调整系数为</w:t>
      </w:r>
      <w:r>
        <w:rPr>
          <w:rFonts w:ascii="Arial" w:hAnsi="Arial" w:cs="Arial" w:eastAsia="Arial"/>
          <w:sz w:val="28"/>
          <w:szCs w:val="28"/>
        </w:rPr>
        <w:t xml:space="preserve"> </w:t>
      </w:r>
      <w:r>
        <w:rPr>
          <w:rFonts w:eastAsia="仿宋_GB2312;仿宋" w:cs="Arial" w:ascii="Arial" w:hAnsi="Arial"/>
          <w:sz w:val="28"/>
          <w:szCs w:val="28"/>
        </w:rPr>
        <w:t>1.1565</w:t>
      </w:r>
      <w:r>
        <w:rPr>
          <w:rFonts w:ascii="Arial" w:hAnsi="Arial" w:cs="Arial" w:eastAsia="仿宋_GB2312;仿宋"/>
          <w:sz w:val="28"/>
          <w:szCs w:val="28"/>
        </w:rPr>
        <w:t>。</w:t>
      </w:r>
      <w:r>
        <w:rPr>
          <w:rFonts w:ascii="Arial" w:hAnsi="Arial" w:cs="Arial" w:eastAsia="Arial"/>
          <w:sz w:val="28"/>
          <w:szCs w:val="28"/>
        </w:rPr>
        <w:t xml:space="preserve"> </w:t>
      </w:r>
    </w:p>
    <w:p>
      <w:pPr>
        <w:pStyle w:val="Normal"/>
        <w:numPr>
          <w:ilvl w:val="0"/>
          <w:numId w:val="0"/>
        </w:numPr>
        <w:spacing w:lineRule="auto" w:line="360"/>
        <w:ind w:firstLine="700"/>
        <w:jc w:val="both"/>
        <w:outlineLvl w:val="0"/>
        <w:rPr>
          <w:rFonts w:eastAsia="仿宋_GB2312;仿宋"/>
        </w:rPr>
      </w:pPr>
      <w:r>
        <w:rPr>
          <w:rFonts w:ascii="Arial" w:hAnsi="Arial" w:cs="Arial" w:eastAsia="仿宋_GB2312;仿宋"/>
          <w:sz w:val="28"/>
          <w:szCs w:val="28"/>
        </w:rPr>
        <w:t>房屋的组成部件包括：屋面、屋架、墙身、门窗、顶棚、地面、装修、设备、附属物等九类。前六类部件以标准间为单位按条件计分，后三类部件依实际数量按条件计分。各部件分数分别见屋面计分表、屋架计分表、墙身计分表、门窗计分表、顶棚计分表、地面计分表、装修计分表、设备计分表、附属物计分表。标准间计分的各类部件，一间房屋内条件不同的，按比例计分。各类部件表中所列项目也可据实</w:t>
      </w:r>
      <w:r>
        <w:rPr>
          <w:rFonts w:ascii="Arial" w:hAnsi="Arial" w:cs="Arial" w:eastAsia="仿宋_GB2312;仿宋"/>
          <w:sz w:val="28"/>
          <w:szCs w:val="28"/>
        </w:rPr>
        <w:t>估算</w:t>
      </w:r>
      <w:r>
        <w:rPr>
          <w:rFonts w:ascii="Arial" w:hAnsi="Arial" w:cs="Arial" w:eastAsia="仿宋_GB2312;仿宋"/>
          <w:sz w:val="28"/>
          <w:szCs w:val="28"/>
        </w:rPr>
        <w:t>，未列入的项目可参照分数相近的项目计分或据实</w:t>
      </w:r>
      <w:r>
        <w:rPr>
          <w:rFonts w:ascii="Arial" w:hAnsi="Arial" w:cs="Arial" w:eastAsia="仿宋_GB2312;仿宋"/>
          <w:sz w:val="28"/>
          <w:szCs w:val="28"/>
        </w:rPr>
        <w:t>估算</w:t>
      </w:r>
      <w:r>
        <w:rPr>
          <w:rFonts w:ascii="Arial" w:hAnsi="Arial" w:cs="Arial" w:eastAsia="仿宋_GB2312;仿宋"/>
          <w:sz w:val="28"/>
          <w:szCs w:val="28"/>
        </w:rPr>
        <w:t>。</w:t>
      </w:r>
      <w:r>
        <w:rPr>
          <w:rFonts w:ascii="Arial" w:hAnsi="Arial" w:cs="Arial" w:eastAsia="Arial"/>
          <w:sz w:val="28"/>
          <w:szCs w:val="28"/>
        </w:rPr>
        <w:t xml:space="preserve"> </w:t>
      </w:r>
    </w:p>
    <w:p>
      <w:pPr>
        <w:pStyle w:val="Normal"/>
        <w:numPr>
          <w:ilvl w:val="0"/>
          <w:numId w:val="0"/>
        </w:numPr>
        <w:spacing w:lineRule="auto" w:line="360"/>
        <w:ind w:firstLine="700"/>
        <w:jc w:val="both"/>
        <w:outlineLvl w:val="0"/>
        <w:rPr>
          <w:rFonts w:eastAsia="仿宋_GB2312;仿宋"/>
        </w:rPr>
      </w:pPr>
      <w:r>
        <w:rPr>
          <w:rFonts w:ascii="宋体;SimSun" w:hAnsi="宋体;SimSun" w:cs="宋体;SimSun"/>
          <w:sz w:val="28"/>
          <w:szCs w:val="28"/>
        </w:rPr>
        <w:t>③</w:t>
      </w:r>
      <w:r>
        <w:rPr>
          <w:rFonts w:ascii="Arial" w:hAnsi="Arial" w:cs="Arial" w:eastAsia="仿宋_GB2312;仿宋"/>
          <w:sz w:val="28"/>
          <w:szCs w:val="28"/>
        </w:rPr>
        <w:t>计算公式</w:t>
      </w:r>
      <w:r>
        <w:rPr>
          <w:rFonts w:ascii="Arial" w:hAnsi="Arial" w:cs="Arial" w:eastAsia="Arial"/>
          <w:sz w:val="28"/>
          <w:szCs w:val="28"/>
        </w:rPr>
        <w:t xml:space="preserve"> </w:t>
      </w:r>
    </w:p>
    <w:p>
      <w:pPr>
        <w:pStyle w:val="Normal"/>
        <w:numPr>
          <w:ilvl w:val="0"/>
          <w:numId w:val="0"/>
        </w:numPr>
        <w:spacing w:lineRule="auto" w:line="360"/>
        <w:ind w:firstLine="700"/>
        <w:jc w:val="both"/>
        <w:outlineLvl w:val="0"/>
        <w:rPr>
          <w:rFonts w:eastAsia="仿宋_GB2312;仿宋"/>
        </w:rPr>
      </w:pPr>
      <w:r>
        <w:rPr>
          <w:rFonts w:ascii="Arial" w:hAnsi="Arial" w:cs="Arial" w:eastAsia="仿宋_GB2312;仿宋"/>
          <w:sz w:val="28"/>
          <w:szCs w:val="28"/>
        </w:rPr>
        <w:t>平房房屋重置成新价以及装修、设备、附属物价值</w:t>
      </w:r>
      <w:r>
        <w:rPr>
          <w:rFonts w:eastAsia="仿宋_GB2312;仿宋" w:cs="Arial" w:ascii="Arial" w:hAnsi="Arial"/>
          <w:sz w:val="28"/>
          <w:szCs w:val="28"/>
        </w:rPr>
        <w:t>={</w:t>
      </w:r>
      <w:r>
        <w:rPr>
          <w:rFonts w:ascii="Arial" w:hAnsi="Arial" w:cs="Arial" w:eastAsia="仿宋_GB2312;仿宋"/>
          <w:sz w:val="28"/>
          <w:szCs w:val="28"/>
        </w:rPr>
        <w:t>〔屋面分数</w:t>
      </w:r>
      <w:r>
        <w:rPr>
          <w:rFonts w:eastAsia="仿宋_GB2312;仿宋" w:cs="Arial" w:ascii="Arial" w:hAnsi="Arial"/>
          <w:sz w:val="28"/>
          <w:szCs w:val="28"/>
        </w:rPr>
        <w:t>+</w:t>
      </w:r>
      <w:r>
        <w:rPr>
          <w:rFonts w:ascii="Arial" w:hAnsi="Arial" w:cs="Arial" w:eastAsia="仿宋_GB2312;仿宋"/>
          <w:sz w:val="28"/>
          <w:szCs w:val="28"/>
        </w:rPr>
        <w:t>屋架分数</w:t>
      </w:r>
      <w:r>
        <w:rPr>
          <w:rFonts w:eastAsia="仿宋_GB2312;仿宋" w:cs="Arial" w:ascii="Arial" w:hAnsi="Arial"/>
          <w:sz w:val="28"/>
          <w:szCs w:val="28"/>
        </w:rPr>
        <w:t>+</w:t>
      </w:r>
      <w:r>
        <w:rPr>
          <w:rFonts w:ascii="Arial" w:hAnsi="Arial" w:cs="Arial" w:eastAsia="仿宋_GB2312;仿宋"/>
          <w:sz w:val="28"/>
          <w:szCs w:val="28"/>
        </w:rPr>
        <w:t>顶棚分数</w:t>
      </w:r>
      <w:r>
        <w:rPr>
          <w:rFonts w:eastAsia="仿宋_GB2312;仿宋" w:cs="Arial" w:ascii="Arial" w:hAnsi="Arial"/>
          <w:sz w:val="28"/>
          <w:szCs w:val="28"/>
        </w:rPr>
        <w:t>+</w:t>
      </w:r>
      <w:r>
        <w:rPr>
          <w:rFonts w:ascii="Arial" w:hAnsi="Arial" w:cs="Arial" w:eastAsia="仿宋_GB2312;仿宋"/>
          <w:sz w:val="28"/>
          <w:szCs w:val="28"/>
        </w:rPr>
        <w:t>地面分数</w:t>
      </w:r>
      <w:r>
        <w:rPr>
          <w:rFonts w:eastAsia="仿宋_GB2312;仿宋" w:cs="Arial" w:ascii="Arial" w:hAnsi="Arial"/>
          <w:sz w:val="28"/>
          <w:szCs w:val="28"/>
        </w:rPr>
        <w:t>+</w:t>
      </w:r>
      <w:r>
        <w:rPr>
          <w:rFonts w:ascii="Arial" w:hAnsi="Arial" w:cs="Arial" w:eastAsia="仿宋_GB2312;仿宋"/>
          <w:sz w:val="28"/>
          <w:szCs w:val="28"/>
        </w:rPr>
        <w:t>（墙身分数</w:t>
      </w:r>
      <w:r>
        <w:rPr>
          <w:rFonts w:eastAsia="仿宋_GB2312;仿宋" w:cs="Arial" w:ascii="Arial" w:hAnsi="Arial"/>
          <w:sz w:val="28"/>
          <w:szCs w:val="28"/>
        </w:rPr>
        <w:t>+</w:t>
      </w:r>
      <w:r>
        <w:rPr>
          <w:rFonts w:ascii="Arial" w:hAnsi="Arial" w:cs="Arial" w:eastAsia="仿宋_GB2312;仿宋"/>
          <w:sz w:val="28"/>
          <w:szCs w:val="28"/>
        </w:rPr>
        <w:t>门窗分数）</w:t>
      </w:r>
      <w:r>
        <w:rPr>
          <w:rFonts w:eastAsia="仿宋_GB2312;仿宋" w:cs="Arial" w:ascii="Arial" w:hAnsi="Arial"/>
          <w:sz w:val="28"/>
          <w:szCs w:val="28"/>
        </w:rPr>
        <w:t>×</w:t>
      </w:r>
      <w:r>
        <w:rPr>
          <w:rFonts w:ascii="Arial" w:hAnsi="Arial" w:cs="Arial" w:eastAsia="仿宋_GB2312;仿宋"/>
          <w:sz w:val="28"/>
          <w:szCs w:val="28"/>
        </w:rPr>
        <w:t>柱高差率〕</w:t>
      </w:r>
      <w:r>
        <w:rPr>
          <w:rFonts w:eastAsia="仿宋_GB2312;仿宋" w:cs="Arial" w:ascii="Arial" w:hAnsi="Arial"/>
          <w:sz w:val="28"/>
          <w:szCs w:val="28"/>
        </w:rPr>
        <w:t>×</w:t>
      </w:r>
      <w:r>
        <w:rPr>
          <w:rFonts w:ascii="Arial" w:hAnsi="Arial" w:cs="Arial" w:eastAsia="仿宋_GB2312;仿宋"/>
          <w:sz w:val="28"/>
          <w:szCs w:val="28"/>
        </w:rPr>
        <w:t>标准间数</w:t>
      </w:r>
      <w:r>
        <w:rPr>
          <w:rFonts w:eastAsia="仿宋_GB2312;仿宋" w:cs="Arial" w:ascii="Arial" w:hAnsi="Arial"/>
          <w:sz w:val="28"/>
          <w:szCs w:val="28"/>
        </w:rPr>
        <w:t>×</w:t>
      </w:r>
      <w:r>
        <w:rPr>
          <w:rFonts w:ascii="Arial" w:hAnsi="Arial" w:cs="Arial" w:eastAsia="仿宋_GB2312;仿宋"/>
          <w:sz w:val="28"/>
          <w:szCs w:val="28"/>
        </w:rPr>
        <w:t>成新折余率</w:t>
      </w:r>
      <w:r>
        <w:rPr>
          <w:rFonts w:eastAsia="仿宋_GB2312;仿宋" w:cs="Arial" w:ascii="Arial" w:hAnsi="Arial"/>
          <w:sz w:val="28"/>
          <w:szCs w:val="28"/>
        </w:rPr>
        <w:t>+</w:t>
      </w:r>
      <w:r>
        <w:rPr>
          <w:rFonts w:ascii="Arial" w:hAnsi="Arial" w:cs="Arial" w:eastAsia="仿宋_GB2312;仿宋"/>
          <w:sz w:val="28"/>
          <w:szCs w:val="28"/>
        </w:rPr>
        <w:t>装修分数</w:t>
      </w:r>
      <w:r>
        <w:rPr>
          <w:rFonts w:eastAsia="仿宋_GB2312;仿宋" w:cs="Arial" w:ascii="Arial" w:hAnsi="Arial"/>
          <w:sz w:val="28"/>
          <w:szCs w:val="28"/>
        </w:rPr>
        <w:t>×</w:t>
      </w:r>
      <w:r>
        <w:rPr>
          <w:rFonts w:ascii="Arial" w:hAnsi="Arial" w:cs="Arial" w:eastAsia="仿宋_GB2312;仿宋"/>
          <w:sz w:val="28"/>
          <w:szCs w:val="28"/>
        </w:rPr>
        <w:t>成新折余率</w:t>
      </w:r>
      <w:r>
        <w:rPr>
          <w:rFonts w:eastAsia="仿宋_GB2312;仿宋" w:cs="Arial" w:ascii="Arial" w:hAnsi="Arial"/>
          <w:sz w:val="28"/>
          <w:szCs w:val="28"/>
        </w:rPr>
        <w:t>+</w:t>
      </w:r>
      <w:r>
        <w:rPr>
          <w:rFonts w:ascii="Arial" w:hAnsi="Arial" w:cs="Arial" w:eastAsia="仿宋_GB2312;仿宋"/>
          <w:sz w:val="28"/>
          <w:szCs w:val="28"/>
        </w:rPr>
        <w:t>设备分数</w:t>
      </w:r>
      <w:r>
        <w:rPr>
          <w:rFonts w:eastAsia="仿宋_GB2312;仿宋" w:cs="Arial" w:ascii="Arial" w:hAnsi="Arial"/>
          <w:sz w:val="28"/>
          <w:szCs w:val="28"/>
        </w:rPr>
        <w:t>×</w:t>
      </w:r>
      <w:r>
        <w:rPr>
          <w:rFonts w:ascii="Arial" w:hAnsi="Arial" w:cs="Arial" w:eastAsia="仿宋_GB2312;仿宋"/>
          <w:sz w:val="28"/>
          <w:szCs w:val="28"/>
        </w:rPr>
        <w:t>成新折余率</w:t>
      </w:r>
      <w:r>
        <w:rPr>
          <w:rFonts w:eastAsia="仿宋_GB2312;仿宋" w:cs="Arial" w:ascii="Arial" w:hAnsi="Arial"/>
          <w:sz w:val="28"/>
          <w:szCs w:val="28"/>
        </w:rPr>
        <w:t>+</w:t>
      </w:r>
      <w:r>
        <w:rPr>
          <w:rFonts w:ascii="Arial" w:hAnsi="Arial" w:cs="Arial" w:eastAsia="仿宋_GB2312;仿宋"/>
          <w:sz w:val="28"/>
          <w:szCs w:val="28"/>
        </w:rPr>
        <w:t>附属物分数</w:t>
      </w:r>
      <w:r>
        <w:rPr>
          <w:rFonts w:eastAsia="仿宋_GB2312;仿宋" w:cs="Arial" w:ascii="Arial" w:hAnsi="Arial"/>
          <w:sz w:val="28"/>
          <w:szCs w:val="28"/>
        </w:rPr>
        <w:t>×</w:t>
      </w:r>
      <w:r>
        <w:rPr>
          <w:rFonts w:ascii="Arial" w:hAnsi="Arial" w:cs="Arial" w:eastAsia="仿宋_GB2312;仿宋"/>
          <w:sz w:val="28"/>
          <w:szCs w:val="28"/>
        </w:rPr>
        <w:t>成新折余率</w:t>
      </w:r>
      <w:r>
        <w:rPr>
          <w:rFonts w:eastAsia="仿宋_GB2312;仿宋" w:cs="Arial" w:ascii="Arial" w:hAnsi="Arial"/>
          <w:sz w:val="28"/>
          <w:szCs w:val="28"/>
        </w:rPr>
        <w:t>}×</w:t>
      </w:r>
      <w:r>
        <w:rPr>
          <w:rFonts w:ascii="Arial" w:hAnsi="Arial" w:cs="Arial" w:eastAsia="仿宋_GB2312;仿宋"/>
          <w:sz w:val="28"/>
          <w:szCs w:val="28"/>
        </w:rPr>
        <w:t>基本分值</w:t>
      </w:r>
      <w:r>
        <w:rPr>
          <w:rFonts w:eastAsia="仿宋_GB2312;仿宋" w:cs="Arial" w:ascii="Arial" w:hAnsi="Arial"/>
          <w:sz w:val="28"/>
          <w:szCs w:val="28"/>
        </w:rPr>
        <w:t>×</w:t>
      </w:r>
      <w:r>
        <w:rPr>
          <w:rFonts w:ascii="Arial" w:hAnsi="Arial" w:cs="Arial" w:eastAsia="仿宋_GB2312;仿宋"/>
          <w:sz w:val="28"/>
          <w:szCs w:val="28"/>
        </w:rPr>
        <w:t>分值调整系数</w:t>
      </w:r>
      <w:r>
        <w:rPr>
          <w:rFonts w:eastAsia="仿宋_GB2312;仿宋" w:cs="Arial" w:ascii="Arial" w:hAnsi="Arial"/>
          <w:sz w:val="28"/>
          <w:szCs w:val="28"/>
        </w:rPr>
        <w:t>+</w:t>
      </w:r>
      <w:r>
        <w:rPr>
          <w:rFonts w:ascii="Arial" w:hAnsi="Arial" w:cs="Arial" w:eastAsia="仿宋_GB2312;仿宋"/>
          <w:sz w:val="28"/>
          <w:szCs w:val="28"/>
        </w:rPr>
        <w:t>附属物据实</w:t>
      </w:r>
      <w:r>
        <w:rPr>
          <w:rFonts w:ascii="Arial" w:hAnsi="Arial" w:cs="Arial" w:eastAsia="仿宋_GB2312;仿宋"/>
          <w:sz w:val="28"/>
          <w:szCs w:val="28"/>
        </w:rPr>
        <w:t>估算</w:t>
      </w:r>
      <w:r>
        <w:rPr>
          <w:rFonts w:ascii="Arial" w:hAnsi="Arial" w:cs="Arial" w:eastAsia="仿宋_GB2312;仿宋"/>
          <w:sz w:val="28"/>
          <w:szCs w:val="28"/>
        </w:rPr>
        <w:t>。</w:t>
      </w:r>
      <w:r>
        <w:rPr>
          <w:rFonts w:ascii="Arial" w:hAnsi="Arial" w:cs="Arial" w:eastAsia="Arial"/>
          <w:sz w:val="28"/>
          <w:szCs w:val="28"/>
        </w:rPr>
        <w:t xml:space="preserve"> </w:t>
      </w:r>
    </w:p>
    <w:p>
      <w:pPr>
        <w:pStyle w:val="Normal"/>
        <w:numPr>
          <w:ilvl w:val="0"/>
          <w:numId w:val="0"/>
        </w:numPr>
        <w:spacing w:lineRule="auto" w:line="360"/>
        <w:ind w:firstLine="560"/>
        <w:jc w:val="both"/>
        <w:outlineLvl w:val="0"/>
        <w:rPr>
          <w:rFonts w:ascii="Arial" w:hAnsi="Arial" w:eastAsia="仿宋_GB2312;仿宋" w:cs="Arial"/>
          <w:sz w:val="28"/>
          <w:szCs w:val="28"/>
        </w:rPr>
      </w:pPr>
      <w:r>
        <w:rPr>
          <w:rFonts w:ascii="Arial" w:hAnsi="Arial" w:cs="Arial" w:eastAsia="仿宋_GB2312;仿宋"/>
          <w:sz w:val="28"/>
          <w:szCs w:val="28"/>
        </w:rPr>
        <w:t>成新折余率的确定：砖木结构平房按《砖木结构房屋成新评定说明》和《房屋成新折余率表》执行；砖混结构平房按《砖混结构房屋成新评定说明》和《房屋成新折余率表》执行；在房屋各部件计分表附记栏中另有规定的，依其规定。</w:t>
      </w:r>
      <w:r>
        <w:rPr>
          <w:rFonts w:ascii="Arial" w:hAnsi="Arial" w:cs="Arial" w:eastAsia="Arial"/>
          <w:sz w:val="28"/>
          <w:szCs w:val="28"/>
        </w:rPr>
        <w:t xml:space="preserve"> </w:t>
      </w:r>
    </w:p>
    <w:p>
      <w:pPr>
        <w:pStyle w:val="Normal"/>
        <w:numPr>
          <w:ilvl w:val="0"/>
          <w:numId w:val="0"/>
        </w:numPr>
        <w:spacing w:lineRule="auto" w:line="360"/>
        <w:ind w:firstLine="560"/>
        <w:jc w:val="both"/>
        <w:outlineLvl w:val="0"/>
        <w:rPr>
          <w:rFonts w:eastAsia="仿宋_GB2312;仿宋"/>
        </w:rPr>
      </w:pPr>
      <w:r>
        <w:rPr>
          <w:rFonts w:ascii="Arial" w:hAnsi="Arial" w:cs="Arial" w:eastAsia="仿宋_GB2312;仿宋"/>
          <w:sz w:val="28"/>
          <w:szCs w:val="28"/>
        </w:rPr>
        <w:t>（</w:t>
      </w:r>
      <w:r>
        <w:rPr>
          <w:rFonts w:eastAsia="仿宋_GB2312;仿宋" w:cs="Arial" w:ascii="Arial" w:hAnsi="Arial"/>
          <w:sz w:val="28"/>
          <w:szCs w:val="28"/>
        </w:rPr>
        <w:t>2</w:t>
      </w:r>
      <w:r>
        <w:rPr>
          <w:rFonts w:ascii="Arial" w:hAnsi="Arial" w:cs="Arial" w:eastAsia="仿宋_GB2312;仿宋"/>
          <w:sz w:val="28"/>
          <w:szCs w:val="28"/>
        </w:rPr>
        <w:t>）楼房评估</w:t>
      </w:r>
      <w:r>
        <w:rPr>
          <w:rFonts w:ascii="Arial" w:hAnsi="Arial" w:cs="Arial" w:eastAsia="Arial"/>
          <w:sz w:val="28"/>
          <w:szCs w:val="28"/>
        </w:rPr>
        <w:t xml:space="preserve"> </w:t>
      </w:r>
    </w:p>
    <w:p>
      <w:pPr>
        <w:pStyle w:val="Normal"/>
        <w:numPr>
          <w:ilvl w:val="0"/>
          <w:numId w:val="0"/>
        </w:numPr>
        <w:spacing w:lineRule="auto" w:line="360"/>
        <w:ind w:firstLine="560"/>
        <w:jc w:val="both"/>
        <w:outlineLvl w:val="0"/>
        <w:rPr>
          <w:rFonts w:eastAsia="仿宋_GB2312;仿宋"/>
        </w:rPr>
      </w:pPr>
      <w:r>
        <w:rPr>
          <w:rFonts w:ascii="宋体;SimSun" w:hAnsi="宋体;SimSun" w:cs="宋体;SimSun"/>
          <w:sz w:val="28"/>
          <w:szCs w:val="28"/>
        </w:rPr>
        <w:t>①</w:t>
      </w:r>
      <w:r>
        <w:rPr>
          <w:rFonts w:ascii="Arial" w:hAnsi="Arial" w:cs="Arial" w:eastAsia="Arial"/>
          <w:sz w:val="28"/>
          <w:szCs w:val="28"/>
        </w:rPr>
        <w:t xml:space="preserve"> </w:t>
      </w:r>
      <w:r>
        <w:rPr>
          <w:rFonts w:ascii="Arial" w:hAnsi="Arial" w:cs="Arial" w:eastAsia="仿宋_GB2312;仿宋"/>
          <w:sz w:val="28"/>
          <w:szCs w:val="28"/>
        </w:rPr>
        <w:t>楼房认定标准</w:t>
      </w:r>
      <w:r>
        <w:rPr>
          <w:rFonts w:ascii="Arial" w:hAnsi="Arial" w:cs="Arial" w:eastAsia="Arial"/>
          <w:sz w:val="28"/>
          <w:szCs w:val="28"/>
        </w:rPr>
        <w:t xml:space="preserve"> </w:t>
      </w:r>
    </w:p>
    <w:p>
      <w:pPr>
        <w:pStyle w:val="Normal"/>
        <w:numPr>
          <w:ilvl w:val="0"/>
          <w:numId w:val="0"/>
        </w:numPr>
        <w:spacing w:lineRule="auto" w:line="360"/>
        <w:ind w:firstLine="560"/>
        <w:jc w:val="both"/>
        <w:outlineLvl w:val="0"/>
        <w:rPr>
          <w:rFonts w:eastAsia="仿宋_GB2312;仿宋"/>
        </w:rPr>
      </w:pPr>
      <w:r>
        <w:rPr>
          <w:rFonts w:ascii="Arial" w:hAnsi="Arial" w:cs="Arial" w:eastAsia="仿宋_GB2312;仿宋"/>
          <w:sz w:val="28"/>
          <w:szCs w:val="28"/>
        </w:rPr>
        <w:t>指两层或两层以上的房屋。此处不包含中式楼房。</w:t>
      </w:r>
      <w:r>
        <w:rPr>
          <w:rFonts w:ascii="Arial" w:hAnsi="Arial" w:cs="Arial" w:eastAsia="Arial"/>
          <w:sz w:val="28"/>
          <w:szCs w:val="28"/>
        </w:rPr>
        <w:t xml:space="preserve"> </w:t>
      </w:r>
    </w:p>
    <w:p>
      <w:pPr>
        <w:pStyle w:val="Normal"/>
        <w:numPr>
          <w:ilvl w:val="0"/>
          <w:numId w:val="0"/>
        </w:numPr>
        <w:spacing w:lineRule="auto" w:line="360"/>
        <w:ind w:firstLine="560"/>
        <w:jc w:val="both"/>
        <w:outlineLvl w:val="0"/>
        <w:rPr>
          <w:rFonts w:eastAsia="仿宋_GB2312;仿宋"/>
        </w:rPr>
      </w:pPr>
      <w:r>
        <w:rPr>
          <w:rFonts w:ascii="宋体;SimSun" w:hAnsi="宋体;SimSun" w:cs="宋体;SimSun"/>
          <w:sz w:val="28"/>
          <w:szCs w:val="28"/>
        </w:rPr>
        <w:t>②</w:t>
      </w:r>
      <w:r>
        <w:rPr>
          <w:rFonts w:ascii="Arial" w:hAnsi="Arial" w:cs="Arial" w:eastAsia="Arial"/>
          <w:sz w:val="28"/>
          <w:szCs w:val="28"/>
        </w:rPr>
        <w:t xml:space="preserve"> </w:t>
      </w:r>
      <w:r>
        <w:rPr>
          <w:rFonts w:ascii="Arial" w:hAnsi="Arial" w:cs="Arial" w:eastAsia="仿宋_GB2312;仿宋"/>
          <w:sz w:val="28"/>
          <w:szCs w:val="28"/>
        </w:rPr>
        <w:t>计算公式</w:t>
      </w:r>
      <w:r>
        <w:rPr>
          <w:rFonts w:ascii="Arial" w:hAnsi="Arial" w:cs="Arial" w:eastAsia="Arial"/>
          <w:sz w:val="28"/>
          <w:szCs w:val="28"/>
        </w:rPr>
        <w:t xml:space="preserve"> </w:t>
      </w:r>
    </w:p>
    <w:p>
      <w:pPr>
        <w:pStyle w:val="Normal"/>
        <w:numPr>
          <w:ilvl w:val="0"/>
          <w:numId w:val="0"/>
        </w:numPr>
        <w:spacing w:lineRule="auto" w:line="360"/>
        <w:ind w:firstLine="560"/>
        <w:jc w:val="both"/>
        <w:outlineLvl w:val="0"/>
        <w:rPr>
          <w:rFonts w:ascii="Arial" w:hAnsi="Arial" w:eastAsia="仿宋_GB2312;仿宋" w:cs="Arial"/>
          <w:sz w:val="28"/>
          <w:szCs w:val="28"/>
        </w:rPr>
      </w:pPr>
      <w:r>
        <w:rPr>
          <w:rFonts w:ascii="Arial" w:hAnsi="Arial" w:cs="Arial" w:eastAsia="仿宋_GB2312;仿宋"/>
          <w:sz w:val="28"/>
          <w:szCs w:val="28"/>
        </w:rPr>
        <w:t>楼房重置成新价</w:t>
      </w:r>
      <w:r>
        <w:rPr>
          <w:rFonts w:eastAsia="仿宋_GB2312;仿宋" w:cs="Arial" w:ascii="Arial" w:hAnsi="Arial"/>
          <w:sz w:val="28"/>
          <w:szCs w:val="28"/>
        </w:rPr>
        <w:t>=</w:t>
      </w:r>
      <w:r>
        <w:rPr>
          <w:rFonts w:ascii="Arial" w:hAnsi="Arial" w:cs="Arial" w:eastAsia="仿宋_GB2312;仿宋"/>
          <w:sz w:val="28"/>
          <w:szCs w:val="28"/>
        </w:rPr>
        <w:t>（楼房基本价格</w:t>
      </w:r>
      <w:r>
        <w:rPr>
          <w:rFonts w:eastAsia="仿宋_GB2312;仿宋" w:cs="Arial" w:ascii="Arial" w:hAnsi="Arial"/>
          <w:sz w:val="28"/>
          <w:szCs w:val="28"/>
        </w:rPr>
        <w:t>+Σ</w:t>
      </w:r>
      <w:r>
        <w:rPr>
          <w:rFonts w:ascii="Arial" w:hAnsi="Arial" w:cs="Arial" w:eastAsia="仿宋_GB2312;仿宋"/>
          <w:sz w:val="28"/>
          <w:szCs w:val="28"/>
        </w:rPr>
        <w:t>楼房专业价格调整）</w:t>
      </w:r>
      <w:r>
        <w:rPr>
          <w:rFonts w:eastAsia="仿宋_GB2312;仿宋" w:cs="Arial" w:ascii="Arial" w:hAnsi="Arial"/>
          <w:sz w:val="28"/>
          <w:szCs w:val="28"/>
        </w:rPr>
        <w:t>×</w:t>
      </w:r>
      <w:r>
        <w:rPr>
          <w:rFonts w:ascii="Arial" w:hAnsi="Arial" w:cs="Arial" w:eastAsia="仿宋_GB2312;仿宋"/>
          <w:sz w:val="28"/>
          <w:szCs w:val="28"/>
        </w:rPr>
        <w:t>楼房折余率</w:t>
      </w:r>
      <w:r>
        <w:rPr>
          <w:rFonts w:eastAsia="仿宋_GB2312;仿宋" w:cs="Arial" w:ascii="Arial" w:hAnsi="Arial"/>
          <w:sz w:val="28"/>
          <w:szCs w:val="28"/>
        </w:rPr>
        <w:t>×</w:t>
      </w:r>
      <w:r>
        <w:rPr>
          <w:rFonts w:ascii="Arial" w:hAnsi="Arial" w:cs="Arial" w:eastAsia="仿宋_GB2312;仿宋"/>
          <w:sz w:val="28"/>
          <w:szCs w:val="28"/>
        </w:rPr>
        <w:t>楼房基本价格调整系数</w:t>
      </w:r>
      <w:r>
        <w:rPr>
          <w:rFonts w:eastAsia="仿宋_GB2312;仿宋" w:cs="Arial" w:ascii="Arial" w:hAnsi="Arial"/>
          <w:sz w:val="28"/>
          <w:szCs w:val="28"/>
        </w:rPr>
        <w:t>×</w:t>
      </w:r>
      <w:r>
        <w:rPr>
          <w:rFonts w:ascii="Arial" w:hAnsi="Arial" w:cs="Arial" w:eastAsia="仿宋_GB2312;仿宋"/>
          <w:sz w:val="28"/>
          <w:szCs w:val="28"/>
        </w:rPr>
        <w:t>建筑面积</w:t>
      </w:r>
      <w:r>
        <w:rPr>
          <w:rFonts w:eastAsia="仿宋_GB2312;仿宋" w:cs="Arial" w:ascii="Arial" w:hAnsi="Arial"/>
          <w:sz w:val="28"/>
          <w:szCs w:val="28"/>
        </w:rPr>
        <w:t>+</w:t>
      </w:r>
      <w:r>
        <w:rPr>
          <w:rFonts w:ascii="Arial" w:hAnsi="Arial" w:cs="Arial" w:eastAsia="仿宋_GB2312;仿宋"/>
          <w:sz w:val="28"/>
          <w:szCs w:val="28"/>
        </w:rPr>
        <w:t>装修及附属物重置成新价。</w:t>
      </w:r>
      <w:r>
        <w:rPr>
          <w:rFonts w:ascii="Arial" w:hAnsi="Arial" w:cs="Arial" w:eastAsia="Arial"/>
          <w:sz w:val="28"/>
          <w:szCs w:val="28"/>
        </w:rPr>
        <w:t xml:space="preserve"> </w:t>
      </w:r>
    </w:p>
    <w:p>
      <w:pPr>
        <w:pStyle w:val="Normal"/>
        <w:numPr>
          <w:ilvl w:val="0"/>
          <w:numId w:val="0"/>
        </w:numPr>
        <w:spacing w:lineRule="auto" w:line="360"/>
        <w:ind w:firstLine="560"/>
        <w:jc w:val="both"/>
        <w:outlineLvl w:val="0"/>
        <w:rPr>
          <w:rFonts w:eastAsia="仿宋_GB2312;仿宋"/>
        </w:rPr>
      </w:pPr>
      <w:r>
        <w:rPr>
          <w:rFonts w:ascii="Arial" w:hAnsi="Arial" w:cs="Arial" w:eastAsia="仿宋_GB2312;仿宋"/>
          <w:sz w:val="28"/>
          <w:szCs w:val="28"/>
        </w:rPr>
        <w:t>楼房基本价格调整系数统一为</w:t>
      </w:r>
      <w:r>
        <w:rPr>
          <w:rFonts w:eastAsia="仿宋_GB2312;仿宋" w:cs="Arial" w:ascii="Arial" w:hAnsi="Arial"/>
          <w:sz w:val="28"/>
          <w:szCs w:val="28"/>
        </w:rPr>
        <w:t>1.2310</w:t>
      </w:r>
      <w:r>
        <w:rPr>
          <w:rFonts w:ascii="Arial" w:hAnsi="Arial" w:cs="Arial" w:eastAsia="仿宋_GB2312;仿宋"/>
          <w:sz w:val="28"/>
          <w:szCs w:val="28"/>
        </w:rPr>
        <w:t>。</w:t>
      </w:r>
      <w:r>
        <w:rPr>
          <w:rFonts w:ascii="Arial" w:hAnsi="Arial" w:cs="Arial" w:eastAsia="Arial"/>
          <w:sz w:val="28"/>
          <w:szCs w:val="28"/>
        </w:rPr>
        <w:t xml:space="preserve"> </w:t>
      </w:r>
    </w:p>
    <w:p>
      <w:pPr>
        <w:pStyle w:val="Normal"/>
        <w:numPr>
          <w:ilvl w:val="0"/>
          <w:numId w:val="0"/>
        </w:numPr>
        <w:spacing w:lineRule="auto" w:line="360"/>
        <w:ind w:firstLine="560"/>
        <w:jc w:val="both"/>
        <w:outlineLvl w:val="0"/>
        <w:rPr>
          <w:rFonts w:ascii="Arial" w:hAnsi="Arial" w:eastAsia="仿宋_GB2312;仿宋" w:cs="Arial"/>
          <w:sz w:val="28"/>
          <w:szCs w:val="28"/>
        </w:rPr>
      </w:pPr>
      <w:r>
        <w:rPr>
          <w:rFonts w:ascii="Arial" w:hAnsi="Arial" w:cs="Arial" w:eastAsia="仿宋_GB2312;仿宋"/>
          <w:sz w:val="28"/>
          <w:szCs w:val="28"/>
        </w:rPr>
        <w:t>楼房折余率依据楼房成新评定说明和楼房直线折旧参数说明表，取直接观察法和直线折旧法的加权算术平均值作为楼房折余率。其中</w:t>
      </w:r>
      <w:r>
        <w:rPr>
          <w:rFonts w:eastAsia="仿宋_GB2312;仿宋" w:cs="Arial" w:ascii="Arial" w:hAnsi="Arial"/>
          <w:sz w:val="28"/>
          <w:szCs w:val="28"/>
        </w:rPr>
        <w:t>:</w:t>
      </w:r>
      <w:r>
        <w:rPr>
          <w:rFonts w:ascii="Arial" w:hAnsi="Arial" w:cs="Arial" w:eastAsia="仿宋_GB2312;仿宋"/>
          <w:sz w:val="28"/>
          <w:szCs w:val="28"/>
        </w:rPr>
        <w:t>直线折旧法的权重不低于</w:t>
      </w:r>
      <w:r>
        <w:rPr>
          <w:rFonts w:eastAsia="仿宋_GB2312;仿宋" w:cs="Arial" w:ascii="Arial" w:hAnsi="Arial"/>
          <w:sz w:val="28"/>
          <w:szCs w:val="28"/>
        </w:rPr>
        <w:t>20%</w:t>
      </w:r>
      <w:r>
        <w:rPr>
          <w:rFonts w:ascii="Arial" w:hAnsi="Arial" w:cs="Arial" w:eastAsia="仿宋_GB2312;仿宋"/>
          <w:sz w:val="28"/>
          <w:szCs w:val="28"/>
        </w:rPr>
        <w:t>。</w:t>
      </w:r>
      <w:r>
        <w:rPr>
          <w:rFonts w:ascii="Arial" w:hAnsi="Arial" w:cs="Arial" w:eastAsia="Arial"/>
          <w:sz w:val="28"/>
          <w:szCs w:val="28"/>
        </w:rPr>
        <w:t xml:space="preserve"> </w:t>
      </w:r>
    </w:p>
    <w:p>
      <w:pPr>
        <w:pStyle w:val="Normal"/>
        <w:overflowPunct w:val="false"/>
        <w:spacing w:lineRule="auto" w:line="360"/>
        <w:ind w:firstLine="560"/>
        <w:jc w:val="both"/>
        <w:rPr/>
      </w:pPr>
      <w:r>
        <w:rPr>
          <w:rFonts w:ascii="Arial" w:hAnsi="Arial" w:cs="Arial" w:eastAsia="仿宋_GB2312;仿宋"/>
          <w:sz w:val="28"/>
          <w:szCs w:val="28"/>
        </w:rPr>
        <w:t>根据评估专业人员实地查勘，估价对象围护墙较完好；地面、墙面较平整、部分空置工业用房地面略有起伏；除部分门窗无法开启外、其余开启关闭较灵活；内外墙面面层涂料部分有剥落，设备、管道通畅，水卫、电照设备基本完好，维护情况一般，观察成新率为</w:t>
      </w:r>
      <w:r>
        <w:rPr>
          <w:rFonts w:eastAsia="仿宋_GB2312;仿宋" w:cs="Arial" w:ascii="Arial" w:hAnsi="Arial"/>
          <w:sz w:val="28"/>
          <w:szCs w:val="28"/>
        </w:rPr>
        <w:t>70</w:t>
      </w:r>
      <w:r>
        <w:rPr>
          <w:rFonts w:eastAsia="仿宋_GB2312;仿宋" w:cs="Arial" w:ascii="Arial" w:hAnsi="Arial"/>
          <w:sz w:val="28"/>
          <w:szCs w:val="28"/>
        </w:rPr>
        <w:t>%</w:t>
      </w:r>
      <w:r>
        <w:rPr>
          <w:rFonts w:ascii="Arial" w:hAnsi="Arial" w:cs="Arial" w:eastAsia="仿宋_GB2312;仿宋"/>
          <w:sz w:val="28"/>
          <w:szCs w:val="28"/>
        </w:rPr>
        <w:t>；另外，结合估价对象的建成年代、建筑结构，采用直线折旧法计算估价对象的计算成新度为：</w:t>
      </w:r>
    </w:p>
    <w:p>
      <w:pPr>
        <w:pStyle w:val="Normal"/>
        <w:overflowPunct w:val="false"/>
        <w:spacing w:lineRule="auto" w:line="360"/>
        <w:ind w:firstLine="560"/>
        <w:jc w:val="both"/>
        <w:rPr>
          <w:rFonts w:ascii="Arial" w:hAnsi="Arial" w:eastAsia="仿宋_GB2312;仿宋" w:cs="Arial"/>
          <w:sz w:val="28"/>
          <w:szCs w:val="28"/>
        </w:rPr>
      </w:pPr>
      <w:r>
        <w:rPr>
          <w:rFonts w:eastAsia="仿宋_GB2312;仿宋" w:cs="Arial" w:ascii="Arial" w:hAnsi="Arial"/>
          <w:sz w:val="28"/>
          <w:szCs w:val="28"/>
        </w:rPr>
        <w:t>2</w:t>
      </w:r>
      <w:r>
        <w:rPr>
          <w:rFonts w:eastAsia="仿宋_GB2312;仿宋" w:cs="Arial" w:ascii="Arial" w:hAnsi="Arial"/>
          <w:sz w:val="28"/>
          <w:szCs w:val="28"/>
        </w:rPr>
        <w:t>5</w:t>
      </w:r>
      <w:r>
        <w:rPr>
          <w:rFonts w:ascii="Arial" w:hAnsi="Arial" w:cs="Arial" w:eastAsia="仿宋_GB2312;仿宋"/>
          <w:sz w:val="28"/>
          <w:szCs w:val="28"/>
        </w:rPr>
        <w:t>号房</w:t>
      </w:r>
      <w:r>
        <w:rPr>
          <w:rFonts w:ascii="Arial" w:hAnsi="Arial" w:cs="Arial" w:eastAsia="仿宋_GB2312;仿宋"/>
          <w:sz w:val="28"/>
          <w:szCs w:val="28"/>
        </w:rPr>
        <w:t>成新度＝</w:t>
      </w:r>
      <w:r>
        <w:rPr>
          <w:rFonts w:eastAsia="仿宋_GB2312;仿宋" w:cs="Arial" w:ascii="Arial" w:hAnsi="Arial"/>
          <w:sz w:val="28"/>
          <w:szCs w:val="28"/>
        </w:rPr>
        <w:t>1-</w:t>
      </w:r>
      <w:r>
        <w:rPr>
          <w:rFonts w:ascii="Arial" w:hAnsi="Arial" w:cs="Arial" w:eastAsia="仿宋_GB2312;仿宋"/>
          <w:sz w:val="28"/>
          <w:szCs w:val="28"/>
        </w:rPr>
        <w:t>（</w:t>
      </w:r>
      <w:r>
        <w:rPr>
          <w:rFonts w:eastAsia="仿宋_GB2312;仿宋" w:cs="Arial" w:ascii="Arial" w:hAnsi="Arial"/>
          <w:sz w:val="28"/>
          <w:szCs w:val="28"/>
        </w:rPr>
        <w:t>1-</w:t>
      </w:r>
      <w:r>
        <w:rPr>
          <w:rFonts w:ascii="Arial" w:hAnsi="Arial" w:cs="Arial" w:eastAsia="仿宋_GB2312;仿宋"/>
          <w:sz w:val="28"/>
          <w:szCs w:val="28"/>
        </w:rPr>
        <w:t>残值率）</w:t>
      </w:r>
      <w:r>
        <w:rPr>
          <w:rFonts w:eastAsia="仿宋_GB2312;仿宋" w:cs="Arial" w:ascii="Arial" w:hAnsi="Arial"/>
          <w:sz w:val="28"/>
          <w:szCs w:val="28"/>
        </w:rPr>
        <w:t>×</w:t>
      </w:r>
      <w:r>
        <w:rPr>
          <w:rFonts w:ascii="Arial" w:hAnsi="Arial" w:cs="Arial" w:eastAsia="仿宋_GB2312;仿宋"/>
          <w:sz w:val="28"/>
          <w:szCs w:val="28"/>
        </w:rPr>
        <w:t>已经使用年限</w:t>
      </w:r>
      <w:r>
        <w:rPr>
          <w:rFonts w:eastAsia="仿宋_GB2312;仿宋" w:cs="Arial" w:ascii="Arial" w:hAnsi="Arial"/>
          <w:sz w:val="28"/>
          <w:szCs w:val="28"/>
        </w:rPr>
        <w:t>÷</w:t>
      </w:r>
      <w:r>
        <w:rPr>
          <w:rFonts w:ascii="Arial" w:hAnsi="Arial" w:cs="Arial" w:eastAsia="仿宋_GB2312;仿宋"/>
          <w:sz w:val="28"/>
          <w:szCs w:val="28"/>
        </w:rPr>
        <w:t>经济耐用年限＝</w:t>
      </w:r>
      <w:r>
        <w:rPr>
          <w:rFonts w:eastAsia="仿宋_GB2312;仿宋" w:cs="Arial" w:ascii="Arial" w:hAnsi="Arial"/>
          <w:sz w:val="28"/>
          <w:szCs w:val="28"/>
        </w:rPr>
        <w:t>1-</w:t>
      </w:r>
      <w:r>
        <w:rPr>
          <w:rFonts w:ascii="Arial" w:hAnsi="Arial" w:cs="Arial" w:eastAsia="仿宋_GB2312;仿宋"/>
          <w:sz w:val="28"/>
          <w:szCs w:val="28"/>
        </w:rPr>
        <w:t>（</w:t>
      </w:r>
      <w:r>
        <w:rPr>
          <w:rFonts w:eastAsia="仿宋_GB2312;仿宋" w:cs="Arial" w:ascii="Arial" w:hAnsi="Arial"/>
          <w:sz w:val="28"/>
          <w:szCs w:val="28"/>
        </w:rPr>
        <w:t xml:space="preserve">1- </w:t>
      </w:r>
      <w:r>
        <w:rPr>
          <w:rFonts w:eastAsia="仿宋_GB2312;仿宋" w:cs="Arial" w:ascii="Arial" w:hAnsi="Arial"/>
          <w:sz w:val="28"/>
          <w:szCs w:val="28"/>
        </w:rPr>
        <w:t>2</w:t>
      </w:r>
      <w:r>
        <w:rPr>
          <w:rFonts w:eastAsia="仿宋_GB2312;仿宋" w:cs="Arial" w:ascii="Arial" w:hAnsi="Arial"/>
          <w:sz w:val="28"/>
          <w:szCs w:val="28"/>
        </w:rPr>
        <w:t>%</w:t>
      </w:r>
      <w:r>
        <w:rPr>
          <w:rFonts w:ascii="Arial" w:hAnsi="Arial" w:cs="Arial" w:eastAsia="仿宋_GB2312;仿宋"/>
          <w:sz w:val="28"/>
          <w:szCs w:val="28"/>
        </w:rPr>
        <w:t>）</w:t>
      </w:r>
      <w:r>
        <w:rPr>
          <w:rFonts w:eastAsia="仿宋_GB2312;仿宋" w:cs="Arial" w:ascii="Arial" w:hAnsi="Arial"/>
          <w:sz w:val="28"/>
          <w:szCs w:val="28"/>
        </w:rPr>
        <w:t>×</w:t>
      </w:r>
      <w:r>
        <w:rPr>
          <w:rFonts w:eastAsia="仿宋_GB2312;仿宋" w:cs="Arial" w:ascii="Arial" w:hAnsi="Arial"/>
          <w:sz w:val="28"/>
          <w:szCs w:val="28"/>
        </w:rPr>
        <w:t>36</w:t>
      </w:r>
      <w:r>
        <w:rPr>
          <w:rFonts w:eastAsia="仿宋_GB2312;仿宋" w:cs="Arial" w:ascii="Arial" w:hAnsi="Arial"/>
          <w:sz w:val="28"/>
          <w:szCs w:val="28"/>
        </w:rPr>
        <w:t>÷</w:t>
      </w:r>
      <w:r>
        <w:rPr>
          <w:rFonts w:eastAsia="仿宋_GB2312;仿宋" w:cs="Arial" w:ascii="Arial" w:hAnsi="Arial"/>
          <w:sz w:val="28"/>
          <w:szCs w:val="28"/>
        </w:rPr>
        <w:t>40</w:t>
      </w:r>
      <w:r>
        <w:rPr>
          <w:rFonts w:ascii="Arial" w:hAnsi="Arial" w:cs="Arial" w:eastAsia="仿宋_GB2312;仿宋"/>
          <w:sz w:val="28"/>
          <w:szCs w:val="28"/>
        </w:rPr>
        <w:t>＝</w:t>
      </w:r>
      <w:r>
        <w:rPr>
          <w:rFonts w:eastAsia="仿宋_GB2312;仿宋" w:cs="Arial" w:ascii="Arial" w:hAnsi="Arial"/>
          <w:sz w:val="28"/>
          <w:szCs w:val="28"/>
        </w:rPr>
        <w:t>12</w:t>
      </w:r>
      <w:r>
        <w:rPr>
          <w:rFonts w:eastAsia="仿宋_GB2312;仿宋" w:cs="Arial" w:ascii="Arial" w:hAnsi="Arial"/>
          <w:sz w:val="28"/>
          <w:szCs w:val="28"/>
        </w:rPr>
        <w:t>%</w:t>
      </w:r>
    </w:p>
    <w:p>
      <w:pPr>
        <w:pStyle w:val="Normal"/>
        <w:overflowPunct w:val="false"/>
        <w:spacing w:lineRule="auto" w:line="360"/>
        <w:ind w:firstLine="560"/>
        <w:jc w:val="both"/>
        <w:rPr>
          <w:rFonts w:ascii="Arial" w:hAnsi="Arial" w:eastAsia="仿宋_GB2312;仿宋" w:cs="Arial"/>
          <w:sz w:val="28"/>
          <w:szCs w:val="28"/>
        </w:rPr>
      </w:pPr>
      <w:r>
        <w:rPr>
          <w:rFonts w:eastAsia="仿宋_GB2312;仿宋" w:cs="Arial" w:ascii="Arial" w:hAnsi="Arial"/>
          <w:sz w:val="28"/>
          <w:szCs w:val="28"/>
        </w:rPr>
        <w:t>2</w:t>
      </w:r>
      <w:r>
        <w:rPr>
          <w:rFonts w:eastAsia="仿宋_GB2312;仿宋" w:cs="Arial" w:ascii="Arial" w:hAnsi="Arial"/>
          <w:sz w:val="28"/>
          <w:szCs w:val="28"/>
        </w:rPr>
        <w:t>6</w:t>
      </w:r>
      <w:r>
        <w:rPr>
          <w:rFonts w:ascii="Arial" w:hAnsi="Arial" w:cs="Arial" w:eastAsia="仿宋_GB2312;仿宋"/>
          <w:sz w:val="28"/>
          <w:szCs w:val="28"/>
        </w:rPr>
        <w:t>号房</w:t>
      </w:r>
      <w:r>
        <w:rPr>
          <w:rFonts w:ascii="Arial" w:hAnsi="Arial" w:cs="Arial" w:eastAsia="仿宋_GB2312;仿宋"/>
          <w:sz w:val="28"/>
          <w:szCs w:val="28"/>
        </w:rPr>
        <w:t>成新度＝</w:t>
      </w:r>
      <w:r>
        <w:rPr>
          <w:rFonts w:eastAsia="仿宋_GB2312;仿宋" w:cs="Arial" w:ascii="Arial" w:hAnsi="Arial"/>
          <w:sz w:val="28"/>
          <w:szCs w:val="28"/>
        </w:rPr>
        <w:t>1-</w:t>
      </w:r>
      <w:r>
        <w:rPr>
          <w:rFonts w:ascii="Arial" w:hAnsi="Arial" w:cs="Arial" w:eastAsia="仿宋_GB2312;仿宋"/>
          <w:sz w:val="28"/>
          <w:szCs w:val="28"/>
        </w:rPr>
        <w:t>（</w:t>
      </w:r>
      <w:r>
        <w:rPr>
          <w:rFonts w:eastAsia="仿宋_GB2312;仿宋" w:cs="Arial" w:ascii="Arial" w:hAnsi="Arial"/>
          <w:sz w:val="28"/>
          <w:szCs w:val="28"/>
        </w:rPr>
        <w:t>1-</w:t>
      </w:r>
      <w:r>
        <w:rPr>
          <w:rFonts w:ascii="Arial" w:hAnsi="Arial" w:cs="Arial" w:eastAsia="仿宋_GB2312;仿宋"/>
          <w:sz w:val="28"/>
          <w:szCs w:val="28"/>
        </w:rPr>
        <w:t>残值率）</w:t>
      </w:r>
      <w:r>
        <w:rPr>
          <w:rFonts w:eastAsia="仿宋_GB2312;仿宋" w:cs="Arial" w:ascii="Arial" w:hAnsi="Arial"/>
          <w:sz w:val="28"/>
          <w:szCs w:val="28"/>
        </w:rPr>
        <w:t>×</w:t>
      </w:r>
      <w:r>
        <w:rPr>
          <w:rFonts w:ascii="Arial" w:hAnsi="Arial" w:cs="Arial" w:eastAsia="仿宋_GB2312;仿宋"/>
          <w:sz w:val="28"/>
          <w:szCs w:val="28"/>
        </w:rPr>
        <w:t>已经使用年限</w:t>
      </w:r>
      <w:r>
        <w:rPr>
          <w:rFonts w:eastAsia="仿宋_GB2312;仿宋" w:cs="Arial" w:ascii="Arial" w:hAnsi="Arial"/>
          <w:sz w:val="28"/>
          <w:szCs w:val="28"/>
        </w:rPr>
        <w:t>÷</w:t>
      </w:r>
      <w:r>
        <w:rPr>
          <w:rFonts w:ascii="Arial" w:hAnsi="Arial" w:cs="Arial" w:eastAsia="仿宋_GB2312;仿宋"/>
          <w:sz w:val="28"/>
          <w:szCs w:val="28"/>
        </w:rPr>
        <w:t>经济耐用年限＝</w:t>
      </w:r>
      <w:r>
        <w:rPr>
          <w:rFonts w:eastAsia="仿宋_GB2312;仿宋" w:cs="Arial" w:ascii="Arial" w:hAnsi="Arial"/>
          <w:sz w:val="28"/>
          <w:szCs w:val="28"/>
        </w:rPr>
        <w:t>1-</w:t>
      </w:r>
      <w:r>
        <w:rPr>
          <w:rFonts w:ascii="Arial" w:hAnsi="Arial" w:cs="Arial" w:eastAsia="仿宋_GB2312;仿宋"/>
          <w:sz w:val="28"/>
          <w:szCs w:val="28"/>
        </w:rPr>
        <w:t>（</w:t>
      </w:r>
      <w:r>
        <w:rPr>
          <w:rFonts w:eastAsia="仿宋_GB2312;仿宋" w:cs="Arial" w:ascii="Arial" w:hAnsi="Arial"/>
          <w:sz w:val="28"/>
          <w:szCs w:val="28"/>
        </w:rPr>
        <w:t xml:space="preserve">1- </w:t>
      </w:r>
      <w:r>
        <w:rPr>
          <w:rFonts w:eastAsia="仿宋_GB2312;仿宋" w:cs="Arial" w:ascii="Arial" w:hAnsi="Arial"/>
          <w:sz w:val="28"/>
          <w:szCs w:val="28"/>
        </w:rPr>
        <w:t>2</w:t>
      </w:r>
      <w:r>
        <w:rPr>
          <w:rFonts w:eastAsia="仿宋_GB2312;仿宋" w:cs="Arial" w:ascii="Arial" w:hAnsi="Arial"/>
          <w:sz w:val="28"/>
          <w:szCs w:val="28"/>
        </w:rPr>
        <w:t>%</w:t>
      </w:r>
      <w:r>
        <w:rPr>
          <w:rFonts w:ascii="Arial" w:hAnsi="Arial" w:cs="Arial" w:eastAsia="仿宋_GB2312;仿宋"/>
          <w:sz w:val="28"/>
          <w:szCs w:val="28"/>
        </w:rPr>
        <w:t>）</w:t>
      </w:r>
      <w:r>
        <w:rPr>
          <w:rFonts w:eastAsia="仿宋_GB2312;仿宋" w:cs="Arial" w:ascii="Arial" w:hAnsi="Arial"/>
          <w:sz w:val="28"/>
          <w:szCs w:val="28"/>
        </w:rPr>
        <w:t>×</w:t>
      </w:r>
      <w:r>
        <w:rPr>
          <w:rFonts w:eastAsia="仿宋_GB2312;仿宋" w:cs="Arial" w:ascii="Arial" w:hAnsi="Arial"/>
          <w:sz w:val="28"/>
          <w:szCs w:val="28"/>
        </w:rPr>
        <w:t>35</w:t>
      </w:r>
      <w:r>
        <w:rPr>
          <w:rFonts w:eastAsia="仿宋_GB2312;仿宋" w:cs="Arial" w:ascii="Arial" w:hAnsi="Arial"/>
          <w:sz w:val="28"/>
          <w:szCs w:val="28"/>
        </w:rPr>
        <w:t>÷</w:t>
      </w:r>
      <w:r>
        <w:rPr>
          <w:rFonts w:eastAsia="仿宋_GB2312;仿宋" w:cs="Arial" w:ascii="Arial" w:hAnsi="Arial"/>
          <w:sz w:val="28"/>
          <w:szCs w:val="28"/>
        </w:rPr>
        <w:t>40</w:t>
      </w:r>
      <w:r>
        <w:rPr>
          <w:rFonts w:ascii="Arial" w:hAnsi="Arial" w:cs="Arial" w:eastAsia="仿宋_GB2312;仿宋"/>
          <w:sz w:val="28"/>
          <w:szCs w:val="28"/>
        </w:rPr>
        <w:t>＝</w:t>
      </w:r>
      <w:r>
        <w:rPr>
          <w:rFonts w:eastAsia="仿宋_GB2312;仿宋" w:cs="Arial" w:ascii="Arial" w:hAnsi="Arial"/>
          <w:sz w:val="28"/>
          <w:szCs w:val="28"/>
        </w:rPr>
        <w:t>14</w:t>
      </w:r>
      <w:r>
        <w:rPr>
          <w:rFonts w:eastAsia="仿宋_GB2312;仿宋" w:cs="Arial" w:ascii="Arial" w:hAnsi="Arial"/>
          <w:sz w:val="28"/>
          <w:szCs w:val="28"/>
        </w:rPr>
        <w:t>%</w:t>
      </w:r>
    </w:p>
    <w:p>
      <w:pPr>
        <w:pStyle w:val="Normal"/>
        <w:overflowPunct w:val="false"/>
        <w:spacing w:lineRule="auto" w:line="360"/>
        <w:ind w:firstLine="560"/>
        <w:jc w:val="both"/>
        <w:rPr>
          <w:rFonts w:ascii="Arial" w:hAnsi="Arial" w:eastAsia="仿宋_GB2312;仿宋" w:cs="Arial"/>
          <w:sz w:val="28"/>
          <w:szCs w:val="28"/>
        </w:rPr>
      </w:pPr>
      <w:r>
        <w:rPr>
          <w:rFonts w:eastAsia="仿宋_GB2312;仿宋" w:cs="Arial" w:ascii="Arial" w:hAnsi="Arial"/>
          <w:sz w:val="28"/>
          <w:szCs w:val="28"/>
        </w:rPr>
        <w:t>39</w:t>
      </w:r>
      <w:r>
        <w:rPr>
          <w:rFonts w:ascii="Arial" w:hAnsi="Arial" w:cs="Arial" w:eastAsia="仿宋_GB2312;仿宋"/>
          <w:sz w:val="28"/>
          <w:szCs w:val="28"/>
        </w:rPr>
        <w:t>号房</w:t>
      </w:r>
      <w:r>
        <w:rPr>
          <w:rFonts w:ascii="Arial" w:hAnsi="Arial" w:cs="Arial" w:eastAsia="仿宋_GB2312;仿宋"/>
          <w:sz w:val="28"/>
          <w:szCs w:val="28"/>
        </w:rPr>
        <w:t>成新度为</w:t>
      </w:r>
      <w:r>
        <w:rPr>
          <w:rFonts w:eastAsia="仿宋_GB2312;仿宋" w:cs="Arial" w:ascii="Arial" w:hAnsi="Arial"/>
          <w:sz w:val="28"/>
          <w:szCs w:val="28"/>
        </w:rPr>
        <w:t>0%</w:t>
      </w:r>
      <w:r>
        <w:rPr>
          <w:rFonts w:ascii="Arial" w:hAnsi="Arial" w:cs="Arial" w:eastAsia="仿宋_GB2312;仿宋"/>
          <w:sz w:val="28"/>
          <w:szCs w:val="28"/>
        </w:rPr>
        <w:t>。</w:t>
      </w:r>
    </w:p>
    <w:p>
      <w:pPr>
        <w:pStyle w:val="Normal"/>
        <w:numPr>
          <w:ilvl w:val="0"/>
          <w:numId w:val="0"/>
        </w:numPr>
        <w:spacing w:lineRule="auto" w:line="360"/>
        <w:ind w:firstLine="560"/>
        <w:jc w:val="both"/>
        <w:outlineLvl w:val="0"/>
        <w:rPr>
          <w:rFonts w:cs="Arial"/>
        </w:rPr>
      </w:pPr>
      <w:r>
        <w:rPr>
          <w:rFonts w:ascii="Arial" w:hAnsi="Arial" w:cs="Arial" w:eastAsia="仿宋_GB2312;仿宋"/>
          <w:sz w:val="28"/>
          <w:szCs w:val="28"/>
        </w:rPr>
        <w:t>综合两种建筑物成新度确定方法，取其算术平均数确定各幢建筑物成新度，再按各幢的建筑面积占总建筑面积比例，综合确定估价对象成新度为</w:t>
      </w:r>
      <w:r>
        <w:rPr>
          <w:rFonts w:eastAsia="仿宋_GB2312;仿宋" w:cs="Arial" w:ascii="Arial" w:hAnsi="Arial"/>
          <w:sz w:val="28"/>
          <w:szCs w:val="28"/>
        </w:rPr>
        <w:t>40-50%</w:t>
      </w:r>
      <w:r>
        <w:rPr>
          <w:rFonts w:ascii="Arial" w:hAnsi="Arial" w:cs="Arial" w:eastAsia="仿宋_GB2312;仿宋"/>
          <w:sz w:val="28"/>
          <w:szCs w:val="28"/>
        </w:rPr>
        <w:t>。根据以上公式，确定估价对象各房屋重置价格为</w:t>
      </w:r>
      <w:r>
        <w:rPr>
          <w:rFonts w:eastAsia="仿宋_GB2312;仿宋" w:cs="Arial" w:ascii="Arial" w:hAnsi="Arial"/>
          <w:sz w:val="28"/>
          <w:szCs w:val="28"/>
        </w:rPr>
        <w:t>46.8404</w:t>
      </w:r>
      <w:r>
        <w:rPr>
          <w:rFonts w:ascii="Arial" w:hAnsi="Arial" w:cs="Arial" w:eastAsia="仿宋_GB2312;仿宋"/>
          <w:sz w:val="28"/>
          <w:szCs w:val="28"/>
        </w:rPr>
        <w:t>万元，详见下表：</w:t>
      </w:r>
    </w:p>
    <w:tbl>
      <w:tblPr>
        <w:tblW w:w="5000" w:type="pct"/>
        <w:jc w:val="left"/>
        <w:tblInd w:w="-113" w:type="dxa"/>
        <w:tblCellMar>
          <w:top w:w="0" w:type="dxa"/>
          <w:left w:w="108" w:type="dxa"/>
          <w:bottom w:w="0" w:type="dxa"/>
          <w:right w:w="108" w:type="dxa"/>
        </w:tblCellMar>
      </w:tblPr>
      <w:tblGrid>
        <w:gridCol w:w="927"/>
        <w:gridCol w:w="1233"/>
        <w:gridCol w:w="1235"/>
        <w:gridCol w:w="1514"/>
        <w:gridCol w:w="1098"/>
        <w:gridCol w:w="1721"/>
        <w:gridCol w:w="1570"/>
      </w:tblGrid>
      <w:tr>
        <w:trPr>
          <w:trHeight w:val="1710" w:hRule="atLeast"/>
        </w:trPr>
        <w:tc>
          <w:tcPr>
            <w:tcW w:w="927"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pPr>
            <w:r>
              <w:rPr>
                <w:rFonts w:ascii="Arial" w:hAnsi="Arial" w:cs="Arial" w:eastAsia="仿宋_GB2312;仿宋"/>
                <w:b/>
                <w:sz w:val="28"/>
                <w:szCs w:val="21"/>
              </w:rPr>
              <w:t>房</w:t>
            </w:r>
            <w:r>
              <w:rPr>
                <w:rFonts w:ascii="Arial" w:hAnsi="Arial" w:cs="Arial" w:eastAsia="仿宋_GB2312;仿宋"/>
                <w:b/>
                <w:sz w:val="28"/>
                <w:szCs w:val="21"/>
              </w:rPr>
              <w:t>号</w:t>
            </w:r>
          </w:p>
        </w:tc>
        <w:tc>
          <w:tcPr>
            <w:tcW w:w="123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ascii="Arial" w:hAnsi="Arial" w:cs="Arial" w:eastAsia="仿宋_GB2312;仿宋"/>
                <w:b/>
                <w:sz w:val="28"/>
                <w:szCs w:val="21"/>
              </w:rPr>
              <w:t>结构</w:t>
            </w:r>
          </w:p>
        </w:tc>
        <w:tc>
          <w:tcPr>
            <w:tcW w:w="1235"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ascii="Arial" w:hAnsi="Arial" w:cs="Arial" w:eastAsia="仿宋_GB2312;仿宋"/>
                <w:b/>
                <w:sz w:val="28"/>
                <w:szCs w:val="21"/>
              </w:rPr>
              <w:t>建成年份</w:t>
            </w:r>
          </w:p>
        </w:tc>
        <w:tc>
          <w:tcPr>
            <w:tcW w:w="1514"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pPr>
            <w:r>
              <w:rPr>
                <w:rFonts w:ascii="Arial" w:hAnsi="Arial" w:cs="Arial" w:eastAsia="仿宋_GB2312;仿宋"/>
                <w:b/>
                <w:sz w:val="28"/>
                <w:szCs w:val="21"/>
              </w:rPr>
              <w:t>建筑面积（</w:t>
            </w:r>
            <w:r>
              <w:rPr>
                <w:rFonts w:ascii="Arial" w:hAnsi="Arial" w:cs="Arial" w:eastAsia="仿宋_GB2312;仿宋"/>
                <w:b/>
                <w:sz w:val="28"/>
                <w:szCs w:val="21"/>
              </w:rPr>
              <w:t>平方米</w:t>
            </w:r>
            <w:r>
              <w:rPr>
                <w:rFonts w:ascii="Arial" w:hAnsi="Arial" w:cs="Arial" w:eastAsia="仿宋_GB2312;仿宋"/>
                <w:b/>
                <w:sz w:val="28"/>
                <w:szCs w:val="21"/>
              </w:rPr>
              <w:t>）</w:t>
            </w:r>
          </w:p>
        </w:tc>
        <w:tc>
          <w:tcPr>
            <w:tcW w:w="109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ascii="Arial" w:hAnsi="Arial" w:cs="Arial" w:eastAsia="仿宋_GB2312;仿宋"/>
                <w:b/>
                <w:sz w:val="28"/>
                <w:szCs w:val="21"/>
              </w:rPr>
              <w:t>层数</w:t>
            </w:r>
          </w:p>
        </w:tc>
        <w:tc>
          <w:tcPr>
            <w:tcW w:w="172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ascii="Arial" w:hAnsi="Arial" w:cs="Arial" w:eastAsia="仿宋_GB2312;仿宋"/>
                <w:b/>
                <w:sz w:val="28"/>
                <w:szCs w:val="21"/>
              </w:rPr>
              <w:t>重置成新总价（元）</w:t>
            </w:r>
          </w:p>
        </w:tc>
        <w:tc>
          <w:tcPr>
            <w:tcW w:w="157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pPr>
            <w:r>
              <w:rPr>
                <w:rFonts w:ascii="Arial" w:hAnsi="Arial" w:cs="Arial" w:eastAsia="仿宋_GB2312;仿宋"/>
                <w:b/>
                <w:sz w:val="28"/>
                <w:szCs w:val="21"/>
              </w:rPr>
              <w:t>重置成新单价</w:t>
            </w:r>
            <w:r>
              <w:rPr>
                <w:rFonts w:eastAsia="仿宋_GB2312;仿宋" w:cs="Arial" w:ascii="Arial" w:hAnsi="Arial"/>
                <w:b/>
                <w:sz w:val="28"/>
                <w:szCs w:val="21"/>
              </w:rPr>
              <w:br/>
            </w:r>
            <w:r>
              <w:rPr>
                <w:rFonts w:ascii="Arial" w:hAnsi="Arial" w:cs="Arial" w:eastAsia="仿宋_GB2312;仿宋"/>
                <w:b/>
                <w:sz w:val="28"/>
                <w:szCs w:val="21"/>
              </w:rPr>
              <w:t>（元</w:t>
            </w:r>
            <w:r>
              <w:rPr>
                <w:rFonts w:eastAsia="仿宋_GB2312;仿宋" w:cs="Arial" w:ascii="Arial" w:hAnsi="Arial"/>
                <w:b/>
                <w:sz w:val="28"/>
                <w:szCs w:val="21"/>
              </w:rPr>
              <w:t>/</w:t>
            </w:r>
            <w:r>
              <w:rPr>
                <w:rFonts w:ascii="Arial" w:hAnsi="Arial" w:cs="Arial" w:eastAsia="仿宋_GB2312;仿宋"/>
                <w:b/>
                <w:sz w:val="28"/>
                <w:szCs w:val="21"/>
              </w:rPr>
              <w:t>平方米</w:t>
            </w:r>
            <w:r>
              <w:rPr>
                <w:rFonts w:ascii="Arial" w:hAnsi="Arial" w:cs="Arial" w:eastAsia="仿宋_GB2312;仿宋"/>
                <w:b/>
                <w:sz w:val="28"/>
                <w:szCs w:val="21"/>
              </w:rPr>
              <w:t>）</w:t>
            </w:r>
          </w:p>
        </w:tc>
      </w:tr>
      <w:tr>
        <w:trPr>
          <w:trHeight w:val="159" w:hRule="atLeast"/>
        </w:trPr>
        <w:tc>
          <w:tcPr>
            <w:tcW w:w="927"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25</w:t>
            </w:r>
          </w:p>
        </w:tc>
        <w:tc>
          <w:tcPr>
            <w:tcW w:w="1233"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ascii="Arial" w:hAnsi="Arial" w:cs="Arial" w:eastAsia="仿宋_GB2312;仿宋"/>
                <w:sz w:val="28"/>
                <w:szCs w:val="21"/>
              </w:rPr>
              <w:t>混合</w:t>
            </w:r>
          </w:p>
        </w:tc>
        <w:tc>
          <w:tcPr>
            <w:tcW w:w="123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1988</w:t>
            </w:r>
          </w:p>
        </w:tc>
        <w:tc>
          <w:tcPr>
            <w:tcW w:w="1514"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349.6</w:t>
            </w:r>
          </w:p>
        </w:tc>
        <w:tc>
          <w:tcPr>
            <w:tcW w:w="1098"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01</w:t>
            </w:r>
          </w:p>
        </w:tc>
        <w:tc>
          <w:tcPr>
            <w:tcW w:w="1721"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250130</w:t>
            </w:r>
          </w:p>
        </w:tc>
        <w:tc>
          <w:tcPr>
            <w:tcW w:w="1570"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715.47</w:t>
            </w:r>
          </w:p>
        </w:tc>
      </w:tr>
      <w:tr>
        <w:trPr>
          <w:trHeight w:val="300" w:hRule="atLeast"/>
        </w:trPr>
        <w:tc>
          <w:tcPr>
            <w:tcW w:w="927"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26</w:t>
            </w:r>
          </w:p>
        </w:tc>
        <w:tc>
          <w:tcPr>
            <w:tcW w:w="1233"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ascii="Arial" w:hAnsi="Arial" w:cs="Arial" w:eastAsia="仿宋_GB2312;仿宋"/>
                <w:sz w:val="28"/>
                <w:szCs w:val="21"/>
              </w:rPr>
              <w:t>混合</w:t>
            </w:r>
          </w:p>
        </w:tc>
        <w:tc>
          <w:tcPr>
            <w:tcW w:w="123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1989</w:t>
            </w:r>
          </w:p>
        </w:tc>
        <w:tc>
          <w:tcPr>
            <w:tcW w:w="1514"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204.4</w:t>
            </w:r>
          </w:p>
        </w:tc>
        <w:tc>
          <w:tcPr>
            <w:tcW w:w="1098"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01</w:t>
            </w:r>
          </w:p>
        </w:tc>
        <w:tc>
          <w:tcPr>
            <w:tcW w:w="1721"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146795</w:t>
            </w:r>
          </w:p>
        </w:tc>
        <w:tc>
          <w:tcPr>
            <w:tcW w:w="1570"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718.18</w:t>
            </w:r>
          </w:p>
        </w:tc>
      </w:tr>
      <w:tr>
        <w:trPr>
          <w:trHeight w:val="300" w:hRule="atLeast"/>
        </w:trPr>
        <w:tc>
          <w:tcPr>
            <w:tcW w:w="927"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39</w:t>
            </w:r>
          </w:p>
        </w:tc>
        <w:tc>
          <w:tcPr>
            <w:tcW w:w="1233"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ascii="Arial" w:hAnsi="Arial" w:cs="Arial" w:eastAsia="仿宋_GB2312;仿宋"/>
                <w:sz w:val="28"/>
                <w:szCs w:val="21"/>
              </w:rPr>
              <w:t>混合</w:t>
            </w:r>
          </w:p>
        </w:tc>
        <w:tc>
          <w:tcPr>
            <w:tcW w:w="123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1969</w:t>
            </w:r>
          </w:p>
        </w:tc>
        <w:tc>
          <w:tcPr>
            <w:tcW w:w="1514"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123.9</w:t>
            </w:r>
          </w:p>
        </w:tc>
        <w:tc>
          <w:tcPr>
            <w:tcW w:w="1098"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01</w:t>
            </w:r>
          </w:p>
        </w:tc>
        <w:tc>
          <w:tcPr>
            <w:tcW w:w="1721"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71479</w:t>
            </w:r>
          </w:p>
        </w:tc>
        <w:tc>
          <w:tcPr>
            <w:tcW w:w="1570"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576.91</w:t>
            </w:r>
          </w:p>
        </w:tc>
      </w:tr>
      <w:tr>
        <w:trPr>
          <w:trHeight w:val="300" w:hRule="atLeast"/>
        </w:trPr>
        <w:tc>
          <w:tcPr>
            <w:tcW w:w="3395" w:type="dxa"/>
            <w:gridSpan w:val="3"/>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ascii="Arial" w:hAnsi="Arial" w:cs="Arial" w:eastAsia="仿宋_GB2312;仿宋"/>
                <w:b/>
                <w:sz w:val="28"/>
                <w:szCs w:val="21"/>
              </w:rPr>
              <w:t>合计</w:t>
            </w:r>
          </w:p>
        </w:tc>
        <w:tc>
          <w:tcPr>
            <w:tcW w:w="1514"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eastAsia="仿宋_GB2312;仿宋" w:cs="Arial" w:ascii="Arial" w:hAnsi="Arial"/>
                <w:b/>
                <w:sz w:val="28"/>
                <w:szCs w:val="21"/>
              </w:rPr>
              <w:t>677.9</w:t>
            </w:r>
          </w:p>
        </w:tc>
        <w:tc>
          <w:tcPr>
            <w:tcW w:w="1098" w:type="dxa"/>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uto" w:line="240"/>
              <w:jc w:val="center"/>
              <w:textAlignment w:val="auto"/>
              <w:rPr>
                <w:rFonts w:ascii="Arial" w:hAnsi="Arial" w:eastAsia="仿宋_GB2312;仿宋" w:cs="Arial"/>
                <w:b/>
                <w:b/>
                <w:sz w:val="28"/>
                <w:szCs w:val="21"/>
              </w:rPr>
            </w:pPr>
            <w:r>
              <w:rPr>
                <w:rFonts w:eastAsia="仿宋_GB2312;仿宋" w:cs="Arial" w:ascii="Arial" w:hAnsi="Arial"/>
                <w:b/>
                <w:sz w:val="28"/>
                <w:szCs w:val="21"/>
              </w:rPr>
            </w:r>
          </w:p>
        </w:tc>
        <w:tc>
          <w:tcPr>
            <w:tcW w:w="1721" w:type="dxa"/>
            <w:tcBorders>
              <w:top w:val="single" w:sz="4" w:space="0" w:color="000000"/>
              <w:left w:val="single" w:sz="4" w:space="0" w:color="000000"/>
              <w:bottom w:val="single" w:sz="4" w:space="0" w:color="000000"/>
            </w:tcBorders>
            <w:shd w:fill="auto" w:val="clear"/>
          </w:tcPr>
          <w:p>
            <w:pPr>
              <w:pStyle w:val="Normal"/>
              <w:widowControl/>
              <w:spacing w:lineRule="auto" w:line="240"/>
              <w:jc w:val="center"/>
              <w:textAlignment w:val="auto"/>
              <w:rPr>
                <w:rFonts w:ascii="Arial" w:hAnsi="Arial" w:eastAsia="仿宋_GB2312;仿宋" w:cs="Arial"/>
                <w:b/>
                <w:b/>
                <w:sz w:val="28"/>
                <w:szCs w:val="21"/>
              </w:rPr>
            </w:pPr>
            <w:r>
              <w:rPr>
                <w:rFonts w:eastAsia="仿宋_GB2312;仿宋" w:cs="Arial" w:ascii="Arial" w:hAnsi="Arial"/>
                <w:b/>
                <w:sz w:val="28"/>
                <w:szCs w:val="21"/>
              </w:rPr>
              <w:t>468404</w:t>
            </w:r>
          </w:p>
        </w:tc>
        <w:tc>
          <w:tcPr>
            <w:tcW w:w="157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spacing w:lineRule="auto" w:line="240"/>
              <w:jc w:val="center"/>
              <w:textAlignment w:val="auto"/>
              <w:rPr>
                <w:rFonts w:ascii="Arial" w:hAnsi="Arial" w:eastAsia="仿宋_GB2312;仿宋" w:cs="Arial"/>
                <w:b/>
                <w:b/>
                <w:sz w:val="28"/>
                <w:szCs w:val="21"/>
              </w:rPr>
            </w:pPr>
            <w:r>
              <w:rPr>
                <w:rFonts w:ascii="仿宋_GB2312;仿宋" w:hAnsi="仿宋_GB2312;仿宋" w:cs="仿宋_GB2312;仿宋" w:eastAsia="仿宋_GB2312;仿宋"/>
                <w:b/>
                <w:sz w:val="28"/>
                <w:szCs w:val="21"/>
              </w:rPr>
              <w:t>——</w:t>
            </w:r>
          </w:p>
        </w:tc>
      </w:tr>
    </w:tbl>
    <w:p>
      <w:pPr>
        <w:pStyle w:val="Normal"/>
        <w:spacing w:lineRule="auto" w:line="360" w:before="120" w:after="0"/>
        <w:rPr/>
      </w:pPr>
      <w:r>
        <w:rPr>
          <w:rFonts w:ascii="Arial" w:hAnsi="Arial" w:cs="Arial" w:eastAsia="仿宋_GB2312;仿宋"/>
          <w:bCs/>
          <w:sz w:val="21"/>
          <w:szCs w:val="21"/>
        </w:rPr>
        <w:t>备注：</w:t>
      </w:r>
      <w:r>
        <w:rPr>
          <w:rFonts w:eastAsia="仿宋_GB2312;仿宋" w:cs="Arial" w:ascii="Arial" w:hAnsi="Arial"/>
          <w:bCs/>
          <w:sz w:val="21"/>
          <w:szCs w:val="21"/>
        </w:rPr>
        <w:t>1</w:t>
      </w:r>
      <w:r>
        <w:rPr>
          <w:rFonts w:eastAsia="仿宋_GB2312;仿宋" w:cs="Arial" w:ascii="Arial" w:hAnsi="Arial"/>
          <w:bCs/>
          <w:sz w:val="21"/>
          <w:szCs w:val="21"/>
        </w:rPr>
        <w:t>.</w:t>
      </w:r>
      <w:r>
        <w:rPr>
          <w:rFonts w:ascii="Arial" w:hAnsi="Arial" w:cs="Arial" w:eastAsia="仿宋_GB2312;仿宋"/>
          <w:bCs/>
          <w:sz w:val="21"/>
          <w:szCs w:val="21"/>
        </w:rPr>
        <w:t>重置价单价</w:t>
      </w:r>
      <w:r>
        <w:rPr>
          <w:rFonts w:eastAsia="仿宋_GB2312;仿宋" w:cs="Arial" w:ascii="Arial" w:hAnsi="Arial"/>
          <w:bCs/>
          <w:sz w:val="21"/>
          <w:szCs w:val="21"/>
        </w:rPr>
        <w:t>=</w:t>
      </w:r>
      <w:r>
        <w:rPr>
          <w:rFonts w:ascii="Arial" w:hAnsi="Arial" w:cs="Arial" w:eastAsia="仿宋_GB2312;仿宋"/>
          <w:bCs/>
          <w:sz w:val="21"/>
          <w:szCs w:val="21"/>
        </w:rPr>
        <w:t>重置价总价</w:t>
      </w:r>
      <w:r>
        <w:rPr>
          <w:rFonts w:eastAsia="仿宋_GB2312;仿宋" w:cs="Arial" w:ascii="Arial" w:hAnsi="Arial"/>
          <w:bCs/>
          <w:sz w:val="21"/>
          <w:szCs w:val="21"/>
        </w:rPr>
        <w:t>÷</w:t>
      </w:r>
      <w:r>
        <w:rPr>
          <w:rFonts w:ascii="Arial" w:hAnsi="Arial" w:cs="Arial" w:eastAsia="仿宋_GB2312;仿宋"/>
          <w:bCs/>
          <w:sz w:val="21"/>
          <w:szCs w:val="21"/>
        </w:rPr>
        <w:t>建筑面积</w:t>
      </w:r>
    </w:p>
    <w:p>
      <w:pPr>
        <w:pStyle w:val="Normal"/>
        <w:spacing w:lineRule="auto" w:line="360"/>
        <w:ind w:firstLine="630"/>
        <w:rPr>
          <w:rFonts w:ascii="Arial" w:hAnsi="Arial" w:eastAsia="仿宋_GB2312;仿宋" w:cs="Arial"/>
          <w:bCs/>
          <w:sz w:val="21"/>
          <w:szCs w:val="21"/>
        </w:rPr>
      </w:pPr>
      <w:r>
        <w:rPr>
          <w:rFonts w:eastAsia="仿宋_GB2312;仿宋" w:cs="Arial" w:ascii="Arial" w:hAnsi="Arial"/>
          <w:bCs/>
          <w:sz w:val="21"/>
          <w:szCs w:val="21"/>
        </w:rPr>
        <w:t>2.</w:t>
      </w:r>
      <w:r>
        <w:rPr>
          <w:rFonts w:ascii="Arial" w:hAnsi="Arial" w:cs="Arial" w:eastAsia="仿宋_GB2312;仿宋"/>
          <w:bCs/>
          <w:sz w:val="21"/>
          <w:szCs w:val="21"/>
        </w:rPr>
        <w:t>上表</w:t>
      </w:r>
      <w:r>
        <w:rPr>
          <w:rFonts w:ascii="Arial" w:hAnsi="Arial" w:cs="Arial" w:eastAsia="仿宋_GB2312;仿宋"/>
          <w:bCs/>
          <w:sz w:val="21"/>
          <w:szCs w:val="21"/>
        </w:rPr>
        <w:t>中</w:t>
      </w:r>
      <w:r>
        <w:rPr>
          <w:rFonts w:ascii="Arial" w:hAnsi="Arial" w:cs="Arial" w:eastAsia="仿宋_GB2312;仿宋"/>
          <w:bCs/>
          <w:sz w:val="21"/>
          <w:szCs w:val="21"/>
        </w:rPr>
        <w:t>楼</w:t>
      </w:r>
      <w:r>
        <w:rPr>
          <w:rFonts w:ascii="Arial" w:hAnsi="Arial" w:cs="Arial" w:eastAsia="仿宋_GB2312;仿宋"/>
          <w:bCs/>
          <w:sz w:val="21"/>
          <w:szCs w:val="21"/>
        </w:rPr>
        <w:t>号</w:t>
      </w:r>
      <w:r>
        <w:rPr>
          <w:rFonts w:eastAsia="仿宋_GB2312;仿宋" w:cs="Arial" w:ascii="Arial" w:hAnsi="Arial"/>
          <w:bCs/>
          <w:sz w:val="21"/>
          <w:szCs w:val="21"/>
        </w:rPr>
        <w:t>25</w:t>
      </w:r>
      <w:r>
        <w:rPr>
          <w:rFonts w:ascii="Arial" w:hAnsi="Arial" w:cs="Arial" w:eastAsia="仿宋_GB2312;仿宋"/>
          <w:bCs/>
          <w:sz w:val="21"/>
          <w:szCs w:val="21"/>
        </w:rPr>
        <w:t>号的平房房屋重置成新价计算过程如下：</w:t>
      </w:r>
      <w:r>
        <w:rPr>
          <w:rFonts w:ascii="Arial" w:hAnsi="Arial" w:cs="Arial"/>
          <w:bCs/>
          <w:sz w:val="21"/>
          <w:szCs w:val="21"/>
        </w:rPr>
        <w:t>｛</w:t>
      </w:r>
      <w:r>
        <w:rPr>
          <w:rFonts w:ascii="Arial" w:hAnsi="Arial" w:cs="Arial" w:eastAsia="仿宋_GB2312;仿宋"/>
          <w:bCs/>
          <w:sz w:val="21"/>
          <w:szCs w:val="21"/>
        </w:rPr>
        <w:t>（屋面</w:t>
      </w:r>
      <w:r>
        <w:rPr>
          <w:rFonts w:eastAsia="仿宋_GB2312;仿宋" w:cs="Arial" w:ascii="Arial" w:hAnsi="Arial"/>
          <w:bCs/>
          <w:sz w:val="21"/>
          <w:szCs w:val="21"/>
        </w:rPr>
        <w:t>25.57+</w:t>
      </w:r>
      <w:r>
        <w:rPr>
          <w:rFonts w:ascii="Arial" w:hAnsi="Arial" w:cs="Arial" w:eastAsia="仿宋_GB2312;仿宋"/>
          <w:bCs/>
          <w:sz w:val="21"/>
          <w:szCs w:val="21"/>
        </w:rPr>
        <w:t>屋架分数</w:t>
      </w:r>
      <w:r>
        <w:rPr>
          <w:rFonts w:eastAsia="仿宋_GB2312;仿宋" w:cs="Arial" w:ascii="Arial" w:hAnsi="Arial"/>
          <w:bCs/>
          <w:sz w:val="21"/>
          <w:szCs w:val="21"/>
        </w:rPr>
        <w:t>0+</w:t>
      </w:r>
      <w:r>
        <w:rPr>
          <w:rFonts w:ascii="Arial" w:hAnsi="Arial" w:cs="Arial" w:eastAsia="仿宋_GB2312;仿宋"/>
          <w:bCs/>
          <w:sz w:val="21"/>
          <w:szCs w:val="21"/>
        </w:rPr>
        <w:t>顶棚分数</w:t>
      </w:r>
      <w:r>
        <w:rPr>
          <w:rFonts w:eastAsia="仿宋_GB2312;仿宋" w:cs="Arial" w:ascii="Arial" w:hAnsi="Arial"/>
          <w:bCs/>
          <w:sz w:val="21"/>
          <w:szCs w:val="21"/>
        </w:rPr>
        <w:t>2.98</w:t>
      </w:r>
      <w:r>
        <w:rPr>
          <w:rFonts w:eastAsia="仿宋_GB2312;仿宋" w:cs="Arial" w:ascii="Arial" w:hAnsi="Arial"/>
          <w:bCs/>
          <w:sz w:val="21"/>
          <w:szCs w:val="21"/>
        </w:rPr>
        <w:t>+</w:t>
      </w:r>
      <w:r>
        <w:rPr>
          <w:rFonts w:ascii="Arial" w:hAnsi="Arial" w:cs="Arial" w:eastAsia="仿宋_GB2312;仿宋"/>
          <w:bCs/>
          <w:sz w:val="21"/>
          <w:szCs w:val="21"/>
        </w:rPr>
        <w:t>地面分数</w:t>
      </w:r>
      <w:r>
        <w:rPr>
          <w:rFonts w:eastAsia="仿宋_GB2312;仿宋" w:cs="Arial" w:ascii="Arial" w:hAnsi="Arial"/>
          <w:bCs/>
          <w:sz w:val="21"/>
          <w:szCs w:val="21"/>
        </w:rPr>
        <w:t>5.28</w:t>
      </w:r>
      <w:r>
        <w:rPr>
          <w:rFonts w:eastAsia="仿宋_GB2312;仿宋" w:cs="Arial" w:ascii="Arial" w:hAnsi="Arial"/>
          <w:bCs/>
          <w:sz w:val="21"/>
          <w:szCs w:val="21"/>
        </w:rPr>
        <w:t>+</w:t>
      </w:r>
      <w:r>
        <w:rPr>
          <w:rFonts w:ascii="Arial" w:hAnsi="Arial" w:cs="Arial" w:eastAsia="仿宋_GB2312;仿宋"/>
          <w:bCs/>
          <w:sz w:val="21"/>
          <w:szCs w:val="21"/>
        </w:rPr>
        <w:t>（墙身分数</w:t>
      </w:r>
      <w:r>
        <w:rPr>
          <w:rFonts w:eastAsia="仿宋_GB2312;仿宋" w:cs="Arial" w:ascii="Arial" w:hAnsi="Arial"/>
          <w:bCs/>
          <w:sz w:val="21"/>
          <w:szCs w:val="21"/>
        </w:rPr>
        <w:t>18.2127+</w:t>
      </w:r>
      <w:r>
        <w:rPr>
          <w:rFonts w:ascii="Arial" w:hAnsi="Arial" w:cs="Arial" w:eastAsia="仿宋_GB2312;仿宋"/>
          <w:bCs/>
          <w:sz w:val="21"/>
          <w:szCs w:val="21"/>
        </w:rPr>
        <w:t>门窗分数</w:t>
      </w:r>
      <w:r>
        <w:rPr>
          <w:rFonts w:eastAsia="仿宋_GB2312;仿宋" w:cs="Arial" w:ascii="Arial" w:hAnsi="Arial"/>
          <w:bCs/>
          <w:sz w:val="21"/>
          <w:szCs w:val="21"/>
        </w:rPr>
        <w:t>6.13</w:t>
      </w:r>
      <w:r>
        <w:rPr>
          <w:rFonts w:ascii="Arial" w:hAnsi="Arial" w:cs="Arial" w:eastAsia="仿宋_GB2312;仿宋"/>
          <w:bCs/>
          <w:sz w:val="21"/>
          <w:szCs w:val="21"/>
        </w:rPr>
        <w:t>）</w:t>
      </w:r>
      <w:r>
        <w:rPr>
          <w:rFonts w:eastAsia="仿宋_GB2312;仿宋" w:cs="Arial" w:ascii="Arial" w:hAnsi="Arial"/>
          <w:bCs/>
          <w:sz w:val="21"/>
          <w:szCs w:val="21"/>
        </w:rPr>
        <w:t>×2.007</w:t>
      </w:r>
      <w:r>
        <w:rPr>
          <w:rFonts w:ascii="Arial" w:hAnsi="Arial" w:cs="Arial" w:eastAsia="仿宋_GB2312;仿宋"/>
          <w:bCs/>
          <w:sz w:val="21"/>
          <w:szCs w:val="21"/>
        </w:rPr>
        <w:t>）</w:t>
      </w:r>
      <w:r>
        <w:rPr>
          <w:rFonts w:eastAsia="仿宋_GB2312;仿宋" w:cs="Arial" w:ascii="Arial" w:hAnsi="Arial"/>
          <w:bCs/>
          <w:sz w:val="21"/>
          <w:szCs w:val="21"/>
        </w:rPr>
        <w:t>×</w:t>
      </w:r>
      <w:r>
        <w:rPr>
          <w:rFonts w:ascii="Arial" w:hAnsi="Arial" w:cs="Arial" w:eastAsia="仿宋_GB2312;仿宋"/>
          <w:bCs/>
          <w:sz w:val="21"/>
          <w:szCs w:val="21"/>
        </w:rPr>
        <w:t>标准间数</w:t>
      </w:r>
      <w:r>
        <w:rPr>
          <w:rFonts w:eastAsia="仿宋_GB2312;仿宋" w:cs="Arial" w:ascii="Arial" w:hAnsi="Arial"/>
          <w:bCs/>
          <w:sz w:val="21"/>
          <w:szCs w:val="21"/>
        </w:rPr>
        <w:t>17.48×</w:t>
      </w:r>
      <w:r>
        <w:rPr>
          <w:rFonts w:ascii="Arial" w:hAnsi="Arial" w:cs="Arial" w:eastAsia="仿宋_GB2312;仿宋"/>
          <w:bCs/>
          <w:sz w:val="21"/>
          <w:szCs w:val="21"/>
        </w:rPr>
        <w:t>成新折余率</w:t>
      </w:r>
      <w:r>
        <w:rPr>
          <w:rFonts w:eastAsia="仿宋_GB2312;仿宋" w:cs="Arial" w:ascii="Arial" w:hAnsi="Arial"/>
          <w:bCs/>
          <w:sz w:val="21"/>
          <w:szCs w:val="21"/>
        </w:rPr>
        <w:t>0.5}×</w:t>
      </w:r>
      <w:r>
        <w:rPr>
          <w:rFonts w:ascii="Arial" w:hAnsi="Arial" w:cs="Arial" w:eastAsia="仿宋_GB2312;仿宋"/>
          <w:bCs/>
          <w:sz w:val="21"/>
          <w:szCs w:val="21"/>
        </w:rPr>
        <w:t>基本分值</w:t>
      </w:r>
      <w:r>
        <w:rPr>
          <w:rFonts w:eastAsia="仿宋_GB2312;仿宋" w:cs="Arial" w:ascii="Arial" w:hAnsi="Arial"/>
          <w:bCs/>
          <w:sz w:val="21"/>
          <w:szCs w:val="21"/>
        </w:rPr>
        <w:t>295</w:t>
      </w:r>
      <w:r>
        <w:rPr>
          <w:rFonts w:eastAsia="仿宋_GB2312;仿宋" w:cs="Arial" w:ascii="Arial" w:hAnsi="Arial"/>
          <w:bCs/>
          <w:sz w:val="21"/>
          <w:szCs w:val="21"/>
        </w:rPr>
        <w:t>×1.1565</w:t>
      </w:r>
      <w:r>
        <w:rPr>
          <w:rFonts w:eastAsia="仿宋_GB2312;仿宋" w:cs="Arial" w:ascii="Arial" w:hAnsi="Arial"/>
          <w:bCs/>
          <w:sz w:val="21"/>
          <w:szCs w:val="21"/>
        </w:rPr>
        <w:t>+</w:t>
      </w:r>
      <w:r>
        <w:rPr>
          <w:rFonts w:ascii="Arial" w:hAnsi="Arial" w:cs="Arial" w:eastAsia="仿宋_GB2312;仿宋"/>
          <w:bCs/>
          <w:sz w:val="21"/>
          <w:szCs w:val="21"/>
        </w:rPr>
        <w:t>（隔断数量</w:t>
      </w:r>
      <w:r>
        <w:rPr>
          <w:rFonts w:eastAsia="仿宋_GB2312;仿宋" w:cs="Arial" w:ascii="Arial" w:hAnsi="Arial"/>
          <w:bCs/>
          <w:sz w:val="21"/>
          <w:szCs w:val="21"/>
        </w:rPr>
        <w:t>1</w:t>
      </w:r>
      <w:r>
        <w:rPr>
          <w:rFonts w:eastAsia="仿宋_GB2312;仿宋" w:cs="Arial" w:ascii="Arial" w:hAnsi="Arial"/>
          <w:bCs/>
          <w:sz w:val="21"/>
          <w:szCs w:val="21"/>
        </w:rPr>
        <w:t>×</w:t>
      </w:r>
      <w:r>
        <w:rPr>
          <w:rFonts w:ascii="Arial" w:hAnsi="Arial" w:cs="Arial" w:eastAsia="仿宋_GB2312;仿宋"/>
          <w:bCs/>
          <w:sz w:val="21"/>
          <w:szCs w:val="21"/>
        </w:rPr>
        <w:t>隔断宽度</w:t>
      </w:r>
      <w:r>
        <w:rPr>
          <w:rFonts w:eastAsia="仿宋_GB2312;仿宋" w:cs="Arial" w:ascii="Arial" w:hAnsi="Arial"/>
          <w:bCs/>
          <w:sz w:val="21"/>
          <w:szCs w:val="21"/>
        </w:rPr>
        <w:t>9.98857×</w:t>
      </w:r>
      <w:r>
        <w:rPr>
          <w:rFonts w:ascii="Arial" w:hAnsi="Arial" w:cs="Arial" w:eastAsia="仿宋_GB2312;仿宋"/>
          <w:bCs/>
          <w:sz w:val="21"/>
          <w:szCs w:val="21"/>
        </w:rPr>
        <w:t>隔断高度</w:t>
      </w:r>
      <w:r>
        <w:rPr>
          <w:rFonts w:eastAsia="仿宋_GB2312;仿宋" w:cs="Arial" w:ascii="Arial" w:hAnsi="Arial"/>
          <w:bCs/>
          <w:sz w:val="21"/>
          <w:szCs w:val="21"/>
        </w:rPr>
        <w:t>4.58</w:t>
      </w:r>
      <w:r>
        <w:rPr>
          <w:rFonts w:ascii="Arial" w:hAnsi="Arial" w:cs="Arial" w:eastAsia="仿宋_GB2312;仿宋"/>
          <w:bCs/>
          <w:sz w:val="21"/>
          <w:szCs w:val="21"/>
        </w:rPr>
        <w:t>）</w:t>
      </w:r>
      <w:r>
        <w:rPr>
          <w:rFonts w:eastAsia="仿宋_GB2312;仿宋" w:cs="Arial" w:ascii="Arial" w:hAnsi="Arial"/>
          <w:bCs/>
          <w:sz w:val="21"/>
          <w:szCs w:val="21"/>
        </w:rPr>
        <w:t>×</w:t>
      </w:r>
      <w:r>
        <w:rPr>
          <w:rFonts w:ascii="Arial" w:hAnsi="Arial" w:cs="Arial" w:eastAsia="仿宋_GB2312;仿宋"/>
          <w:bCs/>
          <w:sz w:val="21"/>
          <w:szCs w:val="21"/>
        </w:rPr>
        <w:t>基本分值</w:t>
      </w:r>
      <w:r>
        <w:rPr>
          <w:rFonts w:eastAsia="仿宋_GB2312;仿宋" w:cs="Arial" w:ascii="Arial" w:hAnsi="Arial"/>
          <w:bCs/>
          <w:sz w:val="21"/>
          <w:szCs w:val="21"/>
        </w:rPr>
        <w:t>295</w:t>
      </w:r>
      <w:r>
        <w:rPr>
          <w:rFonts w:eastAsia="仿宋_GB2312;仿宋" w:cs="Arial" w:ascii="Arial" w:hAnsi="Arial"/>
          <w:bCs/>
          <w:sz w:val="21"/>
          <w:szCs w:val="21"/>
        </w:rPr>
        <w:t>×</w:t>
      </w:r>
      <w:r>
        <w:rPr>
          <w:rFonts w:ascii="Arial" w:hAnsi="Arial" w:cs="Arial" w:eastAsia="仿宋_GB2312;仿宋"/>
          <w:bCs/>
          <w:sz w:val="21"/>
          <w:szCs w:val="21"/>
        </w:rPr>
        <w:t>隔断分数</w:t>
      </w:r>
      <w:r>
        <w:rPr>
          <w:rFonts w:eastAsia="仿宋_GB2312;仿宋" w:cs="Arial" w:ascii="Arial" w:hAnsi="Arial"/>
          <w:bCs/>
          <w:sz w:val="21"/>
          <w:szCs w:val="21"/>
        </w:rPr>
        <w:t>0.53</w:t>
      </w:r>
      <w:r>
        <w:rPr>
          <w:rFonts w:eastAsia="仿宋_GB2312;仿宋" w:cs="Arial" w:ascii="Arial" w:hAnsi="Arial"/>
          <w:bCs/>
          <w:sz w:val="21"/>
          <w:szCs w:val="21"/>
        </w:rPr>
        <w:t>×</w:t>
      </w:r>
      <w:r>
        <w:rPr>
          <w:rFonts w:ascii="Arial" w:hAnsi="Arial" w:cs="Arial" w:eastAsia="仿宋_GB2312;仿宋"/>
          <w:bCs/>
          <w:sz w:val="21"/>
          <w:szCs w:val="21"/>
        </w:rPr>
        <w:t>成新折余率</w:t>
      </w:r>
      <w:r>
        <w:rPr>
          <w:rFonts w:eastAsia="仿宋_GB2312;仿宋" w:cs="Arial" w:ascii="Arial" w:hAnsi="Arial"/>
          <w:bCs/>
          <w:sz w:val="21"/>
          <w:szCs w:val="21"/>
        </w:rPr>
        <w:t>0.5=250130</w:t>
      </w:r>
      <w:r>
        <w:rPr>
          <w:rFonts w:ascii="Arial" w:hAnsi="Arial" w:cs="Arial" w:eastAsia="仿宋"/>
        </w:rPr>
        <w:t>元。</w:t>
      </w:r>
      <w:r>
        <w:rPr>
          <w:rFonts w:ascii="Arial" w:hAnsi="Arial" w:cs="Arial" w:eastAsia="仿宋_GB2312;仿宋"/>
          <w:bCs/>
          <w:sz w:val="21"/>
          <w:szCs w:val="21"/>
        </w:rPr>
        <w:t>估价对象其余平房房屋重置成新价计算过程同上所述。</w:t>
      </w:r>
    </w:p>
    <w:p>
      <w:pPr>
        <w:pStyle w:val="Normal"/>
        <w:numPr>
          <w:ilvl w:val="0"/>
          <w:numId w:val="0"/>
        </w:numPr>
        <w:spacing w:lineRule="auto" w:line="360"/>
        <w:outlineLvl w:val="0"/>
        <w:rPr>
          <w:rFonts w:ascii="Arial" w:hAnsi="Arial" w:eastAsia="仿宋_GB2312;仿宋" w:cs="Arial"/>
          <w:sz w:val="28"/>
          <w:szCs w:val="28"/>
        </w:rPr>
      </w:pPr>
      <w:r>
        <w:rPr>
          <w:rFonts w:ascii="Arial" w:hAnsi="Arial" w:cs="Arial" w:eastAsia="仿宋_GB2312;仿宋"/>
          <w:bCs/>
          <w:sz w:val="28"/>
        </w:rPr>
        <w:t>（三）</w:t>
      </w:r>
      <w:r>
        <w:rPr>
          <w:rFonts w:ascii="Arial" w:hAnsi="Arial" w:cs="Arial" w:eastAsia="仿宋_GB2312;仿宋"/>
          <w:sz w:val="28"/>
        </w:rPr>
        <w:t>附属物</w:t>
      </w:r>
    </w:p>
    <w:p>
      <w:pPr>
        <w:pStyle w:val="Normal"/>
        <w:numPr>
          <w:ilvl w:val="0"/>
          <w:numId w:val="0"/>
        </w:numPr>
        <w:spacing w:lineRule="auto" w:line="360"/>
        <w:ind w:firstLine="560"/>
        <w:jc w:val="both"/>
        <w:outlineLvl w:val="0"/>
        <w:rPr/>
      </w:pPr>
      <w:r>
        <w:rPr>
          <w:rFonts w:ascii="Arial" w:hAnsi="Arial" w:cs="Arial" w:eastAsia="仿宋_GB2312;仿宋"/>
          <w:sz w:val="28"/>
        </w:rPr>
        <w:t>附属物、无法恢复使用的设施设备价格的评估均参照《关于发布</w:t>
      </w:r>
      <w:r>
        <w:rPr>
          <w:rFonts w:eastAsia="仿宋_GB2312;仿宋" w:cs="Arial" w:ascii="Arial" w:hAnsi="Arial"/>
          <w:sz w:val="28"/>
        </w:rPr>
        <w:t>&lt;</w:t>
      </w:r>
      <w:r>
        <w:rPr>
          <w:rFonts w:ascii="Arial" w:hAnsi="Arial" w:cs="Arial" w:eastAsia="仿宋_GB2312;仿宋"/>
          <w:sz w:val="28"/>
        </w:rPr>
        <w:t>北京市房屋重置成新价评估技术标准</w:t>
      </w:r>
      <w:r>
        <w:rPr>
          <w:rFonts w:eastAsia="仿宋_GB2312;仿宋" w:cs="Arial" w:ascii="Arial" w:hAnsi="Arial"/>
          <w:sz w:val="28"/>
        </w:rPr>
        <w:t>&gt;</w:t>
      </w:r>
      <w:r>
        <w:rPr>
          <w:rFonts w:ascii="Arial" w:hAnsi="Arial" w:cs="Arial" w:eastAsia="仿宋_GB2312;仿宋"/>
          <w:sz w:val="28"/>
        </w:rPr>
        <w:t>的通知》（北估秘</w:t>
      </w:r>
      <w:r>
        <w:rPr>
          <w:rFonts w:eastAsia="仿宋_GB2312;仿宋" w:cs="Arial" w:ascii="Arial" w:hAnsi="Arial"/>
          <w:sz w:val="28"/>
        </w:rPr>
        <w:t>[2016]001</w:t>
      </w:r>
      <w:r>
        <w:rPr>
          <w:rFonts w:ascii="Arial" w:hAnsi="Arial" w:cs="Arial" w:eastAsia="仿宋_GB2312;仿宋"/>
          <w:sz w:val="28"/>
        </w:rPr>
        <w:t>号）</w:t>
      </w:r>
      <w:r>
        <w:rPr>
          <w:rFonts w:ascii="Arial" w:hAnsi="Arial" w:cs="Arial" w:eastAsia="仿宋_GB2312;仿宋"/>
          <w:sz w:val="28"/>
        </w:rPr>
        <w:t>、</w:t>
      </w:r>
      <w:r>
        <w:rPr>
          <w:rFonts w:ascii="Arial" w:hAnsi="Arial" w:cs="Arial" w:eastAsia="仿宋_GB2312;仿宋"/>
          <w:sz w:val="28"/>
        </w:rPr>
        <w:t>《关于调整〈北京市房屋重置成新价评估技术标准〉相关系数的通知》</w:t>
      </w:r>
      <w:r>
        <w:rPr>
          <w:rFonts w:ascii="Arial" w:hAnsi="Arial" w:cs="Arial" w:eastAsia="仿宋_GB2312;仿宋"/>
          <w:sz w:val="28"/>
        </w:rPr>
        <w:t>（</w:t>
      </w:r>
      <w:r>
        <w:rPr>
          <w:rFonts w:eastAsia="仿宋_GB2312;仿宋" w:cs="Arial" w:ascii="Arial" w:hAnsi="Arial"/>
          <w:sz w:val="28"/>
        </w:rPr>
        <w:t>2021</w:t>
      </w:r>
      <w:r>
        <w:rPr>
          <w:rFonts w:ascii="Arial" w:hAnsi="Arial" w:cs="Arial" w:eastAsia="仿宋_GB2312;仿宋"/>
          <w:sz w:val="28"/>
        </w:rPr>
        <w:t>年</w:t>
      </w:r>
      <w:r>
        <w:rPr>
          <w:rFonts w:eastAsia="仿宋_GB2312;仿宋" w:cs="Arial" w:ascii="Arial" w:hAnsi="Arial"/>
          <w:sz w:val="28"/>
        </w:rPr>
        <w:t>9</w:t>
      </w:r>
      <w:r>
        <w:rPr>
          <w:rFonts w:ascii="Arial" w:hAnsi="Arial" w:cs="Arial" w:eastAsia="仿宋_GB2312;仿宋"/>
          <w:sz w:val="28"/>
        </w:rPr>
        <w:t>月</w:t>
      </w:r>
      <w:r>
        <w:rPr>
          <w:rFonts w:eastAsia="仿宋_GB2312;仿宋" w:cs="Arial" w:ascii="Arial" w:hAnsi="Arial"/>
          <w:sz w:val="28"/>
        </w:rPr>
        <w:t>10</w:t>
      </w:r>
      <w:r>
        <w:rPr>
          <w:rFonts w:ascii="Arial" w:hAnsi="Arial" w:cs="Arial" w:eastAsia="仿宋_GB2312;仿宋"/>
          <w:sz w:val="28"/>
        </w:rPr>
        <w:t>日发布）</w:t>
      </w:r>
      <w:r>
        <w:rPr>
          <w:rFonts w:ascii="Arial" w:hAnsi="Arial" w:cs="Arial" w:eastAsia="仿宋_GB2312;仿宋"/>
          <w:sz w:val="28"/>
        </w:rPr>
        <w:t>文件规定。</w:t>
      </w:r>
    </w:p>
    <w:p>
      <w:pPr>
        <w:pStyle w:val="Normal"/>
        <w:numPr>
          <w:ilvl w:val="0"/>
          <w:numId w:val="0"/>
        </w:numPr>
        <w:spacing w:lineRule="auto" w:line="360"/>
        <w:ind w:firstLine="560"/>
        <w:jc w:val="both"/>
        <w:outlineLvl w:val="0"/>
        <w:rPr>
          <w:rFonts w:cs="Arial"/>
        </w:rPr>
      </w:pPr>
      <w:r>
        <w:rPr>
          <w:rFonts w:ascii="Arial" w:hAnsi="Arial" w:cs="Arial" w:eastAsia="仿宋_GB2312;仿宋"/>
          <w:sz w:val="28"/>
          <w:szCs w:val="28"/>
        </w:rPr>
        <w:t>根据评估专业人员实地查勘及不动产权利人介绍，地上共有树木</w:t>
      </w:r>
      <w:r>
        <w:rPr>
          <w:rFonts w:eastAsia="仿宋_GB2312;仿宋" w:cs="Arial" w:ascii="Arial" w:hAnsi="Arial"/>
          <w:sz w:val="28"/>
          <w:szCs w:val="28"/>
        </w:rPr>
        <w:t>26</w:t>
      </w:r>
      <w:r>
        <w:rPr>
          <w:rFonts w:ascii="Arial" w:hAnsi="Arial" w:cs="Arial" w:eastAsia="仿宋_GB2312;仿宋"/>
          <w:sz w:val="28"/>
          <w:szCs w:val="28"/>
        </w:rPr>
        <w:t>株，估价结果合计</w:t>
      </w:r>
      <w:r>
        <w:rPr>
          <w:rFonts w:eastAsia="仿宋_GB2312;仿宋" w:cs="Arial" w:ascii="Arial" w:hAnsi="Arial"/>
          <w:sz w:val="28"/>
          <w:szCs w:val="28"/>
        </w:rPr>
        <w:t>5.5680</w:t>
      </w:r>
      <w:r>
        <w:rPr>
          <w:rFonts w:ascii="Arial" w:hAnsi="Arial" w:cs="Arial" w:eastAsia="仿宋_GB2312;仿宋"/>
          <w:sz w:val="28"/>
          <w:szCs w:val="28"/>
        </w:rPr>
        <w:t>万元，详见下表。</w:t>
      </w:r>
    </w:p>
    <w:tbl>
      <w:tblPr>
        <w:tblW w:w="5000" w:type="pct"/>
        <w:jc w:val="left"/>
        <w:tblInd w:w="-113" w:type="dxa"/>
        <w:tblCellMar>
          <w:top w:w="0" w:type="dxa"/>
          <w:left w:w="108" w:type="dxa"/>
          <w:bottom w:w="0" w:type="dxa"/>
          <w:right w:w="108" w:type="dxa"/>
        </w:tblCellMar>
      </w:tblPr>
      <w:tblGrid>
        <w:gridCol w:w="726"/>
        <w:gridCol w:w="1241"/>
        <w:gridCol w:w="1612"/>
        <w:gridCol w:w="1498"/>
        <w:gridCol w:w="2455"/>
        <w:gridCol w:w="1766"/>
      </w:tblGrid>
      <w:tr>
        <w:trPr>
          <w:tblHeader w:val="true"/>
          <w:trHeight w:val="285" w:hRule="atLeast"/>
        </w:trPr>
        <w:tc>
          <w:tcPr>
            <w:tcW w:w="726" w:type="dxa"/>
            <w:tcBorders>
              <w:top w:val="single" w:sz="4" w:space="0" w:color="000000"/>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ascii="Arial" w:hAnsi="Arial" w:cs="Arial" w:eastAsia="仿宋_GB2312;仿宋"/>
                <w:b/>
                <w:sz w:val="28"/>
                <w:szCs w:val="21"/>
              </w:rPr>
              <w:t>序号</w:t>
            </w:r>
          </w:p>
        </w:tc>
        <w:tc>
          <w:tcPr>
            <w:tcW w:w="1241" w:type="dxa"/>
            <w:tcBorders>
              <w:top w:val="single" w:sz="4" w:space="0" w:color="000000"/>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ascii="Arial" w:hAnsi="Arial" w:cs="Arial" w:eastAsia="仿宋_GB2312;仿宋"/>
                <w:b/>
                <w:sz w:val="28"/>
                <w:szCs w:val="21"/>
              </w:rPr>
              <w:t>树木种类</w:t>
            </w:r>
          </w:p>
        </w:tc>
        <w:tc>
          <w:tcPr>
            <w:tcW w:w="1612" w:type="dxa"/>
            <w:tcBorders>
              <w:top w:val="single" w:sz="4" w:space="0" w:color="000000"/>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ascii="Arial" w:hAnsi="Arial" w:cs="Arial" w:eastAsia="仿宋_GB2312;仿宋"/>
                <w:b/>
                <w:sz w:val="28"/>
                <w:szCs w:val="21"/>
              </w:rPr>
              <w:t>胸径（</w:t>
            </w:r>
            <w:r>
              <w:rPr>
                <w:rFonts w:eastAsia="仿宋_GB2312;仿宋" w:cs="Arial" w:ascii="Arial" w:hAnsi="Arial"/>
                <w:b/>
                <w:sz w:val="28"/>
                <w:szCs w:val="21"/>
              </w:rPr>
              <w:t>cm</w:t>
            </w:r>
            <w:r>
              <w:rPr>
                <w:rFonts w:ascii="Arial" w:hAnsi="Arial" w:cs="Arial" w:eastAsia="仿宋_GB2312;仿宋"/>
                <w:b/>
                <w:sz w:val="28"/>
                <w:szCs w:val="21"/>
              </w:rPr>
              <w:t>）</w:t>
            </w:r>
          </w:p>
        </w:tc>
        <w:tc>
          <w:tcPr>
            <w:tcW w:w="1498" w:type="dxa"/>
            <w:tcBorders>
              <w:top w:val="single" w:sz="4" w:space="0" w:color="000000"/>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ascii="Arial" w:hAnsi="Arial" w:cs="Arial" w:eastAsia="仿宋_GB2312;仿宋"/>
                <w:b/>
                <w:sz w:val="28"/>
                <w:szCs w:val="21"/>
              </w:rPr>
              <w:t>数量（株）</w:t>
            </w:r>
          </w:p>
        </w:tc>
        <w:tc>
          <w:tcPr>
            <w:tcW w:w="2455" w:type="dxa"/>
            <w:tcBorders>
              <w:top w:val="single" w:sz="4" w:space="0" w:color="000000"/>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ascii="Arial" w:hAnsi="Arial" w:cs="Arial" w:eastAsia="仿宋_GB2312;仿宋"/>
                <w:b/>
                <w:sz w:val="28"/>
                <w:szCs w:val="21"/>
              </w:rPr>
              <w:t>补偿单价（元</w:t>
            </w:r>
            <w:r>
              <w:rPr>
                <w:rFonts w:eastAsia="仿宋_GB2312;仿宋" w:cs="Arial" w:ascii="Arial" w:hAnsi="Arial"/>
                <w:b/>
                <w:sz w:val="28"/>
                <w:szCs w:val="21"/>
              </w:rPr>
              <w:t>/cm</w:t>
            </w:r>
            <w:r>
              <w:rPr>
                <w:rFonts w:ascii="Arial" w:hAnsi="Arial" w:cs="Arial" w:eastAsia="仿宋_GB2312;仿宋"/>
                <w:b/>
                <w:sz w:val="28"/>
                <w:szCs w:val="21"/>
              </w:rPr>
              <w:t>）</w:t>
            </w:r>
          </w:p>
        </w:tc>
        <w:tc>
          <w:tcPr>
            <w:tcW w:w="1766"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ascii="Arial" w:hAnsi="Arial" w:cs="Arial" w:eastAsia="仿宋_GB2312;仿宋"/>
                <w:b/>
                <w:sz w:val="28"/>
                <w:szCs w:val="21"/>
              </w:rPr>
              <w:t>评估价（元）</w:t>
            </w:r>
          </w:p>
        </w:tc>
      </w:tr>
      <w:tr>
        <w:trPr>
          <w:trHeight w:val="315" w:hRule="atLeast"/>
        </w:trPr>
        <w:tc>
          <w:tcPr>
            <w:tcW w:w="726"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1</w:t>
            </w:r>
          </w:p>
        </w:tc>
        <w:tc>
          <w:tcPr>
            <w:tcW w:w="1241"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sz w:val="28"/>
                <w:szCs w:val="21"/>
              </w:rPr>
            </w:pPr>
            <w:r>
              <w:rPr>
                <w:rFonts w:ascii="Arial" w:hAnsi="Arial" w:cs="Arial" w:eastAsia="仿宋_GB2312;仿宋"/>
                <w:sz w:val="28"/>
                <w:szCs w:val="21"/>
              </w:rPr>
              <w:t>柳树</w:t>
            </w:r>
          </w:p>
        </w:tc>
        <w:tc>
          <w:tcPr>
            <w:tcW w:w="1612"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30—39</w:t>
            </w:r>
          </w:p>
        </w:tc>
        <w:tc>
          <w:tcPr>
            <w:tcW w:w="1498"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2</w:t>
            </w:r>
          </w:p>
        </w:tc>
        <w:tc>
          <w:tcPr>
            <w:tcW w:w="2455"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32</w:t>
            </w:r>
          </w:p>
        </w:tc>
        <w:tc>
          <w:tcPr>
            <w:tcW w:w="1766" w:type="dxa"/>
            <w:tcBorders>
              <w:left w:val="single" w:sz="4" w:space="0" w:color="000000"/>
              <w:bottom w:val="single" w:sz="4" w:space="0" w:color="000000"/>
              <w:right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1920</w:t>
            </w:r>
          </w:p>
        </w:tc>
      </w:tr>
      <w:tr>
        <w:trPr>
          <w:trHeight w:val="285" w:hRule="atLeast"/>
        </w:trPr>
        <w:tc>
          <w:tcPr>
            <w:tcW w:w="726"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2</w:t>
            </w:r>
          </w:p>
        </w:tc>
        <w:tc>
          <w:tcPr>
            <w:tcW w:w="1241"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sz w:val="28"/>
                <w:szCs w:val="21"/>
              </w:rPr>
            </w:pPr>
            <w:r>
              <w:rPr>
                <w:rFonts w:ascii="Arial" w:hAnsi="Arial" w:cs="Arial" w:eastAsia="仿宋_GB2312;仿宋"/>
                <w:sz w:val="28"/>
                <w:szCs w:val="21"/>
              </w:rPr>
              <w:t>杨树</w:t>
            </w:r>
          </w:p>
        </w:tc>
        <w:tc>
          <w:tcPr>
            <w:tcW w:w="1612"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40—49</w:t>
            </w:r>
          </w:p>
        </w:tc>
        <w:tc>
          <w:tcPr>
            <w:tcW w:w="1498"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24</w:t>
            </w:r>
          </w:p>
        </w:tc>
        <w:tc>
          <w:tcPr>
            <w:tcW w:w="2455" w:type="dxa"/>
            <w:tcBorders>
              <w:left w:val="single" w:sz="4" w:space="0" w:color="000000"/>
              <w:bottom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56</w:t>
            </w:r>
          </w:p>
        </w:tc>
        <w:tc>
          <w:tcPr>
            <w:tcW w:w="1766" w:type="dxa"/>
            <w:tcBorders>
              <w:left w:val="single" w:sz="4" w:space="0" w:color="000000"/>
              <w:bottom w:val="single" w:sz="4" w:space="0" w:color="000000"/>
              <w:right w:val="single" w:sz="4" w:space="0" w:color="000000"/>
            </w:tcBorders>
            <w:shd w:fill="FFFFFF"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53760</w:t>
            </w:r>
          </w:p>
        </w:tc>
      </w:tr>
      <w:tr>
        <w:trPr>
          <w:trHeight w:val="285" w:hRule="atLeast"/>
        </w:trPr>
        <w:tc>
          <w:tcPr>
            <w:tcW w:w="3579" w:type="dxa"/>
            <w:gridSpan w:val="3"/>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ascii="Arial" w:hAnsi="Arial" w:cs="Arial" w:eastAsia="仿宋_GB2312;仿宋"/>
                <w:sz w:val="28"/>
                <w:szCs w:val="21"/>
              </w:rPr>
              <w:t>合计</w:t>
            </w:r>
          </w:p>
        </w:tc>
        <w:tc>
          <w:tcPr>
            <w:tcW w:w="149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26</w:t>
            </w:r>
          </w:p>
        </w:tc>
        <w:tc>
          <w:tcPr>
            <w:tcW w:w="2455"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ascii="Arial" w:hAnsi="Arial" w:cs="Arial" w:eastAsia="仿宋_GB2312;仿宋"/>
                <w:sz w:val="28"/>
                <w:szCs w:val="21"/>
              </w:rPr>
              <w:t>——</w:t>
            </w:r>
          </w:p>
        </w:tc>
        <w:tc>
          <w:tcPr>
            <w:tcW w:w="17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55680</w:t>
            </w:r>
          </w:p>
        </w:tc>
      </w:tr>
    </w:tbl>
    <w:p>
      <w:pPr>
        <w:pStyle w:val="Normal"/>
        <w:numPr>
          <w:ilvl w:val="0"/>
          <w:numId w:val="0"/>
        </w:numPr>
        <w:spacing w:lineRule="auto" w:line="360" w:before="120" w:after="0"/>
        <w:ind w:firstLine="420"/>
        <w:outlineLvl w:val="0"/>
        <w:rPr>
          <w:rFonts w:ascii="Arial" w:hAnsi="Arial" w:eastAsia="仿宋_GB2312;仿宋" w:cs="Arial"/>
          <w:sz w:val="21"/>
          <w:szCs w:val="21"/>
        </w:rPr>
      </w:pPr>
      <w:r>
        <w:rPr>
          <w:rFonts w:ascii="Arial" w:hAnsi="Arial" w:cs="Arial" w:eastAsia="仿宋_GB2312;仿宋"/>
          <w:sz w:val="21"/>
          <w:szCs w:val="21"/>
        </w:rPr>
        <w:t>备注：总价</w:t>
      </w:r>
      <w:r>
        <w:rPr>
          <w:rFonts w:eastAsia="仿宋_GB2312;仿宋" w:cs="Arial" w:ascii="Arial" w:hAnsi="Arial"/>
          <w:sz w:val="21"/>
          <w:szCs w:val="21"/>
        </w:rPr>
        <w:t>=</w:t>
      </w:r>
      <w:r>
        <w:rPr>
          <w:rFonts w:ascii="Arial" w:hAnsi="Arial" w:cs="Arial" w:eastAsia="仿宋_GB2312;仿宋"/>
          <w:sz w:val="21"/>
          <w:szCs w:val="21"/>
        </w:rPr>
        <w:t>单价（元</w:t>
      </w:r>
      <w:r>
        <w:rPr>
          <w:rFonts w:eastAsia="仿宋_GB2312;仿宋" w:cs="Arial" w:ascii="Arial" w:hAnsi="Arial"/>
          <w:sz w:val="21"/>
          <w:szCs w:val="21"/>
        </w:rPr>
        <w:t>/</w:t>
      </w:r>
      <w:r>
        <w:rPr>
          <w:rFonts w:ascii="Arial" w:hAnsi="Arial" w:cs="Arial" w:eastAsia="仿宋_GB2312;仿宋"/>
          <w:sz w:val="21"/>
          <w:szCs w:val="21"/>
        </w:rPr>
        <w:t>株）</w:t>
      </w:r>
      <w:r>
        <w:rPr>
          <w:rFonts w:eastAsia="仿宋_GB2312;仿宋" w:cs="Arial" w:ascii="Arial" w:hAnsi="Arial"/>
          <w:sz w:val="21"/>
          <w:szCs w:val="21"/>
        </w:rPr>
        <w:t>×</w:t>
      </w:r>
      <w:r>
        <w:rPr>
          <w:rFonts w:ascii="Arial" w:hAnsi="Arial" w:cs="Arial" w:eastAsia="仿宋_GB2312;仿宋"/>
          <w:sz w:val="21"/>
          <w:szCs w:val="21"/>
        </w:rPr>
        <w:t>数量（株）</w:t>
      </w:r>
    </w:p>
    <w:p>
      <w:pPr>
        <w:pStyle w:val="Normal"/>
        <w:numPr>
          <w:ilvl w:val="0"/>
          <w:numId w:val="0"/>
        </w:numPr>
        <w:spacing w:lineRule="auto" w:line="360"/>
        <w:ind w:firstLine="560"/>
        <w:outlineLvl w:val="0"/>
        <w:rPr>
          <w:rFonts w:cs="Arial"/>
        </w:rPr>
      </w:pPr>
      <w:r>
        <w:rPr>
          <w:rFonts w:ascii="Arial" w:hAnsi="Arial" w:cs="Arial" w:eastAsia="仿宋_GB2312;仿宋"/>
          <w:sz w:val="28"/>
        </w:rPr>
        <w:t>其余附属物的具体内容及估价结果详见下表：</w:t>
      </w:r>
    </w:p>
    <w:tbl>
      <w:tblPr>
        <w:tblW w:w="5000" w:type="pct"/>
        <w:jc w:val="left"/>
        <w:tblInd w:w="-113" w:type="dxa"/>
        <w:tblCellMar>
          <w:top w:w="0" w:type="dxa"/>
          <w:left w:w="108" w:type="dxa"/>
          <w:bottom w:w="0" w:type="dxa"/>
          <w:right w:w="108" w:type="dxa"/>
        </w:tblCellMar>
      </w:tblPr>
      <w:tblGrid>
        <w:gridCol w:w="850"/>
        <w:gridCol w:w="2125"/>
        <w:gridCol w:w="1031"/>
        <w:gridCol w:w="1200"/>
        <w:gridCol w:w="1200"/>
        <w:gridCol w:w="1298"/>
        <w:gridCol w:w="1594"/>
      </w:tblGrid>
      <w:tr>
        <w:trPr>
          <w:tblHeader w:val="true"/>
          <w:trHeight w:val="300" w:hRule="atLeast"/>
        </w:trPr>
        <w:tc>
          <w:tcPr>
            <w:tcW w:w="850"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1"/>
              </w:rPr>
            </w:pPr>
            <w:bookmarkStart w:id="57" w:name="_Hlk149323299"/>
            <w:bookmarkEnd w:id="57"/>
            <w:r>
              <w:rPr>
                <w:rFonts w:ascii="Arial" w:hAnsi="Arial" w:cs="Arial" w:eastAsia="仿宋_GB2312;仿宋"/>
                <w:b/>
                <w:sz w:val="28"/>
                <w:szCs w:val="21"/>
              </w:rPr>
              <w:t>序号</w:t>
            </w:r>
          </w:p>
        </w:tc>
        <w:tc>
          <w:tcPr>
            <w:tcW w:w="2125"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ascii="Arial" w:hAnsi="Arial" w:cs="Arial" w:eastAsia="仿宋_GB2312;仿宋"/>
                <w:b/>
                <w:sz w:val="28"/>
                <w:szCs w:val="21"/>
              </w:rPr>
              <w:t>名称</w:t>
            </w:r>
          </w:p>
        </w:tc>
        <w:tc>
          <w:tcPr>
            <w:tcW w:w="103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ascii="Arial" w:hAnsi="Arial" w:cs="Arial" w:eastAsia="仿宋_GB2312;仿宋"/>
                <w:b/>
                <w:sz w:val="28"/>
                <w:szCs w:val="21"/>
              </w:rPr>
              <w:t>单位</w:t>
            </w:r>
          </w:p>
        </w:tc>
        <w:tc>
          <w:tcPr>
            <w:tcW w:w="1200"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ascii="Arial" w:hAnsi="Arial" w:cs="Arial" w:eastAsia="仿宋_GB2312;仿宋"/>
                <w:b/>
                <w:sz w:val="28"/>
                <w:szCs w:val="21"/>
              </w:rPr>
              <w:t>数量</w:t>
            </w:r>
          </w:p>
        </w:tc>
        <w:tc>
          <w:tcPr>
            <w:tcW w:w="1200"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ascii="Arial" w:hAnsi="Arial" w:cs="Arial" w:eastAsia="仿宋_GB2312;仿宋"/>
                <w:b/>
                <w:sz w:val="28"/>
                <w:szCs w:val="21"/>
              </w:rPr>
              <w:t>分数</w:t>
            </w:r>
          </w:p>
        </w:tc>
        <w:tc>
          <w:tcPr>
            <w:tcW w:w="129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ascii="Arial" w:hAnsi="Arial" w:cs="Arial" w:eastAsia="仿宋_GB2312;仿宋"/>
                <w:b/>
                <w:sz w:val="28"/>
                <w:szCs w:val="21"/>
              </w:rPr>
              <w:t>成新率</w:t>
            </w:r>
          </w:p>
        </w:tc>
        <w:tc>
          <w:tcPr>
            <w:tcW w:w="15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1"/>
              </w:rPr>
            </w:pPr>
            <w:r>
              <w:rPr>
                <w:rFonts w:ascii="Arial" w:hAnsi="Arial" w:cs="Arial" w:eastAsia="仿宋_GB2312;仿宋"/>
                <w:b/>
                <w:sz w:val="28"/>
                <w:szCs w:val="21"/>
              </w:rPr>
              <w:t>金额（元）</w:t>
            </w:r>
          </w:p>
        </w:tc>
      </w:tr>
      <w:tr>
        <w:trPr>
          <w:trHeight w:val="300" w:hRule="atLeast"/>
        </w:trPr>
        <w:tc>
          <w:tcPr>
            <w:tcW w:w="85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1</w:t>
            </w:r>
          </w:p>
        </w:tc>
        <w:tc>
          <w:tcPr>
            <w:tcW w:w="212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ascii="Arial" w:hAnsi="Arial" w:cs="Arial" w:eastAsia="仿宋_GB2312;仿宋"/>
                <w:sz w:val="28"/>
                <w:szCs w:val="21"/>
              </w:rPr>
              <w:t>院地</w:t>
            </w:r>
            <w:r>
              <w:rPr>
                <w:rFonts w:eastAsia="仿宋_GB2312;仿宋" w:cs="Arial" w:ascii="Arial" w:hAnsi="Arial"/>
                <w:sz w:val="28"/>
                <w:szCs w:val="21"/>
              </w:rPr>
              <w:t>-</w:t>
            </w:r>
            <w:r>
              <w:rPr>
                <w:rFonts w:ascii="Arial" w:hAnsi="Arial" w:cs="Arial" w:eastAsia="仿宋_GB2312;仿宋"/>
                <w:sz w:val="28"/>
                <w:szCs w:val="21"/>
              </w:rPr>
              <w:t>方砖</w:t>
            </w:r>
          </w:p>
        </w:tc>
        <w:tc>
          <w:tcPr>
            <w:tcW w:w="1031"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ascii="Arial" w:hAnsi="Arial" w:cs="Arial" w:eastAsia="仿宋_GB2312;仿宋"/>
                <w:sz w:val="28"/>
                <w:szCs w:val="21"/>
              </w:rPr>
              <w:t>平方米</w:t>
            </w:r>
          </w:p>
        </w:tc>
        <w:tc>
          <w:tcPr>
            <w:tcW w:w="1200" w:type="dxa"/>
            <w:tcBorders>
              <w:left w:val="single" w:sz="4" w:space="0" w:color="000000"/>
              <w:bottom w:val="single" w:sz="4" w:space="0" w:color="000000"/>
            </w:tcBorders>
            <w:shd w:fill="auto" w:val="clea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188.68</w:t>
            </w:r>
          </w:p>
        </w:tc>
        <w:tc>
          <w:tcPr>
            <w:tcW w:w="120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0.42</w:t>
            </w:r>
          </w:p>
        </w:tc>
        <w:tc>
          <w:tcPr>
            <w:tcW w:w="1298" w:type="dxa"/>
            <w:tcBorders>
              <w:left w:val="single" w:sz="4" w:space="0" w:color="000000"/>
              <w:bottom w:val="single" w:sz="4" w:space="0" w:color="000000"/>
            </w:tcBorders>
            <w:shd w:fill="auto" w:val="clea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6</w:t>
            </w:r>
          </w:p>
        </w:tc>
        <w:tc>
          <w:tcPr>
            <w:tcW w:w="1594" w:type="dxa"/>
            <w:tcBorders>
              <w:left w:val="single" w:sz="4" w:space="0" w:color="000000"/>
              <w:bottom w:val="single" w:sz="4" w:space="0" w:color="000000"/>
              <w:right w:val="single" w:sz="4" w:space="0" w:color="000000"/>
            </w:tcBorders>
            <w:shd w:fill="auto" w:val="clea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16222</w:t>
            </w:r>
          </w:p>
        </w:tc>
      </w:tr>
      <w:tr>
        <w:trPr>
          <w:trHeight w:val="300" w:hRule="atLeast"/>
        </w:trPr>
        <w:tc>
          <w:tcPr>
            <w:tcW w:w="85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2</w:t>
            </w:r>
          </w:p>
        </w:tc>
        <w:tc>
          <w:tcPr>
            <w:tcW w:w="2125"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ascii="Arial" w:hAnsi="Arial" w:cs="Arial" w:eastAsia="仿宋_GB2312;仿宋"/>
                <w:sz w:val="28"/>
                <w:szCs w:val="21"/>
              </w:rPr>
              <w:t>院地</w:t>
            </w:r>
            <w:r>
              <w:rPr>
                <w:rFonts w:eastAsia="仿宋_GB2312;仿宋" w:cs="Arial" w:ascii="Arial" w:hAnsi="Arial"/>
                <w:sz w:val="28"/>
                <w:szCs w:val="21"/>
              </w:rPr>
              <w:t>-</w:t>
            </w:r>
            <w:r>
              <w:rPr>
                <w:rFonts w:ascii="Arial" w:hAnsi="Arial" w:cs="Arial" w:eastAsia="仿宋_GB2312;仿宋"/>
                <w:sz w:val="28"/>
                <w:szCs w:val="21"/>
              </w:rPr>
              <w:t>水泥</w:t>
            </w:r>
          </w:p>
        </w:tc>
        <w:tc>
          <w:tcPr>
            <w:tcW w:w="1031"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ascii="Arial" w:hAnsi="Arial" w:cs="Arial" w:eastAsia="仿宋_GB2312;仿宋"/>
                <w:sz w:val="28"/>
                <w:szCs w:val="21"/>
              </w:rPr>
              <w:t>平方米</w:t>
            </w:r>
          </w:p>
        </w:tc>
        <w:tc>
          <w:tcPr>
            <w:tcW w:w="1200" w:type="dxa"/>
            <w:tcBorders>
              <w:left w:val="single" w:sz="4" w:space="0" w:color="000000"/>
              <w:bottom w:val="single" w:sz="4" w:space="0" w:color="000000"/>
            </w:tcBorders>
            <w:shd w:fill="auto" w:val="clea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1010.63</w:t>
            </w:r>
          </w:p>
        </w:tc>
        <w:tc>
          <w:tcPr>
            <w:tcW w:w="1200"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0.21</w:t>
            </w:r>
          </w:p>
        </w:tc>
        <w:tc>
          <w:tcPr>
            <w:tcW w:w="1298" w:type="dxa"/>
            <w:tcBorders>
              <w:left w:val="single" w:sz="4" w:space="0" w:color="000000"/>
              <w:bottom w:val="single" w:sz="4" w:space="0" w:color="000000"/>
            </w:tcBorders>
            <w:shd w:fill="auto" w:val="clea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6</w:t>
            </w:r>
          </w:p>
        </w:tc>
        <w:tc>
          <w:tcPr>
            <w:tcW w:w="1594" w:type="dxa"/>
            <w:tcBorders>
              <w:left w:val="single" w:sz="4" w:space="0" w:color="000000"/>
              <w:bottom w:val="single" w:sz="4" w:space="0" w:color="000000"/>
              <w:right w:val="single" w:sz="4" w:space="0" w:color="000000"/>
            </w:tcBorders>
            <w:shd w:fill="auto" w:val="clea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43444</w:t>
            </w:r>
          </w:p>
        </w:tc>
      </w:tr>
      <w:tr>
        <w:trPr>
          <w:trHeight w:val="315" w:hRule="atLeast"/>
        </w:trPr>
        <w:tc>
          <w:tcPr>
            <w:tcW w:w="7704" w:type="dxa"/>
            <w:gridSpan w:val="6"/>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ascii="Arial" w:hAnsi="Arial" w:cs="Arial" w:eastAsia="仿宋_GB2312;仿宋"/>
                <w:sz w:val="28"/>
                <w:szCs w:val="21"/>
              </w:rPr>
              <w:t>合计</w:t>
            </w:r>
          </w:p>
        </w:tc>
        <w:tc>
          <w:tcPr>
            <w:tcW w:w="1594" w:type="dxa"/>
            <w:tcBorders>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1"/>
              </w:rPr>
            </w:pPr>
            <w:r>
              <w:rPr>
                <w:rFonts w:eastAsia="仿宋_GB2312;仿宋" w:cs="Arial" w:ascii="Arial" w:hAnsi="Arial"/>
                <w:sz w:val="28"/>
                <w:szCs w:val="21"/>
              </w:rPr>
              <w:t>59666</w:t>
            </w:r>
          </w:p>
        </w:tc>
      </w:tr>
    </w:tbl>
    <w:p>
      <w:pPr>
        <w:pStyle w:val="Normal"/>
        <w:numPr>
          <w:ilvl w:val="0"/>
          <w:numId w:val="0"/>
        </w:numPr>
        <w:spacing w:lineRule="auto" w:line="360" w:before="120" w:after="0"/>
        <w:ind w:firstLine="420"/>
        <w:outlineLvl w:val="0"/>
        <w:rPr>
          <w:rFonts w:ascii="Arial" w:hAnsi="Arial" w:eastAsia="仿宋_GB2312;仿宋" w:cs="Arial"/>
          <w:sz w:val="21"/>
          <w:szCs w:val="21"/>
        </w:rPr>
      </w:pPr>
      <w:r>
        <w:rPr>
          <w:rFonts w:ascii="Arial" w:hAnsi="Arial" w:cs="Arial" w:eastAsia="仿宋_GB2312;仿宋"/>
          <w:sz w:val="21"/>
          <w:szCs w:val="21"/>
        </w:rPr>
        <w:t>备注：金额</w:t>
      </w:r>
      <w:r>
        <w:rPr>
          <w:rFonts w:eastAsia="仿宋_GB2312;仿宋" w:cs="Arial" w:ascii="Arial" w:hAnsi="Arial"/>
          <w:sz w:val="21"/>
          <w:szCs w:val="21"/>
        </w:rPr>
        <w:t>=</w:t>
      </w:r>
      <w:r>
        <w:rPr>
          <w:rFonts w:ascii="Arial" w:hAnsi="Arial" w:cs="Arial" w:eastAsia="仿宋_GB2312;仿宋"/>
          <w:sz w:val="21"/>
          <w:szCs w:val="21"/>
        </w:rPr>
        <w:t>数量</w:t>
      </w:r>
      <w:r>
        <w:rPr>
          <w:rFonts w:eastAsia="仿宋_GB2312;仿宋" w:cs="Arial" w:ascii="Arial" w:hAnsi="Arial"/>
          <w:sz w:val="21"/>
          <w:szCs w:val="21"/>
        </w:rPr>
        <w:t>×</w:t>
      </w:r>
      <w:r>
        <w:rPr>
          <w:rFonts w:ascii="Arial" w:hAnsi="Arial" w:cs="Arial" w:eastAsia="仿宋_GB2312;仿宋"/>
          <w:sz w:val="21"/>
          <w:szCs w:val="21"/>
        </w:rPr>
        <w:t>分数</w:t>
      </w:r>
      <w:r>
        <w:rPr>
          <w:rFonts w:eastAsia="仿宋_GB2312;仿宋" w:cs="Arial" w:ascii="Arial" w:hAnsi="Arial"/>
          <w:sz w:val="21"/>
          <w:szCs w:val="21"/>
        </w:rPr>
        <w:t>×</w:t>
      </w:r>
      <w:r>
        <w:rPr>
          <w:rFonts w:ascii="Arial" w:hAnsi="Arial" w:cs="Arial" w:eastAsia="仿宋_GB2312;仿宋"/>
          <w:sz w:val="21"/>
          <w:szCs w:val="21"/>
        </w:rPr>
        <w:t>成新率</w:t>
      </w:r>
      <w:r>
        <w:rPr>
          <w:rFonts w:eastAsia="仿宋_GB2312;仿宋" w:cs="Arial" w:ascii="Arial" w:hAnsi="Arial"/>
          <w:bCs/>
          <w:sz w:val="21"/>
          <w:szCs w:val="21"/>
        </w:rPr>
        <w:t>×</w:t>
      </w:r>
      <w:r>
        <w:rPr>
          <w:rFonts w:ascii="Arial" w:hAnsi="Arial" w:cs="Arial" w:eastAsia="仿宋_GB2312;仿宋"/>
          <w:bCs/>
          <w:sz w:val="21"/>
          <w:szCs w:val="21"/>
        </w:rPr>
        <w:t>基本分值</w:t>
      </w:r>
    </w:p>
    <w:p>
      <w:pPr>
        <w:pStyle w:val="Normal"/>
        <w:snapToGrid w:val="false"/>
        <w:spacing w:lineRule="auto" w:line="360"/>
        <w:ind w:firstLine="556"/>
        <w:jc w:val="both"/>
        <w:rPr/>
      </w:pPr>
      <w:r>
        <w:rPr>
          <w:rFonts w:ascii="Arial" w:hAnsi="Arial" w:cs="Arial" w:eastAsia="仿宋_GB2312;仿宋"/>
          <w:sz w:val="28"/>
          <w:szCs w:val="28"/>
        </w:rPr>
        <w:t>综上，本次评估估价对象附属物合计为上述两者之和，即</w:t>
      </w:r>
      <w:r>
        <w:rPr>
          <w:rFonts w:eastAsia="仿宋_GB2312;仿宋" w:cs="Arial" w:ascii="Arial" w:hAnsi="Arial"/>
          <w:sz w:val="28"/>
          <w:szCs w:val="28"/>
        </w:rPr>
        <w:t>5.5680</w:t>
      </w:r>
      <w:r>
        <w:rPr>
          <w:rFonts w:eastAsia="仿宋_GB2312;仿宋" w:cs="Arial" w:ascii="Arial" w:hAnsi="Arial"/>
          <w:sz w:val="28"/>
          <w:szCs w:val="28"/>
        </w:rPr>
        <w:t>+</w:t>
      </w:r>
      <w:r>
        <w:rPr>
          <w:rFonts w:eastAsia="仿宋_GB2312;仿宋" w:cs="Arial" w:ascii="Arial" w:hAnsi="Arial"/>
          <w:sz w:val="28"/>
          <w:szCs w:val="28"/>
        </w:rPr>
        <w:t>5.9666</w:t>
      </w:r>
      <w:r>
        <w:rPr>
          <w:rFonts w:eastAsia="仿宋_GB2312;仿宋" w:cs="Arial" w:ascii="Arial" w:hAnsi="Arial"/>
          <w:sz w:val="28"/>
          <w:szCs w:val="28"/>
        </w:rPr>
        <w:t>=</w:t>
      </w:r>
      <w:r>
        <w:rPr>
          <w:rFonts w:eastAsia="仿宋_GB2312;仿宋" w:cs="Arial" w:ascii="Arial" w:hAnsi="Arial"/>
          <w:sz w:val="28"/>
          <w:szCs w:val="28"/>
        </w:rPr>
        <w:t>11.5346</w:t>
      </w:r>
      <w:r>
        <w:rPr>
          <w:rFonts w:ascii="Arial" w:hAnsi="Arial" w:cs="Arial" w:eastAsia="仿宋_GB2312;仿宋"/>
          <w:sz w:val="28"/>
          <w:szCs w:val="28"/>
        </w:rPr>
        <w:t>万元。</w:t>
      </w:r>
    </w:p>
    <w:p>
      <w:pPr>
        <w:pStyle w:val="Normal"/>
        <w:snapToGrid w:val="false"/>
        <w:spacing w:lineRule="auto" w:line="360"/>
        <w:jc w:val="both"/>
        <w:textAlignment w:val="auto"/>
        <w:rPr>
          <w:rFonts w:ascii="Arial" w:hAnsi="Arial" w:eastAsia="仿宋_GB2312;仿宋" w:cs="Arial"/>
          <w:sz w:val="28"/>
          <w:szCs w:val="28"/>
        </w:rPr>
      </w:pPr>
      <w:r>
        <w:rPr>
          <w:rFonts w:ascii="Arial" w:hAnsi="Arial" w:cs="Arial" w:eastAsia="仿宋_GB2312;仿宋"/>
          <w:sz w:val="28"/>
        </w:rPr>
        <w:t>（四）无法恢复使用的设施设备补偿价格</w:t>
      </w:r>
    </w:p>
    <w:p>
      <w:pPr>
        <w:pStyle w:val="Normal"/>
        <w:snapToGrid w:val="false"/>
        <w:spacing w:lineRule="auto" w:line="360"/>
        <w:ind w:firstLine="560"/>
        <w:jc w:val="both"/>
        <w:textAlignment w:val="auto"/>
        <w:rPr/>
      </w:pPr>
      <w:r>
        <w:rPr>
          <w:rFonts w:ascii="Arial" w:hAnsi="Arial" w:cs="Arial" w:eastAsia="仿宋_GB2312;仿宋"/>
          <w:sz w:val="28"/>
        </w:rPr>
        <w:t>由于估价对象宗地并未进行生产，现状实际大部分土地闲置空地，经评估专业人员现场勘察，不存在因土地收购造成的无法恢复使用的设施设备情况。</w:t>
      </w:r>
    </w:p>
    <w:p>
      <w:pPr>
        <w:pStyle w:val="Normal"/>
        <w:snapToGrid w:val="false"/>
        <w:spacing w:lineRule="auto" w:line="360"/>
        <w:jc w:val="both"/>
        <w:textAlignment w:val="auto"/>
        <w:rPr/>
      </w:pPr>
      <w:r>
        <w:rPr>
          <w:rFonts w:ascii="Arial" w:hAnsi="Arial" w:cs="Arial" w:eastAsia="仿宋_GB2312;仿宋"/>
          <w:sz w:val="28"/>
          <w:szCs w:val="28"/>
        </w:rPr>
        <w:t>（五）停产停业综合补助费</w:t>
      </w:r>
    </w:p>
    <w:p>
      <w:pPr>
        <w:pStyle w:val="Normal"/>
        <w:snapToGrid w:val="false"/>
        <w:spacing w:lineRule="auto" w:line="360"/>
        <w:ind w:firstLine="555"/>
        <w:jc w:val="both"/>
        <w:rPr>
          <w:rFonts w:ascii="Arial" w:hAnsi="Arial" w:eastAsia="仿宋_GB2312;仿宋" w:cs="Arial"/>
          <w:sz w:val="28"/>
          <w:szCs w:val="28"/>
        </w:rPr>
      </w:pPr>
      <w:r>
        <w:rPr>
          <w:rFonts w:ascii="Arial" w:hAnsi="Arial" w:cs="Arial" w:eastAsia="仿宋_GB2312;仿宋"/>
          <w:sz w:val="28"/>
          <w:szCs w:val="28"/>
        </w:rPr>
        <w:t>参照《北京市国有土地上房屋征收停产停业损失补偿暂行办法》</w:t>
      </w:r>
      <w:r>
        <w:rPr>
          <w:rFonts w:eastAsia="仿宋_GB2312;仿宋" w:cs="Arial" w:ascii="Arial" w:hAnsi="Arial"/>
          <w:sz w:val="28"/>
          <w:szCs w:val="28"/>
        </w:rPr>
        <w:t>[</w:t>
      </w:r>
      <w:r>
        <w:rPr>
          <w:rFonts w:ascii="Arial" w:hAnsi="Arial" w:cs="Arial" w:eastAsia="仿宋_GB2312;仿宋"/>
          <w:sz w:val="28"/>
          <w:szCs w:val="28"/>
        </w:rPr>
        <w:t>京建法（</w:t>
      </w:r>
      <w:r>
        <w:rPr>
          <w:rFonts w:eastAsia="仿宋_GB2312;仿宋" w:cs="Arial" w:ascii="Arial" w:hAnsi="Arial"/>
          <w:sz w:val="28"/>
          <w:szCs w:val="28"/>
        </w:rPr>
        <w:t>2011</w:t>
      </w:r>
      <w:r>
        <w:rPr>
          <w:rFonts w:ascii="Arial" w:hAnsi="Arial" w:cs="Arial" w:eastAsia="仿宋_GB2312;仿宋"/>
          <w:sz w:val="28"/>
          <w:szCs w:val="28"/>
        </w:rPr>
        <w:t>）</w:t>
      </w:r>
      <w:r>
        <w:rPr>
          <w:rFonts w:eastAsia="仿宋_GB2312;仿宋" w:cs="Arial" w:ascii="Arial" w:hAnsi="Arial"/>
          <w:sz w:val="28"/>
          <w:szCs w:val="28"/>
        </w:rPr>
        <w:t>18</w:t>
      </w:r>
      <w:r>
        <w:rPr>
          <w:rFonts w:ascii="Arial" w:hAnsi="Arial" w:cs="Arial" w:eastAsia="仿宋_GB2312;仿宋"/>
          <w:sz w:val="28"/>
          <w:szCs w:val="28"/>
        </w:rPr>
        <w:t>号</w:t>
      </w:r>
      <w:r>
        <w:rPr>
          <w:rFonts w:eastAsia="仿宋_GB2312;仿宋" w:cs="Arial" w:ascii="Arial" w:hAnsi="Arial"/>
          <w:sz w:val="28"/>
          <w:szCs w:val="28"/>
        </w:rPr>
        <w:t>]</w:t>
      </w:r>
      <w:r>
        <w:rPr>
          <w:rFonts w:ascii="Arial" w:hAnsi="Arial" w:cs="Arial" w:eastAsia="仿宋_GB2312;仿宋"/>
          <w:sz w:val="28"/>
          <w:szCs w:val="28"/>
        </w:rPr>
        <w:t>，停产停业损失补偿包括房屋停产停业期间租金、净利润损失、员工生活补助费。</w:t>
      </w:r>
      <w:r>
        <w:rPr>
          <w:rFonts w:ascii="Arial" w:hAnsi="Arial" w:cs="Arial" w:eastAsia="仿宋_GB2312;仿宋"/>
          <w:sz w:val="28"/>
        </w:rPr>
        <w:t>由于估价对象宗地并未进行生产，</w:t>
      </w:r>
      <w:r>
        <w:rPr>
          <w:rFonts w:ascii="Arial" w:hAnsi="Arial" w:cs="Arial" w:eastAsia="仿宋_GB2312;仿宋"/>
          <w:sz w:val="28"/>
          <w:szCs w:val="28"/>
        </w:rPr>
        <w:t>因此，该项不计取。</w:t>
      </w:r>
    </w:p>
    <w:p>
      <w:pPr>
        <w:pStyle w:val="Normal"/>
        <w:snapToGrid w:val="false"/>
        <w:spacing w:lineRule="auto" w:line="360"/>
        <w:rPr/>
      </w:pPr>
      <w:r>
        <w:rPr>
          <w:rFonts w:ascii="Arial" w:hAnsi="Arial" w:cs="Arial" w:eastAsia="仿宋_GB2312;仿宋"/>
          <w:sz w:val="28"/>
          <w:szCs w:val="28"/>
        </w:rPr>
        <w:t>（六）搬迁、临时安置补助费</w:t>
      </w:r>
    </w:p>
    <w:p>
      <w:pPr>
        <w:pStyle w:val="Normal"/>
        <w:snapToGrid w:val="false"/>
        <w:spacing w:lineRule="auto" w:line="360"/>
        <w:ind w:firstLine="555"/>
        <w:rPr/>
      </w:pPr>
      <w:r>
        <w:rPr>
          <w:rFonts w:ascii="Arial" w:hAnsi="Arial" w:cs="Arial" w:eastAsia="仿宋_GB2312;仿宋"/>
          <w:sz w:val="28"/>
          <w:szCs w:val="28"/>
        </w:rPr>
        <w:t>参照《关于国有土地上房屋征收与补偿中有关事项的通知》</w:t>
      </w:r>
      <w:r>
        <w:rPr>
          <w:rFonts w:eastAsia="仿宋_GB2312;仿宋" w:cs="Arial" w:ascii="Arial" w:hAnsi="Arial"/>
          <w:sz w:val="28"/>
          <w:szCs w:val="28"/>
        </w:rPr>
        <w:t>[</w:t>
      </w:r>
      <w:r>
        <w:rPr>
          <w:rFonts w:ascii="Arial" w:hAnsi="Arial" w:cs="Arial" w:eastAsia="仿宋_GB2312;仿宋"/>
          <w:sz w:val="28"/>
          <w:szCs w:val="28"/>
        </w:rPr>
        <w:t>京建法</w:t>
      </w:r>
      <w:r>
        <w:rPr>
          <w:rFonts w:ascii="Arial" w:hAnsi="Arial" w:cs="Arial"/>
          <w:sz w:val="28"/>
          <w:szCs w:val="28"/>
        </w:rPr>
        <w:t>﹝</w:t>
      </w:r>
      <w:r>
        <w:rPr>
          <w:rFonts w:eastAsia="仿宋_GB2312;仿宋" w:cs="Arial" w:ascii="Arial" w:hAnsi="Arial"/>
          <w:sz w:val="28"/>
          <w:szCs w:val="28"/>
        </w:rPr>
        <w:t>2012</w:t>
      </w:r>
      <w:r>
        <w:rPr>
          <w:rFonts w:cs="Arial" w:ascii="Arial" w:hAnsi="Arial"/>
          <w:sz w:val="28"/>
          <w:szCs w:val="28"/>
        </w:rPr>
        <w:t>﹞</w:t>
      </w:r>
      <w:r>
        <w:rPr>
          <w:rFonts w:eastAsia="仿宋_GB2312;仿宋" w:cs="Arial" w:ascii="Arial" w:hAnsi="Arial"/>
          <w:sz w:val="28"/>
          <w:szCs w:val="28"/>
        </w:rPr>
        <w:t>19</w:t>
      </w:r>
      <w:r>
        <w:rPr>
          <w:rFonts w:ascii="Arial" w:hAnsi="Arial" w:cs="Arial" w:eastAsia="仿宋_GB2312;仿宋"/>
          <w:sz w:val="28"/>
          <w:szCs w:val="28"/>
        </w:rPr>
        <w:t>号</w:t>
      </w:r>
      <w:r>
        <w:rPr>
          <w:rFonts w:eastAsia="仿宋_GB2312;仿宋" w:cs="Arial" w:ascii="Arial" w:hAnsi="Arial"/>
          <w:sz w:val="28"/>
          <w:szCs w:val="28"/>
        </w:rPr>
        <w:t>]</w:t>
      </w:r>
      <w:r>
        <w:rPr>
          <w:rFonts w:ascii="Arial" w:hAnsi="Arial" w:cs="Arial" w:eastAsia="仿宋_GB2312;仿宋"/>
          <w:sz w:val="28"/>
          <w:szCs w:val="28"/>
        </w:rPr>
        <w:t>，非住宅</w:t>
      </w:r>
      <w:r>
        <w:rPr>
          <w:rFonts w:eastAsia="仿宋_GB2312;仿宋" w:cs="Arial" w:ascii="Arial" w:hAnsi="Arial"/>
          <w:sz w:val="28"/>
          <w:szCs w:val="28"/>
        </w:rPr>
        <w:t>50</w:t>
      </w:r>
      <w:r>
        <w:rPr>
          <w:rFonts w:ascii="Arial" w:hAnsi="Arial" w:cs="Arial" w:eastAsia="仿宋_GB2312;仿宋"/>
          <w:sz w:val="28"/>
          <w:szCs w:val="28"/>
        </w:rPr>
        <w:t>元</w:t>
      </w:r>
      <w:r>
        <w:rPr>
          <w:rFonts w:eastAsia="仿宋_GB2312;仿宋" w:cs="Arial" w:ascii="Arial" w:hAnsi="Arial"/>
          <w:sz w:val="28"/>
          <w:szCs w:val="28"/>
        </w:rPr>
        <w:t>/</w:t>
      </w:r>
      <w:r>
        <w:rPr>
          <w:rFonts w:ascii="Arial" w:hAnsi="Arial" w:cs="Arial" w:eastAsia="仿宋_GB2312;仿宋"/>
          <w:sz w:val="28"/>
          <w:szCs w:val="28"/>
        </w:rPr>
        <w:t>建筑平方米搬迁、临时安置补偿费。</w:t>
      </w:r>
    </w:p>
    <w:p>
      <w:pPr>
        <w:pStyle w:val="Normal"/>
        <w:snapToGrid w:val="false"/>
        <w:spacing w:lineRule="auto" w:line="360"/>
        <w:ind w:firstLine="555"/>
        <w:rPr>
          <w:rFonts w:ascii="Arial" w:hAnsi="Arial" w:eastAsia="仿宋_GB2312;仿宋" w:cs="Arial"/>
          <w:sz w:val="28"/>
          <w:szCs w:val="28"/>
        </w:rPr>
      </w:pPr>
      <w:r>
        <w:rPr>
          <w:rFonts w:ascii="Arial" w:hAnsi="Arial" w:cs="Arial" w:eastAsia="仿宋_GB2312;仿宋"/>
          <w:sz w:val="28"/>
          <w:szCs w:val="28"/>
        </w:rPr>
        <w:t>搬迁、临时安置补偿费</w:t>
      </w:r>
      <w:r>
        <w:rPr>
          <w:rFonts w:eastAsia="仿宋_GB2312;仿宋" w:cs="Arial" w:ascii="Arial" w:hAnsi="Arial"/>
          <w:sz w:val="28"/>
          <w:szCs w:val="28"/>
        </w:rPr>
        <w:t>=50×677.9</w:t>
      </w:r>
      <w:bookmarkStart w:id="58" w:name="_Hlk143088900"/>
      <w:r>
        <w:rPr>
          <w:rFonts w:eastAsia="仿宋_GB2312;仿宋" w:cs="Arial" w:ascii="Arial" w:hAnsi="Arial"/>
          <w:sz w:val="28"/>
          <w:szCs w:val="28"/>
        </w:rPr>
        <w:t>÷</w:t>
      </w:r>
      <w:bookmarkEnd w:id="58"/>
      <w:r>
        <w:rPr>
          <w:rFonts w:eastAsia="仿宋_GB2312;仿宋" w:cs="Arial" w:ascii="Arial" w:hAnsi="Arial"/>
          <w:sz w:val="28"/>
          <w:szCs w:val="28"/>
        </w:rPr>
        <w:t>10000 =3.3895</w:t>
      </w:r>
      <w:r>
        <w:rPr>
          <w:rFonts w:ascii="Arial" w:hAnsi="Arial" w:cs="Arial" w:eastAsia="仿宋_GB2312;仿宋"/>
          <w:sz w:val="28"/>
          <w:szCs w:val="28"/>
        </w:rPr>
        <w:t>（万元）</w:t>
      </w:r>
    </w:p>
    <w:p>
      <w:pPr>
        <w:pStyle w:val="Normal"/>
        <w:snapToGrid w:val="false"/>
        <w:spacing w:lineRule="auto" w:line="360"/>
        <w:rPr/>
      </w:pPr>
      <w:r>
        <w:rPr>
          <w:rFonts w:ascii="Arial" w:hAnsi="Arial" w:cs="Arial" w:eastAsia="仿宋_GB2312;仿宋"/>
          <w:sz w:val="28"/>
          <w:szCs w:val="28"/>
        </w:rPr>
        <w:t>（七）收购补偿价格评估结果</w:t>
      </w:r>
    </w:p>
    <w:p>
      <w:pPr>
        <w:pStyle w:val="Normal"/>
        <w:snapToGrid w:val="false"/>
        <w:spacing w:lineRule="auto" w:line="360"/>
        <w:jc w:val="center"/>
        <w:rPr>
          <w:rFonts w:cs="Arial"/>
        </w:rPr>
      </w:pPr>
      <w:r>
        <w:rPr>
          <w:rFonts w:ascii="Arial" w:hAnsi="Arial" w:cs="Arial" w:eastAsia="仿宋_GB2312;仿宋"/>
          <w:b/>
          <w:bCs/>
          <w:sz w:val="28"/>
          <w:szCs w:val="28"/>
        </w:rPr>
        <w:t>收购补偿价格评估结果</w:t>
      </w:r>
    </w:p>
    <w:tbl>
      <w:tblPr>
        <w:tblW w:w="5000" w:type="pct"/>
        <w:jc w:val="center"/>
        <w:tblInd w:w="0" w:type="dxa"/>
        <w:tblCellMar>
          <w:top w:w="0" w:type="dxa"/>
          <w:left w:w="108" w:type="dxa"/>
          <w:bottom w:w="0" w:type="dxa"/>
          <w:right w:w="108" w:type="dxa"/>
        </w:tblCellMar>
      </w:tblPr>
      <w:tblGrid>
        <w:gridCol w:w="889"/>
        <w:gridCol w:w="3074"/>
        <w:gridCol w:w="2109"/>
        <w:gridCol w:w="3226"/>
      </w:tblGrid>
      <w:tr>
        <w:trPr>
          <w:trHeight w:val="454" w:hRule="atLeast"/>
        </w:trPr>
        <w:tc>
          <w:tcPr>
            <w:tcW w:w="889"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序号</w:t>
            </w:r>
          </w:p>
        </w:tc>
        <w:tc>
          <w:tcPr>
            <w:tcW w:w="3074"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项目</w:t>
            </w:r>
          </w:p>
        </w:tc>
        <w:tc>
          <w:tcPr>
            <w:tcW w:w="2109"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评估价格</w:t>
            </w:r>
          </w:p>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备注</w:t>
            </w:r>
          </w:p>
        </w:tc>
      </w:tr>
      <w:tr>
        <w:trPr>
          <w:trHeight w:val="454" w:hRule="atLeast"/>
        </w:trPr>
        <w:tc>
          <w:tcPr>
            <w:tcW w:w="889"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1</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土地使用权价格</w:t>
            </w:r>
          </w:p>
        </w:tc>
        <w:tc>
          <w:tcPr>
            <w:tcW w:w="2109"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9311.6568</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采用市场比较法、成本逼近法评估测算</w:t>
            </w:r>
          </w:p>
        </w:tc>
      </w:tr>
      <w:tr>
        <w:trPr>
          <w:trHeight w:val="454" w:hRule="atLeast"/>
        </w:trPr>
        <w:tc>
          <w:tcPr>
            <w:tcW w:w="889"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2</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建（构）筑物价格</w:t>
            </w:r>
          </w:p>
        </w:tc>
        <w:tc>
          <w:tcPr>
            <w:tcW w:w="2109"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46.8404</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采用重置成本法测算</w:t>
            </w:r>
          </w:p>
        </w:tc>
      </w:tr>
      <w:tr>
        <w:trPr>
          <w:trHeight w:val="454" w:hRule="atLeast"/>
        </w:trPr>
        <w:tc>
          <w:tcPr>
            <w:tcW w:w="889"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3</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附属物（树木）价格</w:t>
            </w:r>
          </w:p>
        </w:tc>
        <w:tc>
          <w:tcPr>
            <w:tcW w:w="2109"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11.5346</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采用重置成本法测算</w:t>
            </w:r>
          </w:p>
        </w:tc>
      </w:tr>
      <w:tr>
        <w:trPr>
          <w:trHeight w:val="454" w:hRule="atLeast"/>
        </w:trPr>
        <w:tc>
          <w:tcPr>
            <w:tcW w:w="889"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4</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无法恢复使用的设施设备补偿价</w:t>
            </w:r>
          </w:p>
        </w:tc>
        <w:tc>
          <w:tcPr>
            <w:tcW w:w="2109"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0</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w:t>
            </w:r>
          </w:p>
        </w:tc>
      </w:tr>
      <w:tr>
        <w:trPr>
          <w:trHeight w:val="454" w:hRule="atLeast"/>
        </w:trPr>
        <w:tc>
          <w:tcPr>
            <w:tcW w:w="889"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5</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停产停业损失补偿费用</w:t>
            </w:r>
          </w:p>
        </w:tc>
        <w:tc>
          <w:tcPr>
            <w:tcW w:w="2109"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0</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w:t>
            </w:r>
          </w:p>
        </w:tc>
      </w:tr>
      <w:tr>
        <w:trPr>
          <w:trHeight w:val="454" w:hRule="atLeast"/>
        </w:trPr>
        <w:tc>
          <w:tcPr>
            <w:tcW w:w="889"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6</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搬迁、临时安置补偿费用</w:t>
            </w:r>
          </w:p>
        </w:tc>
        <w:tc>
          <w:tcPr>
            <w:tcW w:w="2109"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3.3895</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参照《关于国有土地上房屋征收与补偿中有关事项的通知》</w:t>
            </w:r>
            <w:r>
              <w:rPr>
                <w:rFonts w:eastAsia="仿宋_GB2312;仿宋" w:cs="Arial" w:ascii="Arial" w:hAnsi="Arial"/>
                <w:sz w:val="28"/>
                <w:szCs w:val="28"/>
              </w:rPr>
              <w:t>[</w:t>
            </w:r>
            <w:r>
              <w:rPr>
                <w:rFonts w:ascii="Arial" w:hAnsi="Arial" w:cs="Arial" w:eastAsia="仿宋_GB2312;仿宋"/>
                <w:sz w:val="28"/>
                <w:szCs w:val="28"/>
              </w:rPr>
              <w:t>京建法（</w:t>
            </w:r>
            <w:r>
              <w:rPr>
                <w:rFonts w:eastAsia="仿宋_GB2312;仿宋" w:cs="Arial" w:ascii="Arial" w:hAnsi="Arial"/>
                <w:sz w:val="28"/>
                <w:szCs w:val="28"/>
              </w:rPr>
              <w:t>2012</w:t>
            </w:r>
            <w:r>
              <w:rPr>
                <w:rFonts w:ascii="Arial" w:hAnsi="Arial" w:cs="Arial" w:eastAsia="仿宋_GB2312;仿宋"/>
                <w:sz w:val="28"/>
                <w:szCs w:val="28"/>
              </w:rPr>
              <w:t>）</w:t>
            </w:r>
            <w:r>
              <w:rPr>
                <w:rFonts w:eastAsia="仿宋_GB2312;仿宋" w:cs="Arial" w:ascii="Arial" w:hAnsi="Arial"/>
                <w:sz w:val="28"/>
                <w:szCs w:val="28"/>
              </w:rPr>
              <w:t>19</w:t>
            </w:r>
            <w:r>
              <w:rPr>
                <w:rFonts w:ascii="Arial" w:hAnsi="Arial" w:cs="Arial" w:eastAsia="仿宋_GB2312;仿宋"/>
                <w:sz w:val="28"/>
                <w:szCs w:val="28"/>
              </w:rPr>
              <w:t>号</w:t>
            </w:r>
            <w:r>
              <w:rPr>
                <w:rFonts w:eastAsia="仿宋_GB2312;仿宋" w:cs="Arial" w:ascii="Arial" w:hAnsi="Arial"/>
                <w:sz w:val="28"/>
                <w:szCs w:val="28"/>
              </w:rPr>
              <w:t>]</w:t>
            </w:r>
          </w:p>
        </w:tc>
      </w:tr>
      <w:tr>
        <w:trPr>
          <w:trHeight w:val="454" w:hRule="atLeast"/>
        </w:trPr>
        <w:tc>
          <w:tcPr>
            <w:tcW w:w="889"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7</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土地收购补偿价格</w:t>
            </w:r>
          </w:p>
        </w:tc>
        <w:tc>
          <w:tcPr>
            <w:tcW w:w="2109"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9373.4213</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eastAsia="仿宋_GB2312;仿宋" w:cs="Arial" w:ascii="Arial" w:hAnsi="Arial"/>
                <w:sz w:val="28"/>
                <w:szCs w:val="28"/>
              </w:rPr>
              <w:t>=1+2+3+4+5+6</w:t>
            </w:r>
          </w:p>
        </w:tc>
      </w:tr>
    </w:tbl>
    <w:p>
      <w:pPr>
        <w:pStyle w:val="Normal"/>
        <w:snapToGrid w:val="false"/>
        <w:spacing w:lineRule="auto" w:line="360" w:before="120" w:after="0"/>
        <w:ind w:firstLine="556"/>
        <w:rPr/>
      </w:pPr>
      <w:r>
        <w:rPr>
          <w:rFonts w:ascii="Arial" w:hAnsi="Arial" w:cs="Arial" w:eastAsia="仿宋_GB2312;仿宋"/>
          <w:sz w:val="28"/>
          <w:szCs w:val="28"/>
        </w:rPr>
        <w:t>上述相加，得出估价对象收购补偿总价：</w:t>
      </w:r>
    </w:p>
    <w:p>
      <w:pPr>
        <w:pStyle w:val="Normal"/>
        <w:spacing w:lineRule="auto" w:line="360"/>
        <w:ind w:firstLine="560"/>
        <w:rPr/>
      </w:pPr>
      <w:r>
        <w:rPr>
          <w:rFonts w:eastAsia="仿宋_GB2312;仿宋" w:cs="Arial" w:ascii="Arial" w:hAnsi="Arial"/>
          <w:sz w:val="28"/>
          <w:szCs w:val="28"/>
        </w:rPr>
        <w:t>9311.6568+46.8404+11.5346+0+0+3.3895=9373.4213</w:t>
      </w:r>
      <w:r>
        <w:rPr>
          <w:rFonts w:ascii="Arial" w:hAnsi="Arial" w:cs="Arial" w:eastAsia="仿宋_GB2312;仿宋"/>
          <w:sz w:val="28"/>
          <w:szCs w:val="28"/>
        </w:rPr>
        <w:t>（万元）</w:t>
      </w:r>
    </w:p>
    <w:p>
      <w:pPr>
        <w:pStyle w:val="Normal"/>
        <w:spacing w:lineRule="auto" w:line="360"/>
        <w:jc w:val="both"/>
        <w:rPr>
          <w:rFonts w:ascii="Arial" w:hAnsi="Arial" w:eastAsia="仿宋_GB2312;仿宋" w:cs="Arial"/>
          <w:b/>
          <w:b/>
          <w:sz w:val="28"/>
          <w:szCs w:val="28"/>
        </w:rPr>
      </w:pPr>
      <w:r>
        <w:rPr>
          <w:rFonts w:eastAsia="仿宋_GB2312;仿宋" w:cs="Arial" w:ascii="Arial" w:hAnsi="Arial"/>
          <w:b/>
          <w:sz w:val="28"/>
          <w:szCs w:val="28"/>
        </w:rPr>
      </w:r>
    </w:p>
    <w:p>
      <w:pPr>
        <w:pStyle w:val="Normal"/>
        <w:spacing w:lineRule="auto" w:line="360"/>
        <w:jc w:val="both"/>
        <w:rPr/>
      </w:pPr>
      <w:r>
        <w:rPr>
          <w:rFonts w:ascii="Arial" w:hAnsi="Arial" w:cs="Arial" w:eastAsia="仿宋_GB2312;仿宋"/>
          <w:b/>
          <w:sz w:val="28"/>
        </w:rPr>
        <w:t>三、估价结果的确认</w:t>
      </w:r>
    </w:p>
    <w:p>
      <w:pPr>
        <w:pStyle w:val="Normal"/>
        <w:spacing w:lineRule="auto" w:line="360"/>
        <w:ind w:firstLine="560"/>
        <w:jc w:val="both"/>
        <w:rPr>
          <w:rFonts w:ascii="Arial" w:hAnsi="Arial" w:eastAsia="仿宋_GB2312;仿宋" w:cs="Arial"/>
          <w:kern w:val="2"/>
          <w:sz w:val="28"/>
        </w:rPr>
      </w:pPr>
      <w:r>
        <w:rPr>
          <w:rFonts w:ascii="Arial" w:hAnsi="Arial" w:cs="Arial" w:eastAsia="仿宋_GB2312;仿宋"/>
          <w:kern w:val="2"/>
          <w:sz w:val="28"/>
        </w:rPr>
        <w:t>评估专业人员根据估价的目的，按照</w:t>
      </w:r>
      <w:r>
        <w:rPr>
          <w:rFonts w:ascii="Arial" w:hAnsi="Arial" w:cs="Arial" w:eastAsia="仿宋_GB2312;仿宋"/>
          <w:kern w:val="2"/>
          <w:sz w:val="28"/>
        </w:rPr>
        <w:t>估算</w:t>
      </w:r>
      <w:r>
        <w:rPr>
          <w:rFonts w:ascii="Arial" w:hAnsi="Arial" w:cs="Arial" w:eastAsia="仿宋_GB2312;仿宋"/>
          <w:kern w:val="2"/>
          <w:sz w:val="28"/>
        </w:rPr>
        <w:t>的程序，采用科学的</w:t>
      </w:r>
      <w:r>
        <w:rPr>
          <w:rFonts w:ascii="Arial" w:hAnsi="Arial" w:cs="Arial" w:eastAsia="仿宋_GB2312;仿宋"/>
          <w:kern w:val="2"/>
          <w:sz w:val="28"/>
        </w:rPr>
        <w:t>估价方法</w:t>
      </w:r>
      <w:r>
        <w:rPr>
          <w:rFonts w:ascii="Arial" w:hAnsi="Arial" w:cs="Arial" w:eastAsia="仿宋_GB2312;仿宋"/>
          <w:kern w:val="2"/>
          <w:sz w:val="28"/>
        </w:rPr>
        <w:t>（市场比较法和成本逼近法</w:t>
      </w:r>
      <w:r>
        <w:rPr>
          <w:rFonts w:ascii="Arial" w:hAnsi="Arial" w:cs="Arial" w:eastAsia="仿宋_GB2312;仿宋"/>
          <w:kern w:val="2"/>
          <w:sz w:val="28"/>
        </w:rPr>
        <w:t>、重置成本法</w:t>
      </w:r>
      <w:r>
        <w:rPr>
          <w:rFonts w:ascii="Arial" w:hAnsi="Arial" w:cs="Arial" w:eastAsia="仿宋_GB2312;仿宋"/>
          <w:kern w:val="2"/>
          <w:sz w:val="28"/>
        </w:rPr>
        <w:t>），在认真分析现有资料的基础上，通过仔细测算和认真分析各种影响</w:t>
      </w:r>
      <w:r>
        <w:rPr>
          <w:rFonts w:ascii="Arial" w:hAnsi="Arial" w:cs="Arial" w:eastAsia="仿宋_GB2312;仿宋"/>
          <w:sz w:val="28"/>
        </w:rPr>
        <w:t>土地</w:t>
      </w:r>
      <w:r>
        <w:rPr>
          <w:rFonts w:ascii="Arial" w:hAnsi="Arial" w:cs="Arial" w:eastAsia="仿宋_GB2312;仿宋"/>
          <w:kern w:val="2"/>
          <w:sz w:val="28"/>
        </w:rPr>
        <w:t>价格的因素，</w:t>
      </w:r>
      <w:r>
        <w:rPr>
          <w:rFonts w:ascii="Arial" w:hAnsi="Arial" w:cs="Arial" w:eastAsia="仿宋_GB2312;仿宋"/>
          <w:sz w:val="28"/>
          <w:szCs w:val="28"/>
        </w:rPr>
        <w:t>确定估价对象</w:t>
      </w:r>
      <w:r>
        <w:rPr>
          <w:rFonts w:ascii="Arial" w:hAnsi="Arial" w:cs="Arial" w:eastAsia="仿宋_GB2312;仿宋"/>
          <w:kern w:val="2"/>
          <w:sz w:val="28"/>
        </w:rPr>
        <w:t>在估价期日</w:t>
      </w:r>
      <w:r>
        <w:rPr>
          <w:rFonts w:eastAsia="仿宋_GB2312;仿宋" w:cs="Arial" w:ascii="Arial" w:hAnsi="Arial"/>
          <w:kern w:val="2"/>
          <w:sz w:val="28"/>
        </w:rPr>
        <w:t>2023</w:t>
      </w:r>
      <w:r>
        <w:rPr>
          <w:rFonts w:ascii="Arial" w:hAnsi="Arial" w:cs="Arial" w:eastAsia="仿宋_GB2312;仿宋"/>
          <w:kern w:val="2"/>
          <w:sz w:val="28"/>
        </w:rPr>
        <w:t>年</w:t>
      </w:r>
      <w:r>
        <w:rPr>
          <w:rFonts w:eastAsia="仿宋_GB2312;仿宋" w:cs="Arial" w:ascii="Arial" w:hAnsi="Arial"/>
          <w:kern w:val="2"/>
          <w:sz w:val="28"/>
        </w:rPr>
        <w:t>11</w:t>
      </w:r>
      <w:r>
        <w:rPr>
          <w:rFonts w:ascii="Arial" w:hAnsi="Arial" w:cs="Arial" w:eastAsia="仿宋_GB2312;仿宋"/>
          <w:kern w:val="2"/>
          <w:sz w:val="28"/>
        </w:rPr>
        <w:t>月</w:t>
      </w:r>
      <w:r>
        <w:rPr>
          <w:rFonts w:eastAsia="仿宋_GB2312;仿宋" w:cs="Arial" w:ascii="Arial" w:hAnsi="Arial"/>
          <w:kern w:val="2"/>
          <w:sz w:val="28"/>
        </w:rPr>
        <w:t>18</w:t>
      </w:r>
      <w:r>
        <w:rPr>
          <w:rFonts w:ascii="Arial" w:hAnsi="Arial" w:cs="Arial" w:eastAsia="仿宋_GB2312;仿宋"/>
          <w:kern w:val="2"/>
          <w:sz w:val="28"/>
        </w:rPr>
        <w:t>日的土地使用权收购补偿价格为</w:t>
      </w:r>
      <w:r>
        <w:rPr>
          <w:rFonts w:ascii="Arial" w:hAnsi="Arial" w:cs="Arial" w:eastAsia="仿宋_GB2312;仿宋"/>
          <w:b/>
          <w:kern w:val="2"/>
          <w:sz w:val="28"/>
        </w:rPr>
        <w:t>人民币</w:t>
      </w:r>
      <w:r>
        <w:rPr>
          <w:rFonts w:eastAsia="仿宋_GB2312;仿宋" w:cs="Arial" w:ascii="Arial" w:hAnsi="Arial"/>
          <w:b/>
          <w:kern w:val="2"/>
          <w:sz w:val="28"/>
        </w:rPr>
        <w:t>9373.4213</w:t>
      </w:r>
      <w:r>
        <w:rPr>
          <w:rFonts w:ascii="Arial" w:hAnsi="Arial" w:cs="Arial" w:eastAsia="仿宋_GB2312;仿宋"/>
          <w:b/>
          <w:kern w:val="2"/>
          <w:sz w:val="28"/>
        </w:rPr>
        <w:t>万元，大写玖仟叁佰柒拾叁万肆仟贰佰壹拾叁元整</w:t>
      </w:r>
      <w:r>
        <w:rPr>
          <w:rFonts w:ascii="Arial" w:hAnsi="Arial" w:cs="Arial" w:eastAsia="仿宋_GB2312;仿宋"/>
          <w:kern w:val="2"/>
          <w:sz w:val="28"/>
        </w:rPr>
        <w:t>。</w:t>
      </w:r>
      <w:r>
        <w:rPr>
          <w:rFonts w:ascii="Arial" w:hAnsi="Arial" w:cs="Arial" w:eastAsia="仿宋_GB2312;仿宋"/>
          <w:sz w:val="28"/>
        </w:rPr>
        <w:t>估价结果明细如下：</w:t>
      </w:r>
    </w:p>
    <w:p>
      <w:pPr>
        <w:pStyle w:val="Normal"/>
        <w:spacing w:lineRule="auto" w:line="360"/>
        <w:ind w:firstLine="560"/>
        <w:jc w:val="both"/>
        <w:rPr>
          <w:rFonts w:ascii="Arial" w:hAnsi="Arial" w:eastAsia="仿宋_GB2312;仿宋" w:cs="Arial"/>
          <w:sz w:val="28"/>
          <w:szCs w:val="28"/>
        </w:rPr>
      </w:pPr>
      <w:r>
        <w:rPr>
          <w:rFonts w:ascii="Arial" w:hAnsi="Arial" w:cs="Arial" w:eastAsia="仿宋_GB2312;仿宋"/>
          <w:sz w:val="28"/>
          <w:szCs w:val="28"/>
        </w:rPr>
        <w:t>（转下页）</w:t>
      </w:r>
      <w:r>
        <w:br w:type="page"/>
      </w:r>
    </w:p>
    <w:p>
      <w:pPr>
        <w:pStyle w:val="Normal"/>
        <w:spacing w:lineRule="auto" w:line="360"/>
        <w:jc w:val="center"/>
        <w:rPr>
          <w:rFonts w:cs="Arial"/>
        </w:rPr>
      </w:pPr>
      <w:r>
        <w:rPr>
          <w:rFonts w:ascii="Arial" w:hAnsi="Arial" w:cs="Arial" w:eastAsia="仿宋_GB2312;仿宋"/>
          <w:b/>
          <w:bCs/>
          <w:sz w:val="28"/>
          <w:szCs w:val="28"/>
        </w:rPr>
        <w:t>收购补偿价格评估结果</w:t>
      </w:r>
    </w:p>
    <w:tbl>
      <w:tblPr>
        <w:tblW w:w="5000" w:type="pct"/>
        <w:jc w:val="center"/>
        <w:tblInd w:w="0" w:type="dxa"/>
        <w:tblCellMar>
          <w:top w:w="0" w:type="dxa"/>
          <w:left w:w="108" w:type="dxa"/>
          <w:bottom w:w="0" w:type="dxa"/>
          <w:right w:w="108" w:type="dxa"/>
        </w:tblCellMar>
      </w:tblPr>
      <w:tblGrid>
        <w:gridCol w:w="889"/>
        <w:gridCol w:w="3074"/>
        <w:gridCol w:w="2109"/>
        <w:gridCol w:w="3226"/>
      </w:tblGrid>
      <w:tr>
        <w:trPr>
          <w:trHeight w:val="454" w:hRule="atLeast"/>
        </w:trPr>
        <w:tc>
          <w:tcPr>
            <w:tcW w:w="889"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序号</w:t>
            </w:r>
          </w:p>
        </w:tc>
        <w:tc>
          <w:tcPr>
            <w:tcW w:w="3074"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项目</w:t>
            </w:r>
          </w:p>
        </w:tc>
        <w:tc>
          <w:tcPr>
            <w:tcW w:w="2109"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评估价格</w:t>
            </w:r>
          </w:p>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b/>
                <w:b/>
                <w:sz w:val="28"/>
                <w:szCs w:val="28"/>
              </w:rPr>
            </w:pPr>
            <w:r>
              <w:rPr>
                <w:rFonts w:ascii="Arial" w:hAnsi="Arial" w:cs="Arial" w:eastAsia="仿宋_GB2312;仿宋"/>
                <w:b/>
                <w:sz w:val="28"/>
                <w:szCs w:val="28"/>
              </w:rPr>
              <w:t>备注</w:t>
            </w:r>
          </w:p>
        </w:tc>
      </w:tr>
      <w:tr>
        <w:trPr>
          <w:trHeight w:val="454" w:hRule="atLeast"/>
        </w:trPr>
        <w:tc>
          <w:tcPr>
            <w:tcW w:w="889"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1</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土地使用权价格</w:t>
            </w:r>
          </w:p>
        </w:tc>
        <w:tc>
          <w:tcPr>
            <w:tcW w:w="2109"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9311.6568</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采用市场比较法、成本逼近法评估测算</w:t>
            </w:r>
          </w:p>
        </w:tc>
      </w:tr>
      <w:tr>
        <w:trPr>
          <w:trHeight w:val="454" w:hRule="atLeast"/>
        </w:trPr>
        <w:tc>
          <w:tcPr>
            <w:tcW w:w="889"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2</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建（构）筑物价格</w:t>
            </w:r>
          </w:p>
        </w:tc>
        <w:tc>
          <w:tcPr>
            <w:tcW w:w="2109"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46.8404</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采用重置成本法测算</w:t>
            </w:r>
          </w:p>
        </w:tc>
      </w:tr>
      <w:tr>
        <w:trPr>
          <w:trHeight w:val="454" w:hRule="atLeast"/>
        </w:trPr>
        <w:tc>
          <w:tcPr>
            <w:tcW w:w="889"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3</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附属物（树木）价格</w:t>
            </w:r>
          </w:p>
        </w:tc>
        <w:tc>
          <w:tcPr>
            <w:tcW w:w="2109"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11.5346</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采用重置成本法测算</w:t>
            </w:r>
          </w:p>
        </w:tc>
      </w:tr>
      <w:tr>
        <w:trPr>
          <w:trHeight w:val="454" w:hRule="atLeast"/>
        </w:trPr>
        <w:tc>
          <w:tcPr>
            <w:tcW w:w="889"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4</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无法恢复使用的设施设备补偿价</w:t>
            </w:r>
          </w:p>
        </w:tc>
        <w:tc>
          <w:tcPr>
            <w:tcW w:w="2109"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0</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仿宋_GB2312;仿宋" w:hAnsi="仿宋_GB2312;仿宋" w:cs="仿宋_GB2312;仿宋" w:eastAsia="仿宋_GB2312;仿宋"/>
                <w:sz w:val="28"/>
                <w:szCs w:val="28"/>
              </w:rPr>
              <w:t>——</w:t>
            </w:r>
          </w:p>
        </w:tc>
      </w:tr>
      <w:tr>
        <w:trPr>
          <w:trHeight w:val="454" w:hRule="atLeast"/>
        </w:trPr>
        <w:tc>
          <w:tcPr>
            <w:tcW w:w="889"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5</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停产停业损失补偿费用</w:t>
            </w:r>
          </w:p>
        </w:tc>
        <w:tc>
          <w:tcPr>
            <w:tcW w:w="2109"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0</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w:t>
            </w:r>
          </w:p>
        </w:tc>
      </w:tr>
      <w:tr>
        <w:trPr>
          <w:trHeight w:val="454" w:hRule="atLeast"/>
        </w:trPr>
        <w:tc>
          <w:tcPr>
            <w:tcW w:w="889"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6</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搬迁、临时安置补偿费用</w:t>
            </w:r>
          </w:p>
        </w:tc>
        <w:tc>
          <w:tcPr>
            <w:tcW w:w="2109"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3.3895</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ascii="Arial" w:hAnsi="Arial" w:cs="Arial" w:eastAsia="仿宋_GB2312;仿宋"/>
                <w:sz w:val="28"/>
                <w:szCs w:val="28"/>
              </w:rPr>
              <w:t>参照《关于国有土地上房屋征收与补偿中有关事项的通知》</w:t>
            </w:r>
            <w:r>
              <w:rPr>
                <w:rFonts w:eastAsia="仿宋_GB2312;仿宋" w:cs="Arial" w:ascii="Arial" w:hAnsi="Arial"/>
                <w:sz w:val="28"/>
                <w:szCs w:val="28"/>
              </w:rPr>
              <w:t>[</w:t>
            </w:r>
            <w:r>
              <w:rPr>
                <w:rFonts w:ascii="Arial" w:hAnsi="Arial" w:cs="Arial" w:eastAsia="仿宋_GB2312;仿宋"/>
                <w:sz w:val="28"/>
                <w:szCs w:val="28"/>
              </w:rPr>
              <w:t>京建法（</w:t>
            </w:r>
            <w:r>
              <w:rPr>
                <w:rFonts w:eastAsia="仿宋_GB2312;仿宋" w:cs="Arial" w:ascii="Arial" w:hAnsi="Arial"/>
                <w:sz w:val="28"/>
                <w:szCs w:val="28"/>
              </w:rPr>
              <w:t>2012</w:t>
            </w:r>
            <w:r>
              <w:rPr>
                <w:rFonts w:ascii="Arial" w:hAnsi="Arial" w:cs="Arial" w:eastAsia="仿宋_GB2312;仿宋"/>
                <w:sz w:val="28"/>
                <w:szCs w:val="28"/>
              </w:rPr>
              <w:t>）</w:t>
            </w:r>
            <w:r>
              <w:rPr>
                <w:rFonts w:eastAsia="仿宋_GB2312;仿宋" w:cs="Arial" w:ascii="Arial" w:hAnsi="Arial"/>
                <w:sz w:val="28"/>
                <w:szCs w:val="28"/>
              </w:rPr>
              <w:t>19</w:t>
            </w:r>
            <w:r>
              <w:rPr>
                <w:rFonts w:ascii="Arial" w:hAnsi="Arial" w:cs="Arial" w:eastAsia="仿宋_GB2312;仿宋"/>
                <w:sz w:val="28"/>
                <w:szCs w:val="28"/>
              </w:rPr>
              <w:t>号</w:t>
            </w:r>
            <w:r>
              <w:rPr>
                <w:rFonts w:eastAsia="仿宋_GB2312;仿宋" w:cs="Arial" w:ascii="Arial" w:hAnsi="Arial"/>
                <w:sz w:val="28"/>
                <w:szCs w:val="28"/>
              </w:rPr>
              <w:t>]</w:t>
            </w:r>
          </w:p>
        </w:tc>
      </w:tr>
      <w:tr>
        <w:trPr>
          <w:trHeight w:val="454" w:hRule="atLeast"/>
        </w:trPr>
        <w:tc>
          <w:tcPr>
            <w:tcW w:w="889" w:type="dxa"/>
            <w:tcBorders>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仿宋_GB2312;仿宋" w:cs="Arial"/>
                <w:sz w:val="28"/>
                <w:szCs w:val="28"/>
              </w:rPr>
            </w:pPr>
            <w:r>
              <w:rPr>
                <w:rFonts w:eastAsia="仿宋_GB2312;仿宋" w:cs="Arial" w:ascii="Arial" w:hAnsi="Arial"/>
                <w:sz w:val="28"/>
                <w:szCs w:val="28"/>
              </w:rPr>
              <w:t>7</w:t>
            </w:r>
          </w:p>
        </w:tc>
        <w:tc>
          <w:tcPr>
            <w:tcW w:w="3074"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ascii="Arial" w:hAnsi="Arial" w:cs="Arial" w:eastAsia="仿宋_GB2312;仿宋"/>
                <w:sz w:val="28"/>
                <w:szCs w:val="28"/>
              </w:rPr>
              <w:t>土地收购补偿价格</w:t>
            </w:r>
          </w:p>
        </w:tc>
        <w:tc>
          <w:tcPr>
            <w:tcW w:w="2109" w:type="dxa"/>
            <w:tcBorders>
              <w:left w:val="single" w:sz="4" w:space="0" w:color="000000"/>
              <w:bottom w:val="single" w:sz="4" w:space="0" w:color="000000"/>
            </w:tcBorders>
            <w:shd w:fill="auto" w:val="clear"/>
            <w:vAlign w:val="center"/>
          </w:tcPr>
          <w:p>
            <w:pPr>
              <w:pStyle w:val="Normal"/>
              <w:jc w:val="center"/>
              <w:rPr>
                <w:rFonts w:ascii="Arial" w:hAnsi="Arial" w:eastAsia="仿宋_GB2312;仿宋" w:cs="Arial"/>
                <w:sz w:val="28"/>
                <w:szCs w:val="28"/>
              </w:rPr>
            </w:pPr>
            <w:r>
              <w:rPr>
                <w:rFonts w:eastAsia="仿宋_GB2312;仿宋" w:cs="Arial" w:ascii="Arial" w:hAnsi="Arial"/>
                <w:sz w:val="28"/>
                <w:szCs w:val="28"/>
              </w:rPr>
              <w:t>9373.4213</w:t>
            </w:r>
          </w:p>
        </w:tc>
        <w:tc>
          <w:tcPr>
            <w:tcW w:w="3226" w:type="dxa"/>
            <w:tcBorders>
              <w:left w:val="single" w:sz="4" w:space="0" w:color="000000"/>
              <w:bottom w:val="single" w:sz="4" w:space="0" w:color="000000"/>
              <w:right w:val="single" w:sz="4" w:space="0" w:color="000000"/>
            </w:tcBorders>
            <w:shd w:fill="auto" w:val="clear"/>
            <w:vAlign w:val="center"/>
          </w:tcPr>
          <w:p>
            <w:pPr>
              <w:pStyle w:val="Normal"/>
              <w:spacing w:lineRule="auto" w:line="240"/>
              <w:jc w:val="center"/>
              <w:rPr>
                <w:rFonts w:ascii="Arial" w:hAnsi="Arial" w:eastAsia="仿宋_GB2312;仿宋" w:cs="Arial"/>
                <w:sz w:val="28"/>
                <w:szCs w:val="28"/>
              </w:rPr>
            </w:pPr>
            <w:r>
              <w:rPr>
                <w:rFonts w:eastAsia="仿宋_GB2312;仿宋" w:cs="Arial" w:ascii="Arial" w:hAnsi="Arial"/>
                <w:sz w:val="28"/>
                <w:szCs w:val="28"/>
              </w:rPr>
              <w:t>=1+2+3+4+5+6</w:t>
            </w:r>
          </w:p>
        </w:tc>
      </w:tr>
    </w:tbl>
    <w:p>
      <w:pPr>
        <w:sectPr>
          <w:headerReference w:type="default" r:id="rId80"/>
          <w:footerReference w:type="default" r:id="rId81"/>
          <w:type w:val="nextPage"/>
          <w:pgSz w:w="11906" w:h="16838"/>
          <w:pgMar w:left="1304" w:right="1304" w:header="1134" w:top="1843" w:footer="907" w:bottom="1134" w:gutter="0"/>
          <w:pgNumType w:fmt="decimal"/>
          <w:formProt w:val="false"/>
          <w:textDirection w:val="lrTb"/>
          <w:docGrid w:type="default" w:linePitch="326" w:charSpace="0"/>
        </w:sectPr>
      </w:pPr>
    </w:p>
    <w:p>
      <w:pPr>
        <w:pStyle w:val="Normal"/>
        <w:numPr>
          <w:ilvl w:val="0"/>
          <w:numId w:val="0"/>
        </w:numPr>
        <w:spacing w:lineRule="auto" w:line="360"/>
        <w:jc w:val="center"/>
        <w:outlineLvl w:val="0"/>
        <w:rPr/>
      </w:pPr>
      <w:bookmarkStart w:id="59" w:name="__RefHeading___Toc530042315"/>
      <w:bookmarkEnd w:id="59"/>
      <w:r>
        <w:rPr>
          <w:rFonts w:ascii="Arial" w:hAnsi="Arial" w:cs="Arial"/>
          <w:b/>
          <w:sz w:val="32"/>
        </w:rPr>
        <w:t>第四部分</w:t>
      </w:r>
      <w:r>
        <w:rPr>
          <w:rFonts w:ascii="Arial" w:hAnsi="Arial" w:cs="Arial" w:eastAsia="Arial"/>
          <w:b/>
          <w:sz w:val="32"/>
        </w:rPr>
        <w:t xml:space="preserve">  </w:t>
      </w:r>
      <w:r>
        <w:rPr>
          <w:rFonts w:ascii="Arial" w:hAnsi="Arial" w:cs="Arial"/>
          <w:b/>
          <w:sz w:val="32"/>
        </w:rPr>
        <w:t>附</w:t>
      </w:r>
      <w:r>
        <w:rPr>
          <w:rFonts w:ascii="Arial" w:hAnsi="Arial" w:cs="Arial" w:eastAsia="Arial"/>
          <w:b/>
          <w:sz w:val="32"/>
        </w:rPr>
        <w:t xml:space="preserve">  </w:t>
      </w:r>
      <w:r>
        <w:rPr>
          <w:rFonts w:ascii="Arial" w:hAnsi="Arial" w:cs="Arial"/>
          <w:b/>
          <w:sz w:val="32"/>
        </w:rPr>
        <w:t>件</w:t>
      </w:r>
    </w:p>
    <w:p>
      <w:pPr>
        <w:pStyle w:val="Normal"/>
        <w:spacing w:lineRule="auto" w:line="360"/>
        <w:ind w:firstLine="560"/>
        <w:jc w:val="both"/>
        <w:rPr/>
      </w:pPr>
      <w:r>
        <w:rPr>
          <w:rFonts w:eastAsia="仿宋_GB2312;仿宋" w:cs="Arial" w:ascii="Arial" w:hAnsi="Arial"/>
          <w:sz w:val="28"/>
        </w:rPr>
        <w:t>1</w:t>
      </w:r>
      <w:r>
        <w:rPr>
          <w:rFonts w:eastAsia="仿宋_GB2312;仿宋" w:cs="Arial" w:ascii="Arial" w:hAnsi="Arial"/>
          <w:sz w:val="28"/>
        </w:rPr>
        <w:t>.</w:t>
      </w:r>
      <w:r>
        <w:rPr>
          <w:rFonts w:ascii="Arial" w:hAnsi="Arial" w:cs="Arial" w:eastAsia="仿宋_GB2312;仿宋"/>
          <w:sz w:val="28"/>
        </w:rPr>
        <w:t>《国有建设用地使用权收购补偿价格委托估价函》复印件</w:t>
      </w:r>
    </w:p>
    <w:p>
      <w:pPr>
        <w:pStyle w:val="Normal"/>
        <w:spacing w:lineRule="auto" w:line="360"/>
        <w:ind w:firstLine="560"/>
        <w:jc w:val="both"/>
        <w:rPr/>
      </w:pPr>
      <w:r>
        <w:rPr>
          <w:rFonts w:eastAsia="仿宋_GB2312;仿宋" w:cs="Arial" w:ascii="Arial" w:hAnsi="Arial"/>
          <w:sz w:val="28"/>
        </w:rPr>
        <w:t>2.</w:t>
      </w:r>
      <w:r>
        <w:rPr>
          <w:rFonts w:ascii="Arial" w:hAnsi="Arial" w:cs="Arial" w:eastAsia="仿宋_GB2312;仿宋"/>
          <w:sz w:val="28"/>
        </w:rPr>
        <w:t>估价对象所在位置示意图</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3.</w:t>
      </w:r>
      <w:r>
        <w:rPr>
          <w:rFonts w:ascii="Arial" w:hAnsi="Arial" w:cs="Arial" w:eastAsia="仿宋_GB2312;仿宋"/>
          <w:sz w:val="28"/>
          <w:szCs w:val="28"/>
        </w:rPr>
        <w:t>估价对象实地勘察情况和相关照片</w:t>
      </w:r>
    </w:p>
    <w:p>
      <w:pPr>
        <w:pStyle w:val="Normal"/>
        <w:spacing w:lineRule="auto" w:line="360"/>
        <w:ind w:firstLine="560"/>
        <w:jc w:val="both"/>
        <w:rPr/>
      </w:pPr>
      <w:r>
        <w:rPr>
          <w:rFonts w:eastAsia="仿宋_GB2312;仿宋" w:cs="Arial" w:ascii="Arial" w:hAnsi="Arial"/>
          <w:sz w:val="28"/>
        </w:rPr>
        <w:t>4.</w:t>
      </w:r>
      <w:r>
        <w:rPr>
          <w:rFonts w:ascii="Arial" w:hAnsi="Arial" w:cs="Arial" w:eastAsia="仿宋_GB2312;仿宋"/>
          <w:sz w:val="28"/>
        </w:rPr>
        <w:t>《国有土地使用证》</w:t>
      </w:r>
      <w:r>
        <w:rPr>
          <w:rFonts w:eastAsia="仿宋_GB2312;仿宋" w:cs="Arial" w:ascii="Arial" w:hAnsi="Arial"/>
          <w:sz w:val="28"/>
        </w:rPr>
        <w:t>[</w:t>
      </w:r>
      <w:r>
        <w:rPr>
          <w:rFonts w:ascii="Arial" w:hAnsi="Arial" w:cs="Arial" w:eastAsia="仿宋_GB2312;仿宋"/>
          <w:sz w:val="28"/>
        </w:rPr>
        <w:t>京海国用（</w:t>
      </w:r>
      <w:r>
        <w:rPr>
          <w:rFonts w:eastAsia="仿宋_GB2312;仿宋" w:cs="Arial" w:ascii="Arial" w:hAnsi="Arial"/>
          <w:sz w:val="28"/>
        </w:rPr>
        <w:t>2004</w:t>
      </w:r>
      <w:r>
        <w:rPr>
          <w:rFonts w:ascii="Arial" w:hAnsi="Arial" w:cs="Arial" w:eastAsia="仿宋_GB2312;仿宋"/>
          <w:sz w:val="28"/>
        </w:rPr>
        <w:t>划）字第</w:t>
      </w:r>
      <w:r>
        <w:rPr>
          <w:rFonts w:eastAsia="仿宋_GB2312;仿宋" w:cs="Arial" w:ascii="Arial" w:hAnsi="Arial"/>
          <w:sz w:val="28"/>
        </w:rPr>
        <w:t>2880</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5.</w:t>
      </w:r>
      <w:r>
        <w:rPr>
          <w:rFonts w:ascii="Arial" w:hAnsi="Arial" w:cs="Arial" w:eastAsia="仿宋_GB2312;仿宋"/>
          <w:sz w:val="28"/>
        </w:rPr>
        <w:t>《土地权属审查告知书》</w:t>
      </w:r>
      <w:r>
        <w:rPr>
          <w:rFonts w:eastAsia="仿宋_GB2312;仿宋" w:cs="Arial" w:ascii="Arial" w:hAnsi="Arial"/>
          <w:sz w:val="28"/>
        </w:rPr>
        <w:t>[</w:t>
      </w:r>
      <w:r>
        <w:rPr>
          <w:rFonts w:ascii="Arial" w:hAnsi="Arial" w:cs="Arial" w:eastAsia="仿宋_GB2312;仿宋"/>
          <w:sz w:val="28"/>
        </w:rPr>
        <w:t>编号：海权属审（</w:t>
      </w:r>
      <w:r>
        <w:rPr>
          <w:rFonts w:eastAsia="仿宋_GB2312;仿宋" w:cs="Arial" w:ascii="Arial" w:hAnsi="Arial"/>
          <w:sz w:val="28"/>
        </w:rPr>
        <w:t>2020</w:t>
      </w:r>
      <w:r>
        <w:rPr>
          <w:rFonts w:ascii="Arial" w:hAnsi="Arial" w:cs="Arial" w:eastAsia="仿宋_GB2312;仿宋"/>
          <w:sz w:val="28"/>
        </w:rPr>
        <w:t>）字第</w:t>
      </w:r>
      <w:r>
        <w:rPr>
          <w:rFonts w:eastAsia="仿宋_GB2312;仿宋" w:cs="Arial" w:ascii="Arial" w:hAnsi="Arial"/>
          <w:sz w:val="28"/>
        </w:rPr>
        <w:t>1172</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6</w:t>
      </w:r>
      <w:r>
        <w:rPr>
          <w:rFonts w:eastAsia="仿宋_GB2312;仿宋" w:cs="Arial" w:ascii="Arial" w:hAnsi="Arial"/>
          <w:sz w:val="28"/>
        </w:rPr>
        <w:t>.</w:t>
      </w:r>
      <w:r>
        <w:rPr>
          <w:rFonts w:ascii="Arial" w:hAnsi="Arial" w:cs="Arial" w:eastAsia="仿宋_GB2312;仿宋"/>
          <w:sz w:val="28"/>
        </w:rPr>
        <w:t>《房屋所有权证》</w:t>
      </w:r>
      <w:r>
        <w:rPr>
          <w:rFonts w:eastAsia="仿宋_GB2312;仿宋" w:cs="Arial" w:ascii="Arial" w:hAnsi="Arial"/>
          <w:sz w:val="28"/>
        </w:rPr>
        <w:t>[</w:t>
      </w:r>
      <w:r>
        <w:rPr>
          <w:rFonts w:ascii="Arial" w:hAnsi="Arial" w:cs="Arial" w:eastAsia="仿宋_GB2312;仿宋"/>
          <w:sz w:val="28"/>
        </w:rPr>
        <w:t>海全字第</w:t>
      </w:r>
      <w:r>
        <w:rPr>
          <w:rFonts w:eastAsia="仿宋_GB2312;仿宋" w:cs="Arial" w:ascii="Arial" w:hAnsi="Arial"/>
          <w:sz w:val="28"/>
        </w:rPr>
        <w:t>01614</w:t>
      </w:r>
      <w:r>
        <w:rPr>
          <w:rFonts w:ascii="Arial" w:hAnsi="Arial" w:cs="Arial" w:eastAsia="仿宋_GB2312;仿宋"/>
          <w:sz w:val="28"/>
        </w:rPr>
        <w:t>号</w:t>
      </w:r>
      <w:r>
        <w:rPr>
          <w:rFonts w:eastAsia="仿宋_GB2312;仿宋" w:cs="Arial" w:ascii="Arial" w:hAnsi="Arial"/>
          <w:sz w:val="28"/>
        </w:rPr>
        <w:t>]</w:t>
      </w:r>
      <w:r>
        <w:rPr>
          <w:rFonts w:ascii="Arial" w:hAnsi="Arial" w:cs="Arial" w:eastAsia="仿宋_GB2312;仿宋"/>
          <w:sz w:val="28"/>
        </w:rPr>
        <w:t>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7.</w:t>
      </w:r>
      <w:r>
        <w:rPr>
          <w:rFonts w:ascii="Arial" w:hAnsi="Arial" w:cs="Arial" w:eastAsia="仿宋_GB2312;仿宋"/>
          <w:sz w:val="28"/>
        </w:rPr>
        <w:t>《关于西三旗建材城中路</w:t>
      </w:r>
      <w:r>
        <w:rPr>
          <w:rFonts w:eastAsia="仿宋_GB2312;仿宋" w:cs="Arial" w:ascii="Arial" w:hAnsi="Arial"/>
          <w:sz w:val="28"/>
        </w:rPr>
        <w:t>2</w:t>
      </w:r>
      <w:r>
        <w:rPr>
          <w:rFonts w:ascii="Arial" w:hAnsi="Arial" w:cs="Arial" w:eastAsia="仿宋_GB2312;仿宋"/>
          <w:sz w:val="28"/>
        </w:rPr>
        <w:t>号地块收储情况说明》复印件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8.</w:t>
      </w:r>
      <w:r>
        <w:rPr>
          <w:rFonts w:ascii="Arial" w:hAnsi="Arial" w:cs="Arial" w:eastAsia="仿宋_GB2312;仿宋"/>
          <w:sz w:val="28"/>
        </w:rPr>
        <w:t>《海淀区北京五星青岛啤酒有限公司用地项目地形及地上物测绘技术报告书》复印件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9.</w:t>
      </w:r>
      <w:r>
        <w:rPr>
          <w:rFonts w:ascii="Arial" w:hAnsi="Arial" w:cs="Arial" w:eastAsia="仿宋_GB2312;仿宋"/>
          <w:sz w:val="28"/>
        </w:rPr>
        <w:t>《名称变更通知》复印件</w:t>
      </w:r>
    </w:p>
    <w:p>
      <w:pPr>
        <w:pStyle w:val="Normal"/>
        <w:spacing w:lineRule="auto" w:line="360"/>
        <w:ind w:firstLine="560"/>
        <w:jc w:val="both"/>
        <w:rPr>
          <w:rFonts w:ascii="Arial" w:hAnsi="Arial" w:eastAsia="仿宋_GB2312;仿宋" w:cs="Arial"/>
          <w:sz w:val="28"/>
        </w:rPr>
      </w:pPr>
      <w:r>
        <w:rPr>
          <w:rFonts w:eastAsia="仿宋_GB2312;仿宋" w:cs="Arial" w:ascii="Arial" w:hAnsi="Arial"/>
          <w:sz w:val="28"/>
        </w:rPr>
        <w:t>10.</w:t>
      </w:r>
      <w:r>
        <w:rPr>
          <w:rFonts w:ascii="Arial" w:hAnsi="Arial" w:cs="Arial" w:eastAsia="仿宋_GB2312;仿宋"/>
          <w:sz w:val="28"/>
        </w:rPr>
        <w:t>不动产权利人《营业执照（副本）》复印件</w:t>
      </w:r>
    </w:p>
    <w:p>
      <w:pPr>
        <w:pStyle w:val="Normal"/>
        <w:spacing w:lineRule="auto" w:line="360"/>
        <w:ind w:firstLine="560"/>
        <w:jc w:val="both"/>
        <w:rPr/>
      </w:pPr>
      <w:r>
        <w:rPr>
          <w:rFonts w:eastAsia="仿宋_GB2312;仿宋" w:cs="Arial" w:ascii="Arial" w:hAnsi="Arial"/>
          <w:sz w:val="28"/>
        </w:rPr>
        <w:t>11.</w:t>
      </w:r>
      <w:r>
        <w:rPr>
          <w:rFonts w:ascii="Arial" w:hAnsi="Arial" w:cs="Arial" w:eastAsia="仿宋_GB2312;仿宋"/>
          <w:sz w:val="28"/>
        </w:rPr>
        <w:t>受托单位《营业执照（副本）》复印件</w:t>
      </w:r>
    </w:p>
    <w:p>
      <w:pPr>
        <w:pStyle w:val="Normal"/>
        <w:spacing w:lineRule="auto" w:line="360"/>
        <w:ind w:firstLine="560"/>
        <w:jc w:val="both"/>
        <w:rPr/>
      </w:pPr>
      <w:r>
        <w:rPr>
          <w:rFonts w:eastAsia="仿宋_GB2312;仿宋" w:cs="Arial" w:ascii="Arial" w:hAnsi="Arial"/>
          <w:sz w:val="28"/>
        </w:rPr>
        <w:t>12.</w:t>
      </w:r>
      <w:r>
        <w:rPr>
          <w:rFonts w:ascii="Arial" w:hAnsi="Arial" w:cs="Arial" w:eastAsia="仿宋_GB2312;仿宋"/>
          <w:sz w:val="28"/>
        </w:rPr>
        <w:t>受托单位评估资质复印件</w:t>
      </w:r>
    </w:p>
    <w:p>
      <w:pPr>
        <w:pStyle w:val="Normal"/>
        <w:spacing w:lineRule="auto" w:line="360"/>
        <w:ind w:firstLine="560"/>
        <w:jc w:val="both"/>
        <w:rPr/>
      </w:pPr>
      <w:r>
        <w:rPr>
          <w:rFonts w:eastAsia="楷体_GB2312;楷体" w:cs="Arial" w:ascii="Arial" w:hAnsi="Arial"/>
          <w:sz w:val="28"/>
        </w:rPr>
        <w:t>13.</w:t>
      </w:r>
      <w:r>
        <w:rPr>
          <w:rFonts w:ascii="Arial" w:hAnsi="Arial" w:cs="Arial" w:eastAsia="仿宋_GB2312;仿宋"/>
          <w:sz w:val="28"/>
        </w:rPr>
        <w:t>评估专业人员资质证书复印件</w:t>
      </w:r>
    </w:p>
    <w:p>
      <w:pPr>
        <w:pStyle w:val="Normal"/>
        <w:spacing w:lineRule="auto" w:line="360"/>
        <w:rPr>
          <w:rFonts w:ascii="Arial" w:hAnsi="Arial" w:eastAsia="仿宋_GB2312;仿宋" w:cs="Arial"/>
          <w:sz w:val="28"/>
        </w:rPr>
      </w:pPr>
      <w:r>
        <w:rPr>
          <w:rFonts w:eastAsia="仿宋_GB2312;仿宋" w:cs="Arial" w:ascii="Arial" w:hAnsi="Arial"/>
          <w:sz w:val="28"/>
        </w:rPr>
      </w:r>
    </w:p>
    <w:sectPr>
      <w:headerReference w:type="default" r:id="rId82"/>
      <w:footerReference w:type="default" r:id="rId83"/>
      <w:type w:val="nextPage"/>
      <w:pgSz w:w="11906" w:h="16838"/>
      <w:pgMar w:left="1304" w:right="1304" w:header="1134" w:top="1843" w:footer="907" w:bottom="1134" w:gutter="0"/>
      <w:pgNumType w:fmt="decimal"/>
      <w:formProt w:val="false"/>
      <w:textDirection w:val="lrTb"/>
      <w:docGrid w:type="default" w:linePitch="326"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未知作者" w:date="2024-06-03T22:06:42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平整？还是现状？</w:t>
      </w:r>
    </w:p>
  </w:comment>
  <w:comment w:id="1" w:author="未知作者" w:date="2024-06-03T22:07:34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剩余？</w:t>
      </w:r>
    </w:p>
  </w:comment>
  <w:comment w:id="2" w:author="未知作者" w:date="2024-06-03T22:47:19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w:t>
      </w:r>
    </w:p>
  </w:comment>
  <w:comment w:id="3" w:author="未知作者" w:date="2024-06-03T22:12:48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w:t>
      </w:r>
    </w:p>
  </w:comment>
  <w:comment w:id="4" w:author="未知作者" w:date="2024-06-03T22:18:05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不该有他吧？还是写别的啥路？</w:t>
      </w:r>
    </w:p>
  </w:comment>
  <w:comment w:id="5" w:author="未知作者" w:date="2024-06-03T22:22:28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还少，再多写两三条</w:t>
      </w:r>
    </w:p>
  </w:comment>
  <w:comment w:id="6" w:author="未知作者" w:date="2024-06-03T22:29:06Z" w:initials="">
    <w:p>
      <w:r>
        <w:rPr>
          <w:rFonts w:cs="Lucida Sans" w:eastAsia="仿宋_GB2312;仿宋" w:ascii="Arial" w:hAnsi="Arial"/>
          <w:b w:val="false"/>
          <w:bCs w:val="false"/>
          <w:i w:val="false"/>
          <w:iCs w:val="false"/>
          <w:caps w:val="false"/>
          <w:smallCaps w:val="false"/>
          <w:strike w:val="false"/>
          <w:dstrike w:val="false"/>
          <w:outline w:val="false"/>
          <w:shadow w:val="false"/>
          <w:emboss w:val="false"/>
          <w:imprint w:val="false"/>
          <w:color w:val="auto"/>
          <w:spacing w:val="-12"/>
          <w:w w:val="100"/>
          <w:kern w:val="2"/>
          <w:position w:val="0"/>
          <w:sz w:val="28"/>
          <w:sz w:val="28"/>
          <w:szCs w:val="28"/>
          <w:u w:val="none"/>
          <w:vertAlign w:val="baseline"/>
          <w:em w:val="none"/>
          <w:lang w:val="en-US" w:eastAsia="zh-CN" w:bidi="hi-IN"/>
        </w:rPr>
        <w:t>《关于国有建设用地使用权收购工作有关事项的通知（试行）》</w:t>
      </w:r>
      <w:r>
        <w:rPr>
          <w:rFonts w:ascii="Arial" w:hAnsi="Arial" w:eastAsia="Arial" w:cs="Arial"/>
          <w:b w:val="false"/>
          <w:bCs w:val="false"/>
          <w:i w:val="false"/>
          <w:iCs w:val="false"/>
          <w:caps w:val="false"/>
          <w:smallCaps w:val="false"/>
          <w:strike w:val="false"/>
          <w:dstrike w:val="false"/>
          <w:outline w:val="false"/>
          <w:shadow w:val="false"/>
          <w:emboss w:val="false"/>
          <w:imprint w:val="false"/>
          <w:color w:val="auto"/>
          <w:spacing w:val="-12"/>
          <w:w w:val="100"/>
          <w:kern w:val="2"/>
          <w:position w:val="0"/>
          <w:sz w:val="28"/>
          <w:sz w:val="21"/>
          <w:szCs w:val="24"/>
          <w:u w:val="none"/>
          <w:vertAlign w:val="baseline"/>
          <w:em w:val="none"/>
          <w:lang w:val="en-US" w:eastAsia="zh-CN" w:bidi="hi-IN"/>
        </w:rPr>
        <w:t>[</w:t>
      </w:r>
      <w:r>
        <w:rPr>
          <w:rFonts w:ascii="Arial" w:hAnsi="Arial" w:cs="Lucida Sans" w:eastAsia="仿宋_GB2312;仿宋"/>
          <w:b w:val="false"/>
          <w:bCs w:val="false"/>
          <w:i w:val="false"/>
          <w:iCs w:val="false"/>
          <w:caps w:val="false"/>
          <w:smallCaps w:val="false"/>
          <w:strike w:val="false"/>
          <w:dstrike w:val="false"/>
          <w:outline w:val="false"/>
          <w:shadow w:val="false"/>
          <w:emboss w:val="false"/>
          <w:imprint w:val="false"/>
          <w:color w:val="auto"/>
          <w:spacing w:val="-12"/>
          <w:w w:val="100"/>
          <w:kern w:val="2"/>
          <w:position w:val="0"/>
          <w:sz w:val="28"/>
          <w:sz w:val="28"/>
          <w:szCs w:val="28"/>
          <w:u w:val="none"/>
          <w:vertAlign w:val="baseline"/>
          <w:em w:val="none"/>
          <w:lang w:val="en-US" w:eastAsia="zh-CN" w:bidi="hi-IN"/>
        </w:rPr>
        <w:t>京规自发（</w:t>
      </w:r>
      <w:r>
        <w:rPr>
          <w:rFonts w:ascii="Arial" w:hAnsi="Arial" w:eastAsia="Arial" w:cs="Arial"/>
          <w:b w:val="false"/>
          <w:bCs w:val="false"/>
          <w:i w:val="false"/>
          <w:iCs w:val="false"/>
          <w:caps w:val="false"/>
          <w:smallCaps w:val="false"/>
          <w:strike w:val="false"/>
          <w:dstrike w:val="false"/>
          <w:outline w:val="false"/>
          <w:shadow w:val="false"/>
          <w:emboss w:val="false"/>
          <w:imprint w:val="false"/>
          <w:color w:val="auto"/>
          <w:spacing w:val="-12"/>
          <w:w w:val="100"/>
          <w:kern w:val="2"/>
          <w:position w:val="0"/>
          <w:sz w:val="28"/>
          <w:sz w:val="21"/>
          <w:szCs w:val="24"/>
          <w:u w:val="none"/>
          <w:vertAlign w:val="baseline"/>
          <w:em w:val="none"/>
          <w:lang w:val="en-US" w:eastAsia="zh-CN" w:bidi="hi-IN"/>
        </w:rPr>
        <w:t>2023</w:t>
      </w:r>
      <w:r>
        <w:rPr>
          <w:rFonts w:ascii="Arial" w:hAnsi="Arial" w:cs="Lucida Sans" w:eastAsia="仿宋_GB2312;仿宋"/>
          <w:b w:val="false"/>
          <w:bCs w:val="false"/>
          <w:i w:val="false"/>
          <w:iCs w:val="false"/>
          <w:caps w:val="false"/>
          <w:smallCaps w:val="false"/>
          <w:strike w:val="false"/>
          <w:dstrike w:val="false"/>
          <w:outline w:val="false"/>
          <w:shadow w:val="false"/>
          <w:emboss w:val="false"/>
          <w:imprint w:val="false"/>
          <w:color w:val="auto"/>
          <w:spacing w:val="-12"/>
          <w:w w:val="100"/>
          <w:kern w:val="2"/>
          <w:position w:val="0"/>
          <w:sz w:val="28"/>
          <w:sz w:val="28"/>
          <w:szCs w:val="28"/>
          <w:u w:val="none"/>
          <w:vertAlign w:val="baseline"/>
          <w:em w:val="none"/>
          <w:lang w:val="en-US" w:eastAsia="zh-CN" w:bidi="hi-IN"/>
        </w:rPr>
        <w:t>）</w:t>
      </w:r>
      <w:r>
        <w:rPr>
          <w:rFonts w:ascii="Arial" w:hAnsi="Arial" w:eastAsia="Arial" w:cs="Arial"/>
          <w:b w:val="false"/>
          <w:bCs w:val="false"/>
          <w:i w:val="false"/>
          <w:iCs w:val="false"/>
          <w:caps w:val="false"/>
          <w:smallCaps w:val="false"/>
          <w:strike w:val="false"/>
          <w:dstrike w:val="false"/>
          <w:outline w:val="false"/>
          <w:shadow w:val="false"/>
          <w:emboss w:val="false"/>
          <w:imprint w:val="false"/>
          <w:color w:val="auto"/>
          <w:spacing w:val="-12"/>
          <w:w w:val="100"/>
          <w:kern w:val="2"/>
          <w:position w:val="0"/>
          <w:sz w:val="28"/>
          <w:sz w:val="21"/>
          <w:szCs w:val="24"/>
          <w:u w:val="none"/>
          <w:vertAlign w:val="baseline"/>
          <w:em w:val="none"/>
          <w:lang w:val="en-US" w:eastAsia="zh-CN" w:bidi="hi-IN"/>
        </w:rPr>
        <w:t>264</w:t>
      </w:r>
      <w:r>
        <w:rPr>
          <w:rFonts w:ascii="Arial" w:hAnsi="Arial" w:cs="Lucida Sans" w:eastAsia="仿宋_GB2312;仿宋"/>
          <w:b w:val="false"/>
          <w:bCs w:val="false"/>
          <w:i w:val="false"/>
          <w:iCs w:val="false"/>
          <w:caps w:val="false"/>
          <w:smallCaps w:val="false"/>
          <w:strike w:val="false"/>
          <w:dstrike w:val="false"/>
          <w:outline w:val="false"/>
          <w:shadow w:val="false"/>
          <w:emboss w:val="false"/>
          <w:imprint w:val="false"/>
          <w:color w:val="auto"/>
          <w:spacing w:val="-12"/>
          <w:w w:val="100"/>
          <w:kern w:val="2"/>
          <w:position w:val="0"/>
          <w:sz w:val="28"/>
          <w:sz w:val="28"/>
          <w:szCs w:val="28"/>
          <w:u w:val="none"/>
          <w:vertAlign w:val="baseline"/>
          <w:em w:val="none"/>
          <w:lang w:val="en-US" w:eastAsia="zh-CN" w:bidi="hi-IN"/>
        </w:rPr>
        <w:t>号</w:t>
      </w:r>
      <w:r>
        <w:rPr>
          <w:rFonts w:ascii="Arial" w:hAnsi="Arial" w:eastAsia="Arial" w:cs="Arial"/>
          <w:b w:val="false"/>
          <w:bCs w:val="false"/>
          <w:i w:val="false"/>
          <w:iCs w:val="false"/>
          <w:caps w:val="false"/>
          <w:smallCaps w:val="false"/>
          <w:strike w:val="false"/>
          <w:dstrike w:val="false"/>
          <w:outline w:val="false"/>
          <w:shadow w:val="false"/>
          <w:emboss w:val="false"/>
          <w:imprint w:val="false"/>
          <w:color w:val="auto"/>
          <w:spacing w:val="-12"/>
          <w:w w:val="100"/>
          <w:kern w:val="2"/>
          <w:position w:val="0"/>
          <w:sz w:val="28"/>
          <w:sz w:val="21"/>
          <w:szCs w:val="24"/>
          <w:u w:val="none"/>
          <w:vertAlign w:val="baseline"/>
          <w:em w:val="none"/>
          <w:lang w:val="en-US" w:eastAsia="zh-CN" w:bidi="hi-IN"/>
        </w:rPr>
        <w:t>]</w:t>
      </w:r>
    </w:p>
  </w:comment>
  <w:comment w:id="7" w:author="未知作者" w:date="2024-06-03T22:31:00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w:t>
      </w:r>
    </w:p>
  </w:comment>
  <w:comment w:id="8" w:author="未知作者" w:date="2024-06-03T22:41:02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什么依据？</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6"/>
    <w:family w:val="roman"/>
    <w:pitch w:val="variable"/>
  </w:font>
  <w:font w:name="仿宋_GB2312">
    <w:altName w:val="仿宋"/>
    <w:charset w:val="86"/>
    <w:family w:val="modern"/>
    <w:pitch w:val="default"/>
  </w:font>
  <w:font w:name="Wingdings">
    <w:charset w:val="02"/>
    <w:family w:val="auto"/>
    <w:pitch w:val="variable"/>
  </w:font>
  <w:font w:name="MS Gothic">
    <w:altName w:val="ＭＳ ゴシック"/>
    <w:charset w:val="80"/>
    <w:family w:val="modern"/>
    <w:pitch w:val="default"/>
  </w:font>
  <w:font w:name="Marlett">
    <w:charset w:val="02"/>
    <w:family w:val="auto"/>
    <w:pitch w:val="variable"/>
  </w:font>
  <w:font w:name="微软雅黑">
    <w:charset w:val="86"/>
    <w:family w:val="swiss"/>
    <w:pitch w:val="variable"/>
  </w:font>
  <w:font w:name="宋体">
    <w:altName w:val="SimSun"/>
    <w:charset w:val="86"/>
    <w:family w:val="auto"/>
    <w:pitch w:val="variable"/>
  </w:font>
  <w:font w:name="楷体_GB2312">
    <w:altName w:val="楷体"/>
    <w:charset w:val="86"/>
    <w:family w:val="modern"/>
    <w:pitch w:val="default"/>
  </w:font>
  <w:font w:name="E-BZ">
    <w:altName w:val="Cambria"/>
    <w:charset w:val="00"/>
    <w:family w:val="roman"/>
    <w:pitch w:val="default"/>
  </w:font>
  <w:font w:name="FZSSK--GBK1-0">
    <w:altName w:val="Arial Unicode MS"/>
    <w:charset w:val="86"/>
    <w:family w:val="auto"/>
    <w:pitch w:val="default"/>
  </w:font>
  <w:font w:name="等线 Light">
    <w:charset w:val="86"/>
    <w:family w:val="auto"/>
    <w:pitch w:val="variable"/>
  </w:font>
  <w:font w:name="Courier New">
    <w:charset w:val="00"/>
    <w:family w:val="modern"/>
    <w:pitch w:val="default"/>
  </w:font>
  <w:font w:name="等线">
    <w:charset w:val="86"/>
    <w:family w:val="auto"/>
    <w:pitch w:val="variable"/>
  </w:font>
  <w:font w:name="Liberation Sans">
    <w:altName w:val="Arial"/>
    <w:charset w:val="86"/>
    <w:family w:val="swiss"/>
    <w:pitch w:val="variable"/>
  </w:font>
  <w:font w:name="Arial Unicode MS">
    <w:charset w:val="86"/>
    <w:family w:val="swiss"/>
    <w:pitch w:val="variable"/>
  </w:font>
  <w:font w:name="Arial Narrow">
    <w:charset w:val="00"/>
    <w:family w:val="swiss"/>
    <w:pitch w:val="variable"/>
  </w:font>
  <w:font w:name="长城粗隶书">
    <w:altName w:val="宋体"/>
    <w:charset w:val="86"/>
    <w:family w:val="modern"/>
    <w:pitch w:val="default"/>
  </w:font>
  <w:font w:name="华文细黑碙..">
    <w:altName w:val="仿宋"/>
    <w:charset w:val="86"/>
    <w:family w:val="swiss"/>
    <w:pitch w:val="default"/>
  </w:font>
  <w:font w:name="Calibri">
    <w:charset w:val="00"/>
    <w:family w:val="swiss"/>
    <w:pitch w:val="variable"/>
  </w:font>
  <w:font w:name="楷体">
    <w:charset w:val="86"/>
    <w:family w:val="modern"/>
    <w:pitch w:val="default"/>
  </w:font>
  <w:font w:name="仿宋">
    <w:charset w:val="86"/>
    <w:family w:val="modern"/>
    <w:pitch w:val="default"/>
  </w:font>
  <w:font w:name="华文细黑">
    <w:charset w:val="86"/>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tabs>
        <w:tab w:val="clear" w:pos="4153"/>
        <w:tab w:val="clear" w:pos="8306"/>
        <w:tab w:val="left" w:pos="4890" w:leader="none"/>
      </w:tabs>
      <w:rPr/>
    </w:pPr>
    <w:r>
      <w:rPr/>
      <w:tab/>
    </w:r>
    <w:r>
      <mc:AlternateContent>
        <mc:Choice Requires="wps">
          <w:drawing>
            <wp:anchor behindDoc="0" distT="0" distB="0" distL="0" distR="0" simplePos="0" locked="0" layoutInCell="1" allowOverlap="1" relativeHeight="18">
              <wp:simplePos x="0" y="0"/>
              <wp:positionH relativeFrom="margin">
                <wp:align>center</wp:align>
              </wp:positionH>
              <wp:positionV relativeFrom="paragraph">
                <wp:posOffset>635</wp:posOffset>
              </wp:positionV>
              <wp:extent cx="14605" cy="152400"/>
              <wp:effectExtent l="0" t="0" r="0" b="0"/>
              <wp:wrapSquare wrapText="largest"/>
              <wp:docPr id="1" name="框架1"/>
              <a:graphic xmlns:a="http://schemas.openxmlformats.org/drawingml/2006/main">
                <a:graphicData uri="http://schemas.microsoft.com/office/word/2010/wordprocessingShape">
                  <wps:wsp>
                    <wps:cNvSpPr txBox="1"/>
                    <wps:spPr>
                      <a:xfrm>
                        <a:off x="0" y="0"/>
                        <a:ext cx="14605" cy="152400"/>
                      </a:xfrm>
                      <a:prstGeom prst="rect"/>
                      <a:solidFill>
                        <a:srgbClr val="FFFFFF">
                          <a:alpha val="0"/>
                        </a:srgbClr>
                      </a:solidFill>
                    </wps:spPr>
                    <wps:txbx>
                      <w:txbxContent>
                        <w:p>
                          <w:pPr>
                            <w:pStyle w:val="Style32"/>
                            <w:rPr>
                              <w:rStyle w:val="Style11"/>
                              <w:sz w:val="21"/>
                            </w:rPr>
                          </w:pPr>
                          <w:r>
                            <w:rPr/>
                          </w:r>
                        </w:p>
                      </w:txbxContent>
                    </wps:txbx>
                    <wps:bodyPr anchor="t" lIns="0" tIns="0" rIns="0" bIns="0">
                      <a:noAutofit/>
                    </wps:bodyPr>
                  </wps:wsp>
                </a:graphicData>
              </a:graphic>
            </wp:anchor>
          </w:drawing>
        </mc:Choice>
        <mc:Fallback>
          <w:pict>
            <v:rect fillcolor="#FFFFFF" style="position:absolute;rotation:0;width:1.15pt;height:12pt;mso-wrap-distance-left:0pt;mso-wrap-distance-right:0pt;mso-wrap-distance-top:0pt;mso-wrap-distance-bottom:0pt;margin-top:0.05pt;mso-position-vertical-relative:text;margin-left:216pt;mso-position-horizontal:center;mso-position-horizontal-relative:margin">
              <v:fill opacity="0f"/>
              <v:textbox>
                <w:txbxContent>
                  <w:p>
                    <w:pPr>
                      <w:pStyle w:val="Style32"/>
                      <w:rPr>
                        <w:rStyle w:val="Style11"/>
                        <w:sz w:val="21"/>
                      </w:rPr>
                    </w:pPr>
                    <w:r>
                      <w:rPr/>
                    </w:r>
                  </w:p>
                </w:txbxContent>
              </v:textbox>
              <w10:wrap type="square" side="largest"/>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8</w:t>
    </w:r>
    <w:r>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20</w:t>
    </w:r>
    <w:r>
      <w:rPr/>
      <w:fldChar w:fldCharType="end"/>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44</w:t>
    </w:r>
    <w:r>
      <w:rPr/>
      <w:fldChar w:fldCharType="end"/>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0</w:t>
    </w:r>
    <w:r>
      <w:rPr/>
      <w:fldChar w:fldCharType="end"/>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45</w:t>
    </w:r>
    <w:r>
      <w:rPr/>
      <w:fldChar w:fldCharType="end"/>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0</w:t>
    </w:r>
    <w:r>
      <w:rPr/>
      <w:fldChar w:fldCharType="end"/>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0</w:t>
    </w:r>
    <w:r>
      <w:rPr/>
      <w:fldChar w:fldCharType="end"/>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8</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jc w:val="center"/>
      <w:rPr/>
    </w:pPr>
    <w:r>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1</w:t>
    </w:r>
    <w:r>
      <w:rPr/>
      <w:fldChar w:fldCharType="end"/>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0</w:t>
    </w:r>
    <w:r>
      <w:rPr/>
      <w:fldChar w:fldCharType="end"/>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10</w:t>
    </w:r>
    <w:r>
      <w:rPr/>
      <w:fldChar w:fldCharType="end"/>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26</w:t>
    </w:r>
    <w:r>
      <w:rPr/>
      <w:fldChar w:fldCharType="end"/>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41</w:t>
    </w:r>
    <w:r>
      <w:rPr/>
      <w:fldChar w:fldCharType="end"/>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44</w:t>
    </w:r>
    <w:r>
      <w:rPr/>
      <w:fldChar w:fldCharType="end"/>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45</w:t>
    </w:r>
    <w:r>
      <w:rPr/>
      <w:fldChar w:fldCharType="end"/>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60</w:t>
    </w:r>
    <w:r>
      <w:rPr/>
      <w:fldChar w:fldCharType="end"/>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61</w:t>
    </w:r>
    <w:r>
      <w:rPr/>
      <w:fldChar w:fldCharType="end"/>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67</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tabs>
        <w:tab w:val="clear" w:pos="4153"/>
        <w:tab w:val="clear" w:pos="8306"/>
        <w:tab w:val="left" w:pos="4890" w:leader="none"/>
      </w:tabs>
      <w:rPr/>
    </w:pPr>
    <w:r>
      <w:rPr/>
      <w:tab/>
    </w:r>
    <w:r>
      <mc:AlternateContent>
        <mc:Choice Requires="wps">
          <w:drawing>
            <wp:anchor behindDoc="0" distT="0" distB="0" distL="0" distR="0" simplePos="0" locked="0" layoutInCell="1" allowOverlap="1" relativeHeight="0">
              <wp:simplePos x="0" y="0"/>
              <wp:positionH relativeFrom="margin">
                <wp:align>center</wp:align>
              </wp:positionH>
              <wp:positionV relativeFrom="paragraph">
                <wp:posOffset>635</wp:posOffset>
              </wp:positionV>
              <wp:extent cx="222250" cy="20955"/>
              <wp:effectExtent l="0" t="0" r="0" b="0"/>
              <wp:wrapSquare wrapText="largest"/>
              <wp:docPr id="3" name="框架2"/>
              <a:graphic xmlns:a="http://schemas.openxmlformats.org/drawingml/2006/main">
                <a:graphicData uri="http://schemas.microsoft.com/office/word/2010/wordprocessingShape">
                  <wps:wsp>
                    <wps:cNvSpPr txBox="1"/>
                    <wps:spPr>
                      <a:xfrm>
                        <a:off x="0" y="0"/>
                        <a:ext cx="222250" cy="20955"/>
                      </a:xfrm>
                      <a:prstGeom prst="rect"/>
                      <a:solidFill>
                        <a:srgbClr val="FFFFFF">
                          <a:alpha val="0"/>
                        </a:srgbClr>
                      </a:solidFill>
                    </wps:spPr>
                    <wps:txbx>
                      <w:txbxContent>
                        <w:p>
                          <w:pPr>
                            <w:pStyle w:val="Style32"/>
                            <w:rPr>
                              <w:rStyle w:val="Style11"/>
                              <w:sz w:val="21"/>
                            </w:rPr>
                          </w:pPr>
                          <w:r>
                            <w:rPr/>
                          </w:r>
                        </w:p>
                      </w:txbxContent>
                    </wps:txbx>
                    <wps:bodyPr anchor="t" lIns="0" tIns="0" rIns="0" bIns="0">
                      <a:noAutofit/>
                    </wps:bodyPr>
                  </wps:wsp>
                </a:graphicData>
              </a:graphic>
            </wp:anchor>
          </w:drawing>
        </mc:Choice>
        <mc:Fallback>
          <w:pict>
            <v:rect fillcolor="#FFFFFF" style="position:absolute;rotation:0;width:17.5pt;height:1.65pt;mso-wrap-distance-left:0pt;mso-wrap-distance-right:0pt;mso-wrap-distance-top:0pt;mso-wrap-distance-bottom:0pt;margin-top:0.05pt;mso-position-vertical-relative:text;margin-left:0pt;mso-position-horizontal:center;mso-position-horizontal-relative:margin">
              <v:fill opacity="0f"/>
              <v:textbox>
                <w:txbxContent>
                  <w:p>
                    <w:pPr>
                      <w:pStyle w:val="Style32"/>
                      <w:rPr>
                        <w:rStyle w:val="Style11"/>
                        <w:sz w:val="21"/>
                      </w:rPr>
                    </w:pPr>
                    <w:r>
                      <w:rPr/>
                    </w:r>
                  </w:p>
                </w:txbxContent>
              </v:textbox>
              <w10:wrap type="square" side="largest"/>
            </v:rect>
          </w:pict>
        </mc:Fallback>
      </mc:AlternateContent>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68</w:t>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jc w:val="cen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5</w:t>
    </w:r>
    <w:r>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1</w:t>
    </w:r>
    <w:r>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8" w:space="15" w:color="000000"/>
      </w:pBdr>
      <w:rPr>
        <w:lang w:eastAsia="zh-CN"/>
      </w:rPr>
    </w:pPr>
    <w:r>
      <w:rPr>
        <w:lang w:eastAsia="zh-CN"/>
      </w:rPr>
    </w:r>
    <w:r>
      <mc:AlternateContent>
        <mc:Choice Requires="wps">
          <w:drawing>
            <wp:anchor behindDoc="0" distT="0" distB="0" distL="0" distR="0" simplePos="0" locked="0" layoutInCell="1" allowOverlap="1" relativeHeight="0">
              <wp:simplePos x="0" y="0"/>
              <wp:positionH relativeFrom="page">
                <wp:posOffset>990600</wp:posOffset>
              </wp:positionH>
              <wp:positionV relativeFrom="paragraph">
                <wp:posOffset>216535</wp:posOffset>
              </wp:positionV>
              <wp:extent cx="8818245" cy="20955"/>
              <wp:effectExtent l="0" t="0" r="0" b="0"/>
              <wp:wrapSquare wrapText="largest"/>
              <wp:docPr id="8" name="框架3"/>
              <a:graphic xmlns:a="http://schemas.openxmlformats.org/drawingml/2006/main">
                <a:graphicData uri="http://schemas.microsoft.com/office/word/2010/wordprocessingShape">
                  <wps:wsp>
                    <wps:cNvSpPr txBox="1"/>
                    <wps:spPr>
                      <a:xfrm>
                        <a:off x="0" y="0"/>
                        <a:ext cx="8818245" cy="20955"/>
                      </a:xfrm>
                      <a:prstGeom prst="rect"/>
                      <a:solidFill>
                        <a:srgbClr val="FFFFFF">
                          <a:alpha val="0"/>
                        </a:srgbClr>
                      </a:solidFill>
                    </wps:spPr>
                    <wps:txbx>
                      <w:txbxContent>
                        <w:p>
                          <w:pPr>
                            <w:pStyle w:val="Style32"/>
                            <w:jc w:val="center"/>
                            <w:rPr>
                              <w:rStyle w:val="Style11"/>
                              <w:sz w:val="21"/>
                            </w:rPr>
                          </w:pPr>
                          <w:r>
                            <w:rPr>
                              <w:rStyle w:val="Style11"/>
                              <w:sz w:val="21"/>
                              <w:szCs w:val="21"/>
                            </w:rPr>
                            <w:t xml:space="preserve">- </w:t>
                          </w:r>
                          <w:r>
                            <w:rPr>
                              <w:rStyle w:val="Style11"/>
                              <w:sz w:val="21"/>
                              <w:szCs w:val="21"/>
                            </w:rPr>
                            <w:fldChar w:fldCharType="begin"/>
                          </w:r>
                          <w:r>
                            <w:rPr>
                              <w:rStyle w:val="Style11"/>
                              <w:sz w:val="21"/>
                              <w:szCs w:val="21"/>
                            </w:rPr>
                            <w:instrText> PAGE </w:instrText>
                          </w:r>
                          <w:r>
                            <w:rPr>
                              <w:rStyle w:val="Style11"/>
                              <w:sz w:val="21"/>
                              <w:szCs w:val="21"/>
                            </w:rPr>
                            <w:fldChar w:fldCharType="separate"/>
                          </w:r>
                          <w:r>
                            <w:rPr>
                              <w:rStyle w:val="Style11"/>
                              <w:sz w:val="21"/>
                              <w:szCs w:val="21"/>
                            </w:rPr>
                            <w:t>0</w:t>
                          </w:r>
                          <w:r>
                            <w:rPr>
                              <w:rStyle w:val="Style11"/>
                              <w:sz w:val="21"/>
                              <w:szCs w:val="21"/>
                            </w:rPr>
                            <w:fldChar w:fldCharType="end"/>
                          </w:r>
                          <w:r>
                            <w:rPr>
                              <w:rStyle w:val="Style11"/>
                              <w:sz w:val="21"/>
                              <w:szCs w:val="21"/>
                            </w:rPr>
                            <w:t xml:space="preserve"> -</w:t>
                          </w:r>
                        </w:p>
                      </w:txbxContent>
                    </wps:txbx>
                    <wps:bodyPr anchor="t" lIns="0" tIns="0" rIns="0" bIns="0">
                      <a:noAutofit/>
                    </wps:bodyPr>
                  </wps:wsp>
                </a:graphicData>
              </a:graphic>
            </wp:anchor>
          </w:drawing>
        </mc:Choice>
        <mc:Fallback>
          <w:pict>
            <v:rect fillcolor="#FFFFFF" style="position:absolute;rotation:0;width:694.35pt;height:1.65pt;mso-wrap-distance-left:0pt;mso-wrap-distance-right:0pt;mso-wrap-distance-top:0pt;mso-wrap-distance-bottom:0pt;margin-top:17.05pt;mso-position-vertical-relative:text;margin-left:78pt;mso-position-horizontal-relative:page">
              <v:fill opacity="0f"/>
              <v:textbox>
                <w:txbxContent>
                  <w:p>
                    <w:pPr>
                      <w:pStyle w:val="Style32"/>
                      <w:jc w:val="center"/>
                      <w:rPr>
                        <w:rStyle w:val="Style11"/>
                        <w:sz w:val="21"/>
                      </w:rPr>
                    </w:pPr>
                    <w:r>
                      <w:rPr>
                        <w:rStyle w:val="Style11"/>
                        <w:sz w:val="21"/>
                        <w:szCs w:val="21"/>
                      </w:rPr>
                      <w:t xml:space="preserve">- </w:t>
                    </w:r>
                    <w:r>
                      <w:rPr>
                        <w:rStyle w:val="Style11"/>
                        <w:sz w:val="21"/>
                        <w:szCs w:val="21"/>
                      </w:rPr>
                      <w:fldChar w:fldCharType="begin"/>
                    </w:r>
                    <w:r>
                      <w:rPr>
                        <w:rStyle w:val="Style11"/>
                        <w:sz w:val="21"/>
                        <w:szCs w:val="21"/>
                      </w:rPr>
                      <w:instrText> PAGE </w:instrText>
                    </w:r>
                    <w:r>
                      <w:rPr>
                        <w:rStyle w:val="Style11"/>
                        <w:sz w:val="21"/>
                        <w:szCs w:val="21"/>
                      </w:rPr>
                      <w:fldChar w:fldCharType="separate"/>
                    </w:r>
                    <w:r>
                      <w:rPr>
                        <w:rStyle w:val="Style11"/>
                        <w:sz w:val="21"/>
                        <w:szCs w:val="21"/>
                      </w:rPr>
                      <w:t>0</w:t>
                    </w:r>
                    <w:r>
                      <w:rPr>
                        <w:rStyle w:val="Style11"/>
                        <w:sz w:val="21"/>
                        <w:szCs w:val="21"/>
                      </w:rPr>
                      <w:fldChar w:fldCharType="end"/>
                    </w:r>
                    <w:r>
                      <w:rPr>
                        <w:rStyle w:val="Style11"/>
                        <w:sz w:val="21"/>
                        <w:szCs w:val="21"/>
                      </w:rPr>
                      <w:t xml:space="preserve"> -</w:t>
                    </w:r>
                  </w:p>
                </w:txbxContent>
              </v:textbox>
              <w10:wrap type="square" side="largest"/>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4" w:space="1" w:color="000000"/>
      </w:pBdr>
      <w:jc w:val="center"/>
      <w:rPr/>
    </w:pPr>
    <w:r>
      <w:rPr/>
      <w:fldChar w:fldCharType="begin"/>
    </w:r>
    <w:r>
      <w:rPr/>
      <w:instrText> PAGE </w:instrText>
    </w:r>
    <w:r>
      <w:rPr/>
      <w:fldChar w:fldCharType="separate"/>
    </w:r>
    <w:r>
      <w:rPr/>
      <w:t>7</w:t>
    </w:r>
    <w:r>
      <w:rP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2"/>
      <w:pBdr>
        <w:top w:val="single" w:sz="8" w:space="15" w:color="000000"/>
      </w:pBdr>
      <w:rPr>
        <w:lang w:eastAsia="zh-CN"/>
      </w:rPr>
    </w:pPr>
    <w:r>
      <w:rPr>
        <w:lang w:eastAsia="zh-CN"/>
      </w:rPr>
    </w:r>
    <w:r>
      <mc:AlternateContent>
        <mc:Choice Requires="wps">
          <w:drawing>
            <wp:anchor behindDoc="0" distT="0" distB="0" distL="0" distR="0" simplePos="0" locked="0" layoutInCell="1" allowOverlap="1" relativeHeight="0">
              <wp:simplePos x="0" y="0"/>
              <wp:positionH relativeFrom="page">
                <wp:posOffset>990600</wp:posOffset>
              </wp:positionH>
              <wp:positionV relativeFrom="paragraph">
                <wp:posOffset>216535</wp:posOffset>
              </wp:positionV>
              <wp:extent cx="8818245" cy="20955"/>
              <wp:effectExtent l="0" t="0" r="0" b="0"/>
              <wp:wrapSquare wrapText="largest"/>
              <wp:docPr id="10" name="框架4"/>
              <a:graphic xmlns:a="http://schemas.openxmlformats.org/drawingml/2006/main">
                <a:graphicData uri="http://schemas.microsoft.com/office/word/2010/wordprocessingShape">
                  <wps:wsp>
                    <wps:cNvSpPr txBox="1"/>
                    <wps:spPr>
                      <a:xfrm>
                        <a:off x="0" y="0"/>
                        <a:ext cx="8818245" cy="20955"/>
                      </a:xfrm>
                      <a:prstGeom prst="rect"/>
                      <a:solidFill>
                        <a:srgbClr val="FFFFFF">
                          <a:alpha val="0"/>
                        </a:srgbClr>
                      </a:solidFill>
                    </wps:spPr>
                    <wps:txbx>
                      <w:txbxContent>
                        <w:p>
                          <w:pPr>
                            <w:pStyle w:val="Style32"/>
                            <w:jc w:val="center"/>
                            <w:rPr/>
                          </w:pPr>
                          <w:r>
                            <w:rPr>
                              <w:rStyle w:val="Style11"/>
                              <w:sz w:val="21"/>
                              <w:szCs w:val="21"/>
                            </w:rPr>
                            <w:t xml:space="preserve">- </w:t>
                          </w:r>
                          <w:r>
                            <w:rPr>
                              <w:rStyle w:val="Style11"/>
                              <w:sz w:val="21"/>
                              <w:szCs w:val="21"/>
                            </w:rPr>
                            <w:fldChar w:fldCharType="begin"/>
                          </w:r>
                          <w:r>
                            <w:rPr>
                              <w:rStyle w:val="Style11"/>
                              <w:sz w:val="21"/>
                              <w:szCs w:val="21"/>
                            </w:rPr>
                            <w:instrText> PAGE </w:instrText>
                          </w:r>
                          <w:r>
                            <w:rPr>
                              <w:rStyle w:val="Style11"/>
                              <w:sz w:val="21"/>
                              <w:szCs w:val="21"/>
                            </w:rPr>
                            <w:fldChar w:fldCharType="separate"/>
                          </w:r>
                          <w:r>
                            <w:rPr>
                              <w:rStyle w:val="Style11"/>
                              <w:sz w:val="21"/>
                              <w:szCs w:val="21"/>
                            </w:rPr>
                            <w:t>0</w:t>
                          </w:r>
                          <w:r>
                            <w:rPr>
                              <w:rStyle w:val="Style11"/>
                              <w:sz w:val="21"/>
                              <w:szCs w:val="21"/>
                            </w:rPr>
                            <w:fldChar w:fldCharType="end"/>
                          </w:r>
                          <w:r>
                            <w:rPr>
                              <w:rStyle w:val="Style11"/>
                              <w:sz w:val="21"/>
                              <w:szCs w:val="21"/>
                            </w:rPr>
                            <w:t xml:space="preserve"> -</w:t>
                          </w:r>
                        </w:p>
                      </w:txbxContent>
                    </wps:txbx>
                    <wps:bodyPr anchor="t" lIns="0" tIns="0" rIns="0" bIns="0">
                      <a:noAutofit/>
                    </wps:bodyPr>
                  </wps:wsp>
                </a:graphicData>
              </a:graphic>
            </wp:anchor>
          </w:drawing>
        </mc:Choice>
        <mc:Fallback>
          <w:pict>
            <v:rect fillcolor="#FFFFFF" style="position:absolute;rotation:0;width:694.35pt;height:1.65pt;mso-wrap-distance-left:0pt;mso-wrap-distance-right:0pt;mso-wrap-distance-top:0pt;mso-wrap-distance-bottom:0pt;margin-top:17.05pt;mso-position-vertical-relative:text;margin-left:78pt;mso-position-horizontal-relative:page">
              <v:fill opacity="0f"/>
              <v:textbox>
                <w:txbxContent>
                  <w:p>
                    <w:pPr>
                      <w:pStyle w:val="Style32"/>
                      <w:jc w:val="center"/>
                      <w:rPr/>
                    </w:pPr>
                    <w:r>
                      <w:rPr>
                        <w:rStyle w:val="Style11"/>
                        <w:sz w:val="21"/>
                        <w:szCs w:val="21"/>
                      </w:rPr>
                      <w:t xml:space="preserve">- </w:t>
                    </w:r>
                    <w:r>
                      <w:rPr>
                        <w:rStyle w:val="Style11"/>
                        <w:sz w:val="21"/>
                        <w:szCs w:val="21"/>
                      </w:rPr>
                      <w:fldChar w:fldCharType="begin"/>
                    </w:r>
                    <w:r>
                      <w:rPr>
                        <w:rStyle w:val="Style11"/>
                        <w:sz w:val="21"/>
                        <w:szCs w:val="21"/>
                      </w:rPr>
                      <w:instrText> PAGE </w:instrText>
                    </w:r>
                    <w:r>
                      <w:rPr>
                        <w:rStyle w:val="Style11"/>
                        <w:sz w:val="21"/>
                        <w:szCs w:val="21"/>
                      </w:rPr>
                      <w:fldChar w:fldCharType="separate"/>
                    </w:r>
                    <w:r>
                      <w:rPr>
                        <w:rStyle w:val="Style11"/>
                        <w:sz w:val="21"/>
                        <w:szCs w:val="21"/>
                      </w:rPr>
                      <w:t>0</w:t>
                    </w:r>
                    <w:r>
                      <w:rPr>
                        <w:rStyle w:val="Style11"/>
                        <w:sz w:val="21"/>
                        <w:szCs w:val="21"/>
                      </w:rPr>
                      <w:fldChar w:fldCharType="end"/>
                    </w:r>
                    <w:r>
                      <w:rPr>
                        <w:rStyle w:val="Style11"/>
                        <w:sz w:val="21"/>
                        <w:szCs w:val="21"/>
                      </w:rPr>
                      <w:t xml:space="preserve"> -</w:t>
                    </w:r>
                  </w:p>
                </w:txbxContent>
              </v:textbox>
              <w10:wrap type="square" side="largest"/>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nil"/>
      </w:pBdr>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nil"/>
      </w:pBdr>
      <w:rPr>
        <w:lang w:val="zh-CN" w:eastAsia="zh-CN"/>
      </w:rPr>
    </w:pPr>
    <w:r>
      <w:rPr>
        <w:lang w:val="zh-CN" w:eastAsia="zh-CN"/>
      </w:rPr>
      <w:drawing>
        <wp:inline distT="0" distB="0" distL="0" distR="0">
          <wp:extent cx="5889625" cy="277495"/>
          <wp:effectExtent l="0" t="0" r="0" b="0"/>
          <wp:docPr id="9" name="图像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像20" descr=""/>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nil"/>
      </w:pBdr>
      <w:jc w:val="both"/>
      <w:rPr>
        <w:lang w:val="zh-CN" w:eastAsia="zh-CN"/>
      </w:rPr>
    </w:pPr>
    <w:r>
      <w:rPr>
        <w:lang w:val="zh-CN" w:eastAsia="zh-CN"/>
      </w:rPr>
      <w:drawing>
        <wp:inline distT="0" distB="0" distL="0" distR="0">
          <wp:extent cx="5889625" cy="277495"/>
          <wp:effectExtent l="0" t="0" r="0" b="0"/>
          <wp:docPr id="20" name="图像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像21" descr=""/>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nil"/>
      </w:pBdr>
      <w:jc w:val="both"/>
      <w:rPr>
        <w:lang w:val="zh-CN" w:eastAsia="zh-CN"/>
      </w:rPr>
    </w:pPr>
    <w:r>
      <w:rPr>
        <w:lang w:val="zh-CN" w:eastAsia="zh-CN"/>
      </w:rPr>
      <w:drawing>
        <wp:inline distT="0" distB="0" distL="0" distR="0">
          <wp:extent cx="5889625" cy="277495"/>
          <wp:effectExtent l="0" t="0" r="0" b="0"/>
          <wp:docPr id="21" name="图像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像22" descr=""/>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nil"/>
      </w:pBdr>
      <w:jc w:val="both"/>
      <w:rPr>
        <w:lang w:val="zh-CN" w:eastAsia="zh-CN"/>
      </w:rPr>
    </w:pPr>
    <w:r>
      <w:rPr>
        <w:lang w:val="zh-CN" w:eastAsia="zh-CN"/>
      </w:rPr>
      <w:drawing>
        <wp:inline distT="0" distB="0" distL="0" distR="0">
          <wp:extent cx="5889625" cy="277495"/>
          <wp:effectExtent l="0" t="0" r="0" b="0"/>
          <wp:docPr id="22" name="图像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像23" descr=""/>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p>
    <w:pPr>
      <w:pStyle w:val="Style31"/>
      <w:pBdr>
        <w:bottom w:val="nil"/>
      </w:pBdr>
      <w:jc w:val="both"/>
      <w:rPr>
        <w:lang w:val="zh-CN" w:eastAsia="zh-CN"/>
      </w:rPr>
    </w:pPr>
    <w:r>
      <w:rPr>
        <w:lang w:val="zh-CN" w:eastAsia="zh-CN"/>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nil"/>
      </w:pBdr>
      <w:jc w:val="both"/>
      <w:rPr>
        <w:lang w:val="zh-CN" w:eastAsia="zh-CN"/>
      </w:rPr>
    </w:pPr>
    <w:r>
      <w:rPr>
        <w:lang w:val="zh-CN" w:eastAsia="zh-CN"/>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nil"/>
      </w:pBdr>
      <w:jc w:val="both"/>
      <w:rPr>
        <w:lang w:val="zh-CN" w:eastAsia="zh-CN"/>
      </w:rPr>
    </w:pPr>
    <w:r>
      <w:rPr>
        <w:lang w:val="zh-CN" w:eastAsia="zh-CN"/>
      </w:rPr>
      <w:drawing>
        <wp:inline distT="0" distB="0" distL="0" distR="0">
          <wp:extent cx="5889625" cy="277495"/>
          <wp:effectExtent l="0" t="0" r="0" b="0"/>
          <wp:docPr id="23" name="图像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像24" descr=""/>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nil"/>
      </w:pBdr>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nil"/>
      </w:pBdr>
      <w:rPr>
        <w:lang w:val="zh-CN" w:eastAsia="zh-CN"/>
      </w:rPr>
    </w:pPr>
    <w:r>
      <w:rPr>
        <w:lang w:val="zh-CN" w:eastAsia="zh-CN"/>
      </w:rPr>
      <w:drawing>
        <wp:inline distT="0" distB="0" distL="0" distR="0">
          <wp:extent cx="5889625" cy="277495"/>
          <wp:effectExtent l="0" t="0" r="0" b="0"/>
          <wp:docPr id="24" name="图像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像25" descr=""/>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nil"/>
      </w:pBdr>
      <w:jc w:val="both"/>
      <w:rPr>
        <w:lang w:val="zh-CN" w:eastAsia="zh-CN"/>
      </w:rPr>
    </w:pPr>
    <w:r>
      <w:rPr>
        <w:lang w:val="zh-CN" w:eastAsia="zh-CN"/>
      </w:rPr>
      <w:drawing>
        <wp:inline distT="0" distB="0" distL="0" distR="0">
          <wp:extent cx="5889625" cy="277495"/>
          <wp:effectExtent l="0" t="0" r="0" b="0"/>
          <wp:docPr id="34" name="图像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像26" descr=""/>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nil"/>
      </w:pBdr>
      <w:rPr>
        <w:lang w:val="zh-CN" w:eastAsia="zh-CN"/>
      </w:rPr>
    </w:pPr>
    <w:r>
      <w:rPr>
        <w:lang w:val="zh-CN" w:eastAsia="zh-CN"/>
      </w:rPr>
      <w:drawing>
        <wp:inline distT="0" distB="0" distL="0" distR="0">
          <wp:extent cx="5498465" cy="277495"/>
          <wp:effectExtent l="0" t="0" r="0" b="0"/>
          <wp:docPr id="37" name="图像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像27" descr=""/>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nil"/>
      </w:pBdr>
      <w:rPr>
        <w:lang w:val="zh-CN" w:eastAsia="zh-CN"/>
      </w:rPr>
    </w:pPr>
    <w:r>
      <w:rPr>
        <w:lang w:val="zh-CN" w:eastAsia="zh-CN"/>
      </w:rPr>
      <w:drawing>
        <wp:inline distT="0" distB="0" distL="0" distR="0">
          <wp:extent cx="5498465" cy="277495"/>
          <wp:effectExtent l="0" t="0" r="0" b="0"/>
          <wp:docPr id="38" name="图像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像28" descr=""/>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nil"/>
      </w:pBdr>
      <w:rPr>
        <w:lang w:val="zh-CN" w:eastAsia="zh-CN"/>
      </w:rPr>
    </w:pPr>
    <w:r>
      <w:rPr>
        <w:lang w:val="zh-CN" w:eastAsia="zh-CN"/>
      </w:rPr>
      <w:drawing>
        <wp:inline distT="0" distB="0" distL="0" distR="0">
          <wp:extent cx="5498465" cy="277495"/>
          <wp:effectExtent l="0" t="0" r="0" b="0"/>
          <wp:docPr id="39" name="图像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像29" descr=""/>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lang w:val="zh-CN" w:eastAsia="zh-CN"/>
      </w:rPr>
    </w:pPr>
    <w:r>
      <w:rPr>
        <w:lang w:val="zh-CN" w:eastAsia="zh-CN"/>
      </w:rPr>
      <w:drawing>
        <wp:inline distT="0" distB="0" distL="0" distR="0">
          <wp:extent cx="5498465" cy="277495"/>
          <wp:effectExtent l="0" t="0" r="0" b="0"/>
          <wp:docPr id="40" name="图像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像30" descr=""/>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nil"/>
      </w:pBdr>
      <w:rPr>
        <w:lang w:val="zh-CN" w:eastAsia="zh-CN"/>
      </w:rPr>
    </w:pPr>
    <w:r>
      <w:rPr>
        <w:lang w:val="zh-CN" w:eastAsia="zh-CN"/>
      </w:rPr>
      <w:drawing>
        <wp:inline distT="0" distB="0" distL="0" distR="0">
          <wp:extent cx="5889625" cy="277495"/>
          <wp:effectExtent l="0" t="0" r="0" b="0"/>
          <wp:docPr id="2" name="图片 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lang w:val="zh-CN" w:eastAsia="zh-CN"/>
      </w:rPr>
    </w:pPr>
    <w:r>
      <w:rPr>
        <w:lang w:val="zh-CN" w:eastAsia="zh-CN"/>
      </w:rPr>
      <w:drawing>
        <wp:inline distT="0" distB="0" distL="0" distR="0">
          <wp:extent cx="5895975" cy="323215"/>
          <wp:effectExtent l="0" t="0" r="0" b="0"/>
          <wp:docPr id="4" name="图像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7" descr=""/>
                  <pic:cNvPicPr>
                    <a:picLocks noChangeAspect="1" noChangeArrowheads="1"/>
                  </pic:cNvPicPr>
                </pic:nvPicPr>
                <pic:blipFill>
                  <a:blip r:embed="rId1"/>
                  <a:srcRect l="-1" t="-40" r="-1" b="-40"/>
                  <a:stretch>
                    <a:fillRect/>
                  </a:stretch>
                </pic:blipFill>
                <pic:spPr bwMode="auto">
                  <a:xfrm>
                    <a:off x="0" y="0"/>
                    <a:ext cx="5895975" cy="323215"/>
                  </a:xfrm>
                  <a:prstGeom prst="rect">
                    <a:avLst/>
                  </a:prstGeom>
                </pic:spPr>
              </pic:pic>
            </a:graphicData>
          </a:graphic>
        </wp:inline>
      </w:drawing>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lang w:val="zh-CN" w:eastAsia="zh-CN"/>
      </w:rPr>
    </w:pPr>
    <w:r>
      <w:rPr>
        <w:lang w:val="zh-CN" w:eastAsia="zh-CN"/>
      </w:rPr>
      <w:drawing>
        <wp:inline distT="0" distB="0" distL="0" distR="0">
          <wp:extent cx="5902325" cy="332740"/>
          <wp:effectExtent l="0" t="0" r="0" b="0"/>
          <wp:docPr id="5" name="图像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6" descr=""/>
                  <pic:cNvPicPr>
                    <a:picLocks noChangeAspect="1" noChangeArrowheads="1"/>
                  </pic:cNvPicPr>
                </pic:nvPicPr>
                <pic:blipFill>
                  <a:blip r:embed="rId1"/>
                  <a:srcRect l="-1" t="-40" r="-1" b="-40"/>
                  <a:stretch>
                    <a:fillRect/>
                  </a:stretch>
                </pic:blipFill>
                <pic:spPr bwMode="auto">
                  <a:xfrm>
                    <a:off x="0" y="0"/>
                    <a:ext cx="5902325" cy="332740"/>
                  </a:xfrm>
                  <a:prstGeom prst="rect">
                    <a:avLst/>
                  </a:prstGeom>
                </pic:spPr>
              </pic:pic>
            </a:graphicData>
          </a:graphic>
        </wp:inline>
      </w:drawing>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nil"/>
      </w:pBdr>
      <w:jc w:val="both"/>
      <w:rPr>
        <w:rFonts w:ascii="楷体_GB2312;楷体" w:hAnsi="楷体_GB2312;楷体" w:eastAsia="楷体_GB2312;楷体"/>
        <w:spacing w:val="-20"/>
        <w:sz w:val="24"/>
        <w:lang w:val="zh-CN" w:eastAsia="zh-CN"/>
      </w:rPr>
    </w:pPr>
    <w:r>
      <w:rPr>
        <w:rFonts w:ascii="楷体_GB2312;楷体" w:hAnsi="楷体_GB2312;楷体" w:eastAsia="楷体_GB2312;楷体"/>
        <w:spacing w:val="-20"/>
        <w:sz w:val="24"/>
        <w:lang w:val="zh-CN" w:eastAsia="zh-CN"/>
      </w:rPr>
      <w:drawing>
        <wp:inline distT="0" distB="0" distL="0" distR="0">
          <wp:extent cx="8865870" cy="393700"/>
          <wp:effectExtent l="0" t="0" r="0" b="0"/>
          <wp:docPr id="6" name="图像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19" descr=""/>
                  <pic:cNvPicPr>
                    <a:picLocks noChangeAspect="1" noChangeArrowheads="1"/>
                  </pic:cNvPicPr>
                </pic:nvPicPr>
                <pic:blipFill>
                  <a:blip r:embed="rId1"/>
                  <a:stretch>
                    <a:fillRect/>
                  </a:stretch>
                </pic:blipFill>
                <pic:spPr bwMode="auto">
                  <a:xfrm>
                    <a:off x="0" y="0"/>
                    <a:ext cx="8865870" cy="393700"/>
                  </a:xfrm>
                  <a:prstGeom prst="rect">
                    <a:avLst/>
                  </a:prstGeom>
                </pic:spPr>
              </pic:pic>
            </a:graphicData>
          </a:graphic>
        </wp:inline>
      </w:drawing>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pBdr>
        <w:bottom w:val="nil"/>
      </w:pBdr>
      <w:rPr>
        <w:lang w:val="zh-CN" w:eastAsia="zh-CN"/>
      </w:rPr>
    </w:pPr>
    <w:r>
      <w:rPr>
        <w:lang w:val="zh-CN" w:eastAsia="zh-CN"/>
      </w:rPr>
      <w:drawing>
        <wp:inline distT="0" distB="0" distL="0" distR="0">
          <wp:extent cx="5889625" cy="277495"/>
          <wp:effectExtent l="0" t="0" r="0" b="0"/>
          <wp:docPr id="7" name="图像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18" descr=""/>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upperLetter"/>
      <w:lvlText w:val="%1."/>
      <w:lvlJc w:val="left"/>
      <w:pPr>
        <w:tabs>
          <w:tab w:val="num" w:pos="360"/>
        </w:tabs>
        <w:ind w:left="360" w:hanging="360"/>
      </w:pPr>
      <w:rPr>
        <w:b w:val="false"/>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3"/>
      <w:numFmt w:val="decimal"/>
      <w:lvlText w:val="（%1）"/>
      <w:lvlJc w:val="left"/>
      <w:pPr>
        <w:tabs>
          <w:tab w:val="num" w:pos="1320"/>
        </w:tabs>
        <w:ind w:left="1320" w:hanging="720"/>
      </w:pPr>
      <w:rPr/>
    </w:lvl>
    <w:lvl w:ilvl="1">
      <w:start w:val="1"/>
      <w:numFmt w:val="upperLetter"/>
      <w:lvlText w:val="%2、"/>
      <w:lvlJc w:val="left"/>
      <w:pPr>
        <w:tabs>
          <w:tab w:val="num" w:pos="1740"/>
        </w:tabs>
        <w:ind w:left="1740" w:hanging="720"/>
      </w:pPr>
      <w:rPr/>
    </w:lvl>
    <w:lvl w:ilvl="2">
      <w:start w:val="1"/>
      <w:numFmt w:val="lowerRoman"/>
      <w:lvlText w:val="%3."/>
      <w:lvlJc w:val="right"/>
      <w:pPr>
        <w:tabs>
          <w:tab w:val="num" w:pos="1860"/>
        </w:tabs>
        <w:ind w:left="1860" w:hanging="420"/>
      </w:pPr>
      <w:rPr/>
    </w:lvl>
    <w:lvl w:ilvl="3">
      <w:start w:val="1"/>
      <w:numFmt w:val="decimal"/>
      <w:lvlText w:val="%4."/>
      <w:lvlJc w:val="left"/>
      <w:pPr>
        <w:tabs>
          <w:tab w:val="num" w:pos="2280"/>
        </w:tabs>
        <w:ind w:left="2280" w:hanging="420"/>
      </w:pPr>
      <w:rPr/>
    </w:lvl>
    <w:lvl w:ilvl="4">
      <w:start w:val="1"/>
      <w:numFmt w:val="lowerLetter"/>
      <w:lvlText w:val="%5)"/>
      <w:lvlJc w:val="left"/>
      <w:pPr>
        <w:tabs>
          <w:tab w:val="num" w:pos="2700"/>
        </w:tabs>
        <w:ind w:left="2700" w:hanging="420"/>
      </w:pPr>
      <w:rPr/>
    </w:lvl>
    <w:lvl w:ilvl="5">
      <w:start w:val="1"/>
      <w:numFmt w:val="lowerRoman"/>
      <w:lvlText w:val="%6."/>
      <w:lvlJc w:val="right"/>
      <w:pPr>
        <w:tabs>
          <w:tab w:val="num" w:pos="3120"/>
        </w:tabs>
        <w:ind w:left="3120" w:hanging="420"/>
      </w:pPr>
      <w:rPr/>
    </w:lvl>
    <w:lvl w:ilvl="6">
      <w:start w:val="1"/>
      <w:numFmt w:val="decimal"/>
      <w:lvlText w:val="%7."/>
      <w:lvlJc w:val="left"/>
      <w:pPr>
        <w:tabs>
          <w:tab w:val="num" w:pos="3540"/>
        </w:tabs>
        <w:ind w:left="3540" w:hanging="420"/>
      </w:pPr>
      <w:rPr/>
    </w:lvl>
    <w:lvl w:ilvl="7">
      <w:start w:val="1"/>
      <w:numFmt w:val="lowerLetter"/>
      <w:lvlText w:val="%8)"/>
      <w:lvlJc w:val="left"/>
      <w:pPr>
        <w:tabs>
          <w:tab w:val="num" w:pos="3960"/>
        </w:tabs>
        <w:ind w:left="3960" w:hanging="420"/>
      </w:pPr>
      <w:rPr/>
    </w:lvl>
    <w:lvl w:ilvl="8">
      <w:start w:val="1"/>
      <w:numFmt w:val="lowerRoman"/>
      <w:lvlText w:val="%9."/>
      <w:lvlJc w:val="right"/>
      <w:pPr>
        <w:tabs>
          <w:tab w:val="num" w:pos="4380"/>
        </w:tabs>
        <w:ind w:left="4380" w:hanging="420"/>
      </w:pPr>
      <w:rPr/>
    </w:lvl>
  </w:abstractNum>
  <w:abstractNum w:abstractNumId="3">
    <w:lvl w:ilvl="0">
      <w:start w:val="1"/>
      <w:numFmt w:val="decimal"/>
      <w:lvlText w:val="%1."/>
      <w:lvlJc w:val="left"/>
      <w:pPr>
        <w:ind w:left="920" w:hanging="360"/>
      </w:pPr>
      <w:rPr>
        <w:sz w:val="28"/>
        <w:rFonts w:ascii="Arial" w:hAnsi="Arial" w:eastAsia="仿宋_GB2312;仿宋" w:cs="Arial"/>
      </w:rPr>
    </w:lvl>
  </w:abstractNum>
  <w:abstractNum w:abstractNumId="4">
    <w:lvl w:ilvl="0">
      <w:numFmt w:val="bullet"/>
      <w:lvlText w:val="—"/>
      <w:lvlJc w:val="left"/>
      <w:pPr>
        <w:ind w:left="360" w:hanging="360"/>
      </w:pPr>
      <w:rPr>
        <w:rFonts w:ascii="微软雅黑" w:hAnsi="微软雅黑" w:cs="微软雅黑" w:hint="default"/>
        <w:sz w:val="21"/>
        <w:szCs w:val="21"/>
        <w:rFonts w:cs="Times New Roman"/>
      </w:rPr>
    </w:lvl>
  </w:abstractNum>
  <w:abstractNum w:abstractNumId="5">
    <w:lvl w:ilvl="0">
      <w:start w:val="1"/>
      <w:numFmt w:val="upperRoman"/>
      <w:lvlText w:val="%1、"/>
      <w:lvlJc w:val="left"/>
      <w:pPr>
        <w:tabs>
          <w:tab w:val="num" w:pos="1605"/>
        </w:tabs>
        <w:ind w:left="1605" w:hanging="1080"/>
      </w:pPr>
      <w:rPr/>
    </w:lvl>
  </w:abstractNum>
  <w:abstractNum w:abstractNumId="6">
    <w:lvl w:ilvl="0">
      <w:start w:val="1"/>
      <w:numFmt w:val="upperLetter"/>
      <w:lvlText w:val="%1."/>
      <w:lvlJc w:val="left"/>
      <w:pPr>
        <w:tabs>
          <w:tab w:val="num" w:pos="360"/>
        </w:tabs>
        <w:ind w:left="360" w:hanging="360"/>
      </w:pPr>
      <w:rPr>
        <w:b w:val="false"/>
      </w:rPr>
    </w:lvl>
  </w:abstractNum>
  <w:abstractNum w:abstractNumId="7">
    <w:lvl w:ilvl="0">
      <w:start w:val="1"/>
      <w:numFmt w:val="upperLetter"/>
      <w:lvlText w:val="%1．"/>
      <w:lvlJc w:val="left"/>
      <w:pPr>
        <w:tabs>
          <w:tab w:val="num" w:pos="720"/>
        </w:tabs>
        <w:ind w:left="720" w:hanging="72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40"/>
  <w:defaultTabStop w:val="420"/>
  <w:compat>
    <w:doNotExpandShiftReturn/>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新宋体" w:cs="Lucida Sans"/>
        <w:szCs w:val="24"/>
        <w:lang w:val="en-US" w:eastAsia="zh-CN" w:bidi="hi-IN"/>
      </w:rPr>
    </w:rPrDefault>
    <w:pPrDefault>
      <w:pPr/>
    </w:pPrDefault>
  </w:docDefaults>
  <w:style w:type="paragraph" w:styleId="Normal">
    <w:name w:val="Normal"/>
    <w:qFormat/>
    <w:pPr>
      <w:widowControl w:val="false"/>
      <w:bidi w:val="0"/>
      <w:spacing w:lineRule="atLeast" w:line="360"/>
      <w:textAlignment w:val="baseline"/>
    </w:pPr>
    <w:rPr>
      <w:rFonts w:ascii="Times New Roman" w:hAnsi="Times New Roman" w:eastAsia="宋体;SimSun" w:cs="Times New Roman"/>
      <w:color w:val="auto"/>
      <w:sz w:val="24"/>
      <w:szCs w:val="20"/>
      <w:lang w:val="en-US" w:eastAsia="zh-CN" w:bidi="ar-SA"/>
    </w:rPr>
  </w:style>
  <w:style w:type="paragraph" w:styleId="1">
    <w:name w:val="Heading 1"/>
    <w:basedOn w:val="Normal"/>
    <w:next w:val="Normal"/>
    <w:qFormat/>
    <w:pPr>
      <w:keepNext w:val="true"/>
      <w:numPr>
        <w:ilvl w:val="0"/>
        <w:numId w:val="7"/>
      </w:numPr>
      <w:spacing w:lineRule="auto" w:line="300"/>
      <w:jc w:val="both"/>
      <w:outlineLvl w:val="0"/>
    </w:pPr>
    <w:rPr>
      <w:rFonts w:ascii="Arial" w:hAnsi="Arial" w:eastAsia="仿宋_GB2312;仿宋" w:cs="Arial"/>
      <w:b/>
      <w:sz w:val="28"/>
      <w:lang w:val="zh-CN"/>
    </w:rPr>
  </w:style>
  <w:style w:type="paragraph" w:styleId="2">
    <w:name w:val="Heading 2"/>
    <w:basedOn w:val="Normal"/>
    <w:next w:val="Normal"/>
    <w:qFormat/>
    <w:pPr>
      <w:keepNext w:val="true"/>
      <w:numPr>
        <w:ilvl w:val="0"/>
        <w:numId w:val="6"/>
      </w:numPr>
      <w:spacing w:lineRule="auto" w:line="300"/>
      <w:outlineLvl w:val="1"/>
    </w:pPr>
    <w:rPr>
      <w:rFonts w:ascii="Arial" w:hAnsi="Arial" w:eastAsia="仿宋_GB2312;仿宋" w:cs="Arial"/>
      <w:b/>
      <w:bCs/>
      <w:sz w:val="28"/>
      <w:lang w:val="zh-CN"/>
    </w:rPr>
  </w:style>
  <w:style w:type="paragraph" w:styleId="3">
    <w:name w:val="Heading 3"/>
    <w:basedOn w:val="Normal"/>
    <w:next w:val="Normal"/>
    <w:qFormat/>
    <w:pPr>
      <w:keepNext w:val="true"/>
      <w:numPr>
        <w:ilvl w:val="0"/>
        <w:numId w:val="2"/>
      </w:numPr>
      <w:tabs>
        <w:tab w:val="clear" w:pos="420"/>
        <w:tab w:val="left" w:pos="0" w:leader="none"/>
        <w:tab w:val="left" w:pos="1200" w:leader="none"/>
      </w:tabs>
      <w:spacing w:lineRule="atLeast" w:line="440"/>
      <w:ind w:left="1320" w:hanging="600"/>
      <w:jc w:val="both"/>
      <w:outlineLvl w:val="2"/>
    </w:pPr>
    <w:rPr>
      <w:rFonts w:ascii="仿宋_GB2312;仿宋" w:hAnsi="仿宋_GB2312;仿宋" w:eastAsia="仿宋_GB2312;仿宋" w:cs="Arial"/>
      <w:sz w:val="28"/>
      <w:lang w:val="zh-CN"/>
    </w:rPr>
  </w:style>
  <w:style w:type="paragraph" w:styleId="4">
    <w:name w:val="Heading 4"/>
    <w:basedOn w:val="Normal"/>
    <w:next w:val="Normal"/>
    <w:qFormat/>
    <w:pPr>
      <w:keepNext w:val="true"/>
      <w:numPr>
        <w:ilvl w:val="0"/>
        <w:numId w:val="5"/>
      </w:numPr>
      <w:tabs>
        <w:tab w:val="clear" w:pos="420"/>
      </w:tabs>
      <w:spacing w:lineRule="atLeast" w:line="440"/>
      <w:ind w:right="-22" w:hanging="0"/>
      <w:outlineLvl w:val="3"/>
    </w:pPr>
    <w:rPr>
      <w:rFonts w:ascii="仿宋_GB2312;仿宋" w:hAnsi="仿宋_GB2312;仿宋" w:eastAsia="仿宋_GB2312;仿宋"/>
      <w:sz w:val="28"/>
      <w:lang w:val="zh-CN"/>
    </w:rPr>
  </w:style>
  <w:style w:type="character" w:styleId="WW8Num1z0">
    <w:name w:val="WW8Num1z0"/>
    <w:qFormat/>
    <w:rPr>
      <w:rFonts w:ascii="Wingdings" w:hAnsi="Wingdings" w:cs="Wingdings"/>
    </w:rPr>
  </w:style>
  <w:style w:type="character" w:styleId="WW8Num2z0">
    <w:name w:val="WW8Num2z0"/>
    <w:qFormat/>
    <w:rPr>
      <w:rFonts w:ascii="MS Gothic;ＭＳ ゴシック" w:hAnsi="MS Gothic;ＭＳ ゴシック" w:eastAsia="MS Gothic;ＭＳ ゴシック" w:cs="MS Gothic;ＭＳ ゴシック"/>
      <w:strike w:val="false"/>
      <w:dstrike w:val="false"/>
      <w:u w:val="none"/>
    </w:rPr>
  </w:style>
  <w:style w:type="character" w:styleId="WW8Num2z1">
    <w:name w:val="WW8Num2z1"/>
    <w:qFormat/>
    <w:rPr>
      <w:rFonts w:ascii="Marlett" w:hAnsi="Marlett" w:cs="Marlett"/>
    </w:rPr>
  </w:style>
  <w:style w:type="character" w:styleId="WW8Num3z0">
    <w:name w:val="WW8Num3z0"/>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Arial" w:hAnsi="Arial" w:eastAsia="仿宋_GB2312;仿宋" w:cs="Arial"/>
      <w:sz w:val="28"/>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微软雅黑" w:hAnsi="微软雅黑" w:eastAsia="微软雅黑" w:cs="Times New Roman"/>
      <w:sz w:val="21"/>
      <w:szCs w:val="21"/>
    </w:rPr>
  </w:style>
  <w:style w:type="character" w:styleId="WW8Num7z1">
    <w:name w:val="WW8Num7z1"/>
    <w:qFormat/>
    <w:rPr>
      <w:rFonts w:ascii="Wingdings" w:hAnsi="Wingdings" w:cs="Wingdings"/>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b w:val="false"/>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Style10">
    <w:name w:val="默认段落字体"/>
    <w:qFormat/>
    <w:rPr/>
  </w:style>
  <w:style w:type="character" w:styleId="1Char">
    <w:name w:val="标题 1 Char"/>
    <w:qFormat/>
    <w:rPr>
      <w:rFonts w:ascii="Arial" w:hAnsi="Arial" w:eastAsia="仿宋_GB2312;仿宋" w:cs="Arial"/>
      <w:b/>
      <w:sz w:val="28"/>
      <w:lang w:val="zh-CN"/>
    </w:rPr>
  </w:style>
  <w:style w:type="character" w:styleId="2Char">
    <w:name w:val="标题 2 Char"/>
    <w:qFormat/>
    <w:rPr>
      <w:rFonts w:ascii="Arial" w:hAnsi="Arial" w:eastAsia="仿宋_GB2312;仿宋" w:cs="Arial"/>
      <w:b/>
      <w:bCs/>
      <w:sz w:val="28"/>
      <w:lang w:val="zh-CN"/>
    </w:rPr>
  </w:style>
  <w:style w:type="character" w:styleId="3Char">
    <w:name w:val="标题 3 Char"/>
    <w:qFormat/>
    <w:rPr>
      <w:rFonts w:ascii="仿宋_GB2312;仿宋" w:hAnsi="仿宋_GB2312;仿宋" w:eastAsia="仿宋_GB2312;仿宋" w:cs="Arial"/>
      <w:sz w:val="28"/>
      <w:lang w:val="zh-CN"/>
    </w:rPr>
  </w:style>
  <w:style w:type="character" w:styleId="4Char">
    <w:name w:val="标题 4 Char"/>
    <w:qFormat/>
    <w:rPr>
      <w:rFonts w:ascii="仿宋_GB2312;仿宋" w:hAnsi="仿宋_GB2312;仿宋" w:eastAsia="仿宋_GB2312;仿宋" w:cs="Times New Roman"/>
      <w:sz w:val="28"/>
      <w:lang w:val="zh-CN"/>
    </w:rPr>
  </w:style>
  <w:style w:type="character" w:styleId="Style11">
    <w:name w:val="页码"/>
    <w:basedOn w:val="Style10"/>
    <w:rPr/>
  </w:style>
  <w:style w:type="character" w:styleId="Char">
    <w:name w:val="页眉 Char"/>
    <w:qFormat/>
    <w:rPr>
      <w:rFonts w:ascii="Times New Roman" w:hAnsi="Times New Roman" w:eastAsia="宋体;SimSun" w:cs="Times New Roman"/>
      <w:kern w:val="0"/>
      <w:sz w:val="18"/>
      <w:szCs w:val="20"/>
    </w:rPr>
  </w:style>
  <w:style w:type="character" w:styleId="Char1">
    <w:name w:val="页脚 Char"/>
    <w:qFormat/>
    <w:rPr>
      <w:rFonts w:ascii="Times New Roman" w:hAnsi="Times New Roman" w:eastAsia="宋体;SimSun" w:cs="Times New Roman"/>
      <w:kern w:val="0"/>
      <w:sz w:val="18"/>
      <w:szCs w:val="20"/>
    </w:rPr>
  </w:style>
  <w:style w:type="character" w:styleId="Char2">
    <w:name w:val="文档结构图 Char"/>
    <w:qFormat/>
    <w:rPr>
      <w:rFonts w:ascii="Times New Roman" w:hAnsi="Times New Roman" w:eastAsia="宋体;SimSun" w:cs="Times New Roman"/>
      <w:kern w:val="0"/>
      <w:sz w:val="24"/>
      <w:szCs w:val="20"/>
      <w:shd w:fill="000080" w:val="clear"/>
    </w:rPr>
  </w:style>
  <w:style w:type="character" w:styleId="Char3">
    <w:name w:val="正文文本 Char"/>
    <w:qFormat/>
    <w:rPr>
      <w:rFonts w:ascii="宋体;SimSun" w:hAnsi="宋体;SimSun" w:eastAsia="宋体;SimSun" w:cs="Times New Roman"/>
      <w:sz w:val="30"/>
      <w:szCs w:val="20"/>
    </w:rPr>
  </w:style>
  <w:style w:type="character" w:styleId="Char4">
    <w:name w:val="正文首行缩进 Char"/>
    <w:qFormat/>
    <w:rPr>
      <w:rFonts w:ascii="Times New Roman" w:hAnsi="Times New Roman" w:eastAsia="宋体;SimSun" w:cs="Times New Roman"/>
      <w:sz w:val="30"/>
      <w:szCs w:val="20"/>
    </w:rPr>
  </w:style>
  <w:style w:type="character" w:styleId="Char5">
    <w:name w:val="正文文本缩进 Char"/>
    <w:qFormat/>
    <w:rPr>
      <w:rFonts w:ascii="仿宋_GB2312;仿宋" w:hAnsi="仿宋_GB2312;仿宋" w:eastAsia="仿宋_GB2312;仿宋" w:cs="Times New Roman"/>
      <w:kern w:val="0"/>
      <w:sz w:val="28"/>
      <w:szCs w:val="20"/>
    </w:rPr>
  </w:style>
  <w:style w:type="character" w:styleId="2Char1">
    <w:name w:val="正文文本缩进 2 Char"/>
    <w:qFormat/>
    <w:rPr>
      <w:rFonts w:ascii="仿宋_GB2312;仿宋" w:hAnsi="仿宋_GB2312;仿宋" w:eastAsia="仿宋_GB2312;仿宋" w:cs="Times New Roman"/>
      <w:kern w:val="0"/>
      <w:sz w:val="28"/>
      <w:szCs w:val="20"/>
    </w:rPr>
  </w:style>
  <w:style w:type="character" w:styleId="3Char1">
    <w:name w:val="正文文本缩进 3 Char"/>
    <w:qFormat/>
    <w:rPr>
      <w:rFonts w:ascii="Arial" w:hAnsi="Arial" w:eastAsia="仿宋_GB2312;仿宋" w:cs="Arial"/>
      <w:kern w:val="0"/>
      <w:sz w:val="28"/>
      <w:szCs w:val="20"/>
    </w:rPr>
  </w:style>
  <w:style w:type="character" w:styleId="2Char2">
    <w:name w:val="正文文本 2 Char"/>
    <w:qFormat/>
    <w:rPr>
      <w:rFonts w:ascii="仿宋_GB2312;仿宋" w:hAnsi="仿宋_GB2312;仿宋" w:eastAsia="仿宋_GB2312;仿宋" w:cs="Times New Roman"/>
      <w:kern w:val="0"/>
      <w:sz w:val="28"/>
      <w:szCs w:val="20"/>
    </w:rPr>
  </w:style>
  <w:style w:type="character" w:styleId="Char6">
    <w:name w:val="纯文本 Char"/>
    <w:qFormat/>
    <w:rPr>
      <w:rFonts w:ascii="宋体;SimSun" w:hAnsi="宋体;SimSun" w:eastAsia="宋体;SimSun" w:cs="Times New Roman"/>
      <w:szCs w:val="20"/>
    </w:rPr>
  </w:style>
  <w:style w:type="character" w:styleId="3Char2">
    <w:name w:val="正文文本 3 Char"/>
    <w:qFormat/>
    <w:rPr>
      <w:rFonts w:ascii="楷体_GB2312;楷体" w:hAnsi="楷体_GB2312;楷体" w:eastAsia="楷体_GB2312;楷体" w:cs="Times New Roman"/>
      <w:kern w:val="0"/>
      <w:sz w:val="32"/>
      <w:szCs w:val="20"/>
    </w:rPr>
  </w:style>
  <w:style w:type="character" w:styleId="Style12">
    <w:name w:val="特别强调"/>
    <w:qFormat/>
    <w:rPr>
      <w:b/>
      <w:bCs/>
    </w:rPr>
  </w:style>
  <w:style w:type="character" w:styleId="Char7">
    <w:name w:val="日期 Char"/>
    <w:qFormat/>
    <w:rPr>
      <w:rFonts w:ascii="楷体_GB2312;楷体" w:hAnsi="楷体_GB2312;楷体" w:eastAsia="楷体_GB2312;楷体" w:cs="Times New Roman"/>
      <w:b/>
      <w:kern w:val="0"/>
      <w:sz w:val="28"/>
      <w:szCs w:val="20"/>
    </w:rPr>
  </w:style>
  <w:style w:type="character" w:styleId="Text1">
    <w:name w:val="text1"/>
    <w:qFormat/>
    <w:rPr>
      <w:spacing w:val="10"/>
      <w:sz w:val="28"/>
      <w:szCs w:val="28"/>
    </w:rPr>
  </w:style>
  <w:style w:type="character" w:styleId="Nr1">
    <w:name w:val="nr1"/>
    <w:qFormat/>
    <w:rPr>
      <w:rFonts w:ascii="楷体_GB2312;楷体" w:hAnsi="楷体_GB2312;楷体" w:eastAsia="楷体_GB2312;楷体"/>
      <w:color w:val="000000"/>
      <w:sz w:val="24"/>
      <w:szCs w:val="24"/>
    </w:rPr>
  </w:style>
  <w:style w:type="character" w:styleId="HTMLChar">
    <w:name w:val="HTML 预设格式 Char"/>
    <w:qFormat/>
    <w:rPr>
      <w:rFonts w:ascii="宋体;SimSun" w:hAnsi="宋体;SimSun" w:eastAsia="宋体;SimSun" w:cs="Times New Roman"/>
      <w:kern w:val="0"/>
      <w:sz w:val="24"/>
      <w:szCs w:val="24"/>
    </w:rPr>
  </w:style>
  <w:style w:type="character" w:styleId="Char8">
    <w:name w:val="批注框文本 Char"/>
    <w:qFormat/>
    <w:rPr>
      <w:rFonts w:ascii="Times New Roman" w:hAnsi="Times New Roman" w:eastAsia="宋体;SimSun" w:cs="Times New Roman"/>
      <w:kern w:val="0"/>
      <w:sz w:val="18"/>
      <w:szCs w:val="18"/>
    </w:rPr>
  </w:style>
  <w:style w:type="character" w:styleId="T12h291">
    <w:name w:val="t12h291"/>
    <w:qFormat/>
    <w:rPr>
      <w:color w:val="000000"/>
      <w:sz w:val="24"/>
      <w:szCs w:val="24"/>
    </w:rPr>
  </w:style>
  <w:style w:type="character" w:styleId="A4">
    <w:name w:val="A4"/>
    <w:qFormat/>
    <w:rPr>
      <w:rFonts w:cs="华文细黑碙..;仿宋"/>
      <w:color w:val="000000"/>
      <w:sz w:val="16"/>
      <w:szCs w:val="16"/>
    </w:rPr>
  </w:style>
  <w:style w:type="character" w:styleId="A3">
    <w:name w:val="A3"/>
    <w:qFormat/>
    <w:rPr>
      <w:rFonts w:cs="黑体萄;方正舒体"/>
      <w:color w:val="000000"/>
      <w:sz w:val="18"/>
      <w:szCs w:val="18"/>
    </w:rPr>
  </w:style>
  <w:style w:type="character" w:styleId="Style13">
    <w:name w:val="批注引用"/>
    <w:qFormat/>
    <w:rPr>
      <w:sz w:val="21"/>
      <w:szCs w:val="21"/>
    </w:rPr>
  </w:style>
  <w:style w:type="character" w:styleId="Char9">
    <w:name w:val="批注文字 Char"/>
    <w:qFormat/>
    <w:rPr>
      <w:rFonts w:ascii="Times New Roman" w:hAnsi="Times New Roman" w:cs="Times New Roman"/>
      <w:sz w:val="24"/>
    </w:rPr>
  </w:style>
  <w:style w:type="character" w:styleId="Char10">
    <w:name w:val="批注主题 Char"/>
    <w:qFormat/>
    <w:rPr>
      <w:rFonts w:ascii="Times New Roman" w:hAnsi="Times New Roman" w:cs="Times New Roman"/>
      <w:b/>
      <w:bCs/>
      <w:sz w:val="24"/>
    </w:rPr>
  </w:style>
  <w:style w:type="character" w:styleId="Internet">
    <w:name w:val="Internet 链接"/>
    <w:rPr>
      <w:color w:val="0000FF"/>
      <w:u w:val="single"/>
    </w:rPr>
  </w:style>
  <w:style w:type="character" w:styleId="Appleconvertedspace">
    <w:name w:val="apple-converted-space"/>
    <w:qFormat/>
    <w:rPr/>
  </w:style>
  <w:style w:type="character" w:styleId="Fontstyle01">
    <w:name w:val="fontstyle01"/>
    <w:qFormat/>
    <w:rPr>
      <w:rFonts w:ascii="E-BZ;Cambria" w:hAnsi="E-BZ;Cambria" w:cs="E-BZ;Cambria"/>
      <w:b w:val="false"/>
      <w:bCs w:val="false"/>
      <w:i w:val="false"/>
      <w:iCs w:val="false"/>
      <w:color w:val="000000"/>
      <w:sz w:val="16"/>
      <w:szCs w:val="16"/>
    </w:rPr>
  </w:style>
  <w:style w:type="character" w:styleId="Fontstyle21">
    <w:name w:val="fontstyle21"/>
    <w:qFormat/>
    <w:rPr>
      <w:rFonts w:ascii="FZSSK--GBK1-0;Arial Unicode MS" w:hAnsi="FZSSK--GBK1-0;Arial Unicode MS" w:cs="FZSSK--GBK1-0;Arial Unicode MS"/>
      <w:b w:val="false"/>
      <w:bCs w:val="false"/>
      <w:i w:val="false"/>
      <w:iCs w:val="false"/>
      <w:color w:val="000000"/>
      <w:sz w:val="16"/>
      <w:szCs w:val="16"/>
    </w:rPr>
  </w:style>
  <w:style w:type="character" w:styleId="Fontstyle11">
    <w:name w:val="fontstyle11"/>
    <w:qFormat/>
    <w:rPr>
      <w:rFonts w:ascii="E-BZ;Cambria" w:hAnsi="E-BZ;Cambria" w:cs="E-BZ;Cambria"/>
      <w:b w:val="false"/>
      <w:bCs w:val="false"/>
      <w:i w:val="false"/>
      <w:iCs w:val="false"/>
      <w:color w:val="000000"/>
      <w:sz w:val="16"/>
      <w:szCs w:val="16"/>
    </w:rPr>
  </w:style>
  <w:style w:type="character" w:styleId="Style14">
    <w:name w:val="未处理的提及"/>
    <w:qFormat/>
    <w:rPr>
      <w:color w:val="605E5C"/>
      <w:shd w:fill="E1DFDD" w:val="clear"/>
    </w:rPr>
  </w:style>
  <w:style w:type="character" w:styleId="11">
    <w:name w:val="标题 1 字符"/>
    <w:qFormat/>
    <w:rPr>
      <w:rFonts w:ascii="Times New Roman" w:hAnsi="Times New Roman" w:cs="Times New Roman"/>
      <w:b/>
      <w:bCs/>
      <w:kern w:val="2"/>
      <w:sz w:val="44"/>
      <w:szCs w:val="44"/>
    </w:rPr>
  </w:style>
  <w:style w:type="character" w:styleId="21">
    <w:name w:val="标题 2 字符"/>
    <w:qFormat/>
    <w:rPr>
      <w:rFonts w:ascii="等线 Light" w:hAnsi="等线 Light" w:eastAsia="等线 Light" w:cs="Times New Roman"/>
      <w:b/>
      <w:bCs/>
      <w:sz w:val="32"/>
      <w:szCs w:val="32"/>
    </w:rPr>
  </w:style>
  <w:style w:type="character" w:styleId="31">
    <w:name w:val="标题 3 字符"/>
    <w:qFormat/>
    <w:rPr>
      <w:rFonts w:ascii="Times New Roman" w:hAnsi="Times New Roman" w:cs="Times New Roman"/>
      <w:b/>
      <w:bCs/>
      <w:sz w:val="32"/>
      <w:szCs w:val="32"/>
    </w:rPr>
  </w:style>
  <w:style w:type="character" w:styleId="41">
    <w:name w:val="标题 4 字符"/>
    <w:qFormat/>
    <w:rPr>
      <w:rFonts w:ascii="等线 Light" w:hAnsi="等线 Light" w:eastAsia="等线 Light" w:cs="Times New Roman"/>
      <w:b/>
      <w:bCs/>
      <w:sz w:val="28"/>
      <w:szCs w:val="28"/>
    </w:rPr>
  </w:style>
  <w:style w:type="character" w:styleId="Internet1">
    <w:name w:val="访问过的 Internet 链接"/>
    <w:rPr>
      <w:color w:val="954F72"/>
      <w:u w:val="single"/>
    </w:rPr>
  </w:style>
  <w:style w:type="character" w:styleId="HTML">
    <w:name w:val="HTML 预设格式 字符"/>
    <w:qFormat/>
    <w:rPr>
      <w:rFonts w:ascii="Courier New" w:hAnsi="Courier New" w:cs="Courier New"/>
    </w:rPr>
  </w:style>
  <w:style w:type="character" w:styleId="Style15">
    <w:name w:val="批注文字 字符"/>
    <w:qFormat/>
    <w:rPr>
      <w:rFonts w:ascii="Times New Roman" w:hAnsi="Times New Roman" w:cs="Times New Roman"/>
      <w:sz w:val="24"/>
    </w:rPr>
  </w:style>
  <w:style w:type="character" w:styleId="Style16">
    <w:name w:val="页眉 字符"/>
    <w:qFormat/>
    <w:rPr>
      <w:rFonts w:ascii="Times New Roman" w:hAnsi="Times New Roman" w:cs="Times New Roman"/>
      <w:sz w:val="18"/>
      <w:szCs w:val="18"/>
    </w:rPr>
  </w:style>
  <w:style w:type="character" w:styleId="Style17">
    <w:name w:val="页脚 字符"/>
    <w:qFormat/>
    <w:rPr>
      <w:rFonts w:ascii="Times New Roman" w:hAnsi="Times New Roman" w:cs="Times New Roman"/>
      <w:sz w:val="18"/>
      <w:szCs w:val="18"/>
    </w:rPr>
  </w:style>
  <w:style w:type="character" w:styleId="Style18">
    <w:name w:val="正文文本 字符"/>
    <w:qFormat/>
    <w:rPr>
      <w:rFonts w:ascii="Times New Roman" w:hAnsi="Times New Roman" w:cs="Times New Roman"/>
      <w:sz w:val="24"/>
    </w:rPr>
  </w:style>
  <w:style w:type="character" w:styleId="Style19">
    <w:name w:val="正文文本缩进 字符"/>
    <w:qFormat/>
    <w:rPr>
      <w:rFonts w:ascii="Times New Roman" w:hAnsi="Times New Roman" w:cs="Times New Roman"/>
      <w:sz w:val="24"/>
    </w:rPr>
  </w:style>
  <w:style w:type="character" w:styleId="Style20">
    <w:name w:val="日期 字符"/>
    <w:qFormat/>
    <w:rPr>
      <w:rFonts w:ascii="Times New Roman" w:hAnsi="Times New Roman" w:cs="Times New Roman"/>
      <w:sz w:val="24"/>
    </w:rPr>
  </w:style>
  <w:style w:type="character" w:styleId="Style21">
    <w:name w:val="正文文本首行缩进 字符"/>
    <w:qFormat/>
    <w:rPr/>
  </w:style>
  <w:style w:type="character" w:styleId="22">
    <w:name w:val="正文文本 2 字符"/>
    <w:qFormat/>
    <w:rPr>
      <w:rFonts w:ascii="Times New Roman" w:hAnsi="Times New Roman" w:cs="Times New Roman"/>
      <w:sz w:val="24"/>
    </w:rPr>
  </w:style>
  <w:style w:type="character" w:styleId="32">
    <w:name w:val="正文文本 3 字符"/>
    <w:qFormat/>
    <w:rPr>
      <w:rFonts w:ascii="Times New Roman" w:hAnsi="Times New Roman" w:cs="Times New Roman"/>
      <w:sz w:val="16"/>
      <w:szCs w:val="16"/>
    </w:rPr>
  </w:style>
  <w:style w:type="character" w:styleId="23">
    <w:name w:val="正文文本缩进 2 字符"/>
    <w:qFormat/>
    <w:rPr>
      <w:rFonts w:ascii="Times New Roman" w:hAnsi="Times New Roman" w:cs="Times New Roman"/>
      <w:sz w:val="24"/>
    </w:rPr>
  </w:style>
  <w:style w:type="character" w:styleId="33">
    <w:name w:val="正文文本缩进 3 字符"/>
    <w:qFormat/>
    <w:rPr>
      <w:rFonts w:ascii="Times New Roman" w:hAnsi="Times New Roman" w:cs="Times New Roman"/>
      <w:sz w:val="16"/>
      <w:szCs w:val="16"/>
    </w:rPr>
  </w:style>
  <w:style w:type="character" w:styleId="Style22">
    <w:name w:val="文档结构图 字符"/>
    <w:qFormat/>
    <w:rPr>
      <w:rFonts w:ascii="Times New Roman" w:hAnsi="Times New Roman" w:cs="Times New Roman"/>
      <w:sz w:val="24"/>
      <w:shd w:fill="000080" w:val="clear"/>
    </w:rPr>
  </w:style>
  <w:style w:type="character" w:styleId="Style23">
    <w:name w:val="纯文本 字符"/>
    <w:qFormat/>
    <w:rPr>
      <w:rFonts w:ascii="等线" w:hAnsi="等线" w:eastAsia="等线" w:cs="Courier New"/>
      <w:sz w:val="24"/>
    </w:rPr>
  </w:style>
  <w:style w:type="character" w:styleId="Style24">
    <w:name w:val="批注主题 字符"/>
    <w:qFormat/>
    <w:rPr>
      <w:rFonts w:ascii="Times New Roman" w:hAnsi="Times New Roman" w:cs="Times New Roman"/>
      <w:b/>
      <w:bCs/>
      <w:sz w:val="24"/>
    </w:rPr>
  </w:style>
  <w:style w:type="character" w:styleId="Style25">
    <w:name w:val="批注框文本 字符"/>
    <w:qFormat/>
    <w:rPr>
      <w:rFonts w:ascii="Times New Roman" w:hAnsi="Times New Roman" w:cs="Times New Roman"/>
      <w:sz w:val="18"/>
      <w:szCs w:val="18"/>
    </w:rPr>
  </w:style>
  <w:style w:type="paragraph" w:styleId="Style26">
    <w:name w:val="标题样式"/>
    <w:basedOn w:val="Normal"/>
    <w:next w:val="Style27"/>
    <w:qFormat/>
    <w:pPr>
      <w:keepNext w:val="true"/>
      <w:spacing w:before="240" w:after="120"/>
    </w:pPr>
    <w:rPr>
      <w:rFonts w:ascii="Liberation Sans" w:hAnsi="Liberation Sans" w:eastAsia="微软雅黑" w:cs="Lucida Sans"/>
      <w:sz w:val="28"/>
      <w:szCs w:val="28"/>
    </w:rPr>
  </w:style>
  <w:style w:type="paragraph" w:styleId="Style27">
    <w:name w:val="Body Text"/>
    <w:basedOn w:val="Normal"/>
    <w:pPr>
      <w:numPr>
        <w:ilvl w:val="0"/>
        <w:numId w:val="0"/>
      </w:numPr>
      <w:spacing w:lineRule="auto" w:line="240"/>
      <w:ind w:hanging="0"/>
      <w:jc w:val="both"/>
      <w:textAlignment w:val="auto"/>
    </w:pPr>
    <w:rPr>
      <w:rFonts w:ascii="宋体;SimSun" w:hAnsi="宋体;SimSun"/>
      <w:sz w:val="30"/>
      <w:lang w:val="zh-CN"/>
    </w:rPr>
  </w:style>
  <w:style w:type="paragraph" w:styleId="Style28">
    <w:name w:val="List"/>
    <w:basedOn w:val="Style27"/>
    <w:pPr/>
    <w:rPr>
      <w:rFonts w:cs="Lucida Sans"/>
    </w:rPr>
  </w:style>
  <w:style w:type="paragraph" w:styleId="Style29">
    <w:name w:val="Caption"/>
    <w:basedOn w:val="Normal"/>
    <w:qFormat/>
    <w:pPr>
      <w:suppressLineNumbers/>
      <w:spacing w:before="120" w:after="120"/>
    </w:pPr>
    <w:rPr>
      <w:rFonts w:cs="Lucida Sans"/>
      <w:i/>
      <w:iCs/>
      <w:sz w:val="24"/>
      <w:szCs w:val="24"/>
    </w:rPr>
  </w:style>
  <w:style w:type="paragraph" w:styleId="Style30">
    <w:name w:val="索引"/>
    <w:basedOn w:val="Normal"/>
    <w:qFormat/>
    <w:pPr>
      <w:suppressLineNumbers/>
    </w:pPr>
    <w:rPr>
      <w:rFonts w:cs="Lucida Sans"/>
    </w:rPr>
  </w:style>
  <w:style w:type="paragraph" w:styleId="Style31">
    <w:name w:val="Header"/>
    <w:basedOn w:val="Normal"/>
    <w:pPr>
      <w:pBdr>
        <w:bottom w:val="single" w:sz="6" w:space="1" w:color="000000"/>
      </w:pBdr>
      <w:tabs>
        <w:tab w:val="clear" w:pos="420"/>
        <w:tab w:val="center" w:pos="4153" w:leader="none"/>
        <w:tab w:val="right" w:pos="8306" w:leader="none"/>
      </w:tabs>
      <w:spacing w:lineRule="atLeast" w:line="240"/>
      <w:jc w:val="center"/>
    </w:pPr>
    <w:rPr>
      <w:sz w:val="18"/>
      <w:lang w:val="zh-CN"/>
    </w:rPr>
  </w:style>
  <w:style w:type="paragraph" w:styleId="Style32">
    <w:name w:val="Footer"/>
    <w:basedOn w:val="Normal"/>
    <w:pPr>
      <w:tabs>
        <w:tab w:val="clear" w:pos="420"/>
        <w:tab w:val="center" w:pos="4153" w:leader="none"/>
        <w:tab w:val="right" w:pos="8306" w:leader="none"/>
      </w:tabs>
      <w:spacing w:lineRule="atLeast" w:line="240"/>
    </w:pPr>
    <w:rPr>
      <w:sz w:val="18"/>
      <w:lang w:val="zh-CN"/>
    </w:rPr>
  </w:style>
  <w:style w:type="paragraph" w:styleId="Style33">
    <w:name w:val="文档结构图"/>
    <w:basedOn w:val="Normal"/>
    <w:qFormat/>
    <w:pPr>
      <w:shd w:fill="000080" w:val="clear"/>
    </w:pPr>
    <w:rPr>
      <w:lang w:val="zh-CN"/>
    </w:rPr>
  </w:style>
  <w:style w:type="paragraph" w:styleId="Style34">
    <w:name w:val="正文首行缩进"/>
    <w:basedOn w:val="Style27"/>
    <w:qFormat/>
    <w:pPr>
      <w:numPr>
        <w:ilvl w:val="0"/>
        <w:numId w:val="0"/>
      </w:numPr>
      <w:spacing w:before="0" w:after="120"/>
      <w:ind w:firstLine="420"/>
    </w:pPr>
    <w:rPr>
      <w:rFonts w:ascii="Times New Roman" w:hAnsi="Times New Roman"/>
    </w:rPr>
  </w:style>
  <w:style w:type="paragraph" w:styleId="Style35">
    <w:name w:val="Body Text Indent"/>
    <w:basedOn w:val="Normal"/>
    <w:pPr>
      <w:spacing w:lineRule="atLeast" w:line="400"/>
      <w:ind w:firstLine="570"/>
    </w:pPr>
    <w:rPr>
      <w:rFonts w:ascii="仿宋_GB2312;仿宋" w:hAnsi="仿宋_GB2312;仿宋" w:eastAsia="仿宋_GB2312;仿宋" w:cs="Times New Roman"/>
      <w:sz w:val="28"/>
      <w:lang w:val="zh-CN"/>
    </w:rPr>
  </w:style>
  <w:style w:type="paragraph" w:styleId="24">
    <w:name w:val="正文文本缩进 2"/>
    <w:basedOn w:val="Normal"/>
    <w:qFormat/>
    <w:pPr>
      <w:spacing w:lineRule="exact" w:line="360"/>
      <w:ind w:firstLine="560"/>
      <w:jc w:val="both"/>
      <w:outlineLvl w:val="0"/>
    </w:pPr>
    <w:rPr>
      <w:rFonts w:ascii="仿宋_GB2312;仿宋" w:hAnsi="仿宋_GB2312;仿宋" w:eastAsia="仿宋_GB2312;仿宋"/>
      <w:sz w:val="28"/>
      <w:lang w:val="zh-CN"/>
    </w:rPr>
  </w:style>
  <w:style w:type="paragraph" w:styleId="34">
    <w:name w:val="正文文本缩进 3"/>
    <w:basedOn w:val="Normal"/>
    <w:qFormat/>
    <w:pPr>
      <w:spacing w:lineRule="atLeast" w:line="440"/>
      <w:ind w:firstLine="600"/>
      <w:jc w:val="both"/>
    </w:pPr>
    <w:rPr>
      <w:rFonts w:ascii="Arial" w:hAnsi="Arial" w:eastAsia="仿宋_GB2312;仿宋" w:cs="Arial"/>
      <w:sz w:val="28"/>
      <w:lang w:val="zh-CN"/>
    </w:rPr>
  </w:style>
  <w:style w:type="paragraph" w:styleId="25">
    <w:name w:val="正文文本 2"/>
    <w:basedOn w:val="Normal"/>
    <w:qFormat/>
    <w:pPr>
      <w:autoSpaceDE w:val="false"/>
      <w:spacing w:lineRule="exact" w:line="440"/>
      <w:jc w:val="both"/>
    </w:pPr>
    <w:rPr>
      <w:rFonts w:ascii="仿宋_GB2312;仿宋" w:hAnsi="仿宋_GB2312;仿宋" w:eastAsia="仿宋_GB2312;仿宋" w:cs="Arial"/>
      <w:sz w:val="28"/>
      <w:lang w:val="zh-CN"/>
    </w:rPr>
  </w:style>
  <w:style w:type="paragraph" w:styleId="Style36">
    <w:name w:val="纯文本"/>
    <w:basedOn w:val="Normal"/>
    <w:qFormat/>
    <w:pPr>
      <w:spacing w:lineRule="auto" w:line="240"/>
      <w:jc w:val="both"/>
      <w:textAlignment w:val="auto"/>
    </w:pPr>
    <w:rPr>
      <w:rFonts w:ascii="宋体;SimSun" w:hAnsi="宋体;SimSun" w:cs="Courier New"/>
      <w:sz w:val="20"/>
      <w:lang w:val="zh-CN"/>
    </w:rPr>
  </w:style>
  <w:style w:type="paragraph" w:styleId="35">
    <w:name w:val="正文文本 3"/>
    <w:basedOn w:val="Normal"/>
    <w:qFormat/>
    <w:pPr>
      <w:spacing w:lineRule="auto" w:line="288"/>
      <w:jc w:val="both"/>
    </w:pPr>
    <w:rPr>
      <w:rFonts w:ascii="楷体_GB2312;楷体" w:hAnsi="楷体_GB2312;楷体" w:eastAsia="楷体_GB2312;楷体" w:cs="Arial"/>
      <w:sz w:val="32"/>
      <w:lang w:val="zh-CN"/>
    </w:rPr>
  </w:style>
  <w:style w:type="paragraph" w:styleId="Style37">
    <w:name w:val="普通(网站)"/>
    <w:basedOn w:val="Normal"/>
    <w:qFormat/>
    <w:pPr>
      <w:widowControl/>
      <w:spacing w:lineRule="auto" w:line="360"/>
      <w:textAlignment w:val="auto"/>
    </w:pPr>
    <w:rPr>
      <w:rFonts w:ascii="宋体;SimSun" w:hAnsi="宋体;SimSun" w:cs="宋体;SimSun"/>
      <w:sz w:val="18"/>
      <w:szCs w:val="18"/>
    </w:rPr>
  </w:style>
  <w:style w:type="paragraph" w:styleId="Normal1">
    <w:name w:val="LO-Normal"/>
    <w:qFormat/>
    <w:pPr>
      <w:widowControl w:val="false"/>
      <w:spacing w:lineRule="atLeast" w:line="360"/>
      <w:textAlignment w:val="baseline"/>
    </w:pPr>
    <w:rPr>
      <w:rFonts w:ascii="宋体;SimSun" w:hAnsi="宋体;SimSun" w:eastAsia="宋体;SimSun" w:cs="Times New Roman"/>
      <w:color w:val="auto"/>
      <w:sz w:val="34"/>
      <w:szCs w:val="20"/>
      <w:lang w:val="en-US" w:eastAsia="zh-CN" w:bidi="ar-SA"/>
    </w:rPr>
  </w:style>
  <w:style w:type="paragraph" w:styleId="Style38">
    <w:name w:val="日期"/>
    <w:basedOn w:val="Normal"/>
    <w:next w:val="Normal"/>
    <w:qFormat/>
    <w:pPr>
      <w:jc w:val="both"/>
    </w:pPr>
    <w:rPr>
      <w:rFonts w:ascii="楷体_GB2312;楷体" w:hAnsi="楷体_GB2312;楷体" w:eastAsia="楷体_GB2312;楷体"/>
      <w:b/>
      <w:sz w:val="28"/>
      <w:lang w:val="zh-CN"/>
    </w:rPr>
  </w:style>
  <w:style w:type="paragraph" w:styleId="Xl33">
    <w:name w:val="xl33"/>
    <w:basedOn w:val="Normal"/>
    <w:qFormat/>
    <w:pPr>
      <w:widowControl/>
      <w:pBdr>
        <w:top w:val="single" w:sz="4" w:space="0" w:color="000000"/>
        <w:bottom w:val="single" w:sz="4" w:space="0" w:color="000000"/>
      </w:pBdr>
      <w:spacing w:lineRule="auto" w:line="240" w:before="280" w:after="280"/>
      <w:jc w:val="center"/>
      <w:textAlignment w:val="center"/>
    </w:pPr>
    <w:rPr>
      <w:rFonts w:ascii="Arial Unicode MS" w:hAnsi="Arial Unicode MS" w:cs="Arial Unicode MS"/>
      <w:b/>
      <w:bCs/>
      <w:szCs w:val="24"/>
    </w:rPr>
  </w:style>
  <w:style w:type="paragraph" w:styleId="Font5">
    <w:name w:val="font5"/>
    <w:basedOn w:val="Normal"/>
    <w:qFormat/>
    <w:pPr>
      <w:widowControl/>
      <w:spacing w:lineRule="auto" w:line="240" w:before="280" w:after="280"/>
      <w:textAlignment w:val="auto"/>
    </w:pPr>
    <w:rPr>
      <w:rFonts w:ascii="宋体;SimSun" w:hAnsi="宋体;SimSun" w:cs="宋体;SimSun"/>
      <w:sz w:val="18"/>
      <w:szCs w:val="18"/>
    </w:rPr>
  </w:style>
  <w:style w:type="paragraph" w:styleId="Font6">
    <w:name w:val="font6"/>
    <w:basedOn w:val="Normal"/>
    <w:qFormat/>
    <w:pPr>
      <w:widowControl/>
      <w:spacing w:lineRule="auto" w:line="240" w:before="280" w:after="280"/>
      <w:textAlignment w:val="auto"/>
    </w:pPr>
    <w:rPr>
      <w:rFonts w:ascii="宋体;SimSun" w:hAnsi="宋体;SimSun" w:cs="宋体;SimSun"/>
      <w:b/>
      <w:bCs/>
      <w:sz w:val="32"/>
      <w:szCs w:val="32"/>
    </w:rPr>
  </w:style>
  <w:style w:type="paragraph" w:styleId="Font7">
    <w:name w:val="font7"/>
    <w:basedOn w:val="Normal"/>
    <w:qFormat/>
    <w:pPr>
      <w:widowControl/>
      <w:spacing w:lineRule="auto" w:line="240" w:before="280" w:after="280"/>
      <w:textAlignment w:val="auto"/>
    </w:pPr>
    <w:rPr>
      <w:szCs w:val="24"/>
    </w:rPr>
  </w:style>
  <w:style w:type="paragraph" w:styleId="Font8">
    <w:name w:val="font8"/>
    <w:basedOn w:val="Normal"/>
    <w:qFormat/>
    <w:pPr>
      <w:widowControl/>
      <w:spacing w:lineRule="auto" w:line="240" w:before="280" w:after="280"/>
      <w:textAlignment w:val="auto"/>
    </w:pPr>
    <w:rPr>
      <w:rFonts w:ascii="宋体;SimSun" w:hAnsi="宋体;SimSun" w:cs="宋体;SimSun"/>
      <w:b/>
      <w:bCs/>
      <w:sz w:val="36"/>
      <w:szCs w:val="36"/>
    </w:rPr>
  </w:style>
  <w:style w:type="paragraph" w:styleId="Font9">
    <w:name w:val="font9"/>
    <w:basedOn w:val="Normal"/>
    <w:qFormat/>
    <w:pPr>
      <w:widowControl/>
      <w:spacing w:lineRule="auto" w:line="240" w:before="280" w:after="280"/>
      <w:textAlignment w:val="auto"/>
    </w:pPr>
    <w:rPr>
      <w:b/>
      <w:bCs/>
      <w:sz w:val="36"/>
      <w:szCs w:val="36"/>
    </w:rPr>
  </w:style>
  <w:style w:type="paragraph" w:styleId="Xl24">
    <w:name w:val="xl24"/>
    <w:basedOn w:val="Normal"/>
    <w:qFormat/>
    <w:pPr>
      <w:widowControl/>
      <w:pBdr>
        <w:top w:val="single" w:sz="4" w:space="0" w:color="000000"/>
        <w:left w:val="single" w:sz="4" w:space="0" w:color="000000"/>
        <w:bottom w:val="single" w:sz="4" w:space="0" w:color="000000"/>
        <w:right w:val="single" w:sz="4" w:space="0" w:color="000000"/>
      </w:pBdr>
      <w:spacing w:lineRule="auto" w:line="240" w:before="280" w:after="280"/>
      <w:jc w:val="center"/>
      <w:textAlignment w:val="auto"/>
    </w:pPr>
    <w:rPr>
      <w:rFonts w:ascii="Arial Unicode MS" w:hAnsi="Arial Unicode MS" w:cs="Arial Unicode MS"/>
      <w:szCs w:val="24"/>
    </w:rPr>
  </w:style>
  <w:style w:type="paragraph" w:styleId="Xl25">
    <w:name w:val="xl25"/>
    <w:basedOn w:val="Normal"/>
    <w:qFormat/>
    <w:pPr>
      <w:widowControl/>
      <w:pBdr>
        <w:top w:val="single" w:sz="4" w:space="0" w:color="000000"/>
        <w:left w:val="single" w:sz="4" w:space="0" w:color="000000"/>
        <w:bottom w:val="single" w:sz="4" w:space="0" w:color="000000"/>
        <w:right w:val="single" w:sz="4" w:space="0" w:color="000000"/>
      </w:pBdr>
      <w:spacing w:lineRule="auto" w:line="240" w:before="280" w:after="280"/>
      <w:jc w:val="center"/>
      <w:textAlignment w:val="auto"/>
    </w:pPr>
    <w:rPr>
      <w:szCs w:val="24"/>
    </w:rPr>
  </w:style>
  <w:style w:type="paragraph" w:styleId="Xl26">
    <w:name w:val="xl26"/>
    <w:basedOn w:val="Normal"/>
    <w:qFormat/>
    <w:pPr>
      <w:widowControl/>
      <w:pBdr>
        <w:top w:val="single" w:sz="4" w:space="0" w:color="000000"/>
        <w:left w:val="single" w:sz="4" w:space="0" w:color="000000"/>
        <w:bottom w:val="single" w:sz="4" w:space="0" w:color="000000"/>
        <w:right w:val="single" w:sz="4" w:space="0" w:color="000000"/>
      </w:pBdr>
      <w:spacing w:lineRule="auto" w:line="240" w:before="280" w:after="280"/>
      <w:jc w:val="center"/>
      <w:textAlignment w:val="auto"/>
    </w:pPr>
    <w:rPr>
      <w:sz w:val="20"/>
    </w:rPr>
  </w:style>
  <w:style w:type="paragraph" w:styleId="Xl27">
    <w:name w:val="xl27"/>
    <w:basedOn w:val="Normal"/>
    <w:qFormat/>
    <w:pPr>
      <w:widowControl/>
      <w:pBdr>
        <w:top w:val="single" w:sz="4" w:space="0" w:color="000000"/>
        <w:left w:val="single" w:sz="4" w:space="0" w:color="000000"/>
        <w:bottom w:val="single" w:sz="4" w:space="0" w:color="000000"/>
        <w:right w:val="single" w:sz="4" w:space="0" w:color="000000"/>
      </w:pBdr>
      <w:spacing w:lineRule="auto" w:line="240" w:before="280" w:after="280"/>
      <w:textAlignment w:val="auto"/>
    </w:pPr>
    <w:rPr>
      <w:rFonts w:ascii="Arial Narrow" w:hAnsi="Arial Narrow" w:cs="Arial Narrow"/>
      <w:sz w:val="20"/>
    </w:rPr>
  </w:style>
  <w:style w:type="paragraph" w:styleId="Xl28">
    <w:name w:val="xl28"/>
    <w:basedOn w:val="Normal"/>
    <w:qFormat/>
    <w:pPr>
      <w:widowControl/>
      <w:pBdr>
        <w:top w:val="single" w:sz="4" w:space="0" w:color="000000"/>
        <w:left w:val="single" w:sz="4" w:space="0" w:color="000000"/>
        <w:bottom w:val="single" w:sz="4" w:space="0" w:color="000000"/>
        <w:right w:val="single" w:sz="4" w:space="0" w:color="000000"/>
      </w:pBdr>
      <w:spacing w:lineRule="auto" w:line="240" w:before="280" w:after="280"/>
      <w:textAlignment w:val="auto"/>
    </w:pPr>
    <w:rPr>
      <w:rFonts w:ascii="Arial Narrow" w:hAnsi="Arial Narrow" w:cs="Arial Narrow"/>
      <w:sz w:val="20"/>
    </w:rPr>
  </w:style>
  <w:style w:type="paragraph" w:styleId="Xl29">
    <w:name w:val="xl29"/>
    <w:basedOn w:val="Normal"/>
    <w:qFormat/>
    <w:pPr>
      <w:widowControl/>
      <w:pBdr>
        <w:top w:val="single" w:sz="4" w:space="0" w:color="000000"/>
        <w:left w:val="single" w:sz="4" w:space="0" w:color="000000"/>
        <w:bottom w:val="single" w:sz="4" w:space="0" w:color="000000"/>
        <w:right w:val="single" w:sz="4" w:space="0" w:color="000000"/>
      </w:pBdr>
      <w:spacing w:lineRule="auto" w:line="240" w:before="280" w:after="280"/>
      <w:jc w:val="right"/>
      <w:textAlignment w:val="auto"/>
    </w:pPr>
    <w:rPr>
      <w:rFonts w:ascii="Arial Narrow" w:hAnsi="Arial Narrow" w:cs="Arial Narrow"/>
      <w:sz w:val="20"/>
    </w:rPr>
  </w:style>
  <w:style w:type="paragraph" w:styleId="Xl30">
    <w:name w:val="xl30"/>
    <w:basedOn w:val="Normal"/>
    <w:qFormat/>
    <w:pPr>
      <w:widowControl/>
      <w:pBdr>
        <w:top w:val="single" w:sz="4" w:space="0" w:color="000000"/>
        <w:left w:val="single" w:sz="4" w:space="0" w:color="000000"/>
        <w:bottom w:val="single" w:sz="4" w:space="0" w:color="000000"/>
      </w:pBdr>
      <w:spacing w:lineRule="auto" w:line="240" w:before="280" w:after="280"/>
      <w:jc w:val="center"/>
      <w:textAlignment w:val="auto"/>
    </w:pPr>
    <w:rPr>
      <w:rFonts w:ascii="Arial Unicode MS" w:hAnsi="Arial Unicode MS" w:cs="Arial Unicode MS"/>
      <w:sz w:val="20"/>
    </w:rPr>
  </w:style>
  <w:style w:type="paragraph" w:styleId="Xl31">
    <w:name w:val="xl31"/>
    <w:basedOn w:val="Normal"/>
    <w:qFormat/>
    <w:pPr>
      <w:widowControl/>
      <w:pBdr>
        <w:top w:val="single" w:sz="4" w:space="0" w:color="000000"/>
        <w:bottom w:val="single" w:sz="4" w:space="0" w:color="000000"/>
      </w:pBdr>
      <w:spacing w:lineRule="auto" w:line="240" w:before="280" w:after="280"/>
      <w:jc w:val="center"/>
      <w:textAlignment w:val="auto"/>
    </w:pPr>
    <w:rPr>
      <w:rFonts w:ascii="Arial Unicode MS" w:hAnsi="Arial Unicode MS" w:cs="Arial Unicode MS"/>
      <w:sz w:val="20"/>
    </w:rPr>
  </w:style>
  <w:style w:type="paragraph" w:styleId="Xl32">
    <w:name w:val="xl32"/>
    <w:basedOn w:val="Normal"/>
    <w:qFormat/>
    <w:pPr>
      <w:widowControl/>
      <w:pBdr>
        <w:top w:val="single" w:sz="4" w:space="0" w:color="000000"/>
        <w:bottom w:val="single" w:sz="4" w:space="0" w:color="000000"/>
        <w:right w:val="single" w:sz="4" w:space="0" w:color="000000"/>
      </w:pBdr>
      <w:spacing w:lineRule="auto" w:line="240" w:before="280" w:after="280"/>
      <w:jc w:val="center"/>
      <w:textAlignment w:val="auto"/>
    </w:pPr>
    <w:rPr>
      <w:rFonts w:ascii="Arial Unicode MS" w:hAnsi="Arial Unicode MS" w:cs="Arial Unicode MS"/>
      <w:sz w:val="20"/>
    </w:rPr>
  </w:style>
  <w:style w:type="paragraph" w:styleId="HTML1">
    <w:name w:val="HTML 预设格式"/>
    <w:basedOn w:val="Normal"/>
    <w:qFormat/>
    <w:pPr>
      <w:widowContro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textAlignment w:val="auto"/>
    </w:pPr>
    <w:rPr>
      <w:rFonts w:ascii="宋体;SimSun" w:hAnsi="宋体;SimSun" w:cs="宋体;SimSun"/>
      <w:szCs w:val="24"/>
      <w:lang w:val="zh-CN"/>
    </w:rPr>
  </w:style>
  <w:style w:type="paragraph" w:styleId="26">
    <w:name w:val="样式2"/>
    <w:basedOn w:val="Normal"/>
    <w:qFormat/>
    <w:pPr>
      <w:autoSpaceDE w:val="false"/>
      <w:spacing w:lineRule="auto" w:line="240"/>
      <w:jc w:val="center"/>
    </w:pPr>
    <w:rPr>
      <w:rFonts w:ascii="长城粗隶书;宋体" w:hAnsi="长城粗隶书;宋体" w:eastAsia="长城粗隶书;宋体"/>
      <w:b/>
      <w:spacing w:val="20"/>
      <w:sz w:val="52"/>
    </w:rPr>
  </w:style>
  <w:style w:type="paragraph" w:styleId="CharChar1Char">
    <w:name w:val="Char Char1 Char"/>
    <w:basedOn w:val="Normal"/>
    <w:qFormat/>
    <w:pPr>
      <w:spacing w:lineRule="auto" w:line="240"/>
      <w:jc w:val="both"/>
      <w:textAlignment w:val="auto"/>
    </w:pPr>
    <w:rPr>
      <w:rFonts w:ascii="宋体;SimSun" w:hAnsi="宋体;SimSun" w:cs="Courier New"/>
      <w:kern w:val="2"/>
      <w:sz w:val="32"/>
      <w:szCs w:val="32"/>
    </w:rPr>
  </w:style>
  <w:style w:type="paragraph" w:styleId="Char11">
    <w:name w:val=" Char"/>
    <w:basedOn w:val="Normal"/>
    <w:qFormat/>
    <w:pPr>
      <w:spacing w:lineRule="auto" w:line="240"/>
      <w:jc w:val="both"/>
      <w:textAlignment w:val="auto"/>
    </w:pPr>
    <w:rPr>
      <w:rFonts w:ascii="宋体;SimSun" w:hAnsi="宋体;SimSun" w:cs="Courier New"/>
      <w:kern w:val="2"/>
      <w:sz w:val="32"/>
      <w:szCs w:val="32"/>
    </w:rPr>
  </w:style>
  <w:style w:type="paragraph" w:styleId="Style39">
    <w:name w:val="批注框文本"/>
    <w:basedOn w:val="Normal"/>
    <w:qFormat/>
    <w:pPr/>
    <w:rPr>
      <w:sz w:val="18"/>
      <w:szCs w:val="18"/>
      <w:lang w:val="zh-CN"/>
    </w:rPr>
  </w:style>
  <w:style w:type="paragraph" w:styleId="Default">
    <w:name w:val="Default"/>
    <w:qFormat/>
    <w:pPr>
      <w:widowControl w:val="false"/>
      <w:autoSpaceDE w:val="false"/>
    </w:pPr>
    <w:rPr>
      <w:rFonts w:ascii="华文细黑碙..;仿宋" w:hAnsi="华文细黑碙..;仿宋" w:eastAsia="华文细黑碙..;仿宋" w:cs="华文细黑碙..;仿宋"/>
      <w:color w:val="000000"/>
      <w:sz w:val="24"/>
      <w:szCs w:val="24"/>
      <w:lang w:val="en-US" w:eastAsia="zh-CN" w:bidi="ar-SA"/>
    </w:rPr>
  </w:style>
  <w:style w:type="paragraph" w:styleId="Style40">
    <w:name w:val="批注文字"/>
    <w:basedOn w:val="Normal"/>
    <w:qFormat/>
    <w:pPr/>
    <w:rPr>
      <w:lang w:val="zh-CN"/>
    </w:rPr>
  </w:style>
  <w:style w:type="paragraph" w:styleId="Style41">
    <w:name w:val="批注主题"/>
    <w:basedOn w:val="Style40"/>
    <w:next w:val="Style40"/>
    <w:qFormat/>
    <w:pPr/>
    <w:rPr>
      <w:b/>
      <w:bCs/>
    </w:rPr>
  </w:style>
  <w:style w:type="paragraph" w:styleId="Style42">
    <w:name w:val="修订"/>
    <w:qFormat/>
    <w:pPr>
      <w:widowControl/>
    </w:pPr>
    <w:rPr>
      <w:rFonts w:ascii="Times New Roman" w:hAnsi="Times New Roman" w:eastAsia="宋体;SimSun" w:cs="Times New Roman"/>
      <w:color w:val="auto"/>
      <w:sz w:val="24"/>
      <w:szCs w:val="20"/>
      <w:lang w:val="en-US" w:eastAsia="zh-CN" w:bidi="ar-SA"/>
    </w:rPr>
  </w:style>
  <w:style w:type="paragraph" w:styleId="Iwpoititle">
    <w:name w:val="iw_poi_title"/>
    <w:basedOn w:val="Normal"/>
    <w:qFormat/>
    <w:pPr>
      <w:widowControl/>
      <w:spacing w:lineRule="auto" w:line="240"/>
      <w:textAlignment w:val="auto"/>
    </w:pPr>
    <w:rPr>
      <w:rFonts w:ascii="宋体;SimSun" w:hAnsi="宋体;SimSun" w:cs="宋体;SimSun"/>
      <w:b/>
      <w:bCs/>
      <w:color w:val="4D4D4D"/>
      <w:sz w:val="21"/>
      <w:szCs w:val="21"/>
    </w:rPr>
  </w:style>
  <w:style w:type="paragraph" w:styleId="CharCharCharChar">
    <w:name w:val="Char Char Char Char"/>
    <w:basedOn w:val="Normal"/>
    <w:qFormat/>
    <w:pPr>
      <w:spacing w:lineRule="auto" w:line="240"/>
      <w:jc w:val="both"/>
      <w:textAlignment w:val="auto"/>
    </w:pPr>
    <w:rPr>
      <w:rFonts w:ascii="宋体;SimSun" w:hAnsi="宋体;SimSun" w:cs="Courier New"/>
      <w:kern w:val="2"/>
      <w:sz w:val="32"/>
      <w:szCs w:val="32"/>
    </w:rPr>
  </w:style>
  <w:style w:type="paragraph" w:styleId="Style43">
    <w:name w:val="列出段落"/>
    <w:basedOn w:val="Normal"/>
    <w:qFormat/>
    <w:pPr>
      <w:ind w:firstLine="420"/>
    </w:pPr>
    <w:rPr/>
  </w:style>
  <w:style w:type="paragraph" w:styleId="12">
    <w:name w:val="TOC 1"/>
    <w:basedOn w:val="Normal"/>
    <w:next w:val="Normal"/>
    <w:pPr>
      <w:tabs>
        <w:tab w:val="clear" w:pos="420"/>
        <w:tab w:val="left" w:pos="840" w:leader="none"/>
        <w:tab w:val="right" w:pos="8654" w:leader="dot"/>
      </w:tabs>
      <w:spacing w:lineRule="auto" w:line="360"/>
      <w:jc w:val="center"/>
    </w:pPr>
    <w:rPr>
      <w:rFonts w:ascii="仿宋_GB2312;仿宋" w:hAnsi="仿宋_GB2312;仿宋" w:eastAsia="仿宋_GB2312;仿宋" w:cs="Arial"/>
      <w:sz w:val="28"/>
      <w:szCs w:val="28"/>
      <w:lang w:val="zh-CN" w:eastAsia="zh-CN"/>
    </w:rPr>
  </w:style>
  <w:style w:type="paragraph" w:styleId="27">
    <w:name w:val="TOC 2"/>
    <w:basedOn w:val="Normal"/>
    <w:next w:val="Normal"/>
    <w:pPr>
      <w:tabs>
        <w:tab w:val="clear" w:pos="420"/>
        <w:tab w:val="right" w:pos="8931" w:leader="dot"/>
      </w:tabs>
      <w:spacing w:lineRule="auto" w:line="360"/>
      <w:ind w:left="480" w:hanging="0"/>
    </w:pPr>
    <w:rPr/>
  </w:style>
  <w:style w:type="paragraph" w:styleId="36">
    <w:name w:val="TOC 3"/>
    <w:basedOn w:val="Normal"/>
    <w:next w:val="Normal"/>
    <w:pPr>
      <w:spacing w:lineRule="auto" w:line="240"/>
      <w:ind w:left="840" w:hanging="0"/>
      <w:jc w:val="both"/>
      <w:textAlignment w:val="auto"/>
    </w:pPr>
    <w:rPr>
      <w:rFonts w:ascii="Calibri" w:hAnsi="Calibri" w:eastAsia="宋体;SimSun" w:cs="Times New Roman"/>
      <w:kern w:val="2"/>
      <w:sz w:val="21"/>
      <w:szCs w:val="22"/>
    </w:rPr>
  </w:style>
  <w:style w:type="paragraph" w:styleId="42">
    <w:name w:val="TOC 4"/>
    <w:basedOn w:val="Normal"/>
    <w:next w:val="Normal"/>
    <w:pPr>
      <w:spacing w:lineRule="auto" w:line="240"/>
      <w:ind w:left="1260" w:hanging="0"/>
      <w:jc w:val="both"/>
      <w:textAlignment w:val="auto"/>
    </w:pPr>
    <w:rPr>
      <w:rFonts w:ascii="Calibri" w:hAnsi="Calibri" w:eastAsia="宋体;SimSun" w:cs="Times New Roman"/>
      <w:kern w:val="2"/>
      <w:sz w:val="21"/>
      <w:szCs w:val="22"/>
    </w:rPr>
  </w:style>
  <w:style w:type="paragraph" w:styleId="5">
    <w:name w:val="TOC 5"/>
    <w:basedOn w:val="Normal"/>
    <w:next w:val="Normal"/>
    <w:pPr>
      <w:spacing w:lineRule="auto" w:line="240"/>
      <w:ind w:left="1680" w:hanging="0"/>
      <w:jc w:val="both"/>
      <w:textAlignment w:val="auto"/>
    </w:pPr>
    <w:rPr>
      <w:rFonts w:ascii="Calibri" w:hAnsi="Calibri" w:eastAsia="宋体;SimSun" w:cs="Times New Roman"/>
      <w:kern w:val="2"/>
      <w:sz w:val="21"/>
      <w:szCs w:val="22"/>
    </w:rPr>
  </w:style>
  <w:style w:type="paragraph" w:styleId="6">
    <w:name w:val="TOC 6"/>
    <w:basedOn w:val="Normal"/>
    <w:next w:val="Normal"/>
    <w:pPr>
      <w:spacing w:lineRule="auto" w:line="240"/>
      <w:ind w:left="2100" w:hanging="0"/>
      <w:jc w:val="both"/>
      <w:textAlignment w:val="auto"/>
    </w:pPr>
    <w:rPr>
      <w:rFonts w:ascii="Calibri" w:hAnsi="Calibri" w:eastAsia="宋体;SimSun" w:cs="Times New Roman"/>
      <w:kern w:val="2"/>
      <w:sz w:val="21"/>
      <w:szCs w:val="22"/>
    </w:rPr>
  </w:style>
  <w:style w:type="paragraph" w:styleId="7">
    <w:name w:val="TOC 7"/>
    <w:basedOn w:val="Normal"/>
    <w:next w:val="Normal"/>
    <w:pPr>
      <w:spacing w:lineRule="auto" w:line="240"/>
      <w:ind w:left="2520" w:hanging="0"/>
      <w:jc w:val="both"/>
      <w:textAlignment w:val="auto"/>
    </w:pPr>
    <w:rPr>
      <w:rFonts w:ascii="Calibri" w:hAnsi="Calibri" w:eastAsia="宋体;SimSun" w:cs="Times New Roman"/>
      <w:kern w:val="2"/>
      <w:sz w:val="21"/>
      <w:szCs w:val="22"/>
    </w:rPr>
  </w:style>
  <w:style w:type="paragraph" w:styleId="8">
    <w:name w:val="TOC 8"/>
    <w:basedOn w:val="Normal"/>
    <w:next w:val="Normal"/>
    <w:pPr>
      <w:spacing w:lineRule="auto" w:line="240"/>
      <w:ind w:left="2940" w:hanging="0"/>
      <w:jc w:val="both"/>
      <w:textAlignment w:val="auto"/>
    </w:pPr>
    <w:rPr>
      <w:rFonts w:ascii="Calibri" w:hAnsi="Calibri" w:eastAsia="宋体;SimSun" w:cs="Times New Roman"/>
      <w:kern w:val="2"/>
      <w:sz w:val="21"/>
      <w:szCs w:val="22"/>
    </w:rPr>
  </w:style>
  <w:style w:type="paragraph" w:styleId="9">
    <w:name w:val="TOC 9"/>
    <w:basedOn w:val="Normal"/>
    <w:next w:val="Normal"/>
    <w:pPr>
      <w:spacing w:lineRule="auto" w:line="240"/>
      <w:ind w:left="3360" w:hanging="0"/>
      <w:jc w:val="both"/>
      <w:textAlignment w:val="auto"/>
    </w:pPr>
    <w:rPr>
      <w:rFonts w:ascii="Calibri" w:hAnsi="Calibri" w:eastAsia="宋体;SimSun" w:cs="Times New Roman"/>
      <w:kern w:val="2"/>
      <w:sz w:val="21"/>
      <w:szCs w:val="22"/>
    </w:rPr>
  </w:style>
  <w:style w:type="paragraph" w:styleId="BodyTextIndent2">
    <w:name w:val="Body Text Indent 2"/>
    <w:basedOn w:val="Normal"/>
    <w:qFormat/>
    <w:pPr>
      <w:autoSpaceDE w:val="false"/>
      <w:spacing w:lineRule="atLeast" w:line="320"/>
      <w:ind w:firstLine="680"/>
      <w:jc w:val="both"/>
    </w:pPr>
    <w:rPr>
      <w:sz w:val="28"/>
    </w:rPr>
  </w:style>
  <w:style w:type="paragraph" w:styleId="13">
    <w:name w:val="正文1"/>
    <w:qFormat/>
    <w:pPr>
      <w:widowControl w:val="false"/>
      <w:spacing w:lineRule="atLeast" w:line="360"/>
      <w:textAlignment w:val="baseline"/>
    </w:pPr>
    <w:rPr>
      <w:rFonts w:ascii="宋体;SimSun" w:hAnsi="宋体;SimSun" w:eastAsia="宋体;SimSun" w:cs="Times New Roman"/>
      <w:color w:val="auto"/>
      <w:sz w:val="34"/>
      <w:szCs w:val="20"/>
      <w:lang w:val="en-US" w:eastAsia="zh-CN" w:bidi="ar-SA"/>
    </w:rPr>
  </w:style>
  <w:style w:type="paragraph" w:styleId="BodyText3">
    <w:name w:val="Body Text 3"/>
    <w:basedOn w:val="Normal"/>
    <w:qFormat/>
    <w:pPr>
      <w:autoSpaceDE w:val="false"/>
      <w:spacing w:lineRule="atLeast" w:line="312"/>
      <w:jc w:val="both"/>
    </w:pPr>
    <w:rPr>
      <w:rFonts w:ascii="Arial" w:hAnsi="Arial" w:cs="Arial"/>
      <w:sz w:val="28"/>
    </w:rPr>
  </w:style>
  <w:style w:type="paragraph" w:styleId="71">
    <w:name w:val="样式7"/>
    <w:basedOn w:val="Normal"/>
    <w:qFormat/>
    <w:pPr>
      <w:spacing w:lineRule="auto" w:line="360"/>
      <w:ind w:firstLine="567"/>
      <w:jc w:val="both"/>
      <w:textAlignment w:val="auto"/>
    </w:pPr>
    <w:rPr>
      <w:rFonts w:ascii="仿宋_GB2312;仿宋" w:hAnsi="仿宋_GB2312;仿宋" w:eastAsia="仿宋_GB2312;仿宋"/>
      <w:kern w:val="2"/>
      <w:sz w:val="28"/>
      <w:lang w:val="zh-CN" w:eastAsia="zh-CN"/>
    </w:rPr>
  </w:style>
  <w:style w:type="paragraph" w:styleId="28">
    <w:name w:val="普通(网站)2"/>
    <w:basedOn w:val="Normal"/>
    <w:qFormat/>
    <w:pPr>
      <w:widowControl/>
      <w:spacing w:lineRule="auto" w:line="240" w:before="100" w:after="100"/>
      <w:textAlignment w:val="auto"/>
    </w:pPr>
    <w:rPr>
      <w:rFonts w:ascii="宋体;SimSun" w:hAnsi="宋体;SimSun" w:cs="宋体;SimSun"/>
      <w:sz w:val="18"/>
    </w:rPr>
  </w:style>
  <w:style w:type="paragraph" w:styleId="Style44">
    <w:name w:val="表格内容"/>
    <w:basedOn w:val="Normal"/>
    <w:qFormat/>
    <w:pPr>
      <w:suppressLineNumbers/>
    </w:pPr>
    <w:rPr/>
  </w:style>
  <w:style w:type="paragraph" w:styleId="Style45">
    <w:name w:val="表格标题"/>
    <w:basedOn w:val="Style44"/>
    <w:qFormat/>
    <w:pPr>
      <w:suppressLineNumbers/>
      <w:jc w:val="center"/>
    </w:pPr>
    <w:rPr>
      <w:b/>
      <w:bCs/>
    </w:rPr>
  </w:style>
  <w:style w:type="paragraph" w:styleId="Style46">
    <w:name w:val="框架内容"/>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header" Target="header3.xml"/><Relationship Id="rId7" Type="http://schemas.openxmlformats.org/officeDocument/2006/relationships/header" Target="header4.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header" Target="header7.xml"/><Relationship Id="rId15" Type="http://schemas.openxmlformats.org/officeDocument/2006/relationships/header" Target="header8.xml"/><Relationship Id="rId16" Type="http://schemas.openxmlformats.org/officeDocument/2006/relationships/footer" Target="footer7.xml"/><Relationship Id="rId17" Type="http://schemas.openxmlformats.org/officeDocument/2006/relationships/footer" Target="footer8.xml"/><Relationship Id="rId18" Type="http://schemas.openxmlformats.org/officeDocument/2006/relationships/header" Target="header9.xml"/><Relationship Id="rId19" Type="http://schemas.openxmlformats.org/officeDocument/2006/relationships/header" Target="header10.xml"/><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header" Target="header11.xml"/><Relationship Id="rId30" Type="http://schemas.openxmlformats.org/officeDocument/2006/relationships/footer" Target="footer11.xml"/><Relationship Id="rId31" Type="http://schemas.openxmlformats.org/officeDocument/2006/relationships/hyperlink" Target="http://www.baidu.com/link?url=WR4ik0HfoP3GU1rlTYIFq3n2WBRxMHa-d8GcgMgJUtKKn1Pe8laCRZpZkd9wT3bWx0Da0HhCv5MAzf-34H8xnjpEjz3Kk8n4fMGDiYPYgW3" TargetMode="External"/><Relationship Id="rId32" Type="http://schemas.openxmlformats.org/officeDocument/2006/relationships/hyperlink" Target="http://baike.baidu.com/item/&#22303;&#22320;&#25152;&#26377;&#26435;" TargetMode="External"/><Relationship Id="rId33" Type="http://schemas.openxmlformats.org/officeDocument/2006/relationships/hyperlink" Target="http://baike.baidu.com/item/&#22303;&#22320;&#20215;&#26684;" TargetMode="External"/><Relationship Id="rId34" Type="http://schemas.openxmlformats.org/officeDocument/2006/relationships/header" Target="header12.xml"/><Relationship Id="rId35" Type="http://schemas.openxmlformats.org/officeDocument/2006/relationships/footer" Target="footer12.xml"/><Relationship Id="rId36" Type="http://schemas.openxmlformats.org/officeDocument/2006/relationships/header" Target="header13.xml"/><Relationship Id="rId37" Type="http://schemas.openxmlformats.org/officeDocument/2006/relationships/header" Target="header14.xml"/><Relationship Id="rId38" Type="http://schemas.openxmlformats.org/officeDocument/2006/relationships/footer" Target="footer13.xml"/><Relationship Id="rId39" Type="http://schemas.openxmlformats.org/officeDocument/2006/relationships/footer" Target="footer14.xml"/><Relationship Id="rId40" Type="http://schemas.openxmlformats.org/officeDocument/2006/relationships/header" Target="header15.xml"/><Relationship Id="rId41" Type="http://schemas.openxmlformats.org/officeDocument/2006/relationships/header" Target="header16.xml"/><Relationship Id="rId42" Type="http://schemas.openxmlformats.org/officeDocument/2006/relationships/footer" Target="footer15.xml"/><Relationship Id="rId43" Type="http://schemas.openxmlformats.org/officeDocument/2006/relationships/footer" Target="footer16.xml"/><Relationship Id="rId44" Type="http://schemas.openxmlformats.org/officeDocument/2006/relationships/header" Target="header17.xml"/><Relationship Id="rId45" Type="http://schemas.openxmlformats.org/officeDocument/2006/relationships/header" Target="header18.xml"/><Relationship Id="rId46" Type="http://schemas.openxmlformats.org/officeDocument/2006/relationships/footer" Target="footer17.xml"/><Relationship Id="rId47" Type="http://schemas.openxmlformats.org/officeDocument/2006/relationships/footer" Target="footer18.xml"/><Relationship Id="rId48" Type="http://schemas.openxmlformats.org/officeDocument/2006/relationships/hyperlink" Target="http://www.baidu.com/link?url=WR4ik0HfoP3GU1rlTYIFq3n2WBRxMHa-d8GcgMgJUtKKn1Pe8laCRZpZkd9wT3bWx0Da0HhCv5MAzf-34H8xnjpEjz3Kk8n4fMGDiYPYgW3" TargetMode="External"/><Relationship Id="rId49" Type="http://schemas.openxmlformats.org/officeDocument/2006/relationships/header" Target="header19.xml"/><Relationship Id="rId50" Type="http://schemas.openxmlformats.org/officeDocument/2006/relationships/header" Target="header20.xml"/><Relationship Id="rId51" Type="http://schemas.openxmlformats.org/officeDocument/2006/relationships/footer" Target="footer19.xml"/><Relationship Id="rId52" Type="http://schemas.openxmlformats.org/officeDocument/2006/relationships/footer" Target="footer20.xml"/><Relationship Id="rId53" Type="http://schemas.openxmlformats.org/officeDocument/2006/relationships/header" Target="header21.xml"/><Relationship Id="rId54" Type="http://schemas.openxmlformats.org/officeDocument/2006/relationships/header" Target="header22.xml"/><Relationship Id="rId55" Type="http://schemas.openxmlformats.org/officeDocument/2006/relationships/footer" Target="footer21.xml"/><Relationship Id="rId56" Type="http://schemas.openxmlformats.org/officeDocument/2006/relationships/footer" Target="footer22.xml"/><Relationship Id="rId57" Type="http://schemas.openxmlformats.org/officeDocument/2006/relationships/image" Target="media/image19.png"/><Relationship Id="rId58" Type="http://schemas.openxmlformats.org/officeDocument/2006/relationships/image" Target="media/image20.png"/><Relationship Id="rId59" Type="http://schemas.openxmlformats.org/officeDocument/2006/relationships/image" Target="media/image21.png"/><Relationship Id="rId60" Type="http://schemas.openxmlformats.org/officeDocument/2006/relationships/image" Target="media/image22.png"/><Relationship Id="rId61" Type="http://schemas.openxmlformats.org/officeDocument/2006/relationships/image" Target="media/image23.png"/><Relationship Id="rId62" Type="http://schemas.openxmlformats.org/officeDocument/2006/relationships/image" Target="media/image24.png"/><Relationship Id="rId63" Type="http://schemas.openxmlformats.org/officeDocument/2006/relationships/image" Target="media/image25.png"/><Relationship Id="rId64" Type="http://schemas.openxmlformats.org/officeDocument/2006/relationships/header" Target="header23.xml"/><Relationship Id="rId65" Type="http://schemas.openxmlformats.org/officeDocument/2006/relationships/footer" Target="footer23.xml"/><Relationship Id="rId66" Type="http://schemas.openxmlformats.org/officeDocument/2006/relationships/hyperlink" Target="http://baike.baidu.com/item/&#22303;&#22320;&#25152;&#26377;&#26435;" TargetMode="External"/><Relationship Id="rId67" Type="http://schemas.openxmlformats.org/officeDocument/2006/relationships/hyperlink" Target="http://baike.baidu.com/item/&#22303;&#22320;&#20215;&#26684;" TargetMode="External"/><Relationship Id="rId68" Type="http://schemas.openxmlformats.org/officeDocument/2006/relationships/header" Target="header24.xml"/><Relationship Id="rId69" Type="http://schemas.openxmlformats.org/officeDocument/2006/relationships/footer" Target="footer24.xml"/><Relationship Id="rId70" Type="http://schemas.openxmlformats.org/officeDocument/2006/relationships/header" Target="header25.xml"/><Relationship Id="rId71" Type="http://schemas.openxmlformats.org/officeDocument/2006/relationships/footer" Target="footer25.xml"/><Relationship Id="rId72" Type="http://schemas.openxmlformats.org/officeDocument/2006/relationships/image" Target="media/image27.png"/><Relationship Id="rId73" Type="http://schemas.openxmlformats.org/officeDocument/2006/relationships/image" Target="media/image28.png"/><Relationship Id="rId74" Type="http://schemas.openxmlformats.org/officeDocument/2006/relationships/header" Target="header26.xml"/><Relationship Id="rId75" Type="http://schemas.openxmlformats.org/officeDocument/2006/relationships/footer" Target="footer26.xml"/><Relationship Id="rId76" Type="http://schemas.openxmlformats.org/officeDocument/2006/relationships/header" Target="header27.xml"/><Relationship Id="rId77" Type="http://schemas.openxmlformats.org/officeDocument/2006/relationships/footer" Target="footer27.xml"/><Relationship Id="rId78" Type="http://schemas.openxmlformats.org/officeDocument/2006/relationships/header" Target="header28.xml"/><Relationship Id="rId79" Type="http://schemas.openxmlformats.org/officeDocument/2006/relationships/footer" Target="footer28.xml"/><Relationship Id="rId80" Type="http://schemas.openxmlformats.org/officeDocument/2006/relationships/header" Target="header29.xml"/><Relationship Id="rId81" Type="http://schemas.openxmlformats.org/officeDocument/2006/relationships/footer" Target="footer29.xml"/><Relationship Id="rId82" Type="http://schemas.openxmlformats.org/officeDocument/2006/relationships/header" Target="header30.xml"/><Relationship Id="rId83" Type="http://schemas.openxmlformats.org/officeDocument/2006/relationships/footer" Target="footer30.xml"/><Relationship Id="rId84" Type="http://schemas.openxmlformats.org/officeDocument/2006/relationships/comments" Target="comments.xml"/><Relationship Id="rId85" Type="http://schemas.openxmlformats.org/officeDocument/2006/relationships/numbering" Target="numbering.xml"/><Relationship Id="rId86" Type="http://schemas.openxmlformats.org/officeDocument/2006/relationships/fontTable" Target="fontTable.xml"/><Relationship Id="rId87" Type="http://schemas.openxmlformats.org/officeDocument/2006/relationships/settings" Target="settings.xml"/>
</Relationships>
</file>

<file path=word/_rels/header10.xml.rels><?xml version="1.0" encoding="UTF-8"?>
<Relationships xmlns="http://schemas.openxmlformats.org/package/2006/relationships"><Relationship Id="rId1" Type="http://schemas.openxmlformats.org/officeDocument/2006/relationships/image" Target="media/image6.jpeg"/>
</Relationships>
</file>

<file path=word/_rels/header11.xml.rels><?xml version="1.0" encoding="UTF-8"?>
<Relationships xmlns="http://schemas.openxmlformats.org/package/2006/relationships"><Relationship Id="rId1" Type="http://schemas.openxmlformats.org/officeDocument/2006/relationships/image" Target="media/image14.jpeg"/>
</Relationships>
</file>

<file path=word/_rels/header12.xml.rels><?xml version="1.0" encoding="UTF-8"?>
<Relationships xmlns="http://schemas.openxmlformats.org/package/2006/relationships"><Relationship Id="rId1" Type="http://schemas.openxmlformats.org/officeDocument/2006/relationships/image" Target="media/image15.jpeg"/>
</Relationships>
</file>

<file path=word/_rels/header14.xml.rels><?xml version="1.0" encoding="UTF-8"?>
<Relationships xmlns="http://schemas.openxmlformats.org/package/2006/relationships"><Relationship Id="rId1" Type="http://schemas.openxmlformats.org/officeDocument/2006/relationships/image" Target="media/image16.jpeg"/>
</Relationships>
</file>

<file path=word/_rels/header18.xml.rels><?xml version="1.0" encoding="UTF-8"?>
<Relationships xmlns="http://schemas.openxmlformats.org/package/2006/relationships"><Relationship Id="rId1" Type="http://schemas.openxmlformats.org/officeDocument/2006/relationships/image" Target="media/image17.jpeg"/>
</Relationships>
</file>

<file path=word/_rels/header22.xml.rels><?xml version="1.0" encoding="UTF-8"?>
<Relationships xmlns="http://schemas.openxmlformats.org/package/2006/relationships"><Relationship Id="rId1" Type="http://schemas.openxmlformats.org/officeDocument/2006/relationships/image" Target="media/image18.jpeg"/>
</Relationships>
</file>

<file path=word/_rels/header23.xml.rels><?xml version="1.0" encoding="UTF-8"?>
<Relationships xmlns="http://schemas.openxmlformats.org/package/2006/relationships"><Relationship Id="rId1" Type="http://schemas.openxmlformats.org/officeDocument/2006/relationships/image" Target="media/image26.jpeg"/>
</Relationships>
</file>

<file path=word/_rels/header27.xml.rels><?xml version="1.0" encoding="UTF-8"?>
<Relationships xmlns="http://schemas.openxmlformats.org/package/2006/relationships"><Relationship Id="rId1" Type="http://schemas.openxmlformats.org/officeDocument/2006/relationships/image" Target="media/image29.jpeg"/>
</Relationships>
</file>

<file path=word/_rels/header28.xml.rels><?xml version="1.0" encoding="UTF-8"?>
<Relationships xmlns="http://schemas.openxmlformats.org/package/2006/relationships"><Relationship Id="rId1" Type="http://schemas.openxmlformats.org/officeDocument/2006/relationships/image" Target="media/image30.jpeg"/>
</Relationships>
</file>

<file path=word/_rels/header29.xml.rels><?xml version="1.0" encoding="UTF-8"?>
<Relationships xmlns="http://schemas.openxmlformats.org/package/2006/relationships"><Relationship Id="rId1" Type="http://schemas.openxmlformats.org/officeDocument/2006/relationships/image" Target="media/image31.jpeg"/>
</Relationships>
</file>

<file path=word/_rels/header30.xml.rels><?xml version="1.0" encoding="UTF-8"?>
<Relationships xmlns="http://schemas.openxmlformats.org/package/2006/relationships"><Relationship Id="rId1" Type="http://schemas.openxmlformats.org/officeDocument/2006/relationships/image" Target="media/image32.jpeg"/>
</Relationships>
</file>

<file path=word/_rels/header4.xml.rels><?xml version="1.0" encoding="UTF-8"?>
<Relationships xmlns="http://schemas.openxmlformats.org/package/2006/relationships"><Relationship Id="rId1" Type="http://schemas.openxmlformats.org/officeDocument/2006/relationships/image" Target="media/image1.jpeg"/>
</Relationships>
</file>

<file path=word/_rels/header5.xml.rels><?xml version="1.0" encoding="UTF-8"?>
<Relationships xmlns="http://schemas.openxmlformats.org/package/2006/relationships"><Relationship Id="rId1" Type="http://schemas.openxmlformats.org/officeDocument/2006/relationships/image" Target="media/image2.jpeg"/>
</Relationships>
</file>

<file path=word/_rels/header6.xml.rels><?xml version="1.0" encoding="UTF-8"?>
<Relationships xmlns="http://schemas.openxmlformats.org/package/2006/relationships"><Relationship Id="rId1" Type="http://schemas.openxmlformats.org/officeDocument/2006/relationships/image" Target="media/image3.jpeg"/>
</Relationships>
</file>

<file path=word/_rels/header7.xml.rels><?xml version="1.0" encoding="UTF-8"?>
<Relationships xmlns="http://schemas.openxmlformats.org/package/2006/relationships"><Relationship Id="rId1" Type="http://schemas.openxmlformats.org/officeDocument/2006/relationships/image" Target="media/image4.jpeg"/>
</Relationships>
</file>

<file path=word/_rels/header8.xml.rels><?xml version="1.0" encoding="UTF-8"?>
<Relationships xmlns="http://schemas.openxmlformats.org/package/2006/relationships"><Relationship Id="rId1" Type="http://schemas.openxmlformats.org/officeDocument/2006/relationships/image" Target="media/image5.jpeg"/>
</Relationships>
</file>

<file path=docProps/app.xml><?xml version="1.0" encoding="utf-8"?>
<Properties xmlns="http://schemas.openxmlformats.org/officeDocument/2006/extended-properties" xmlns:vt="http://schemas.openxmlformats.org/officeDocument/2006/docPropsVTypes">
  <Template>Normal_x0000_</Template>
  <TotalTime>1699</TotalTime>
  <Application>Ultra_Office/6.2.3.2$Windows_x86 LibreOffice_project/</Application>
  <Pages>122</Pages>
  <Words>66599</Words>
  <Characters>73767</Characters>
  <CharactersWithSpaces>74392</CharactersWithSpaces>
  <Paragraphs>2488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2023-11-13T13:58:00Z</dcterms:created>
  <dc:creator>Administrator</dc:creator>
  <dc:description/>
  <cp:keywords/>
  <dc:language>zh-CN</dc:language>
  <cp:lastModifiedBy/>
  <cp:lastPrinted>2023-11-14T15:05:00Z</cp:lastPrinted>
  <dcterms:modified xsi:type="dcterms:W3CDTF">2024-06-03T22:47:43Z</dcterms:modified>
  <cp:revision>26</cp:revision>
  <dc:subject/>
  <dc:title/>
</cp:coreProperties>
</file>