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2242" w:right="-93" w:hanging="2242"/>
        <w:outlineLvl w:val="0"/>
        <w:rPr>
          <w:rFonts w:ascii="Adobe 黑体 Std R;微软雅黑" w:hAnsi="Adobe 黑体 Std R;微软雅黑" w:eastAsia="Adobe 黑体 Std R;微软雅黑" w:cs="Adobe 黑体 Std R;微软雅黑"/>
          <w:b/>
          <w:bCs/>
          <w:sz w:val="21"/>
          <w:szCs w:val="21"/>
        </w:rPr>
      </w:pPr>
    </w:p>
    <w:p>
      <w:pPr>
        <w:spacing w:line="320" w:lineRule="exact"/>
        <w:ind w:left="2239" w:right="-91" w:hanging="2239"/>
        <w:outlineLvl w:val="0"/>
        <w:rPr>
          <w:rFonts w:ascii="仿宋_GB2312;仿宋" w:hAnsi="仿宋_GB2312;仿宋" w:eastAsia="仿宋_GB2312;仿宋" w:cs="仿宋_GB2312;仿宋"/>
          <w:color w:val="000000"/>
        </w:rPr>
      </w:pPr>
      <w:r>
        <w:rPr>
          <w:rFonts w:ascii="仿宋_GB2312;仿宋" w:hAnsi="仿宋_GB2312;仿宋" w:eastAsia="仿宋_GB2312;仿宋" w:cs="仿宋_GB2312;仿宋"/>
          <w:color w:val="000000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9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hAnsi="Arial" w:eastAsia="Adobe 黑体 Std R;黑体" w:cs="Arial"/>
          <w:b/>
          <w:bCs/>
          <w:sz w:val="21"/>
          <w:szCs w:val="21"/>
        </w:rPr>
      </w:pPr>
      <w:r>
        <w:rPr>
          <w:rFonts w:ascii="Arial" w:hAnsi="Arial" w:eastAsia="方正黑体简体;微软雅黑" w:cs="Arial"/>
          <w:b/>
          <w:bCs/>
          <w:sz w:val="21"/>
          <w:szCs w:val="21"/>
        </w:rPr>
        <w:t>咨询项目名称：</w:t>
      </w:r>
    </w:p>
    <w:p>
      <w:pPr>
        <w:pStyle w:val="99"/>
        <w:spacing w:line="320" w:lineRule="exact"/>
        <w:ind w:left="360" w:firstLine="0"/>
        <w:textAlignment w:val="bottom"/>
        <w:rPr>
          <w:rFonts w:hint="eastAsia" w:ascii="Arial" w:hAnsi="Arial" w:eastAsia="方正黑体简体;微软雅黑" w:cs="Arial"/>
          <w:sz w:val="21"/>
          <w:szCs w:val="21"/>
          <w:lang w:eastAsia="zh-CN"/>
        </w:rPr>
      </w:pPr>
      <w:r>
        <w:rPr>
          <w:rFonts w:ascii="Arial" w:hAnsi="Arial" w:eastAsia="方正黑体简体;微软雅黑" w:cs="Arial"/>
          <w:sz w:val="21"/>
          <w:szCs w:val="21"/>
        </w:rPr>
        <w:t>北京市延庆区6016地块</w:t>
      </w:r>
      <w:r>
        <w:rPr>
          <w:rFonts w:hint="eastAsia" w:ascii="Arial" w:hAnsi="Arial" w:eastAsia="方正黑体简体;微软雅黑" w:cs="Arial"/>
          <w:sz w:val="21"/>
          <w:szCs w:val="21"/>
          <w:lang w:eastAsia="zh-CN"/>
        </w:rPr>
        <w:t>居住</w:t>
      </w:r>
      <w:r>
        <w:rPr>
          <w:rFonts w:hint="eastAsia" w:ascii="Arial" w:hAnsi="Arial" w:eastAsia="方正黑体简体;微软雅黑" w:cs="Arial"/>
          <w:sz w:val="21"/>
          <w:szCs w:val="21"/>
        </w:rPr>
        <w:t>用</w:t>
      </w:r>
      <w:r>
        <w:rPr>
          <w:rFonts w:hint="eastAsia" w:ascii="Arial" w:hAnsi="Arial" w:eastAsia="方正黑体简体;微软雅黑" w:cs="Arial"/>
          <w:sz w:val="21"/>
          <w:szCs w:val="21"/>
          <w:lang w:eastAsia="zh-CN"/>
        </w:rPr>
        <w:t>地周边商业用房房地产市场租金水平预咨询</w:t>
      </w:r>
    </w:p>
    <w:p>
      <w:pPr>
        <w:spacing w:line="320" w:lineRule="exact"/>
        <w:textAlignment w:val="bottom"/>
        <w:rPr>
          <w:rFonts w:ascii="Arial" w:hAnsi="Arial" w:eastAsia="方正黑体简体;微软雅黑" w:cs="Arial"/>
          <w:sz w:val="21"/>
          <w:szCs w:val="21"/>
        </w:rPr>
      </w:pPr>
    </w:p>
    <w:p>
      <w:pPr>
        <w:pStyle w:val="99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hAnsi="Arial" w:eastAsia="方正黑体简体;微软雅黑" w:cs="Arial"/>
          <w:b/>
          <w:bCs/>
          <w:sz w:val="21"/>
          <w:szCs w:val="21"/>
        </w:rPr>
      </w:pPr>
      <w:r>
        <w:rPr>
          <w:rFonts w:ascii="Arial" w:hAnsi="Arial" w:eastAsia="方正黑体简体;微软雅黑" w:cs="Arial"/>
          <w:b/>
          <w:bCs/>
          <w:sz w:val="21"/>
          <w:szCs w:val="21"/>
        </w:rPr>
        <w:t>咨询委托人：</w:t>
      </w:r>
    </w:p>
    <w:p>
      <w:pPr>
        <w:pStyle w:val="99"/>
        <w:spacing w:line="320" w:lineRule="exact"/>
        <w:ind w:left="360" w:firstLine="0"/>
        <w:textAlignment w:val="bottom"/>
        <w:rPr>
          <w:rFonts w:ascii="方正黑体简体;微软雅黑" w:hAnsi="方正黑体简体;微软雅黑" w:eastAsia="方正黑体简体;微软雅黑" w:cs="Adobe 黑体 Std R;黑体"/>
          <w:sz w:val="21"/>
          <w:szCs w:val="21"/>
        </w:rPr>
      </w:pPr>
      <w:r>
        <w:rPr>
          <w:rFonts w:ascii="方正黑体简体;微软雅黑" w:hAnsi="方正黑体简体;微软雅黑" w:eastAsia="方正黑体简体;微软雅黑" w:cs="Adobe 黑体 Std R;黑体"/>
          <w:sz w:val="21"/>
          <w:szCs w:val="21"/>
        </w:rPr>
        <w:t>北京保障房中心有限公司</w:t>
      </w:r>
    </w:p>
    <w:p>
      <w:pPr>
        <w:spacing w:line="320" w:lineRule="exact"/>
        <w:textAlignment w:val="bottom"/>
        <w:rPr>
          <w:rFonts w:ascii="Arial" w:hAnsi="Arial" w:eastAsia="方正黑体简体;微软雅黑" w:cs="Arial"/>
          <w:b/>
          <w:sz w:val="21"/>
          <w:szCs w:val="21"/>
        </w:rPr>
      </w:pPr>
    </w:p>
    <w:p>
      <w:pPr>
        <w:pStyle w:val="99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hAnsi="Arial" w:eastAsia="方正黑体简体;微软雅黑" w:cs="Arial"/>
          <w:b/>
          <w:bCs/>
          <w:sz w:val="21"/>
          <w:szCs w:val="21"/>
        </w:rPr>
      </w:pPr>
      <w:r>
        <w:rPr>
          <w:rFonts w:ascii="Arial" w:hAnsi="Arial" w:eastAsia="方正黑体简体;微软雅黑" w:cs="Arial"/>
          <w:b/>
          <w:bCs/>
          <w:sz w:val="21"/>
          <w:szCs w:val="21"/>
        </w:rPr>
        <w:t>咨询机构：</w:t>
      </w:r>
    </w:p>
    <w:p>
      <w:pPr>
        <w:pStyle w:val="99"/>
        <w:spacing w:line="320" w:lineRule="exact"/>
        <w:ind w:left="360" w:firstLine="0"/>
        <w:textAlignment w:val="bottom"/>
        <w:rPr>
          <w:rFonts w:ascii="Arial" w:hAnsi="Arial" w:eastAsia="方正黑体简体;微软雅黑" w:cs="Arial"/>
          <w:sz w:val="21"/>
          <w:szCs w:val="21"/>
        </w:rPr>
      </w:pPr>
      <w:r>
        <w:rPr>
          <w:rFonts w:ascii="Arial" w:hAnsi="Arial" w:eastAsia="方正黑体简体;微软雅黑" w:cs="Arial"/>
          <w:sz w:val="21"/>
          <w:szCs w:val="21"/>
        </w:rPr>
        <w:t>北京康正宏基房地产评估有限公司</w:t>
      </w:r>
    </w:p>
    <w:p>
      <w:pPr>
        <w:pStyle w:val="99"/>
        <w:spacing w:line="320" w:lineRule="exact"/>
        <w:ind w:left="360" w:firstLine="0"/>
        <w:textAlignment w:val="bottom"/>
        <w:rPr>
          <w:rFonts w:ascii="Arial" w:hAnsi="Arial" w:eastAsia="方正黑体简体;微软雅黑" w:cs="Arial"/>
          <w:sz w:val="21"/>
          <w:szCs w:val="21"/>
        </w:rPr>
      </w:pPr>
    </w:p>
    <w:p>
      <w:pPr>
        <w:pStyle w:val="100"/>
        <w:numPr>
          <w:ilvl w:val="0"/>
          <w:numId w:val="6"/>
        </w:numPr>
        <w:spacing w:line="320" w:lineRule="exact"/>
        <w:outlineLvl w:val="0"/>
        <w:rPr>
          <w:rFonts w:ascii="Arial" w:hAnsi="Arial" w:eastAsia="方正黑体简体;微软雅黑" w:cs="Arial"/>
          <w:b/>
          <w:bCs/>
          <w:sz w:val="21"/>
          <w:szCs w:val="21"/>
        </w:rPr>
      </w:pPr>
      <w:r>
        <w:rPr>
          <w:rFonts w:ascii="Arial" w:hAnsi="Arial" w:eastAsia="方正黑体简体;微软雅黑" w:cs="Arial"/>
          <w:b/>
          <w:bCs/>
          <w:sz w:val="21"/>
          <w:szCs w:val="21"/>
        </w:rPr>
        <w:t>评估专业人员：</w:t>
      </w:r>
    </w:p>
    <w:p>
      <w:pPr>
        <w:pStyle w:val="99"/>
        <w:spacing w:line="320" w:lineRule="exact"/>
        <w:ind w:left="360" w:firstLine="0"/>
        <w:textAlignment w:val="bottom"/>
        <w:rPr>
          <w:rFonts w:ascii="Arial" w:hAnsi="Arial" w:eastAsia="方正黑体简体;微软雅黑" w:cs="Arial"/>
          <w:sz w:val="21"/>
          <w:szCs w:val="21"/>
        </w:rPr>
      </w:pPr>
      <w:r>
        <w:rPr>
          <w:rFonts w:ascii="Arial" w:hAnsi="Arial" w:eastAsia="方正黑体简体;微软雅黑" w:cs="Arial"/>
          <w:sz w:val="21"/>
          <w:szCs w:val="21"/>
        </w:rPr>
        <w:t>高鹏、刘朝阳</w:t>
      </w:r>
    </w:p>
    <w:p>
      <w:pPr>
        <w:spacing w:line="320" w:lineRule="exact"/>
        <w:textAlignment w:val="bottom"/>
        <w:rPr>
          <w:rFonts w:ascii="Arial" w:hAnsi="Arial" w:eastAsia="方正黑体简体;微软雅黑" w:cs="Arial"/>
          <w:b/>
          <w:sz w:val="21"/>
          <w:szCs w:val="21"/>
        </w:rPr>
      </w:pPr>
    </w:p>
    <w:p>
      <w:pPr>
        <w:pStyle w:val="99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hAnsi="Arial" w:eastAsia="方正黑体简体;微软雅黑" w:cs="Arial"/>
          <w:b/>
          <w:bCs/>
          <w:sz w:val="21"/>
          <w:szCs w:val="21"/>
        </w:rPr>
      </w:pPr>
      <w:r>
        <w:rPr>
          <w:rFonts w:ascii="Arial" w:hAnsi="Arial" w:eastAsia="方正黑体简体;微软雅黑" w:cs="Arial"/>
          <w:b/>
          <w:bCs/>
          <w:sz w:val="21"/>
          <w:szCs w:val="21"/>
        </w:rPr>
        <w:t>报告编号：</w:t>
      </w:r>
    </w:p>
    <w:p>
      <w:pPr>
        <w:pStyle w:val="101"/>
        <w:spacing w:line="320" w:lineRule="exact"/>
        <w:ind w:left="360" w:firstLine="0"/>
        <w:textAlignment w:val="bottom"/>
      </w:pPr>
      <w:r>
        <w:rPr>
          <w:rFonts w:ascii="Arial" w:hAnsi="Arial" w:eastAsia="方正黑体简体;微软雅黑" w:cs="Arial"/>
          <w:sz w:val="21"/>
          <w:szCs w:val="21"/>
        </w:rPr>
        <w:t>康正预评字2023-1-0856-P0</w:t>
      </w:r>
      <w:r>
        <w:rPr>
          <w:rFonts w:hint="eastAsia" w:ascii="Arial" w:hAnsi="Arial" w:eastAsia="方正黑体简体;微软雅黑" w:cs="Arial"/>
          <w:sz w:val="21"/>
          <w:szCs w:val="21"/>
          <w:lang w:val="en-US" w:eastAsia="zh-CN"/>
        </w:rPr>
        <w:t>3</w:t>
      </w:r>
      <w:r>
        <w:rPr>
          <w:rFonts w:ascii="Arial" w:hAnsi="Arial" w:eastAsia="方正黑体简体;微软雅黑" w:cs="Arial"/>
          <w:sz w:val="21"/>
          <w:szCs w:val="21"/>
        </w:rPr>
        <w:t>ZLGJ6号</w:t>
      </w:r>
    </w:p>
    <w:p>
      <w:pPr>
        <w:pStyle w:val="94"/>
        <w:rPr>
          <w:rFonts w:ascii="Arial" w:hAnsi="Arial" w:eastAsia="方正黑体简体;微软雅黑" w:cs="Arial"/>
          <w:b/>
          <w:bCs/>
          <w:sz w:val="21"/>
          <w:szCs w:val="21"/>
        </w:rPr>
        <w:sectPr>
          <w:headerReference r:id="rId6" w:type="first"/>
          <w:headerReference r:id="rId5" w:type="default"/>
          <w:pgSz w:w="11906" w:h="16838"/>
          <w:pgMar w:top="1843" w:right="1304" w:bottom="1134" w:left="1304" w:header="851" w:footer="0" w:gutter="0"/>
          <w:pgNumType w:start="0"/>
          <w:cols w:space="720" w:num="1"/>
          <w:formProt w:val="0"/>
          <w:titlePg/>
          <w:docGrid w:linePitch="326" w:charSpace="0"/>
        </w:sectPr>
      </w:pPr>
    </w:p>
    <w:p>
      <w:pPr>
        <w:pStyle w:val="2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t>咨询意见函</w:t>
      </w:r>
    </w:p>
    <w:p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北京市延庆区6016地块周边</w:t>
      </w:r>
      <w:r>
        <w:rPr>
          <w:rFonts w:hint="eastAsia" w:ascii="Arial" w:hAnsi="Arial" w:cs="Arial"/>
          <w:kern w:val="2"/>
          <w:sz w:val="21"/>
          <w:lang w:eastAsia="zh-CN"/>
        </w:rPr>
        <w:t>商业用房房地产</w:t>
      </w:r>
      <w:r>
        <w:rPr>
          <w:rFonts w:ascii="Arial" w:hAnsi="Arial" w:cs="Arial"/>
          <w:sz w:val="21"/>
          <w:szCs w:val="28"/>
        </w:rPr>
        <w:t>市场租金水平进行了咨询预评估。</w:t>
      </w:r>
    </w:p>
    <w:p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>
        <w:rPr>
          <w:rFonts w:ascii="Arial" w:hAnsi="Arial" w:cs="Arial"/>
          <w:kern w:val="2"/>
          <w:sz w:val="21"/>
          <w:lang w:eastAsia="zh-CN"/>
        </w:rPr>
        <w:t>延庆区6016地块</w:t>
      </w:r>
      <w:r>
        <w:rPr>
          <w:rFonts w:ascii="Arial" w:hAnsi="Arial" w:cs="Arial"/>
          <w:bCs/>
          <w:sz w:val="21"/>
        </w:rPr>
        <w:t>，该项目位于</w:t>
      </w:r>
      <w:r>
        <w:rPr>
          <w:rFonts w:ascii="Arial" w:hAnsi="Arial" w:cs="Arial"/>
          <w:kern w:val="2"/>
          <w:sz w:val="21"/>
          <w:lang w:eastAsia="zh-CN"/>
        </w:rPr>
        <w:t>延庆</w:t>
      </w:r>
      <w:r>
        <w:rPr>
          <w:rFonts w:ascii="Arial" w:hAnsi="Arial" w:cs="Arial"/>
          <w:bCs/>
          <w:sz w:val="21"/>
        </w:rPr>
        <w:t>区</w:t>
      </w:r>
      <w:r>
        <w:rPr>
          <w:rFonts w:ascii="Arial" w:hAnsi="Arial" w:cs="Arial"/>
          <w:bCs/>
          <w:sz w:val="21"/>
          <w:lang w:eastAsia="zh-CN"/>
        </w:rPr>
        <w:t>，沿延康路前往距延庆城区约</w:t>
      </w:r>
      <w:r>
        <w:rPr>
          <w:rFonts w:ascii="Arial" w:hAnsi="Arial" w:cs="Arial"/>
          <w:bCs/>
          <w:sz w:val="21"/>
          <w:lang w:val="en-US" w:eastAsia="zh-CN"/>
        </w:rPr>
        <w:t>12公里</w:t>
      </w:r>
      <w:r>
        <w:rPr>
          <w:rFonts w:ascii="Arial" w:hAnsi="Arial" w:cs="Arial"/>
          <w:bCs/>
          <w:sz w:val="21"/>
        </w:rPr>
        <w:t>。现状四至为东至</w:t>
      </w:r>
      <w:r>
        <w:rPr>
          <w:rFonts w:ascii="Arial" w:hAnsi="Arial" w:cs="Arial"/>
          <w:bCs/>
          <w:sz w:val="21"/>
          <w:lang w:eastAsia="zh-CN"/>
        </w:rPr>
        <w:t>风谷四</w:t>
      </w:r>
      <w:r>
        <w:rPr>
          <w:rFonts w:ascii="Arial" w:hAnsi="Arial" w:cs="Arial"/>
          <w:bCs/>
          <w:sz w:val="21"/>
        </w:rPr>
        <w:t>路，南至</w:t>
      </w:r>
      <w:r>
        <w:rPr>
          <w:rFonts w:ascii="Arial" w:hAnsi="Arial" w:cs="Arial"/>
          <w:bCs/>
          <w:sz w:val="21"/>
          <w:lang w:eastAsia="zh-CN"/>
        </w:rPr>
        <w:t>光谷二街</w:t>
      </w:r>
      <w:r>
        <w:rPr>
          <w:rFonts w:ascii="Arial" w:hAnsi="Arial" w:cs="Arial"/>
          <w:bCs/>
          <w:sz w:val="21"/>
        </w:rPr>
        <w:t>，西至</w:t>
      </w:r>
      <w:r>
        <w:rPr>
          <w:rFonts w:ascii="Arial" w:hAnsi="Arial" w:cs="Arial"/>
          <w:bCs/>
          <w:sz w:val="21"/>
          <w:lang w:eastAsia="zh-CN"/>
        </w:rPr>
        <w:t>风谷五</w:t>
      </w:r>
      <w:r>
        <w:rPr>
          <w:rFonts w:ascii="Arial" w:hAnsi="Arial" w:cs="Arial"/>
          <w:bCs/>
          <w:sz w:val="21"/>
        </w:rPr>
        <w:t>路，北至</w:t>
      </w:r>
      <w:r>
        <w:rPr>
          <w:rFonts w:ascii="Arial" w:hAnsi="Arial" w:cs="Arial"/>
          <w:bCs/>
          <w:sz w:val="21"/>
          <w:lang w:eastAsia="zh-CN"/>
        </w:rPr>
        <w:t>集贤路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总建设用地规模（以下简称“土地面积”）</w:t>
      </w:r>
      <w:r>
        <w:rPr>
          <w:rFonts w:hint="eastAsia" w:ascii="Arial" w:hAnsi="Arial" w:cs="Arial"/>
          <w:color w:val="000000"/>
          <w:sz w:val="21"/>
          <w:lang w:eastAsia="zh-CN"/>
        </w:rPr>
        <w:t>约</w:t>
      </w:r>
      <w:r>
        <w:rPr>
          <w:rFonts w:ascii="Arial" w:hAnsi="Arial" w:cs="Arial"/>
          <w:bCs/>
          <w:sz w:val="21"/>
          <w:lang w:eastAsia="zh-CN"/>
        </w:rPr>
        <w:t>为</w:t>
      </w:r>
      <w:r>
        <w:rPr>
          <w:rFonts w:ascii="Arial" w:hAnsi="Arial" w:cs="Arial"/>
          <w:bCs/>
          <w:sz w:val="21"/>
          <w:lang w:val="en-US" w:eastAsia="zh-CN"/>
        </w:rPr>
        <w:t>20426</w:t>
      </w:r>
      <w:r>
        <w:rPr>
          <w:rFonts w:ascii="Arial" w:hAnsi="Arial" w:cs="Arial"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>
        <w:rPr>
          <w:rFonts w:ascii="Arial" w:hAnsi="Arial" w:cs="Arial"/>
          <w:bCs/>
          <w:sz w:val="21"/>
          <w:lang w:eastAsia="zh-CN"/>
        </w:rPr>
        <w:t>规划地上建筑面积</w:t>
      </w:r>
      <w:r>
        <w:rPr>
          <w:rFonts w:hint="eastAsia" w:ascii="Arial" w:hAnsi="Arial" w:cs="Arial"/>
          <w:color w:val="000000"/>
          <w:sz w:val="21"/>
          <w:lang w:eastAsia="zh-CN"/>
        </w:rPr>
        <w:t>约</w:t>
      </w:r>
      <w:r>
        <w:rPr>
          <w:rFonts w:ascii="Arial" w:hAnsi="Arial" w:cs="Arial"/>
          <w:bCs/>
          <w:sz w:val="21"/>
          <w:lang w:eastAsia="zh-CN"/>
        </w:rPr>
        <w:t>为</w:t>
      </w:r>
      <w:r>
        <w:rPr>
          <w:rFonts w:ascii="Arial" w:hAnsi="Arial" w:cs="Arial"/>
          <w:bCs/>
          <w:sz w:val="21"/>
          <w:lang w:val="en-US" w:eastAsia="zh-CN"/>
        </w:rPr>
        <w:t>28600</w:t>
      </w:r>
      <w:r>
        <w:rPr>
          <w:rFonts w:ascii="Arial" w:hAnsi="Arial" w:cs="Arial"/>
          <w:sz w:val="21"/>
        </w:rPr>
        <w:t>平方</w:t>
      </w:r>
      <w:r>
        <w:rPr>
          <w:rFonts w:ascii="Arial" w:hAnsi="Arial" w:cs="Arial"/>
          <w:bCs/>
          <w:sz w:val="21"/>
        </w:rPr>
        <w:t>米</w:t>
      </w:r>
      <w:r>
        <w:rPr>
          <w:rFonts w:ascii="Arial" w:hAnsi="Arial" w:cs="Arial"/>
          <w:bCs/>
          <w:sz w:val="21"/>
          <w:lang w:val="en-US" w:eastAsia="zh-CN"/>
        </w:rPr>
        <w:t>，其中保租房建筑面积</w:t>
      </w:r>
      <w:r>
        <w:rPr>
          <w:rFonts w:hint="eastAsia" w:ascii="Arial" w:hAnsi="Arial" w:cs="Arial"/>
          <w:color w:val="000000"/>
          <w:sz w:val="21"/>
          <w:lang w:eastAsia="zh-CN"/>
        </w:rPr>
        <w:t>约</w:t>
      </w:r>
      <w:r>
        <w:rPr>
          <w:rFonts w:ascii="Arial" w:hAnsi="Arial" w:cs="Arial"/>
          <w:bCs/>
          <w:sz w:val="21"/>
          <w:lang w:val="en-US" w:eastAsia="zh-CN"/>
        </w:rPr>
        <w:t>为23325平方米，</w:t>
      </w:r>
      <w:r>
        <w:rPr>
          <w:rFonts w:ascii="Arial" w:hAnsi="Arial" w:cs="Arial"/>
          <w:bCs/>
          <w:sz w:val="21"/>
          <w:lang w:eastAsia="zh-CN"/>
        </w:rPr>
        <w:t>配套公服建筑面积</w:t>
      </w:r>
      <w:r>
        <w:rPr>
          <w:rFonts w:hint="eastAsia" w:ascii="Arial" w:hAnsi="Arial" w:cs="Arial"/>
          <w:color w:val="000000"/>
          <w:sz w:val="21"/>
          <w:lang w:eastAsia="zh-CN"/>
        </w:rPr>
        <w:t>约</w:t>
      </w:r>
      <w:r>
        <w:rPr>
          <w:rFonts w:ascii="Arial" w:hAnsi="Arial" w:cs="Arial"/>
          <w:bCs/>
          <w:sz w:val="21"/>
          <w:lang w:eastAsia="zh-CN"/>
        </w:rPr>
        <w:t>为</w:t>
      </w:r>
      <w:r>
        <w:rPr>
          <w:rFonts w:ascii="Arial" w:hAnsi="Arial" w:cs="Arial"/>
          <w:bCs/>
          <w:sz w:val="21"/>
          <w:lang w:val="en-US" w:eastAsia="zh-CN"/>
        </w:rPr>
        <w:t>805平方米，商业建筑面积</w:t>
      </w:r>
      <w:r>
        <w:rPr>
          <w:rFonts w:hint="eastAsia" w:ascii="Arial" w:hAnsi="Arial" w:cs="Arial"/>
          <w:color w:val="000000"/>
          <w:sz w:val="21"/>
          <w:lang w:eastAsia="zh-CN"/>
        </w:rPr>
        <w:t>约</w:t>
      </w:r>
      <w:r>
        <w:rPr>
          <w:rFonts w:ascii="Arial" w:hAnsi="Arial" w:cs="Arial"/>
          <w:bCs/>
          <w:sz w:val="21"/>
          <w:lang w:val="en-US" w:eastAsia="zh-CN"/>
        </w:rPr>
        <w:t>为4470平方米；</w:t>
      </w:r>
      <w:r>
        <w:rPr>
          <w:rFonts w:ascii="Arial" w:hAnsi="Arial" w:cs="Arial"/>
          <w:bCs/>
          <w:sz w:val="21"/>
          <w:lang w:eastAsia="zh-CN"/>
        </w:rPr>
        <w:t>项目容积率</w:t>
      </w:r>
      <w:r>
        <w:rPr>
          <w:rFonts w:hint="eastAsia" w:ascii="Arial" w:hAnsi="Arial" w:cs="Arial"/>
          <w:color w:val="000000"/>
          <w:sz w:val="21"/>
          <w:lang w:eastAsia="zh-CN"/>
        </w:rPr>
        <w:t>约</w:t>
      </w:r>
      <w:r>
        <w:rPr>
          <w:rFonts w:ascii="Arial" w:hAnsi="Arial" w:cs="Arial"/>
          <w:bCs/>
          <w:sz w:val="21"/>
          <w:lang w:eastAsia="zh-CN"/>
        </w:rPr>
        <w:t>为</w:t>
      </w:r>
      <w:r>
        <w:rPr>
          <w:rFonts w:ascii="Arial" w:hAnsi="Arial" w:cs="Arial"/>
          <w:bCs/>
          <w:sz w:val="21"/>
          <w:lang w:val="en-US" w:eastAsia="zh-CN"/>
        </w:rPr>
        <w:t>1.40。</w:t>
      </w:r>
    </w:p>
    <w:p>
      <w:pPr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咨询对象周边</w:t>
      </w:r>
      <w:r>
        <w:rPr>
          <w:rFonts w:hint="eastAsia" w:ascii="Arial" w:hAnsi="Arial" w:cs="Arial"/>
          <w:sz w:val="21"/>
          <w:lang w:eastAsia="zh-CN"/>
        </w:rPr>
        <w:t>零散分布</w:t>
      </w:r>
      <w:r>
        <w:rPr>
          <w:rFonts w:ascii="Arial" w:hAnsi="Arial" w:cs="Arial"/>
          <w:sz w:val="21"/>
        </w:rPr>
        <w:t>有</w:t>
      </w:r>
      <w:r>
        <w:rPr>
          <w:rFonts w:hint="eastAsia" w:ascii="Arial" w:hAnsi="Arial" w:cs="Arial"/>
          <w:sz w:val="21"/>
          <w:lang w:eastAsia="zh-CN"/>
        </w:rPr>
        <w:t>超市、餐饮业态等社区级商业设施</w:t>
      </w:r>
      <w:r>
        <w:rPr>
          <w:rFonts w:ascii="Arial" w:hAnsi="Arial" w:cs="Arial"/>
          <w:sz w:val="21"/>
        </w:rPr>
        <w:t>，综合评价</w:t>
      </w:r>
      <w:r>
        <w:rPr>
          <w:rFonts w:hint="eastAsia" w:ascii="Arial" w:hAnsi="Arial" w:cs="Arial"/>
          <w:sz w:val="21"/>
          <w:lang w:eastAsia="zh-CN"/>
        </w:rPr>
        <w:t>商业繁华</w:t>
      </w:r>
      <w:r>
        <w:rPr>
          <w:rFonts w:ascii="Arial" w:hAnsi="Arial" w:cs="Arial"/>
          <w:sz w:val="21"/>
        </w:rPr>
        <w:t>度</w:t>
      </w:r>
      <w:r>
        <w:rPr>
          <w:rFonts w:hint="eastAsia" w:ascii="Arial" w:hAnsi="Arial" w:cs="Arial"/>
          <w:sz w:val="21"/>
          <w:lang w:eastAsia="zh-CN"/>
        </w:rPr>
        <w:t>较差</w:t>
      </w:r>
      <w:r>
        <w:rPr>
          <w:rFonts w:ascii="Arial" w:hAnsi="Arial" w:cs="Arial"/>
          <w:sz w:val="21"/>
        </w:rPr>
        <w:t>。周边有880路、Y21路、Y44路、Y46路等多条公交线路，综合评价交通便捷度一般。以咨询对象为圆心半径2公里范围内有百尚超市、首都师范大学延庆实验小学、康庄幼儿园、康庄镇社区卫生服务中心、北京市农村商业银行（康庄分理处）等，各类配套设施基本齐全，故公共配套设施状况一般。区域内有北京邮电大学世纪学院等人文设施，综合评价环境状况一般。总体评价影响咨询对象的区位状况一般。</w:t>
      </w:r>
    </w:p>
    <w:p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为咨询委托人了解项目周边</w:t>
      </w:r>
      <w:r>
        <w:rPr>
          <w:rFonts w:hint="eastAsia" w:ascii="Arial" w:hAnsi="Arial" w:cs="Arial"/>
          <w:kern w:val="2"/>
          <w:sz w:val="21"/>
          <w:lang w:eastAsia="zh-CN"/>
        </w:rPr>
        <w:t>商业用房房地产</w:t>
      </w:r>
      <w:r>
        <w:rPr>
          <w:rFonts w:ascii="Arial" w:hAnsi="Arial" w:cs="Arial"/>
          <w:sz w:val="21"/>
        </w:rPr>
        <w:t>市场租金水平提供价格参考依据。</w:t>
      </w:r>
    </w:p>
    <w:p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咨询时段：</w:t>
      </w:r>
      <w:r>
        <w:rPr>
          <w:rFonts w:ascii="Arial" w:hAnsi="Arial" w:cs="Arial"/>
          <w:sz w:val="21"/>
          <w:szCs w:val="21"/>
        </w:rPr>
        <w:t>2023年11月29日</w:t>
      </w:r>
    </w:p>
    <w:p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咨询时段：</w:t>
      </w:r>
      <w:bookmarkStart w:id="0" w:name="_Hlk123126275"/>
      <w:r>
        <w:rPr>
          <w:rFonts w:ascii="Arial" w:hAnsi="Arial" w:cs="Arial"/>
          <w:sz w:val="21"/>
          <w:szCs w:val="21"/>
        </w:rPr>
        <w:t>咨询时段为咨询时点前12个月（2022年12月至2023年11月）</w:t>
      </w:r>
      <w:bookmarkEnd w:id="0"/>
    </w:p>
    <w:p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>
      <w:pPr>
        <w:spacing w:line="480" w:lineRule="auto"/>
        <w:ind w:firstLine="411"/>
        <w:jc w:val="both"/>
        <w:rPr>
          <w:rFonts w:hint="eastAsia" w:ascii="Arial" w:hAnsi="Arial" w:cs="Arial"/>
          <w:bCs/>
          <w:sz w:val="21"/>
        </w:rPr>
      </w:pPr>
      <w:r>
        <w:rPr>
          <w:rFonts w:ascii="Arial" w:hAnsi="Arial" w:cs="Arial"/>
          <w:bCs/>
          <w:sz w:val="21"/>
        </w:rPr>
        <w:t>本次估价的“</w:t>
      </w:r>
      <w:r>
        <w:rPr>
          <w:rFonts w:ascii="Arial" w:hAnsi="Arial" w:cs="Arial"/>
          <w:sz w:val="21"/>
          <w:szCs w:val="21"/>
        </w:rPr>
        <w:t>房地产市场租金水平</w:t>
      </w:r>
      <w:r>
        <w:rPr>
          <w:rFonts w:ascii="Arial" w:hAnsi="Arial" w:cs="Arial"/>
          <w:bCs/>
          <w:sz w:val="21"/>
        </w:rPr>
        <w:t>”</w:t>
      </w:r>
      <w:r>
        <w:rPr>
          <w:rFonts w:eastAsia="Times New Roman"/>
        </w:rPr>
        <w:t xml:space="preserve"> </w:t>
      </w:r>
      <w:r>
        <w:rPr>
          <w:rFonts w:ascii="Arial" w:hAnsi="Arial" w:cs="Arial"/>
          <w:bCs/>
          <w:sz w:val="21"/>
        </w:rPr>
        <w:t>是指在正常市场情况下，与咨询对象同地段、同类型的用途设定为</w:t>
      </w:r>
      <w:r>
        <w:rPr>
          <w:rFonts w:hint="eastAsia" w:ascii="Arial" w:hAnsi="Arial" w:cs="Arial"/>
          <w:bCs/>
          <w:sz w:val="21"/>
          <w:lang w:eastAsia="zh-CN"/>
        </w:rPr>
        <w:t>商业</w:t>
      </w:r>
      <w:r>
        <w:rPr>
          <w:rFonts w:ascii="Arial" w:hAnsi="Arial" w:cs="Arial"/>
          <w:bCs/>
          <w:sz w:val="21"/>
        </w:rPr>
        <w:t>，土地取得方式设定为出让的房地产在咨询时段（</w:t>
      </w:r>
      <w:r>
        <w:rPr>
          <w:rFonts w:ascii="Arial" w:hAnsi="Arial" w:cs="Arial"/>
          <w:sz w:val="21"/>
          <w:szCs w:val="21"/>
        </w:rPr>
        <w:t>2022年12月至2023年11月</w:t>
      </w:r>
      <w:r>
        <w:rPr>
          <w:rFonts w:ascii="Arial" w:hAnsi="Arial" w:cs="Arial"/>
          <w:bCs/>
          <w:sz w:val="21"/>
        </w:rPr>
        <w:t>）的租赁价格。</w:t>
      </w:r>
      <w:r>
        <w:rPr>
          <w:rFonts w:hint="eastAsia" w:ascii="Arial" w:hAnsi="Arial" w:cs="Arial"/>
          <w:bCs/>
          <w:sz w:val="21"/>
        </w:rPr>
        <w:t>含租赁税费，不含物业费、供暖制冷费、水电费、天然气费、通信费、有线电视费及上网宽带费等</w:t>
      </w:r>
      <w:r>
        <w:rPr>
          <w:rFonts w:ascii="Arial" w:hAnsi="Arial" w:cs="Arial"/>
          <w:bCs/>
          <w:sz w:val="21"/>
        </w:rPr>
        <w:t>。</w:t>
      </w:r>
    </w:p>
    <w:p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>
        <w:rPr>
          <w:rFonts w:ascii="Arial" w:hAnsi="Arial" w:cs="Arial"/>
          <w:sz w:val="21"/>
          <w:szCs w:val="28"/>
        </w:rPr>
        <w:t>评估专业人员根据咨询的目的，按照咨询的程序，采用科学的估价方法，在认真分析现有资料的基础上，结合本次咨询的特殊要求，通过仔细测算和认真分析各种影响房地产价格的因素，确定咨询对象于价值时点的房地产市场租金水平咨询评估结果，详见咨询结果一览表。</w:t>
      </w:r>
    </w:p>
    <w:p>
      <w:pPr>
        <w:spacing w:before="120" w:line="360" w:lineRule="auto"/>
        <w:jc w:val="center"/>
        <w:outlineLvl w:val="0"/>
        <w:rPr>
          <w:rFonts w:ascii="Arial" w:hAnsi="Arial" w:eastAsia="方正黑体简体;微软雅黑" w:cs="Arial"/>
          <w:szCs w:val="24"/>
        </w:rPr>
      </w:pPr>
      <w:r>
        <w:rPr>
          <w:rFonts w:ascii="Arial" w:hAnsi="Arial" w:eastAsia="方正黑体简体;微软雅黑" w:cs="Arial"/>
          <w:szCs w:val="24"/>
        </w:rPr>
        <w:t>咨询结果一览表</w:t>
      </w:r>
    </w:p>
    <w:tbl>
      <w:tblPr>
        <w:tblStyle w:val="33"/>
        <w:tblW w:w="8227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678"/>
        <w:gridCol w:w="354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4678" w:type="dxa"/>
            <w:tcBorders>
              <w:top w:val="thickThinSmallGap" w:color="000000" w:sz="12" w:space="0"/>
              <w:left w:val="dotted" w:color="404040" w:sz="2" w:space="0"/>
              <w:bottom w:val="dotted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textAlignment w:val="auto"/>
              <w:rPr>
                <w:rFonts w:ascii="Arial" w:hAnsi="Arial" w:eastAsia="华文细黑" w:cs="Arial"/>
                <w:sz w:val="18"/>
                <w:szCs w:val="24"/>
              </w:rPr>
            </w:pPr>
            <w:r>
              <w:rPr>
                <w:sz w:val="18"/>
              </w:rPr>
              <w:pict>
                <v:line id="_x0000_s1026" o:spid="_x0000_s1026" o:spt="20" style="position:absolute;left:0pt;margin-left:-3.3pt;margin-top:-2.85pt;height:30pt;width:235.45pt;z-index:251660288;mso-width-relative:page;mso-height-relative:page;" filled="f" stroked="t" coordsize="21600,21600">
                  <v:path arrowok="t"/>
                  <v:fill on="f" focussize="0,0"/>
                  <v:stroke color="#000000" dashstyle="1 1" endcap="round"/>
                  <v:imagedata o:title=""/>
                  <o:lock v:ext="edit" aspectratio="f"/>
                </v:line>
              </w:pict>
            </w:r>
            <w:r>
              <w:rPr>
                <w:rFonts w:ascii="Arial" w:hAnsi="Arial" w:eastAsia="Arial" w:cs="Arial"/>
                <w:sz w:val="18"/>
                <w:szCs w:val="24"/>
              </w:rPr>
              <w:t xml:space="preserve">                                          </w:t>
            </w:r>
            <w:r>
              <w:rPr>
                <w:rFonts w:ascii="Arial" w:hAnsi="Arial" w:eastAsia="华文细黑" w:cs="Arial"/>
                <w:sz w:val="18"/>
                <w:szCs w:val="24"/>
              </w:rPr>
              <w:t>咨询方法</w:t>
            </w:r>
          </w:p>
          <w:p>
            <w:pPr>
              <w:widowControl/>
              <w:spacing w:line="240" w:lineRule="exact"/>
              <w:jc w:val="both"/>
              <w:textAlignment w:val="auto"/>
              <w:rPr>
                <w:rFonts w:ascii="Arial" w:hAnsi="Arial" w:eastAsia="华文细黑" w:cs="Arial"/>
                <w:sz w:val="18"/>
                <w:szCs w:val="24"/>
              </w:rPr>
            </w:pPr>
            <w:r>
              <w:rPr>
                <w:rFonts w:ascii="Arial" w:hAnsi="Arial" w:eastAsia="华文细黑" w:cs="Arial"/>
                <w:sz w:val="18"/>
                <w:szCs w:val="24"/>
              </w:rPr>
              <w:t>项目名称</w:t>
            </w:r>
          </w:p>
        </w:tc>
        <w:tc>
          <w:tcPr>
            <w:tcW w:w="3549" w:type="dxa"/>
            <w:tcBorders>
              <w:top w:val="thickThinSmallGap" w:color="404040" w:sz="12" w:space="0"/>
              <w:left w:val="dotted" w:color="404040" w:sz="2" w:space="0"/>
              <w:bottom w:val="dotted" w:color="404040" w:sz="2" w:space="0"/>
              <w:right w:val="dotted" w:color="40404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auto"/>
              <w:rPr>
                <w:rFonts w:ascii="Arial" w:hAnsi="Arial" w:eastAsia="华文细黑" w:cs="宋体"/>
                <w:sz w:val="18"/>
                <w:szCs w:val="24"/>
              </w:rPr>
            </w:pPr>
            <w:r>
              <w:rPr>
                <w:rFonts w:ascii="Arial" w:hAnsi="Arial" w:eastAsia="华文细黑" w:cs="宋体"/>
                <w:sz w:val="18"/>
                <w:szCs w:val="24"/>
              </w:rPr>
              <w:t>比较法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31" w:hRule="atLeast"/>
          <w:jc w:val="center"/>
        </w:trPr>
        <w:tc>
          <w:tcPr>
            <w:tcW w:w="4678" w:type="dxa"/>
            <w:tcBorders>
              <w:top w:val="dotted" w:color="000000" w:sz="2" w:space="0"/>
              <w:left w:val="dotted" w:color="404040" w:sz="2" w:space="0"/>
              <w:bottom w:val="thickThinSmallGap" w:color="40404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auto"/>
              <w:rPr>
                <w:rFonts w:ascii="Arial" w:hAnsi="Arial" w:eastAsia="华文细黑" w:cs="Arial"/>
                <w:sz w:val="18"/>
                <w:szCs w:val="24"/>
              </w:rPr>
            </w:pPr>
            <w:r>
              <w:rPr>
                <w:rFonts w:ascii="Arial" w:hAnsi="Arial" w:eastAsia="华文细黑" w:cs="Arial"/>
                <w:sz w:val="18"/>
                <w:szCs w:val="24"/>
              </w:rPr>
              <w:t>北京市延庆区6016地块</w:t>
            </w:r>
          </w:p>
        </w:tc>
        <w:tc>
          <w:tcPr>
            <w:tcW w:w="3549" w:type="dxa"/>
            <w:tcBorders>
              <w:top w:val="dotted" w:color="404040" w:sz="2" w:space="0"/>
              <w:left w:val="dotted" w:color="404040" w:sz="2" w:space="0"/>
              <w:bottom w:val="thickThinSmallGap" w:color="404040" w:sz="12" w:space="0"/>
              <w:right w:val="dotted" w:color="40404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auto"/>
              <w:rPr>
                <w:rFonts w:hint="default" w:ascii="Arial" w:hAnsi="Arial" w:eastAsia="华文细黑" w:cs="宋体"/>
                <w:sz w:val="18"/>
                <w:szCs w:val="24"/>
                <w:lang w:val="en-US" w:eastAsia="zh-CN"/>
              </w:rPr>
            </w:pPr>
            <w:r>
              <w:rPr>
                <w:rFonts w:ascii="Arial" w:hAnsi="Arial" w:eastAsia="华文细黑" w:cs="宋体"/>
                <w:sz w:val="18"/>
                <w:szCs w:val="24"/>
              </w:rPr>
              <w:t>1</w:t>
            </w:r>
            <w:r>
              <w:rPr>
                <w:rFonts w:hint="eastAsia" w:ascii="Arial" w:hAnsi="Arial" w:eastAsia="华文细黑" w:cs="宋体"/>
                <w:sz w:val="18"/>
                <w:szCs w:val="24"/>
                <w:lang w:val="en-US" w:eastAsia="zh-CN"/>
              </w:rPr>
              <w:t>.14</w:t>
            </w:r>
          </w:p>
        </w:tc>
      </w:tr>
    </w:tbl>
    <w:p>
      <w:pPr>
        <w:spacing w:line="360" w:lineRule="auto"/>
        <w:rPr>
          <w:rFonts w:ascii="Arial" w:hAnsi="Arial" w:eastAsia="华文细黑" w:cs="Arial"/>
          <w:sz w:val="18"/>
        </w:rPr>
      </w:pPr>
      <w:r>
        <w:rPr>
          <w:rFonts w:ascii="Arial" w:hAnsi="Arial" w:eastAsia="华文细黑" w:cs="Arial"/>
          <w:sz w:val="18"/>
        </w:rPr>
        <w:t>单位：元/建筑面积平方米•</w:t>
      </w:r>
      <w:r>
        <w:rPr>
          <w:rFonts w:hint="eastAsia" w:ascii="Arial" w:hAnsi="Arial" w:eastAsia="华文细黑" w:cs="Arial"/>
          <w:sz w:val="18"/>
          <w:lang w:eastAsia="zh-CN"/>
        </w:rPr>
        <w:t>天</w:t>
      </w:r>
      <w:r>
        <w:rPr>
          <w:rFonts w:ascii="Arial" w:hAnsi="Arial" w:eastAsia="华文细黑" w:cs="Arial"/>
          <w:sz w:val="18"/>
        </w:rPr>
        <w:t>（币种：人民币）</w:t>
      </w:r>
    </w:p>
    <w:p>
      <w:pPr>
        <w:spacing w:before="120" w:line="360" w:lineRule="auto"/>
        <w:jc w:val="center"/>
        <w:outlineLvl w:val="0"/>
        <w:rPr>
          <w:rFonts w:ascii="Arial" w:hAnsi="Arial" w:eastAsia="方正黑体简体;微软雅黑" w:cs="Arial"/>
          <w:szCs w:val="24"/>
        </w:rPr>
      </w:pPr>
      <w:r>
        <w:rPr>
          <w:rFonts w:ascii="Arial" w:hAnsi="Arial" w:eastAsia="方正黑体简体;微软雅黑" w:cs="Arial"/>
          <w:szCs w:val="24"/>
        </w:rPr>
        <w:t>市场租金水平</w:t>
      </w:r>
    </w:p>
    <w:tbl>
      <w:tblPr>
        <w:tblStyle w:val="33"/>
        <w:tblW w:w="4650" w:type="pct"/>
        <w:jc w:val="center"/>
        <w:tblLayout w:type="autofit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4674"/>
        <w:gridCol w:w="3498"/>
      </w:tblGrid>
      <w:tr>
        <w:tblPrEx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4644" w:type="dxa"/>
            <w:tcBorders>
              <w:top w:val="thickThinMediumGap" w:color="000000" w:sz="12" w:space="0"/>
              <w:left w:val="dotted" w:color="000000" w:sz="2" w:space="0"/>
              <w:bottom w:val="dotted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auto"/>
              <w:rPr>
                <w:rFonts w:ascii="Arial" w:hAnsi="Arial" w:eastAsia="华文细黑" w:cs="宋体"/>
                <w:sz w:val="18"/>
                <w:szCs w:val="18"/>
              </w:rPr>
            </w:pPr>
            <w:r>
              <w:rPr>
                <w:rFonts w:ascii="Arial" w:hAnsi="Arial" w:eastAsia="华文细黑" w:cs="宋体"/>
                <w:sz w:val="18"/>
                <w:szCs w:val="18"/>
              </w:rPr>
              <w:t>项目名称</w:t>
            </w:r>
          </w:p>
        </w:tc>
        <w:tc>
          <w:tcPr>
            <w:tcW w:w="3475" w:type="dxa"/>
            <w:tcBorders>
              <w:top w:val="thickThinMediumGap" w:color="000000" w:sz="12" w:space="0"/>
              <w:left w:val="dotted" w:color="000000" w:sz="2" w:space="0"/>
              <w:bottom w:val="dotted" w:color="000000" w:sz="2" w:space="0"/>
              <w:right w:val="dotted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auto"/>
              <w:rPr>
                <w:rFonts w:ascii="Arial" w:hAnsi="Arial" w:eastAsia="华文细黑" w:cs="宋体"/>
                <w:sz w:val="18"/>
                <w:szCs w:val="18"/>
              </w:rPr>
            </w:pPr>
            <w:r>
              <w:rPr>
                <w:rFonts w:ascii="Arial" w:hAnsi="Arial" w:eastAsia="华文细黑" w:cs="宋体"/>
                <w:sz w:val="18"/>
                <w:szCs w:val="18"/>
              </w:rPr>
              <w:t>估价结果</w:t>
            </w:r>
          </w:p>
        </w:tc>
      </w:tr>
      <w:tr>
        <w:tblPrEx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4644" w:type="dxa"/>
            <w:tcBorders>
              <w:top w:val="dotted" w:color="000000" w:sz="2" w:space="0"/>
              <w:left w:val="dotted" w:color="000000" w:sz="2" w:space="0"/>
              <w:bottom w:val="thickThinMediumGap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auto"/>
              <w:rPr>
                <w:rFonts w:ascii="Arial" w:hAnsi="Arial" w:eastAsia="华文细黑" w:cs="宋体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24"/>
              </w:rPr>
              <w:t>北京市延庆区6016地块</w:t>
            </w:r>
          </w:p>
        </w:tc>
        <w:tc>
          <w:tcPr>
            <w:tcW w:w="3475" w:type="dxa"/>
            <w:tcBorders>
              <w:top w:val="dotted" w:color="000000" w:sz="2" w:space="0"/>
              <w:left w:val="dotted" w:color="000000" w:sz="2" w:space="0"/>
              <w:bottom w:val="thickThinMediumGap" w:color="000000" w:sz="12" w:space="0"/>
              <w:right w:val="dotted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auto"/>
              <w:rPr>
                <w:rFonts w:hint="default" w:ascii="Arial" w:hAnsi="Arial" w:eastAsia="华文细黑" w:cs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华文细黑" w:cs="宋体"/>
                <w:sz w:val="18"/>
                <w:szCs w:val="18"/>
              </w:rPr>
              <w:t>1</w:t>
            </w:r>
            <w:r>
              <w:rPr>
                <w:rFonts w:hint="eastAsia" w:ascii="Arial" w:hAnsi="Arial" w:eastAsia="华文细黑" w:cs="宋体"/>
                <w:sz w:val="18"/>
                <w:szCs w:val="18"/>
                <w:lang w:val="en-US" w:eastAsia="zh-CN"/>
              </w:rPr>
              <w:t>.03</w:t>
            </w:r>
            <w:r>
              <w:rPr>
                <w:rFonts w:ascii="Arial" w:hAnsi="Arial" w:eastAsia="华文细黑" w:cs="宋体"/>
                <w:sz w:val="18"/>
                <w:szCs w:val="18"/>
              </w:rPr>
              <w:t>～1</w:t>
            </w:r>
            <w:r>
              <w:rPr>
                <w:rFonts w:hint="eastAsia" w:ascii="Arial" w:hAnsi="Arial" w:eastAsia="华文细黑" w:cs="宋体"/>
                <w:sz w:val="18"/>
                <w:szCs w:val="18"/>
                <w:lang w:val="en-US" w:eastAsia="zh-CN"/>
              </w:rPr>
              <w:t>.25</w:t>
            </w:r>
          </w:p>
        </w:tc>
      </w:tr>
    </w:tbl>
    <w:p>
      <w:pPr>
        <w:spacing w:line="480" w:lineRule="auto"/>
        <w:rPr>
          <w:rFonts w:ascii="楷体_GB2312;楷体" w:hAnsi="楷体_GB2312;楷体" w:eastAsia="楷体_GB2312;楷体" w:cs="Arial"/>
          <w:bCs/>
          <w:sz w:val="21"/>
        </w:rPr>
      </w:pPr>
      <w:r>
        <w:rPr>
          <w:rFonts w:ascii="Arial" w:hAnsi="Arial" w:eastAsia="华文细黑" w:cs="宋体"/>
          <w:sz w:val="18"/>
          <w:szCs w:val="18"/>
        </w:rPr>
        <w:t>单位：元/建筑面积平方米·</w:t>
      </w:r>
      <w:r>
        <w:rPr>
          <w:rFonts w:hint="eastAsia" w:ascii="Arial" w:hAnsi="Arial" w:eastAsia="华文细黑" w:cs="宋体"/>
          <w:sz w:val="18"/>
          <w:szCs w:val="18"/>
          <w:lang w:eastAsia="zh-CN"/>
        </w:rPr>
        <w:t>天</w:t>
      </w:r>
      <w:r>
        <w:rPr>
          <w:rFonts w:ascii="Arial" w:hAnsi="Arial" w:eastAsia="华文细黑" w:cs="宋体"/>
          <w:sz w:val="18"/>
          <w:szCs w:val="18"/>
        </w:rPr>
        <w:t>（币种：人民币）</w:t>
      </w:r>
    </w:p>
    <w:p>
      <w:pPr>
        <w:spacing w:line="480" w:lineRule="auto"/>
        <w:ind w:firstLine="352"/>
        <w:jc w:val="both"/>
        <w:rPr>
          <w:rFonts w:ascii="Arial" w:hAnsi="Arial" w:eastAsia="华文细黑" w:cs="宋体"/>
          <w:sz w:val="18"/>
          <w:szCs w:val="18"/>
        </w:rPr>
      </w:pPr>
      <w:r>
        <w:rPr>
          <w:rFonts w:ascii="Arial" w:hAnsi="Arial" w:eastAsia="华文细黑" w:cs="宋体"/>
          <w:sz w:val="18"/>
          <w:szCs w:val="18"/>
        </w:rPr>
        <w:t>备注：因市场情况复杂，实际价格将受交易双方对项目心理预期的影响，会在评估价值的基础上出现一定范围内的上下浮动，浮动±10%为合理范围。</w:t>
      </w:r>
    </w:p>
    <w:p>
      <w:pPr>
        <w:spacing w:line="480" w:lineRule="auto"/>
        <w:rPr>
          <w:rFonts w:ascii="Arial" w:hAnsi="Arial" w:eastAsia="华文细黑" w:cs="Arial"/>
          <w:sz w:val="21"/>
          <w:szCs w:val="18"/>
        </w:rPr>
      </w:pPr>
    </w:p>
    <w:tbl>
      <w:tblPr>
        <w:tblStyle w:val="33"/>
        <w:tblW w:w="92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6"/>
        <w:gridCol w:w="3203"/>
      </w:tblGrid>
      <w:tr>
        <w:trPr>
          <w:cantSplit/>
          <w:jc w:val="center"/>
        </w:trPr>
        <w:tc>
          <w:tcPr>
            <w:tcW w:w="6096" w:type="dxa"/>
            <w:shd w:val="clear" w:color="auto" w:fill="auto"/>
          </w:tcPr>
          <w:p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顺致</w:t>
            </w:r>
          </w:p>
          <w:p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96" w:type="dxa"/>
            <w:shd w:val="clear" w:color="auto" w:fill="auto"/>
          </w:tcPr>
          <w:p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96" w:type="dxa"/>
            <w:shd w:val="clear" w:color="auto" w:fill="auto"/>
          </w:tcPr>
          <w:p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96" w:type="dxa"/>
            <w:shd w:val="clear" w:color="auto" w:fill="auto"/>
          </w:tcPr>
          <w:p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96" w:type="dxa"/>
            <w:shd w:val="clear" w:color="auto" w:fill="auto"/>
          </w:tcPr>
          <w:p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二〇二三年十一月二十九日</w:t>
            </w:r>
          </w:p>
        </w:tc>
      </w:tr>
    </w:tbl>
    <w:p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t>附：案例介绍</w:t>
      </w:r>
    </w:p>
    <w:p>
      <w:pPr>
        <w:pStyle w:val="95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估价需要调查大量的交易实例，才能通过比较从中选择合适的比较实例，客观评估估价对象的价格。本次估价搜集了近一年以来与估价对象处于同一供需圈、使用功能相似、户型相似的十个小区成交实例数据，小区明细小详见下表：</w:t>
      </w:r>
    </w:p>
    <w:p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周边可比小区成交案例调查表</w:t>
      </w:r>
    </w:p>
    <w:tbl>
      <w:tblPr>
        <w:tblStyle w:val="33"/>
        <w:tblW w:w="6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042"/>
        <w:gridCol w:w="2042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位置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区域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华文细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兴隆街商业用房</w:t>
            </w:r>
            <w:r>
              <w:rPr>
                <w:rFonts w:hint="eastAsia" w:ascii="Arial" w:hAnsi="Arial" w:eastAsia="华文细黑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0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康庄</w:t>
            </w:r>
          </w:p>
        </w:tc>
        <w:tc>
          <w:tcPr>
            <w:tcW w:w="1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北京邮电大学世纪学院商业用房</w:t>
            </w:r>
          </w:p>
        </w:tc>
        <w:tc>
          <w:tcPr>
            <w:tcW w:w="20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康庄</w:t>
            </w:r>
          </w:p>
        </w:tc>
        <w:tc>
          <w:tcPr>
            <w:tcW w:w="1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ascii="Arial" w:hAnsi="Arial" w:eastAsia="华文细黑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妫水南街商业用房</w:t>
            </w:r>
          </w:p>
        </w:tc>
        <w:tc>
          <w:tcPr>
            <w:tcW w:w="20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延庆城区</w:t>
            </w:r>
          </w:p>
        </w:tc>
        <w:tc>
          <w:tcPr>
            <w:tcW w:w="1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华文细黑" w:cs="Arial"/>
                <w:sz w:val="18"/>
                <w:szCs w:val="18"/>
              </w:rPr>
            </w:pPr>
            <w:r>
              <w:rPr>
                <w:rFonts w:hint="eastAsia" w:ascii="Arial" w:hAnsi="Arial" w:eastAsia="华文细黑" w:cs="Arial"/>
                <w:sz w:val="18"/>
                <w:szCs w:val="18"/>
                <w:lang w:eastAsia="zh-CN"/>
              </w:rPr>
              <w:t>商业</w:t>
            </w:r>
          </w:p>
        </w:tc>
      </w:tr>
    </w:tbl>
    <w:p>
      <w:pPr>
        <w:pStyle w:val="95"/>
        <w:autoSpaceDE w:val="0"/>
        <w:spacing w:before="327" w:line="360" w:lineRule="auto"/>
        <w:ind w:firstLine="420"/>
        <w:jc w:val="both"/>
        <w:textAlignment w:val="bottom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ascii="Arial" w:hAnsi="Arial" w:cs="Arial"/>
          <w:color w:val="000000"/>
          <w:sz w:val="21"/>
          <w:szCs w:val="21"/>
        </w:rPr>
        <w:t>案例A：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兴隆街商业用房</w:t>
      </w:r>
    </w:p>
    <w:p>
      <w:pPr>
        <w:pStyle w:val="95"/>
        <w:autoSpaceDE w:val="0"/>
        <w:spacing w:line="360" w:lineRule="auto"/>
        <w:ind w:firstLine="420"/>
        <w:jc w:val="both"/>
        <w:textAlignment w:val="bottom"/>
        <w:rPr>
          <w:rFonts w:hint="default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案例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A位于</w:t>
      </w:r>
      <w:r>
        <w:rPr>
          <w:rFonts w:ascii="Arial" w:hAnsi="Arial" w:cs="Arial"/>
          <w:color w:val="000000"/>
          <w:sz w:val="21"/>
          <w:szCs w:val="21"/>
        </w:rPr>
        <w:t>北京市延庆区康庄镇，周边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零散分布</w:t>
      </w:r>
      <w:r>
        <w:rPr>
          <w:rFonts w:ascii="Arial" w:hAnsi="Arial" w:cs="Arial"/>
          <w:color w:val="000000"/>
          <w:sz w:val="21"/>
          <w:szCs w:val="21"/>
        </w:rPr>
        <w:t>有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超市、餐饮业态等社区级商业设施</w:t>
      </w:r>
      <w:r>
        <w:rPr>
          <w:rFonts w:ascii="Arial" w:hAnsi="Arial" w:cs="Arial"/>
          <w:color w:val="000000"/>
          <w:sz w:val="21"/>
          <w:szCs w:val="21"/>
        </w:rPr>
        <w:t>，综合评价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商业繁华</w:t>
      </w:r>
      <w:r>
        <w:rPr>
          <w:rFonts w:ascii="Arial" w:hAnsi="Arial" w:cs="Arial"/>
          <w:color w:val="000000"/>
          <w:sz w:val="21"/>
          <w:szCs w:val="21"/>
        </w:rPr>
        <w:t>度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较差；</w:t>
      </w:r>
      <w:r>
        <w:rPr>
          <w:rFonts w:ascii="Arial" w:hAnsi="Arial" w:cs="Arial"/>
          <w:sz w:val="21"/>
        </w:rPr>
        <w:t>周边有880路、Y21路、Y44路、Y46路等多条公交线路</w:t>
      </w:r>
      <w:r>
        <w:rPr>
          <w:rFonts w:ascii="Arial" w:hAnsi="Arial" w:cs="Arial"/>
          <w:color w:val="000000"/>
          <w:sz w:val="21"/>
          <w:szCs w:val="21"/>
        </w:rPr>
        <w:t>；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楼层为地上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1层，商业类型为商业街商业，可视性较好，建筑结构为砖混，市政基础设施为六通</w:t>
      </w:r>
      <w:r>
        <w:rPr>
          <w:rFonts w:hint="eastAsia" w:ascii="Arial" w:hAnsi="Arial"/>
          <w:kern w:val="2"/>
          <w:sz w:val="21"/>
        </w:rPr>
        <w:t>（即通路、通电、通讯、通上水、通下水、通热力）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，综合成新度为9成新，层高为正常层高（3-5米），</w:t>
      </w:r>
      <w:r>
        <w:rPr>
          <w:rFonts w:ascii="Arial" w:hAnsi="Arial" w:cs="Arial"/>
          <w:color w:val="000000"/>
          <w:sz w:val="21"/>
          <w:szCs w:val="21"/>
        </w:rPr>
        <w:t>租金为1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.22</w:t>
      </w:r>
      <w:r>
        <w:rPr>
          <w:rFonts w:ascii="Arial" w:hAnsi="Arial" w:cs="Arial"/>
          <w:color w:val="000000"/>
          <w:sz w:val="21"/>
          <w:szCs w:val="21"/>
        </w:rPr>
        <w:t>元/建筑面积平方米•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天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>
      <w:pPr>
        <w:pStyle w:val="95"/>
        <w:autoSpaceDE w:val="0"/>
        <w:spacing w:line="360" w:lineRule="auto"/>
        <w:ind w:firstLine="420"/>
        <w:jc w:val="both"/>
        <w:textAlignment w:val="bottom"/>
        <w:rPr>
          <w:rFonts w:hint="eastAsia" w:ascii="Arial" w:hAnsi="Arial" w:cs="Arial"/>
          <w:color w:val="000000"/>
          <w:sz w:val="21"/>
          <w:szCs w:val="21"/>
          <w:lang w:eastAsia="zh-CN"/>
        </w:rPr>
      </w:pPr>
      <w:r>
        <w:rPr>
          <w:rFonts w:ascii="Arial" w:hAnsi="Arial" w:cs="Arial"/>
          <w:color w:val="000000"/>
          <w:sz w:val="21"/>
          <w:szCs w:val="21"/>
        </w:rPr>
        <w:t>案例B：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北京邮电大学世纪学院商业用房</w:t>
      </w:r>
    </w:p>
    <w:p>
      <w:pPr>
        <w:pStyle w:val="95"/>
        <w:autoSpaceDE w:val="0"/>
        <w:spacing w:line="360" w:lineRule="auto"/>
        <w:ind w:firstLine="420"/>
        <w:jc w:val="both"/>
        <w:textAlignment w:val="bottom"/>
        <w:rPr>
          <w:rFonts w:hint="default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案例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B位于</w:t>
      </w:r>
      <w:r>
        <w:rPr>
          <w:rFonts w:ascii="Arial" w:hAnsi="Arial" w:cs="Arial"/>
          <w:color w:val="000000"/>
          <w:sz w:val="21"/>
          <w:szCs w:val="21"/>
        </w:rPr>
        <w:t>北京市延庆区康庄镇，周边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零散分布</w:t>
      </w:r>
      <w:r>
        <w:rPr>
          <w:rFonts w:ascii="Arial" w:hAnsi="Arial" w:cs="Arial"/>
          <w:color w:val="000000"/>
          <w:sz w:val="21"/>
          <w:szCs w:val="21"/>
        </w:rPr>
        <w:t>有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超市、餐饮业态等社区级商业设施</w:t>
      </w:r>
      <w:r>
        <w:rPr>
          <w:rFonts w:ascii="Arial" w:hAnsi="Arial" w:cs="Arial"/>
          <w:color w:val="000000"/>
          <w:sz w:val="21"/>
          <w:szCs w:val="21"/>
        </w:rPr>
        <w:t>，综合评价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商业繁华</w:t>
      </w:r>
      <w:r>
        <w:rPr>
          <w:rFonts w:ascii="Arial" w:hAnsi="Arial" w:cs="Arial"/>
          <w:color w:val="000000"/>
          <w:sz w:val="21"/>
          <w:szCs w:val="21"/>
        </w:rPr>
        <w:t>度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较差；</w:t>
      </w:r>
      <w:r>
        <w:rPr>
          <w:rFonts w:ascii="Arial" w:hAnsi="Arial" w:cs="Arial"/>
          <w:sz w:val="21"/>
        </w:rPr>
        <w:t>周边有880路、Y21路、Y44路、Y46路等多条公交线路</w:t>
      </w:r>
      <w:r>
        <w:rPr>
          <w:rFonts w:ascii="Arial" w:hAnsi="Arial" w:cs="Arial"/>
          <w:color w:val="000000"/>
          <w:sz w:val="21"/>
          <w:szCs w:val="21"/>
        </w:rPr>
        <w:t>；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楼层为地上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1层，商业类型为商业街商业，可视性较好，建筑结构为砖混，市政基础设施为六通</w:t>
      </w:r>
      <w:r>
        <w:rPr>
          <w:rFonts w:hint="eastAsia" w:ascii="Arial" w:hAnsi="Arial"/>
          <w:kern w:val="2"/>
          <w:sz w:val="21"/>
        </w:rPr>
        <w:t>（即通路、通电、通讯、通上水、通下水、通热力）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，综合成新度为9成新，层高为正常层高（3-5米），</w:t>
      </w:r>
      <w:r>
        <w:rPr>
          <w:rFonts w:ascii="Arial" w:hAnsi="Arial" w:cs="Arial"/>
          <w:color w:val="000000"/>
          <w:sz w:val="21"/>
          <w:szCs w:val="21"/>
        </w:rPr>
        <w:t>租金为1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.32</w:t>
      </w:r>
      <w:r>
        <w:rPr>
          <w:rFonts w:ascii="Arial" w:hAnsi="Arial" w:cs="Arial"/>
          <w:color w:val="000000"/>
          <w:sz w:val="21"/>
          <w:szCs w:val="21"/>
        </w:rPr>
        <w:t>元/建筑面积平方米•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天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>
      <w:pPr>
        <w:pStyle w:val="95"/>
        <w:autoSpaceDE w:val="0"/>
        <w:spacing w:line="360" w:lineRule="auto"/>
        <w:ind w:firstLine="420"/>
        <w:jc w:val="both"/>
        <w:textAlignment w:val="bottom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ascii="Arial" w:hAnsi="Arial" w:cs="Arial"/>
          <w:color w:val="000000"/>
          <w:sz w:val="21"/>
          <w:szCs w:val="21"/>
        </w:rPr>
        <w:t>案例C：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妫水南街商业用房</w:t>
      </w:r>
    </w:p>
    <w:p>
      <w:pPr>
        <w:pStyle w:val="95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案例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C位于</w:t>
      </w:r>
      <w:r>
        <w:rPr>
          <w:rFonts w:ascii="Arial" w:hAnsi="Arial" w:cs="Arial"/>
          <w:color w:val="000000"/>
          <w:sz w:val="21"/>
          <w:szCs w:val="21"/>
        </w:rPr>
        <w:t>北京市延庆区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延庆城区</w:t>
      </w:r>
      <w:r>
        <w:rPr>
          <w:rFonts w:ascii="Arial" w:hAnsi="Arial" w:cs="Arial"/>
          <w:color w:val="000000"/>
          <w:sz w:val="21"/>
          <w:szCs w:val="21"/>
        </w:rPr>
        <w:t>，周边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环球新意百货、中踏广场等商业设施</w:t>
      </w:r>
      <w:r>
        <w:rPr>
          <w:rFonts w:ascii="Arial" w:hAnsi="Arial" w:cs="Arial"/>
          <w:color w:val="000000"/>
          <w:sz w:val="21"/>
          <w:szCs w:val="21"/>
        </w:rPr>
        <w:t>，综合评价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商业繁华</w:t>
      </w:r>
      <w:r>
        <w:rPr>
          <w:rFonts w:ascii="Arial" w:hAnsi="Arial" w:cs="Arial"/>
          <w:color w:val="000000"/>
          <w:sz w:val="21"/>
          <w:szCs w:val="21"/>
        </w:rPr>
        <w:t>度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一般；</w:t>
      </w:r>
      <w:r>
        <w:rPr>
          <w:rFonts w:ascii="Arial" w:hAnsi="Arial" w:cs="Arial"/>
          <w:sz w:val="21"/>
        </w:rPr>
        <w:t>周边有</w:t>
      </w:r>
      <w:r>
        <w:rPr>
          <w:rFonts w:hint="eastAsia" w:ascii="Arial" w:hAnsi="Arial" w:cs="Arial"/>
          <w:sz w:val="21"/>
          <w:lang w:val="en-US" w:eastAsia="zh-CN"/>
        </w:rPr>
        <w:t>919</w:t>
      </w:r>
      <w:r>
        <w:rPr>
          <w:rFonts w:ascii="Arial" w:hAnsi="Arial" w:cs="Arial"/>
          <w:sz w:val="21"/>
        </w:rPr>
        <w:t>路、</w:t>
      </w:r>
      <w:r>
        <w:rPr>
          <w:rFonts w:hint="eastAsia" w:ascii="Arial" w:hAnsi="Arial" w:cs="Arial"/>
          <w:sz w:val="21"/>
          <w:lang w:val="en-US" w:eastAsia="zh-CN"/>
        </w:rPr>
        <w:t>925</w:t>
      </w:r>
      <w:r>
        <w:rPr>
          <w:rFonts w:ascii="Arial" w:hAnsi="Arial" w:cs="Arial"/>
          <w:sz w:val="21"/>
        </w:rPr>
        <w:t>路、Y</w:t>
      </w:r>
      <w:r>
        <w:rPr>
          <w:rFonts w:hint="eastAsia" w:ascii="Arial" w:hAnsi="Arial" w:cs="Arial"/>
          <w:sz w:val="21"/>
          <w:lang w:val="en-US" w:eastAsia="zh-CN"/>
        </w:rPr>
        <w:t>11</w:t>
      </w:r>
      <w:r>
        <w:rPr>
          <w:rFonts w:ascii="Arial" w:hAnsi="Arial" w:cs="Arial"/>
          <w:sz w:val="21"/>
        </w:rPr>
        <w:t>路、Y</w:t>
      </w:r>
      <w:r>
        <w:rPr>
          <w:rFonts w:hint="eastAsia" w:ascii="Arial" w:hAnsi="Arial" w:cs="Arial"/>
          <w:sz w:val="21"/>
          <w:lang w:val="en-US" w:eastAsia="zh-CN"/>
        </w:rPr>
        <w:t>12</w:t>
      </w:r>
      <w:r>
        <w:rPr>
          <w:rFonts w:ascii="Arial" w:hAnsi="Arial" w:cs="Arial"/>
          <w:sz w:val="21"/>
        </w:rPr>
        <w:t>路、Y</w:t>
      </w:r>
      <w:r>
        <w:rPr>
          <w:rFonts w:hint="eastAsia" w:ascii="Arial" w:hAnsi="Arial" w:cs="Arial"/>
          <w:sz w:val="21"/>
          <w:lang w:val="en-US" w:eastAsia="zh-CN"/>
        </w:rPr>
        <w:t>13</w:t>
      </w:r>
      <w:r>
        <w:rPr>
          <w:rFonts w:ascii="Arial" w:hAnsi="Arial" w:cs="Arial"/>
          <w:sz w:val="21"/>
        </w:rPr>
        <w:t>路、Y</w:t>
      </w:r>
      <w:r>
        <w:rPr>
          <w:rFonts w:hint="eastAsia" w:ascii="Arial" w:hAnsi="Arial" w:cs="Arial"/>
          <w:sz w:val="21"/>
          <w:lang w:val="en-US" w:eastAsia="zh-CN"/>
        </w:rPr>
        <w:t>14</w:t>
      </w:r>
      <w:r>
        <w:rPr>
          <w:rFonts w:ascii="Arial" w:hAnsi="Arial" w:cs="Arial"/>
          <w:sz w:val="21"/>
        </w:rPr>
        <w:t>路等多条公交线路</w:t>
      </w:r>
      <w:r>
        <w:rPr>
          <w:rFonts w:ascii="Arial" w:hAnsi="Arial" w:cs="Arial"/>
          <w:color w:val="000000"/>
          <w:sz w:val="21"/>
          <w:szCs w:val="21"/>
        </w:rPr>
        <w:t>；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楼层为地上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1至3层，商业类型为商业街商业，可视性较好，建筑结构为砖混，市政基础设施为七通</w:t>
      </w:r>
      <w:r>
        <w:rPr>
          <w:rFonts w:hint="eastAsia" w:ascii="Arial" w:hAnsi="Arial"/>
          <w:kern w:val="2"/>
          <w:sz w:val="21"/>
        </w:rPr>
        <w:t>（即通路、通电、通讯、通上水、通下水、通燃气、通热力）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，综合成新度为9成新，层高为正常层高（3-5米），</w:t>
      </w:r>
      <w:r>
        <w:rPr>
          <w:rFonts w:ascii="Arial" w:hAnsi="Arial" w:cs="Arial"/>
          <w:color w:val="000000"/>
          <w:sz w:val="21"/>
          <w:szCs w:val="21"/>
        </w:rPr>
        <w:t>租金为1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.14</w:t>
      </w:r>
      <w:r>
        <w:rPr>
          <w:rFonts w:ascii="Arial" w:hAnsi="Arial" w:cs="Arial"/>
          <w:color w:val="000000"/>
          <w:sz w:val="21"/>
          <w:szCs w:val="21"/>
        </w:rPr>
        <w:t>元/建筑面积平方米•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天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>
      <w:pPr>
        <w:pStyle w:val="95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>
          <w:headerReference r:id="rId7" w:type="default"/>
          <w:pgSz w:w="11906" w:h="16838"/>
          <w:pgMar w:top="1360" w:right="1134" w:bottom="1134" w:left="2041" w:header="1304" w:footer="0" w:gutter="0"/>
          <w:cols w:space="720" w:num="1"/>
          <w:formProt w:val="0"/>
          <w:docGrid w:linePitch="326" w:charSpace="0"/>
        </w:sect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咨询对象及周边可比</w:t>
      </w:r>
      <w:r>
        <w:rPr>
          <w:rFonts w:hint="eastAsia" w:ascii="Arial" w:hAnsi="Arial" w:cs="Arial"/>
          <w:lang w:eastAsia="zh-CN"/>
        </w:rPr>
        <w:t>商业用房</w:t>
      </w:r>
      <w:bookmarkStart w:id="1" w:name="_GoBack"/>
      <w:bookmarkEnd w:id="1"/>
      <w:r>
        <w:rPr>
          <w:rFonts w:ascii="Arial" w:hAnsi="Arial" w:cs="Arial"/>
        </w:rPr>
        <w:t>位置图</w:t>
      </w:r>
    </w:p>
    <w:p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drawing>
          <wp:inline distT="0" distB="0" distL="114300" distR="114300">
            <wp:extent cx="5536565" cy="3804920"/>
            <wp:effectExtent l="0" t="0" r="698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>
      <w:headerReference r:id="rId8" w:type="default"/>
      <w:pgSz w:w="11906" w:h="16838"/>
      <w:pgMar w:top="1360" w:right="1134" w:bottom="1134" w:left="2041" w:header="1304" w:footer="0" w:gutter="0"/>
      <w:cols w:space="720" w:num="1"/>
      <w:formProt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;仿宋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;楷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 Unicode MS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dobe 黑体 Std R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dobe 黑体 Std R;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;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single" w:color="000000" w:sz="4" w:space="1"/>
      </w:pBdr>
      <w:jc w:val="both"/>
    </w:pPr>
    <w:r>
      <w:rPr>
        <w:rFonts w:ascii="楷体_GB2312;楷体" w:hAnsi="楷体_GB2312;楷体" w:eastAsia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hAnsi="Arial" w:eastAsia="楷体_GB2312;楷体" w:cs="Arial"/>
        <w:spacing w:val="-20"/>
        <w:sz w:val="24"/>
      </w:rPr>
      <w:t>82253558</w:t>
    </w:r>
    <w: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hAnsi="Arial" w:eastAsia="Adobe 黑体 Std R;微软雅黑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>
                          <w:pPr>
                            <w:pStyle w:val="94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  <w:t>北京保障房中心有限公司拟了解北京市延庆区6016地块周边住宅用房房地产市场租金水平预咨询</w:t>
                          </w:r>
                        </w:p>
                        <w:p>
                          <w:pPr>
                            <w:spacing w:line="320" w:lineRule="exact"/>
                            <w:textAlignment w:val="bottom"/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94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>
                          <w:pPr>
                            <w:pStyle w:val="94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>
                          <w:pPr>
                            <w:spacing w:line="320" w:lineRule="exact"/>
                            <w:textAlignment w:val="bottom"/>
                            <w:rPr>
                              <w:rFonts w:ascii="Arial" w:hAnsi="Arial" w:eastAsia="方正黑体简体;微软雅黑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94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>
                          <w:pPr>
                            <w:pStyle w:val="94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>
                          <w:pPr>
                            <w:spacing w:line="320" w:lineRule="exact"/>
                            <w:textAlignment w:val="bottom"/>
                            <w:rPr>
                              <w:rFonts w:ascii="Arial" w:hAnsi="Arial" w:eastAsia="方正黑体简体;微软雅黑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94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>
                          <w:pPr>
                            <w:pStyle w:val="94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>
                          <w:pPr>
                            <w:pStyle w:val="94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94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方正黑体简体;微软雅黑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>
                          <w:pPr>
                            <w:pStyle w:val="94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hAnsi="Arial" w:eastAsia="方正黑体简体;微软雅黑" w:cs="Arial"/>
                              <w:sz w:val="21"/>
                              <w:szCs w:val="21"/>
                            </w:rPr>
                            <w:t>康正预评字2023-1-0856-P01ZLGJ6号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框架1" o:spid="_x0000_s1026" o:spt="202" type="#_x0000_t202" style="position:absolute;left:0pt;height:240.1pt;width:464.9pt;mso-position-horizontal:center;mso-position-horizontal-relative:margin;mso-position-vertical:bottom;mso-position-vertical-relative:margin;z-index:251659264;mso-width-relative:page;mso-height-relative:page;" fillcolor="#FFFFFF" filled="t" stroked="f" coordsize="21600,21600" o:gfxdata="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KOiaNUAAAAFAQAADwAAAAAAAAAB&#10;ACAAAAAiAAAAZHJzL2Rvd25yZXYueG1sUEsBAhQAFAAAAAgAh07iQDO2xEraAQAAvgMAAA4AAAAA&#10;AAAAAQAgAAAAJAEAAGRycy9lMm9Eb2MueG1sUEsFBgAAAAAGAAYAWQEAAHAFAAAAAA==&#10;">
              <v:fill on="t" opacity="0f" focussize="0,0"/>
              <v:stroke on="f"/>
              <v:imagedata o:title=""/>
              <o:lock v:ext="edit" aspectratio="f"/>
              <v:textbox inset="0.05pt,0.05pt,0.05pt,0.05pt" style="mso-fit-shape-to-text:t;">
                <w:txbxContent>
                  <w:p>
                    <w:pPr>
                      <w:pStyle w:val="94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hAnsi="Arial" w:eastAsia="Adobe 黑体 Std R;微软雅黑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>
                    <w:pPr>
                      <w:pStyle w:val="94"/>
                      <w:spacing w:line="320" w:lineRule="exact"/>
                      <w:ind w:left="360" w:firstLine="0"/>
                      <w:textAlignment w:val="bottom"/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  <w:t>北京保障房中心有限公司拟了解北京市延庆区6016地块周边住宅用房房地产市场租金水平预咨询</w:t>
                    </w:r>
                  </w:p>
                  <w:p>
                    <w:pPr>
                      <w:spacing w:line="320" w:lineRule="exact"/>
                      <w:textAlignment w:val="bottom"/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</w:pPr>
                  </w:p>
                  <w:p>
                    <w:pPr>
                      <w:pStyle w:val="94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>
                    <w:pPr>
                      <w:pStyle w:val="94"/>
                      <w:spacing w:line="320" w:lineRule="exact"/>
                      <w:ind w:left="360" w:firstLine="0"/>
                      <w:textAlignment w:val="bottom"/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  <w:t>北京保障房中心有限公司</w:t>
                    </w:r>
                  </w:p>
                  <w:p>
                    <w:pPr>
                      <w:spacing w:line="320" w:lineRule="exact"/>
                      <w:textAlignment w:val="bottom"/>
                      <w:rPr>
                        <w:rFonts w:ascii="Arial" w:hAnsi="Arial" w:eastAsia="方正黑体简体;微软雅黑" w:cs="Arial"/>
                        <w:b/>
                        <w:sz w:val="21"/>
                        <w:szCs w:val="21"/>
                      </w:rPr>
                    </w:pPr>
                  </w:p>
                  <w:p>
                    <w:pPr>
                      <w:pStyle w:val="94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>
                    <w:pPr>
                      <w:pStyle w:val="94"/>
                      <w:spacing w:line="320" w:lineRule="exact"/>
                      <w:ind w:left="360" w:firstLine="0"/>
                      <w:textAlignment w:val="bottom"/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>
                    <w:pPr>
                      <w:spacing w:line="320" w:lineRule="exact"/>
                      <w:textAlignment w:val="bottom"/>
                      <w:rPr>
                        <w:rFonts w:ascii="Arial" w:hAnsi="Arial" w:eastAsia="方正黑体简体;微软雅黑" w:cs="Arial"/>
                        <w:b/>
                        <w:sz w:val="21"/>
                        <w:szCs w:val="21"/>
                      </w:rPr>
                    </w:pPr>
                  </w:p>
                  <w:p>
                    <w:pPr>
                      <w:pStyle w:val="94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>
                    <w:pPr>
                      <w:pStyle w:val="94"/>
                      <w:spacing w:line="320" w:lineRule="exact"/>
                      <w:ind w:left="360" w:firstLine="0"/>
                      <w:textAlignment w:val="bottom"/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  <w:t>高鹏、刘朝阳</w:t>
                    </w:r>
                  </w:p>
                  <w:p>
                    <w:pPr>
                      <w:pStyle w:val="94"/>
                      <w:spacing w:line="320" w:lineRule="exact"/>
                      <w:ind w:left="360" w:firstLine="0"/>
                      <w:textAlignment w:val="bottom"/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</w:pPr>
                  </w:p>
                  <w:p>
                    <w:pPr>
                      <w:pStyle w:val="94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hAnsi="Arial" w:eastAsia="方正黑体简体;微软雅黑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>
                    <w:pPr>
                      <w:pStyle w:val="94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hAnsi="Arial" w:eastAsia="方正黑体简体;微软雅黑" w:cs="Arial"/>
                        <w:sz w:val="21"/>
                        <w:szCs w:val="21"/>
                      </w:rPr>
                      <w:t>康正预评字2023-1-0856-P01ZLGJ6号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rPr>
        <w:rFonts w:ascii="楷体_GB2312;楷体" w:hAnsi="楷体_GB2312;楷体" w:eastAsia="楷体_GB2312;楷体"/>
        <w:spacing w:val="-20"/>
        <w:sz w:val="24"/>
      </w:rPr>
    </w:pPr>
    <w:r>
      <w:drawing>
        <wp:inline distT="0" distB="0" distL="0" distR="0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rPr>
        <w:lang w:val="zh-CN"/>
      </w:rPr>
    </w:pPr>
    <w:r>
      <w:drawing>
        <wp:inline distT="0" distB="0" distL="0" distR="0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微软雅黑" w:hAnsi="微软雅黑" w:cs="Times New Roman"/>
        <w:b/>
        <w:sz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">
    <w:nsid w:val="2E036F44"/>
    <w:multiLevelType w:val="multilevel"/>
    <w:tmpl w:val="2E036F44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微软雅黑" w:hAnsi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2">
    <w:nsid w:val="4A9A3A8A"/>
    <w:multiLevelType w:val="multilevel"/>
    <w:tmpl w:val="4A9A3A8A"/>
    <w:lvl w:ilvl="0" w:tentative="0">
      <w:start w:val="3"/>
      <w:numFmt w:val="decimal"/>
      <w:pStyle w:val="4"/>
      <w:lvlText w:val="（%1）"/>
      <w:lvlJc w:val="left"/>
      <w:pPr>
        <w:ind w:left="1320" w:hanging="720"/>
      </w:pPr>
    </w:lvl>
    <w:lvl w:ilvl="1" w:tentative="0">
      <w:start w:val="1"/>
      <w:numFmt w:val="upperLetter"/>
      <w:lvlText w:val="%2、"/>
      <w:lvlJc w:val="left"/>
      <w:pPr>
        <w:ind w:left="1740" w:hanging="7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6FD582E"/>
    <w:multiLevelType w:val="multilevel"/>
    <w:tmpl w:val="66FD582E"/>
    <w:lvl w:ilvl="0" w:tentative="0">
      <w:start w:val="1"/>
      <w:numFmt w:val="upperRoman"/>
      <w:pStyle w:val="5"/>
      <w:lvlText w:val="%1、"/>
      <w:lvlJc w:val="left"/>
      <w:pPr>
        <w:ind w:left="1605" w:hanging="1080"/>
      </w:p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6BA5574C"/>
    <w:multiLevelType w:val="multilevel"/>
    <w:tmpl w:val="6BA5574C"/>
    <w:lvl w:ilvl="0" w:tentative="0">
      <w:start w:val="1"/>
      <w:numFmt w:val="upperLetter"/>
      <w:pStyle w:val="3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67584"/>
    <w:multiLevelType w:val="multilevel"/>
    <w:tmpl w:val="6BB67584"/>
    <w:lvl w:ilvl="0" w:tentative="0">
      <w:start w:val="1"/>
      <w:numFmt w:val="upperLetter"/>
      <w:pStyle w:val="2"/>
      <w:lvlText w:val="%1．"/>
      <w:lvlJc w:val="left"/>
      <w:pPr>
        <w:ind w:left="720" w:hanging="72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ZGM2ZjVlM2VmNjAwMmNmMzg0MTcxOTI1ODA5M2MyOGEifQ=="/>
  </w:docVars>
  <w:rsids>
    <w:rsidRoot w:val="00324525"/>
    <w:rsid w:val="00040C88"/>
    <w:rsid w:val="00324525"/>
    <w:rsid w:val="00A9295E"/>
    <w:rsid w:val="0B550CF8"/>
    <w:rsid w:val="13552B84"/>
    <w:rsid w:val="5268708A"/>
    <w:rsid w:val="7C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新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hAnsi="Arial" w:eastAsia="仿宋_GB2312;仿宋" w:cs="Arial"/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2"/>
      </w:numPr>
      <w:tabs>
        <w:tab w:val="left" w:pos="360"/>
      </w:tabs>
      <w:spacing w:line="300" w:lineRule="auto"/>
      <w:outlineLvl w:val="1"/>
    </w:pPr>
    <w:rPr>
      <w:rFonts w:ascii="Arial" w:hAnsi="Arial" w:eastAsia="仿宋_GB2312;仿宋" w:cs="Arial"/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hAnsi="仿宋_GB2312;仿宋" w:eastAsia="仿宋_GB2312;仿宋" w:cs="Arial"/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0"/>
        <w:numId w:val="4"/>
      </w:numPr>
      <w:spacing w:line="440" w:lineRule="atLeast"/>
      <w:ind w:right="-22" w:firstLine="0"/>
      <w:outlineLvl w:val="3"/>
    </w:pPr>
    <w:rPr>
      <w:rFonts w:ascii="仿宋_GB2312;仿宋" w:hAnsi="仿宋_GB2312;仿宋" w:eastAsia="仿宋_GB2312;仿宋"/>
      <w:sz w:val="28"/>
    </w:rPr>
  </w:style>
  <w:style w:type="paragraph" w:styleId="6">
    <w:name w:val="heading 5"/>
    <w:basedOn w:val="1"/>
    <w:next w:val="1"/>
    <w:qFormat/>
    <w:uiPriority w:val="0"/>
    <w:pPr>
      <w:keepNext/>
      <w:spacing w:line="500" w:lineRule="exact"/>
      <w:jc w:val="center"/>
      <w:outlineLvl w:val="4"/>
    </w:pPr>
    <w:rPr>
      <w:rFonts w:ascii="楷体_GB2312;楷体" w:hAnsi="楷体_GB2312;楷体" w:eastAsia="楷体_GB2312;楷体"/>
      <w:color w:val="000000"/>
      <w:sz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0"/>
    <w:pPr>
      <w:ind w:left="2520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Cs w:val="24"/>
    </w:rPr>
  </w:style>
  <w:style w:type="paragraph" w:styleId="9">
    <w:name w:val="Document Map"/>
    <w:basedOn w:val="1"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</w:style>
  <w:style w:type="paragraph" w:styleId="11">
    <w:name w:val="Body Text"/>
    <w:basedOn w:val="1"/>
    <w:qFormat/>
    <w:uiPriority w:val="0"/>
    <w:rPr>
      <w:rFonts w:eastAsia="隶书"/>
      <w:sz w:val="52"/>
    </w:rPr>
  </w:style>
  <w:style w:type="paragraph" w:styleId="12">
    <w:name w:val="Body Text Indent"/>
    <w:basedOn w:val="1"/>
    <w:qFormat/>
    <w:uiPriority w:val="0"/>
    <w:pPr>
      <w:spacing w:before="120" w:line="360" w:lineRule="auto"/>
      <w:ind w:left="1145"/>
    </w:pPr>
    <w:rPr>
      <w:rFonts w:ascii="楷体_GB2312;楷体" w:hAnsi="楷体_GB2312;楷体" w:eastAsia="楷体_GB2312;楷体"/>
      <w:kern w:val="2"/>
      <w:sz w:val="28"/>
    </w:rPr>
  </w:style>
  <w:style w:type="paragraph" w:styleId="13">
    <w:name w:val="toc 5"/>
    <w:basedOn w:val="1"/>
    <w:next w:val="1"/>
    <w:qFormat/>
    <w:uiPriority w:val="0"/>
    <w:pPr>
      <w:ind w:left="1680"/>
    </w:pPr>
  </w:style>
  <w:style w:type="paragraph" w:styleId="14">
    <w:name w:val="toc 3"/>
    <w:basedOn w:val="1"/>
    <w:next w:val="1"/>
    <w:qFormat/>
    <w:uiPriority w:val="0"/>
    <w:pPr>
      <w:ind w:left="840"/>
    </w:pPr>
  </w:style>
  <w:style w:type="paragraph" w:styleId="15">
    <w:name w:val="Plain Text"/>
    <w:basedOn w:val="1"/>
    <w:qFormat/>
    <w:uiPriority w:val="0"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16">
    <w:name w:val="toc 8"/>
    <w:basedOn w:val="1"/>
    <w:next w:val="1"/>
    <w:qFormat/>
    <w:uiPriority w:val="0"/>
    <w:pPr>
      <w:ind w:left="2940"/>
    </w:pPr>
  </w:style>
  <w:style w:type="paragraph" w:styleId="17">
    <w:name w:val="Date"/>
    <w:basedOn w:val="1"/>
    <w:next w:val="1"/>
    <w:qFormat/>
    <w:uiPriority w:val="0"/>
    <w:pPr>
      <w:jc w:val="both"/>
    </w:pPr>
    <w:rPr>
      <w:rFonts w:ascii="楷体_GB2312;楷体" w:hAnsi="楷体_GB2312;楷体" w:eastAsia="楷体_GB2312;楷体"/>
      <w:b/>
      <w:sz w:val="28"/>
    </w:rPr>
  </w:style>
  <w:style w:type="paragraph" w:styleId="18">
    <w:name w:val="Body Text Indent 2"/>
    <w:basedOn w:val="1"/>
    <w:qFormat/>
    <w:uiPriority w:val="0"/>
    <w:pPr>
      <w:spacing w:before="120" w:line="360" w:lineRule="auto"/>
      <w:ind w:left="600" w:firstLine="480"/>
    </w:pPr>
    <w:rPr>
      <w:rFonts w:ascii="楷体_GB2312;楷体" w:hAnsi="楷体_GB2312;楷体" w:eastAsia="楷体_GB2312;楷体"/>
      <w:kern w:val="2"/>
      <w:sz w:val="28"/>
    </w:rPr>
  </w:style>
  <w:style w:type="paragraph" w:styleId="19">
    <w:name w:val="Balloon Text"/>
    <w:basedOn w:val="1"/>
    <w:qFormat/>
    <w:uiPriority w:val="0"/>
    <w:rPr>
      <w:sz w:val="18"/>
      <w:szCs w:val="18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2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22">
    <w:name w:val="toc 1"/>
    <w:basedOn w:val="1"/>
    <w:next w:val="1"/>
    <w:qFormat/>
    <w:uiPriority w:val="0"/>
    <w:pPr>
      <w:tabs>
        <w:tab w:val="right" w:leader="dot" w:pos="9017"/>
      </w:tabs>
      <w:spacing w:line="460" w:lineRule="exact"/>
    </w:pPr>
    <w:rPr>
      <w:rFonts w:ascii="楷体_GB2312;楷体" w:hAnsi="楷体_GB2312;楷体" w:eastAsia="楷体_GB2312;楷体"/>
      <w:b/>
      <w:bCs/>
      <w:sz w:val="30"/>
      <w:szCs w:val="30"/>
      <w:lang w:val="zh-CN"/>
    </w:rPr>
  </w:style>
  <w:style w:type="paragraph" w:styleId="23">
    <w:name w:val="toc 4"/>
    <w:basedOn w:val="1"/>
    <w:next w:val="1"/>
    <w:qFormat/>
    <w:uiPriority w:val="0"/>
    <w:pPr>
      <w:ind w:left="1260"/>
    </w:pPr>
  </w:style>
  <w:style w:type="paragraph" w:styleId="24">
    <w:name w:val="List"/>
    <w:basedOn w:val="11"/>
    <w:qFormat/>
    <w:uiPriority w:val="0"/>
    <w:rPr>
      <w:rFonts w:cs="Lucida Sans"/>
    </w:rPr>
  </w:style>
  <w:style w:type="paragraph" w:styleId="25">
    <w:name w:val="toc 6"/>
    <w:basedOn w:val="1"/>
    <w:next w:val="1"/>
    <w:qFormat/>
    <w:uiPriority w:val="0"/>
    <w:pPr>
      <w:ind w:left="2100"/>
    </w:pPr>
  </w:style>
  <w:style w:type="paragraph" w:styleId="26">
    <w:name w:val="Body Text Indent 3"/>
    <w:basedOn w:val="1"/>
    <w:qFormat/>
    <w:uiPriority w:val="0"/>
    <w:pPr>
      <w:spacing w:line="360" w:lineRule="auto"/>
      <w:ind w:left="600" w:firstLine="555"/>
      <w:outlineLvl w:val="0"/>
    </w:pPr>
    <w:rPr>
      <w:rFonts w:ascii="楷体_GB2312;楷体" w:hAnsi="楷体_GB2312;楷体" w:eastAsia="楷体_GB2312;楷体"/>
      <w:kern w:val="2"/>
      <w:sz w:val="28"/>
    </w:rPr>
  </w:style>
  <w:style w:type="paragraph" w:styleId="27">
    <w:name w:val="toc 2"/>
    <w:basedOn w:val="1"/>
    <w:next w:val="1"/>
    <w:qFormat/>
    <w:uiPriority w:val="0"/>
    <w:pPr>
      <w:ind w:left="420"/>
    </w:pPr>
  </w:style>
  <w:style w:type="paragraph" w:styleId="28">
    <w:name w:val="toc 9"/>
    <w:basedOn w:val="1"/>
    <w:next w:val="1"/>
    <w:qFormat/>
    <w:uiPriority w:val="0"/>
    <w:pPr>
      <w:ind w:left="3360"/>
    </w:pPr>
  </w:style>
  <w:style w:type="paragraph" w:styleId="29">
    <w:name w:val="Body Text 2"/>
    <w:basedOn w:val="1"/>
    <w:qFormat/>
    <w:uiPriority w:val="0"/>
    <w:pPr>
      <w:spacing w:line="360" w:lineRule="auto"/>
      <w:ind w:right="2"/>
    </w:pPr>
    <w:rPr>
      <w:rFonts w:eastAsia="仿宋_GB2312;仿宋"/>
      <w:sz w:val="28"/>
    </w:rPr>
  </w:style>
  <w:style w:type="paragraph" w:styleId="30">
    <w:name w:val="Normal (Web)"/>
    <w:basedOn w:val="1"/>
    <w:qFormat/>
    <w:uiPriority w:val="0"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31">
    <w:name w:val="annotation subject"/>
    <w:basedOn w:val="10"/>
    <w:next w:val="10"/>
    <w:qFormat/>
    <w:uiPriority w:val="0"/>
    <w:rPr>
      <w:b/>
      <w:bCs/>
    </w:rPr>
  </w:style>
  <w:style w:type="paragraph" w:styleId="32">
    <w:name w:val="Body Text First Indent"/>
    <w:basedOn w:val="11"/>
    <w:qFormat/>
    <w:uiPriority w:val="0"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35">
    <w:name w:val="page number"/>
    <w:basedOn w:val="34"/>
    <w:qFormat/>
    <w:uiPriority w:val="0"/>
  </w:style>
  <w:style w:type="character" w:styleId="36">
    <w:name w:val="annotation reference"/>
    <w:qFormat/>
    <w:uiPriority w:val="0"/>
    <w:rPr>
      <w:sz w:val="21"/>
      <w:szCs w:val="21"/>
    </w:rPr>
  </w:style>
  <w:style w:type="character" w:customStyle="1" w:styleId="37">
    <w:name w:val="WW8Num1z0"/>
    <w:qFormat/>
    <w:uiPriority w:val="0"/>
  </w:style>
  <w:style w:type="character" w:customStyle="1" w:styleId="38">
    <w:name w:val="WW8Num1z2"/>
    <w:qFormat/>
    <w:uiPriority w:val="0"/>
  </w:style>
  <w:style w:type="character" w:customStyle="1" w:styleId="39">
    <w:name w:val="WW8Num1z3"/>
    <w:qFormat/>
    <w:uiPriority w:val="0"/>
  </w:style>
  <w:style w:type="character" w:customStyle="1" w:styleId="40">
    <w:name w:val="WW8Num1z4"/>
    <w:qFormat/>
    <w:uiPriority w:val="0"/>
  </w:style>
  <w:style w:type="character" w:customStyle="1" w:styleId="41">
    <w:name w:val="WW8Num1z5"/>
    <w:qFormat/>
    <w:uiPriority w:val="0"/>
  </w:style>
  <w:style w:type="character" w:customStyle="1" w:styleId="42">
    <w:name w:val="WW8Num1z6"/>
    <w:qFormat/>
    <w:uiPriority w:val="0"/>
  </w:style>
  <w:style w:type="character" w:customStyle="1" w:styleId="43">
    <w:name w:val="WW8Num1z7"/>
    <w:qFormat/>
    <w:uiPriority w:val="0"/>
  </w:style>
  <w:style w:type="character" w:customStyle="1" w:styleId="44">
    <w:name w:val="WW8Num1z8"/>
    <w:qFormat/>
    <w:uiPriority w:val="0"/>
  </w:style>
  <w:style w:type="character" w:customStyle="1" w:styleId="45">
    <w:name w:val="WW8Num2z0"/>
    <w:qFormat/>
    <w:uiPriority w:val="0"/>
    <w:rPr>
      <w:rFonts w:ascii="微软雅黑" w:hAnsi="微软雅黑" w:eastAsia="微软雅黑" w:cs="Times New Roman"/>
    </w:rPr>
  </w:style>
  <w:style w:type="character" w:customStyle="1" w:styleId="46">
    <w:name w:val="WW8Num2z1"/>
    <w:qFormat/>
    <w:uiPriority w:val="0"/>
    <w:rPr>
      <w:rFonts w:ascii="Wingdings" w:hAnsi="Wingdings" w:cs="Wingdings"/>
    </w:rPr>
  </w:style>
  <w:style w:type="character" w:customStyle="1" w:styleId="47">
    <w:name w:val="WW8Num3z0"/>
    <w:qFormat/>
    <w:uiPriority w:val="0"/>
  </w:style>
  <w:style w:type="character" w:customStyle="1" w:styleId="48">
    <w:name w:val="WW8Num3z1"/>
    <w:qFormat/>
    <w:uiPriority w:val="0"/>
  </w:style>
  <w:style w:type="character" w:customStyle="1" w:styleId="49">
    <w:name w:val="WW8Num3z2"/>
    <w:qFormat/>
    <w:uiPriority w:val="0"/>
  </w:style>
  <w:style w:type="character" w:customStyle="1" w:styleId="50">
    <w:name w:val="WW8Num3z3"/>
    <w:qFormat/>
    <w:uiPriority w:val="0"/>
  </w:style>
  <w:style w:type="character" w:customStyle="1" w:styleId="51">
    <w:name w:val="WW8Num3z4"/>
    <w:qFormat/>
    <w:uiPriority w:val="0"/>
  </w:style>
  <w:style w:type="character" w:customStyle="1" w:styleId="52">
    <w:name w:val="WW8Num3z5"/>
    <w:qFormat/>
    <w:uiPriority w:val="0"/>
  </w:style>
  <w:style w:type="character" w:customStyle="1" w:styleId="53">
    <w:name w:val="WW8Num3z6"/>
    <w:qFormat/>
    <w:uiPriority w:val="0"/>
  </w:style>
  <w:style w:type="character" w:customStyle="1" w:styleId="54">
    <w:name w:val="WW8Num3z7"/>
    <w:qFormat/>
    <w:uiPriority w:val="0"/>
  </w:style>
  <w:style w:type="character" w:customStyle="1" w:styleId="55">
    <w:name w:val="WW8Num3z8"/>
    <w:qFormat/>
    <w:uiPriority w:val="0"/>
  </w:style>
  <w:style w:type="character" w:customStyle="1" w:styleId="56">
    <w:name w:val="WW8Num4z0"/>
    <w:qFormat/>
    <w:uiPriority w:val="0"/>
  </w:style>
  <w:style w:type="character" w:customStyle="1" w:styleId="57">
    <w:name w:val="WW8Num4z1"/>
    <w:qFormat/>
    <w:uiPriority w:val="0"/>
  </w:style>
  <w:style w:type="character" w:customStyle="1" w:styleId="58">
    <w:name w:val="WW8Num4z2"/>
    <w:qFormat/>
    <w:uiPriority w:val="0"/>
  </w:style>
  <w:style w:type="character" w:customStyle="1" w:styleId="59">
    <w:name w:val="WW8Num4z3"/>
    <w:qFormat/>
    <w:uiPriority w:val="0"/>
  </w:style>
  <w:style w:type="character" w:customStyle="1" w:styleId="60">
    <w:name w:val="WW8Num4z4"/>
    <w:qFormat/>
    <w:uiPriority w:val="0"/>
  </w:style>
  <w:style w:type="character" w:customStyle="1" w:styleId="61">
    <w:name w:val="WW8Num4z5"/>
    <w:qFormat/>
    <w:uiPriority w:val="0"/>
  </w:style>
  <w:style w:type="character" w:customStyle="1" w:styleId="62">
    <w:name w:val="WW8Num4z6"/>
    <w:qFormat/>
    <w:uiPriority w:val="0"/>
  </w:style>
  <w:style w:type="character" w:customStyle="1" w:styleId="63">
    <w:name w:val="WW8Num4z7"/>
    <w:qFormat/>
    <w:uiPriority w:val="0"/>
  </w:style>
  <w:style w:type="character" w:customStyle="1" w:styleId="64">
    <w:name w:val="WW8Num4z8"/>
    <w:qFormat/>
    <w:uiPriority w:val="0"/>
  </w:style>
  <w:style w:type="character" w:customStyle="1" w:styleId="65">
    <w:name w:val="WW8Num5z0"/>
    <w:qFormat/>
    <w:uiPriority w:val="0"/>
  </w:style>
  <w:style w:type="character" w:customStyle="1" w:styleId="66">
    <w:name w:val="WW8Num5z2"/>
    <w:qFormat/>
    <w:uiPriority w:val="0"/>
  </w:style>
  <w:style w:type="character" w:customStyle="1" w:styleId="67">
    <w:name w:val="WW8Num5z3"/>
    <w:qFormat/>
    <w:uiPriority w:val="0"/>
  </w:style>
  <w:style w:type="character" w:customStyle="1" w:styleId="68">
    <w:name w:val="WW8Num5z4"/>
    <w:qFormat/>
    <w:uiPriority w:val="0"/>
  </w:style>
  <w:style w:type="character" w:customStyle="1" w:styleId="69">
    <w:name w:val="WW8Num5z5"/>
    <w:qFormat/>
    <w:uiPriority w:val="0"/>
  </w:style>
  <w:style w:type="character" w:customStyle="1" w:styleId="70">
    <w:name w:val="WW8Num5z6"/>
    <w:qFormat/>
    <w:uiPriority w:val="0"/>
  </w:style>
  <w:style w:type="character" w:customStyle="1" w:styleId="71">
    <w:name w:val="WW8Num5z7"/>
    <w:qFormat/>
    <w:uiPriority w:val="0"/>
  </w:style>
  <w:style w:type="character" w:customStyle="1" w:styleId="72">
    <w:name w:val="WW8Num5z8"/>
    <w:qFormat/>
    <w:uiPriority w:val="0"/>
  </w:style>
  <w:style w:type="character" w:customStyle="1" w:styleId="73">
    <w:name w:val="文档结构图 Char"/>
    <w:qFormat/>
    <w:uiPriority w:val="0"/>
    <w:rPr>
      <w:sz w:val="24"/>
      <w:shd w:val="clear" w:color="auto" w:fill="000080"/>
    </w:rPr>
  </w:style>
  <w:style w:type="character" w:customStyle="1" w:styleId="74">
    <w:name w:val="日期 Char"/>
    <w:qFormat/>
    <w:uiPriority w:val="0"/>
    <w:rPr>
      <w:rFonts w:ascii="楷体_GB2312;楷体" w:hAnsi="楷体_GB2312;楷体" w:eastAsia="楷体_GB2312;楷体"/>
      <w:b/>
      <w:sz w:val="28"/>
    </w:rPr>
  </w:style>
  <w:style w:type="character" w:customStyle="1" w:styleId="75">
    <w:name w:val="页脚 Char"/>
    <w:qFormat/>
    <w:uiPriority w:val="0"/>
    <w:rPr>
      <w:sz w:val="18"/>
    </w:rPr>
  </w:style>
  <w:style w:type="character" w:customStyle="1" w:styleId="76">
    <w:name w:val="页眉 Char"/>
    <w:qFormat/>
    <w:uiPriority w:val="0"/>
    <w:rPr>
      <w:sz w:val="18"/>
    </w:rPr>
  </w:style>
  <w:style w:type="character" w:customStyle="1" w:styleId="77">
    <w:name w:val="特别强调"/>
    <w:qFormat/>
    <w:uiPriority w:val="0"/>
    <w:rPr>
      <w:b/>
      <w:bCs/>
    </w:rPr>
  </w:style>
  <w:style w:type="character" w:customStyle="1" w:styleId="78">
    <w:name w:val="访问过的 Internet 链接"/>
    <w:qFormat/>
    <w:uiPriority w:val="0"/>
    <w:rPr>
      <w:color w:val="800080"/>
      <w:u w:val="single"/>
    </w:rPr>
  </w:style>
  <w:style w:type="character" w:customStyle="1" w:styleId="79">
    <w:name w:val="Internet 链接"/>
    <w:qFormat/>
    <w:uiPriority w:val="0"/>
    <w:rPr>
      <w:color w:val="0000FF"/>
      <w:u w:val="single"/>
    </w:rPr>
  </w:style>
  <w:style w:type="character" w:customStyle="1" w:styleId="80">
    <w:name w:val="text1"/>
    <w:qFormat/>
    <w:uiPriority w:val="0"/>
    <w:rPr>
      <w:spacing w:val="10"/>
      <w:sz w:val="28"/>
      <w:szCs w:val="28"/>
    </w:rPr>
  </w:style>
  <w:style w:type="character" w:customStyle="1" w:styleId="81">
    <w:name w:val="unnamed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2">
    <w:name w:val="t12h291"/>
    <w:qFormat/>
    <w:uiPriority w:val="0"/>
    <w:rPr>
      <w:color w:val="000000"/>
      <w:sz w:val="24"/>
      <w:szCs w:val="24"/>
    </w:rPr>
  </w:style>
  <w:style w:type="character" w:customStyle="1" w:styleId="83">
    <w:name w:val="nr1"/>
    <w:qFormat/>
    <w:uiPriority w:val="0"/>
    <w:rPr>
      <w:rFonts w:ascii="楷体_GB2312;楷体" w:hAnsi="楷体_GB2312;楷体" w:eastAsia="楷体_GB2312;楷体"/>
      <w:color w:val="000000"/>
      <w:sz w:val="24"/>
      <w:szCs w:val="24"/>
    </w:rPr>
  </w:style>
  <w:style w:type="character" w:customStyle="1" w:styleId="84">
    <w:name w:val="标题 5 Char"/>
    <w:qFormat/>
    <w:uiPriority w:val="0"/>
    <w:rPr>
      <w:rFonts w:ascii="楷体_GB2312;楷体" w:hAnsi="楷体_GB2312;楷体" w:eastAsia="楷体_GB2312;楷体"/>
      <w:color w:val="000000"/>
      <w:sz w:val="28"/>
    </w:rPr>
  </w:style>
  <w:style w:type="paragraph" w:customStyle="1" w:styleId="85">
    <w:name w:val="标题样式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customStyle="1" w:styleId="86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87">
    <w:name w:val="LO-Normal"/>
    <w:qFormat/>
    <w:uiPriority w:val="0"/>
    <w:pPr>
      <w:widowControl w:val="0"/>
      <w:spacing w:line="360" w:lineRule="atLeast"/>
      <w:textAlignment w:val="baseline"/>
    </w:pPr>
    <w:rPr>
      <w:rFonts w:ascii="宋体" w:hAnsi="宋体" w:eastAsia="宋体" w:cs="Times New Roman"/>
      <w:sz w:val="34"/>
      <w:szCs w:val="20"/>
      <w:lang w:val="en-US" w:eastAsia="zh-CN" w:bidi="ar-SA"/>
    </w:rPr>
  </w:style>
  <w:style w:type="paragraph" w:customStyle="1" w:styleId="88">
    <w:name w:val="xl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89">
    <w:name w:val="xl33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90">
    <w:name w:val="font5"/>
    <w:basedOn w:val="1"/>
    <w:qFormat/>
    <w:uiPriority w:val="0"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91">
    <w:name w:val="xl2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92">
    <w:name w:val="Char Char1 Char"/>
    <w:basedOn w:val="1"/>
    <w:qFormat/>
    <w:uiPriority w:val="0"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93">
    <w:name w:val="xl25"/>
    <w:basedOn w:val="1"/>
    <w:qFormat/>
    <w:uiPriority w:val="0"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94">
    <w:name w:val="列表段落"/>
    <w:basedOn w:val="1"/>
    <w:qFormat/>
    <w:uiPriority w:val="0"/>
    <w:pPr>
      <w:ind w:firstLine="420"/>
    </w:pPr>
  </w:style>
  <w:style w:type="paragraph" w:customStyle="1" w:styleId="95">
    <w:name w:val="正文1"/>
    <w:qFormat/>
    <w:uiPriority w:val="0"/>
    <w:pPr>
      <w:widowControl w:val="0"/>
      <w:spacing w:line="360" w:lineRule="atLeast"/>
      <w:textAlignment w:val="baseline"/>
    </w:pPr>
    <w:rPr>
      <w:rFonts w:ascii="宋体" w:hAnsi="宋体" w:eastAsia="宋体" w:cs="Times New Roman"/>
      <w:sz w:val="34"/>
      <w:szCs w:val="20"/>
      <w:lang w:val="en-US" w:eastAsia="zh-CN" w:bidi="ar-SA"/>
    </w:rPr>
  </w:style>
  <w:style w:type="paragraph" w:customStyle="1" w:styleId="96">
    <w:name w:val="框架内容"/>
    <w:basedOn w:val="1"/>
    <w:qFormat/>
    <w:uiPriority w:val="0"/>
  </w:style>
  <w:style w:type="paragraph" w:customStyle="1" w:styleId="97">
    <w:name w:val="表格内容"/>
    <w:basedOn w:val="1"/>
    <w:qFormat/>
    <w:uiPriority w:val="0"/>
    <w:pPr>
      <w:suppressLineNumbers/>
    </w:pPr>
  </w:style>
  <w:style w:type="paragraph" w:customStyle="1" w:styleId="98">
    <w:name w:val="表格标题"/>
    <w:basedOn w:val="97"/>
    <w:qFormat/>
    <w:uiPriority w:val="0"/>
    <w:pPr>
      <w:jc w:val="center"/>
    </w:pPr>
    <w:rPr>
      <w:b/>
      <w:bCs/>
    </w:rPr>
  </w:style>
  <w:style w:type="paragraph" w:customStyle="1" w:styleId="99">
    <w:name w:val="列出段落1"/>
    <w:basedOn w:val="1"/>
    <w:qFormat/>
    <w:uiPriority w:val="0"/>
    <w:pPr>
      <w:ind w:firstLine="420"/>
    </w:pPr>
  </w:style>
  <w:style w:type="paragraph" w:customStyle="1" w:styleId="100">
    <w:name w:val="普通(网站)1"/>
    <w:basedOn w:val="1"/>
    <w:qFormat/>
    <w:uiPriority w:val="0"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101">
    <w:name w:val="_Style 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1888</Words>
  <Characters>2042</Characters>
  <Lines>15</Lines>
  <Paragraphs>4</Paragraphs>
  <TotalTime>9</TotalTime>
  <ScaleCrop>false</ScaleCrop>
  <LinksUpToDate>false</LinksUpToDate>
  <CharactersWithSpaces>2085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2020-08-21T14:44:00Z</dcterms:created>
  <dc:creator>djg</dc:creator>
  <cp:lastModifiedBy>俊然</cp:lastModifiedBy>
  <cp:lastPrinted>2022-01-14T17:29:00Z</cp:lastPrinted>
  <dcterms:modified xsi:type="dcterms:W3CDTF">2023-12-04T06:56:41Z</dcterms:modified>
  <dc:title>            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