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 w:lineRule="auto"/>
        <w:rPr>
          <w:rFonts w:ascii="Arial"/>
          <w:sz w:val="21"/>
        </w:rPr>
      </w:pPr>
    </w:p>
    <w:p>
      <w:pPr>
        <w:spacing w:before="1" w:line="217" w:lineRule="auto"/>
        <w:jc w:val="center"/>
        <w:rPr>
          <w:rFonts w:hint="eastAsia" w:eastAsia="宋体" w:cs="Arial"/>
          <w:b/>
          <w:bCs/>
          <w:spacing w:val="10"/>
          <w:position w:val="16"/>
          <w:sz w:val="32"/>
          <w:szCs w:val="32"/>
          <w:lang w:eastAsia="zh-CN"/>
        </w:rPr>
      </w:pPr>
      <w:r>
        <w:rPr>
          <w:rFonts w:hint="default" w:ascii="Arial" w:hAnsi="Arial" w:eastAsia="宋体" w:cs="Arial"/>
          <w:b/>
          <w:bCs/>
          <w:spacing w:val="10"/>
          <w:position w:val="16"/>
          <w:sz w:val="32"/>
          <w:szCs w:val="32"/>
        </w:rPr>
        <w:t>关于《</w:t>
      </w:r>
      <w:r>
        <w:rPr>
          <w:rFonts w:hint="eastAsia" w:eastAsia="宋体" w:cs="Arial"/>
          <w:b/>
          <w:bCs/>
          <w:spacing w:val="10"/>
          <w:position w:val="16"/>
          <w:sz w:val="32"/>
          <w:szCs w:val="32"/>
          <w:lang w:eastAsia="zh-CN"/>
        </w:rPr>
        <w:t>河南省焦作市中级人民法院</w:t>
      </w:r>
    </w:p>
    <w:p>
      <w:pPr>
        <w:spacing w:before="1" w:line="217" w:lineRule="auto"/>
        <w:jc w:val="center"/>
        <w:rPr>
          <w:rFonts w:hint="default" w:ascii="Arial" w:hAnsi="Arial" w:eastAsia="宋体" w:cs="Arial"/>
          <w:b/>
          <w:bCs/>
          <w:spacing w:val="10"/>
          <w:position w:val="16"/>
          <w:sz w:val="32"/>
          <w:szCs w:val="32"/>
          <w:lang w:val="en-US" w:eastAsia="zh-CN"/>
        </w:rPr>
      </w:pPr>
      <w:r>
        <w:rPr>
          <w:rFonts w:hint="default" w:ascii="Arial" w:hAnsi="Arial" w:eastAsia="宋体" w:cs="Arial"/>
          <w:b/>
          <w:bCs/>
          <w:spacing w:val="10"/>
          <w:position w:val="16"/>
          <w:sz w:val="32"/>
          <w:szCs w:val="32"/>
        </w:rPr>
        <w:t>案件</w:t>
      </w:r>
      <w:r>
        <w:rPr>
          <w:rFonts w:hint="eastAsia" w:eastAsia="宋体" w:cs="Arial"/>
          <w:b/>
          <w:bCs/>
          <w:spacing w:val="10"/>
          <w:position w:val="16"/>
          <w:sz w:val="32"/>
          <w:szCs w:val="32"/>
          <w:lang w:eastAsia="zh-CN"/>
        </w:rPr>
        <w:t>号：</w:t>
      </w:r>
      <w:r>
        <w:rPr>
          <w:rFonts w:hint="default" w:ascii="Arial" w:hAnsi="Arial" w:eastAsia="宋体" w:cs="Arial"/>
          <w:b/>
          <w:bCs/>
          <w:spacing w:val="10"/>
          <w:position w:val="16"/>
          <w:sz w:val="32"/>
          <w:szCs w:val="32"/>
        </w:rPr>
        <w:t>【</w:t>
      </w:r>
      <w:r>
        <w:rPr>
          <w:rFonts w:hint="eastAsia" w:eastAsia="宋体" w:cs="Arial"/>
          <w:b/>
          <w:bCs/>
          <w:spacing w:val="10"/>
          <w:position w:val="16"/>
          <w:sz w:val="32"/>
          <w:szCs w:val="32"/>
          <w:lang w:eastAsia="zh-CN"/>
        </w:rPr>
        <w:t>（</w:t>
      </w:r>
      <w:r>
        <w:rPr>
          <w:rFonts w:hint="eastAsia" w:eastAsia="宋体" w:cs="Arial"/>
          <w:b/>
          <w:bCs/>
          <w:spacing w:val="10"/>
          <w:position w:val="16"/>
          <w:sz w:val="32"/>
          <w:szCs w:val="32"/>
          <w:lang w:val="en-US" w:eastAsia="zh-CN"/>
        </w:rPr>
        <w:t>2023</w:t>
      </w:r>
      <w:r>
        <w:rPr>
          <w:rFonts w:hint="eastAsia" w:eastAsia="宋体" w:cs="Arial"/>
          <w:b/>
          <w:bCs/>
          <w:spacing w:val="10"/>
          <w:position w:val="16"/>
          <w:sz w:val="32"/>
          <w:szCs w:val="32"/>
          <w:lang w:eastAsia="zh-CN"/>
        </w:rPr>
        <w:t>）焦中技</w:t>
      </w:r>
      <w:r>
        <w:rPr>
          <w:rFonts w:hint="eastAsia" w:eastAsia="宋体" w:cs="Arial"/>
          <w:b/>
          <w:bCs/>
          <w:spacing w:val="10"/>
          <w:position w:val="16"/>
          <w:sz w:val="32"/>
          <w:szCs w:val="32"/>
          <w:lang w:val="en-US" w:eastAsia="zh-CN"/>
        </w:rPr>
        <w:t>9</w:t>
      </w:r>
      <w:r>
        <w:rPr>
          <w:rFonts w:hint="default" w:ascii="Arial" w:hAnsi="Arial" w:eastAsia="宋体" w:cs="Arial"/>
          <w:b/>
          <w:bCs/>
          <w:spacing w:val="10"/>
          <w:position w:val="16"/>
          <w:sz w:val="32"/>
          <w:szCs w:val="32"/>
          <w:lang w:eastAsia="zh-CN"/>
        </w:rPr>
        <w:t>号】</w:t>
      </w:r>
      <w:r>
        <w:rPr>
          <w:rFonts w:hint="eastAsia" w:eastAsia="宋体" w:cs="Arial"/>
          <w:b/>
          <w:bCs/>
          <w:spacing w:val="10"/>
          <w:position w:val="16"/>
          <w:sz w:val="32"/>
          <w:szCs w:val="32"/>
          <w:lang w:eastAsia="zh-CN"/>
        </w:rPr>
        <w:t>》</w:t>
      </w:r>
      <w:r>
        <w:rPr>
          <w:rFonts w:hint="default" w:ascii="Arial" w:hAnsi="Arial" w:eastAsia="宋体" w:cs="Arial"/>
          <w:b/>
          <w:bCs/>
          <w:spacing w:val="10"/>
          <w:position w:val="16"/>
          <w:sz w:val="32"/>
          <w:szCs w:val="32"/>
          <w:lang w:eastAsia="zh-CN"/>
        </w:rPr>
        <w:t>的收费说明</w:t>
      </w:r>
    </w:p>
    <w:p>
      <w:pPr>
        <w:spacing w:line="298" w:lineRule="auto"/>
        <w:rPr>
          <w:rFonts w:hint="default" w:ascii="Arial" w:hAnsi="Arial" w:cs="Arial"/>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30"/>
          <w:szCs w:val="30"/>
        </w:rPr>
      </w:pPr>
      <w:r>
        <w:rPr>
          <w:rFonts w:hint="eastAsia" w:ascii="宋体" w:hAnsi="宋体" w:eastAsia="宋体" w:cs="宋体"/>
          <w:spacing w:val="-14"/>
          <w:sz w:val="30"/>
          <w:szCs w:val="30"/>
        </w:rPr>
        <w:t>河南省焦作市中级人民法院</w:t>
      </w:r>
      <w:r>
        <w:rPr>
          <w:rFonts w:ascii="宋体" w:hAnsi="宋体" w:eastAsia="宋体" w:cs="宋体"/>
          <w:spacing w:val="-14"/>
          <w:sz w:val="30"/>
          <w:szCs w:val="30"/>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z w:val="24"/>
          <w:szCs w:val="24"/>
        </w:rPr>
      </w:pPr>
      <w:r>
        <w:rPr>
          <w:rFonts w:hint="default" w:ascii="Arial" w:hAnsi="Arial" w:eastAsia="宋体" w:cs="Arial"/>
          <w:spacing w:val="-6"/>
          <w:sz w:val="24"/>
          <w:szCs w:val="24"/>
        </w:rPr>
        <w:t>根据贵院出具的《</w:t>
      </w:r>
      <w:r>
        <w:rPr>
          <w:rFonts w:hint="eastAsia" w:eastAsia="宋体" w:cs="Arial"/>
          <w:spacing w:val="-6"/>
          <w:sz w:val="24"/>
          <w:szCs w:val="24"/>
          <w:lang w:eastAsia="zh-CN"/>
        </w:rPr>
        <w:t>河南省焦作市中级人民法院司法鉴定委托书</w:t>
      </w:r>
      <w:r>
        <w:rPr>
          <w:rFonts w:hint="default" w:ascii="Arial" w:hAnsi="Arial" w:eastAsia="宋体" w:cs="Arial"/>
          <w:spacing w:val="-6"/>
          <w:sz w:val="24"/>
          <w:szCs w:val="24"/>
        </w:rPr>
        <w:t>》【（202</w:t>
      </w:r>
      <w:r>
        <w:rPr>
          <w:rFonts w:hint="eastAsia" w:eastAsia="宋体" w:cs="Arial"/>
          <w:spacing w:val="-6"/>
          <w:sz w:val="24"/>
          <w:szCs w:val="24"/>
          <w:lang w:val="en-US" w:eastAsia="zh-CN"/>
        </w:rPr>
        <w:t>3</w:t>
      </w:r>
      <w:r>
        <w:rPr>
          <w:rFonts w:hint="default" w:ascii="Arial" w:hAnsi="Arial" w:eastAsia="宋体" w:cs="Arial"/>
          <w:spacing w:val="-6"/>
          <w:sz w:val="24"/>
          <w:szCs w:val="24"/>
        </w:rPr>
        <w:t>）焦中技9号</w:t>
      </w:r>
      <w:r>
        <w:rPr>
          <w:rFonts w:hint="default" w:ascii="Arial" w:hAnsi="Arial" w:eastAsia="宋体" w:cs="Arial"/>
          <w:spacing w:val="1"/>
          <w:sz w:val="24"/>
          <w:szCs w:val="24"/>
        </w:rPr>
        <w:t>】</w:t>
      </w:r>
      <w:r>
        <w:rPr>
          <w:rFonts w:hint="eastAsia" w:ascii="Arial" w:hAnsi="Arial" w:eastAsia="宋体" w:cs="Arial"/>
          <w:spacing w:val="1"/>
          <w:sz w:val="24"/>
          <w:szCs w:val="24"/>
          <w:lang w:eastAsia="zh-CN"/>
        </w:rPr>
        <w:t>，</w:t>
      </w:r>
      <w:r>
        <w:rPr>
          <w:rFonts w:hint="default" w:ascii="Arial" w:hAnsi="Arial" w:eastAsia="宋体" w:cs="Arial"/>
          <w:spacing w:val="1"/>
          <w:sz w:val="24"/>
          <w:szCs w:val="24"/>
        </w:rPr>
        <w:t>委托我公司对北京市</w:t>
      </w:r>
      <w:r>
        <w:rPr>
          <w:rFonts w:hint="eastAsia" w:eastAsia="宋体" w:cs="Arial"/>
          <w:spacing w:val="1"/>
          <w:sz w:val="24"/>
          <w:szCs w:val="24"/>
          <w:lang w:eastAsia="zh-CN"/>
        </w:rPr>
        <w:t>朝阳区夏家园</w:t>
      </w:r>
      <w:r>
        <w:rPr>
          <w:rFonts w:hint="eastAsia" w:eastAsia="宋体" w:cs="Arial"/>
          <w:spacing w:val="1"/>
          <w:sz w:val="24"/>
          <w:szCs w:val="24"/>
          <w:lang w:val="en-US" w:eastAsia="zh-CN"/>
        </w:rPr>
        <w:t>16号楼1单元201室房产房地产</w:t>
      </w:r>
      <w:r>
        <w:rPr>
          <w:rFonts w:hint="eastAsia" w:eastAsia="宋体" w:cs="Arial"/>
          <w:spacing w:val="9"/>
          <w:sz w:val="24"/>
          <w:szCs w:val="24"/>
          <w:lang w:eastAsia="zh-CN"/>
        </w:rPr>
        <w:t>评估进行鉴定</w:t>
      </w:r>
      <w:r>
        <w:rPr>
          <w:rFonts w:hint="default" w:ascii="Arial" w:hAnsi="Arial" w:eastAsia="宋体" w:cs="Arial"/>
          <w:spacing w:val="9"/>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参照《国家计委建设部关于房地产中介服务的通知》【计价格[1995]971号</w:t>
      </w:r>
      <w:r>
        <w:rPr>
          <w:rFonts w:hint="eastAsia" w:ascii="Arial" w:hAnsi="Arial" w:eastAsia="宋体" w:cs="Arial"/>
          <w:spacing w:val="-6"/>
          <w:sz w:val="24"/>
          <w:szCs w:val="24"/>
          <w:lang w:eastAsia="zh-CN"/>
        </w:rPr>
        <w:t>】，</w:t>
      </w:r>
      <w:r>
        <w:rPr>
          <w:rFonts w:hint="default" w:ascii="Arial" w:hAnsi="Arial" w:eastAsia="宋体" w:cs="Arial"/>
          <w:spacing w:val="-6"/>
          <w:sz w:val="24"/>
          <w:szCs w:val="24"/>
        </w:rPr>
        <w:t>我司制定的房地产评估的评估费收费标准如下：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9"/>
          <w:szCs w:val="29"/>
        </w:rPr>
      </w:pPr>
      <w:r>
        <w:rPr>
          <w:rFonts w:ascii="宋体" w:hAnsi="宋体" w:eastAsia="宋体" w:cs="宋体"/>
          <w:b/>
          <w:bCs/>
          <w:spacing w:val="-28"/>
          <w:sz w:val="29"/>
          <w:szCs w:val="29"/>
        </w:rPr>
        <w:t>房地产价格评估收费标准</w:t>
      </w:r>
    </w:p>
    <w:p>
      <w:pPr>
        <w:keepNext w:val="0"/>
        <w:keepLines w:val="0"/>
        <w:pageBreakBefore w:val="0"/>
        <w:widowControl/>
        <w:kinsoku w:val="0"/>
        <w:wordWrap/>
        <w:overflowPunct/>
        <w:topLinePunct w:val="0"/>
        <w:autoSpaceDE w:val="0"/>
        <w:autoSpaceDN w:val="0"/>
        <w:bidi w:val="0"/>
        <w:adjustRightInd w:val="0"/>
        <w:snapToGrid w:val="0"/>
        <w:spacing w:line="157" w:lineRule="exact"/>
        <w:ind w:left="0"/>
        <w:jc w:val="center"/>
        <w:textAlignment w:val="baseline"/>
      </w:pPr>
    </w:p>
    <w:tbl>
      <w:tblPr>
        <w:tblStyle w:val="4"/>
        <w:tblW w:w="5930" w:type="dxa"/>
        <w:tblInd w:w="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3284"/>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档次</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5"/>
                <w:sz w:val="20"/>
                <w:szCs w:val="20"/>
              </w:rPr>
              <w:t>标的总额(万元)</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2"/>
                <w:sz w:val="20"/>
                <w:szCs w:val="20"/>
              </w:rPr>
              <w:t>累进费率‰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100以下(含100)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2</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101以上至1000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3</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1001以上至2000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4</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2001以上至5000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5001以上至8000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6</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8001以上至10000</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21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z w:val="20"/>
                <w:szCs w:val="20"/>
              </w:rPr>
              <w:t>7</w:t>
            </w:r>
          </w:p>
        </w:tc>
        <w:tc>
          <w:tcPr>
            <w:tcW w:w="3284"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1"/>
                <w:sz w:val="20"/>
                <w:szCs w:val="20"/>
              </w:rPr>
              <w:t>10000以上</w:t>
            </w:r>
          </w:p>
        </w:tc>
        <w:tc>
          <w:tcPr>
            <w:tcW w:w="1433"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hint="eastAsia" w:ascii="宋体" w:hAnsi="宋体" w:eastAsia="宋体" w:cs="宋体"/>
                <w:sz w:val="20"/>
                <w:szCs w:val="20"/>
              </w:rPr>
            </w:pPr>
            <w:r>
              <w:rPr>
                <w:rFonts w:hint="eastAsia" w:ascii="宋体" w:hAnsi="宋体" w:eastAsia="宋体" w:cs="宋体"/>
                <w:spacing w:val="-3"/>
                <w:sz w:val="20"/>
                <w:szCs w:val="20"/>
              </w:rPr>
              <w:t>0.1</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cs="宋体"/>
          <w:spacing w:val="-3"/>
          <w:position w:val="19"/>
          <w:sz w:val="18"/>
          <w:szCs w:val="18"/>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highlight w:val="yellow"/>
        </w:rPr>
      </w:pPr>
      <w:r>
        <w:rPr>
          <w:rFonts w:hint="default" w:ascii="Arial" w:hAnsi="Arial" w:eastAsia="宋体" w:cs="Arial"/>
          <w:spacing w:val="-6"/>
          <w:sz w:val="24"/>
          <w:szCs w:val="24"/>
          <w:highlight w:val="yellow"/>
        </w:rPr>
        <w:t>根据估价人员初步测算，本次评估估价对象房地产价值</w:t>
      </w:r>
      <w:r>
        <w:rPr>
          <w:rFonts w:hint="eastAsia" w:eastAsia="宋体" w:cs="Arial"/>
          <w:spacing w:val="-6"/>
          <w:sz w:val="24"/>
          <w:szCs w:val="24"/>
          <w:highlight w:val="yellow"/>
          <w:lang w:eastAsia="zh-CN"/>
        </w:rPr>
        <w:t>为</w:t>
      </w:r>
      <w:r>
        <w:rPr>
          <w:rFonts w:hint="default" w:ascii="Arial" w:hAnsi="Arial" w:eastAsia="宋体" w:cs="Arial"/>
          <w:spacing w:val="-6"/>
          <w:sz w:val="24"/>
          <w:szCs w:val="24"/>
          <w:highlight w:val="yellow"/>
        </w:rPr>
        <w:t>2550.8572万元（大写金额:</w:t>
      </w:r>
      <w:r>
        <w:rPr>
          <w:rFonts w:hint="eastAsia" w:eastAsia="宋体" w:cs="Arial"/>
          <w:spacing w:val="-6"/>
          <w:sz w:val="24"/>
          <w:szCs w:val="24"/>
          <w:highlight w:val="yellow"/>
          <w:lang w:eastAsia="zh-CN"/>
        </w:rPr>
        <w:t>贰仟伍佰伍拾万零捌仟伍佰柒拾贰</w:t>
      </w:r>
      <w:r>
        <w:rPr>
          <w:rFonts w:hint="default" w:ascii="Arial" w:hAnsi="Arial" w:eastAsia="宋体" w:cs="Arial"/>
          <w:spacing w:val="-6"/>
          <w:sz w:val="24"/>
          <w:szCs w:val="24"/>
          <w:highlight w:val="yellow"/>
        </w:rPr>
        <w:t>元整）</w:t>
      </w:r>
      <w:r>
        <w:rPr>
          <w:rFonts w:hint="eastAsia" w:eastAsia="宋体" w:cs="Arial"/>
          <w:spacing w:val="-6"/>
          <w:sz w:val="24"/>
          <w:szCs w:val="24"/>
          <w:highlight w:val="yellow"/>
          <w:lang w:eastAsia="zh-CN"/>
        </w:rPr>
        <w:t>，根据上述收费标准，</w:t>
      </w:r>
      <w:r>
        <w:rPr>
          <w:rFonts w:hint="default" w:ascii="Arial" w:hAnsi="Arial" w:eastAsia="宋体" w:cs="Arial"/>
          <w:spacing w:val="-6"/>
          <w:sz w:val="24"/>
          <w:szCs w:val="24"/>
          <w:highlight w:val="yellow"/>
        </w:rPr>
        <w:t>此项目应缴纳评估费为</w:t>
      </w:r>
      <w:r>
        <w:rPr>
          <w:rFonts w:hint="eastAsia" w:eastAsia="宋体" w:cs="Arial"/>
          <w:spacing w:val="-6"/>
          <w:sz w:val="24"/>
          <w:szCs w:val="24"/>
          <w:highlight w:val="yellow"/>
          <w:lang w:val="en-US" w:eastAsia="zh-CN"/>
        </w:rPr>
        <w:t xml:space="preserve">46907 </w:t>
      </w:r>
      <w:r>
        <w:rPr>
          <w:rFonts w:hint="default" w:ascii="Arial" w:hAnsi="Arial" w:eastAsia="宋体" w:cs="Arial"/>
          <w:spacing w:val="-6"/>
          <w:sz w:val="24"/>
          <w:szCs w:val="24"/>
          <w:highlight w:val="yellow"/>
        </w:rPr>
        <w:t>元</w:t>
      </w:r>
      <w:r>
        <w:rPr>
          <w:rFonts w:hint="eastAsia" w:eastAsia="宋体" w:cs="Arial"/>
          <w:spacing w:val="-6"/>
          <w:sz w:val="24"/>
          <w:szCs w:val="24"/>
          <w:highlight w:val="yellow"/>
          <w:lang w:eastAsia="zh-CN"/>
        </w:rPr>
        <w:t>（</w:t>
      </w:r>
      <w:r>
        <w:rPr>
          <w:rFonts w:hint="default" w:ascii="Arial" w:hAnsi="Arial" w:eastAsia="宋体" w:cs="Arial"/>
          <w:spacing w:val="-6"/>
          <w:sz w:val="24"/>
          <w:szCs w:val="24"/>
          <w:highlight w:val="yellow"/>
        </w:rPr>
        <w:t>大写：人民币</w:t>
      </w:r>
      <w:r>
        <w:rPr>
          <w:rFonts w:hint="eastAsia" w:eastAsia="宋体" w:cs="Arial"/>
          <w:spacing w:val="-6"/>
          <w:sz w:val="24"/>
          <w:szCs w:val="24"/>
          <w:highlight w:val="yellow"/>
          <w:lang w:val="en-US" w:eastAsia="zh-CN"/>
        </w:rPr>
        <w:t>肆万陆仟玖佰零柒元</w:t>
      </w:r>
      <w:r>
        <w:rPr>
          <w:rFonts w:hint="default" w:ascii="Arial" w:hAnsi="Arial" w:eastAsia="宋体" w:cs="Arial"/>
          <w:spacing w:val="-6"/>
          <w:sz w:val="24"/>
          <w:szCs w:val="24"/>
          <w:highlight w:val="yellow"/>
        </w:rPr>
        <w:t>整</w:t>
      </w:r>
      <w:r>
        <w:rPr>
          <w:rFonts w:hint="eastAsia" w:eastAsia="宋体" w:cs="Arial"/>
          <w:spacing w:val="-6"/>
          <w:sz w:val="24"/>
          <w:szCs w:val="24"/>
          <w:highlight w:val="yellow"/>
          <w:lang w:eastAsia="zh-CN"/>
        </w:rPr>
        <w:t>），预缴费用为：23453 元（</w:t>
      </w:r>
      <w:r>
        <w:rPr>
          <w:rFonts w:hint="default" w:ascii="Arial" w:hAnsi="Arial" w:eastAsia="宋体" w:cs="Arial"/>
          <w:spacing w:val="-6"/>
          <w:sz w:val="24"/>
          <w:szCs w:val="24"/>
          <w:highlight w:val="yellow"/>
        </w:rPr>
        <w:t>大写：人民币</w:t>
      </w:r>
      <w:r>
        <w:rPr>
          <w:rFonts w:hint="eastAsia" w:eastAsia="宋体" w:cs="Arial"/>
          <w:spacing w:val="-6"/>
          <w:sz w:val="24"/>
          <w:szCs w:val="24"/>
          <w:highlight w:val="yellow"/>
          <w:lang w:eastAsia="zh-CN"/>
        </w:rPr>
        <w:t>贰万叁仟肆佰伍拾叁</w:t>
      </w:r>
      <w:r>
        <w:rPr>
          <w:rFonts w:hint="eastAsia" w:eastAsia="宋体" w:cs="Arial"/>
          <w:spacing w:val="-6"/>
          <w:sz w:val="24"/>
          <w:szCs w:val="24"/>
          <w:highlight w:val="yellow"/>
          <w:lang w:val="en-US" w:eastAsia="zh-CN"/>
        </w:rPr>
        <w:t>元</w:t>
      </w:r>
      <w:r>
        <w:rPr>
          <w:rFonts w:hint="default" w:ascii="Arial" w:hAnsi="Arial" w:eastAsia="宋体" w:cs="Arial"/>
          <w:spacing w:val="-6"/>
          <w:sz w:val="24"/>
          <w:szCs w:val="24"/>
          <w:highlight w:val="yellow"/>
        </w:rPr>
        <w:t>整</w:t>
      </w:r>
      <w:r>
        <w:rPr>
          <w:rFonts w:hint="eastAsia" w:eastAsia="宋体" w:cs="Arial"/>
          <w:spacing w:val="-6"/>
          <w:sz w:val="24"/>
          <w:szCs w:val="24"/>
          <w:highlight w:val="yellow"/>
          <w:lang w:eastAsia="zh-CN"/>
        </w:rPr>
        <w:t>），</w:t>
      </w:r>
      <w:r>
        <w:rPr>
          <w:rFonts w:hint="default" w:ascii="Arial" w:hAnsi="Arial" w:eastAsia="宋体" w:cs="Arial"/>
          <w:spacing w:val="-6"/>
          <w:sz w:val="24"/>
          <w:szCs w:val="24"/>
          <w:highlight w:val="yellow"/>
        </w:rPr>
        <w:t>待</w:t>
      </w:r>
      <w:r>
        <w:rPr>
          <w:rFonts w:hint="eastAsia" w:eastAsia="宋体" w:cs="Arial"/>
          <w:spacing w:val="-6"/>
          <w:sz w:val="24"/>
          <w:szCs w:val="24"/>
          <w:highlight w:val="yellow"/>
          <w:lang w:eastAsia="zh-CN"/>
        </w:rPr>
        <w:t>该项目完成拍卖后</w:t>
      </w:r>
      <w:r>
        <w:rPr>
          <w:rFonts w:hint="default" w:ascii="Arial" w:hAnsi="Arial" w:eastAsia="宋体" w:cs="Arial"/>
          <w:spacing w:val="-6"/>
          <w:sz w:val="24"/>
          <w:szCs w:val="24"/>
          <w:highlight w:val="yellow"/>
        </w:rPr>
        <w:t>，我们会根据最终的</w:t>
      </w:r>
      <w:r>
        <w:rPr>
          <w:rFonts w:hint="eastAsia" w:eastAsia="宋体" w:cs="Arial"/>
          <w:spacing w:val="-6"/>
          <w:sz w:val="24"/>
          <w:szCs w:val="24"/>
          <w:highlight w:val="yellow"/>
          <w:lang w:eastAsia="zh-CN"/>
        </w:rPr>
        <w:t>成交价</w:t>
      </w:r>
      <w:r>
        <w:rPr>
          <w:rFonts w:hint="default" w:ascii="Arial" w:hAnsi="Arial" w:eastAsia="宋体" w:cs="Arial"/>
          <w:spacing w:val="-6"/>
          <w:sz w:val="24"/>
          <w:szCs w:val="24"/>
          <w:highlight w:val="yellow"/>
        </w:rPr>
        <w:t>计算的实际评估费进行多退少补。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备注：1.上述评估费不包含差旅费。</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both"/>
        <w:textAlignment w:val="baseline"/>
        <w:rPr>
          <w:rFonts w:hint="default" w:ascii="Arial" w:hAnsi="Arial" w:eastAsia="宋体" w:cs="Arial"/>
          <w:spacing w:val="-6"/>
          <w:sz w:val="24"/>
          <w:szCs w:val="24"/>
        </w:rPr>
      </w:pPr>
      <w:r>
        <w:rPr>
          <w:rFonts w:hint="default" w:ascii="Arial" w:hAnsi="Arial" w:eastAsia="宋体" w:cs="Arial"/>
          <w:spacing w:val="-6"/>
          <w:sz w:val="24"/>
          <w:szCs w:val="24"/>
        </w:rPr>
        <w:t>2.如果按评估范围价值量计算的评估费不能覆盖最基本的评估机构人力及管理成本，评估机构可自行提出最低收费标准并公示</w:t>
      </w:r>
      <w:r>
        <w:rPr>
          <w:rFonts w:hint="eastAsia" w:eastAsia="宋体" w:cs="Arial"/>
          <w:spacing w:val="-6"/>
          <w:sz w:val="24"/>
          <w:szCs w:val="24"/>
          <w:lang w:eastAsia="zh-CN"/>
        </w:rPr>
        <w:t>（</w:t>
      </w:r>
      <w:r>
        <w:rPr>
          <w:rFonts w:hint="default" w:ascii="Arial" w:hAnsi="Arial" w:eastAsia="宋体" w:cs="Arial"/>
          <w:spacing w:val="-6"/>
          <w:sz w:val="24"/>
          <w:szCs w:val="24"/>
        </w:rPr>
        <w:t>原则上不低于3000元/套</w:t>
      </w:r>
      <w:r>
        <w:rPr>
          <w:rFonts w:hint="eastAsia" w:eastAsia="宋体" w:cs="Arial"/>
          <w:spacing w:val="-6"/>
          <w:sz w:val="24"/>
          <w:szCs w:val="24"/>
          <w:lang w:eastAsia="zh-CN"/>
        </w:rPr>
        <w:t>）</w:t>
      </w:r>
      <w:r>
        <w:rPr>
          <w:rFonts w:hint="default" w:ascii="Arial" w:hAnsi="Arial" w:eastAsia="宋体" w:cs="Arial"/>
          <w:spacing w:val="-6"/>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both"/>
        <w:textAlignment w:val="baseline"/>
        <w:rPr>
          <w:rFonts w:hint="default" w:ascii="Arial" w:hAnsi="Arial" w:eastAsia="宋体" w:cs="Arial"/>
          <w:spacing w:val="-6"/>
          <w:sz w:val="24"/>
          <w:szCs w:val="24"/>
        </w:rPr>
      </w:pPr>
      <w:bookmarkStart w:id="0" w:name="_GoBack"/>
      <w:bookmarkEnd w:id="0"/>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eastAsia" w:ascii="Arial" w:hAnsi="Arial" w:eastAsia="宋体" w:cs="Arial"/>
          <w:spacing w:val="-6"/>
          <w:sz w:val="24"/>
          <w:szCs w:val="24"/>
          <w:lang w:eastAsia="zh-CN"/>
        </w:rPr>
      </w:pPr>
      <w:r>
        <w:rPr>
          <w:rFonts w:hint="eastAsia" w:ascii="Arial" w:hAnsi="Arial" w:eastAsia="宋体" w:cs="Arial"/>
          <w:spacing w:val="-6"/>
          <w:sz w:val="24"/>
          <w:szCs w:val="24"/>
          <w:lang w:eastAsia="zh-CN"/>
        </w:rPr>
        <w:t>北京康正宏基房地产评估有限公司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default" w:ascii="Arial" w:hAnsi="Arial" w:eastAsia="宋体" w:cs="Arial"/>
          <w:spacing w:val="-6"/>
          <w:sz w:val="24"/>
          <w:szCs w:val="24"/>
        </w:rPr>
        <w:sectPr>
          <w:pgSz w:w="11900" w:h="16830"/>
          <w:pgMar w:top="1430" w:right="1775" w:bottom="0" w:left="1770" w:header="0" w:footer="0" w:gutter="0"/>
          <w:cols w:space="720" w:num="1"/>
        </w:sectPr>
      </w:pPr>
      <w:r>
        <w:rPr>
          <w:rFonts w:hint="default" w:ascii="Arial" w:hAnsi="Arial" w:eastAsia="宋体" w:cs="Arial"/>
          <w:spacing w:val="-6"/>
          <w:sz w:val="24"/>
          <w:szCs w:val="24"/>
        </w:rPr>
        <w:t>202</w:t>
      </w:r>
      <w:r>
        <w:rPr>
          <w:rFonts w:hint="eastAsia" w:ascii="Arial" w:hAnsi="Arial" w:eastAsia="宋体" w:cs="Arial"/>
          <w:spacing w:val="-6"/>
          <w:sz w:val="24"/>
          <w:szCs w:val="24"/>
          <w:lang w:val="en-US" w:eastAsia="zh-CN"/>
        </w:rPr>
        <w:t>3</w:t>
      </w:r>
      <w:r>
        <w:rPr>
          <w:rFonts w:hint="default" w:ascii="Arial" w:hAnsi="Arial" w:eastAsia="宋体" w:cs="Arial"/>
          <w:spacing w:val="-6"/>
          <w:sz w:val="24"/>
          <w:szCs w:val="24"/>
        </w:rPr>
        <w:t>年</w:t>
      </w:r>
      <w:r>
        <w:rPr>
          <w:rFonts w:hint="eastAsia" w:eastAsia="宋体" w:cs="Arial"/>
          <w:spacing w:val="-6"/>
          <w:sz w:val="24"/>
          <w:szCs w:val="24"/>
          <w:lang w:val="en-US" w:eastAsia="zh-CN"/>
        </w:rPr>
        <w:t>6</w:t>
      </w:r>
      <w:r>
        <w:rPr>
          <w:rFonts w:hint="default" w:ascii="Arial" w:hAnsi="Arial" w:eastAsia="宋体" w:cs="Arial"/>
          <w:spacing w:val="-6"/>
          <w:sz w:val="24"/>
          <w:szCs w:val="24"/>
        </w:rPr>
        <w:t>月</w:t>
      </w:r>
      <w:r>
        <w:rPr>
          <w:rFonts w:hint="eastAsia" w:eastAsia="宋体" w:cs="Arial"/>
          <w:spacing w:val="-6"/>
          <w:sz w:val="24"/>
          <w:szCs w:val="24"/>
          <w:lang w:val="en-US" w:eastAsia="zh-CN"/>
        </w:rPr>
        <w:t>14</w:t>
      </w:r>
      <w:r>
        <w:rPr>
          <w:rFonts w:hint="default" w:ascii="Arial" w:hAnsi="Arial" w:eastAsia="宋体" w:cs="Arial"/>
          <w:spacing w:val="-6"/>
          <w:sz w:val="24"/>
          <w:szCs w:val="24"/>
        </w:rPr>
        <w:t>日</w:t>
      </w:r>
    </w:p>
    <w:p>
      <w:pPr>
        <w:spacing w:line="720" w:lineRule="auto"/>
        <w:rPr>
          <w:rFonts w:hint="eastAsia" w:eastAsia="仿宋_GB2312"/>
          <w:b/>
          <w:bCs/>
          <w:sz w:val="44"/>
        </w:rPr>
      </w:pPr>
    </w:p>
    <w:p>
      <w:pPr>
        <w:spacing w:line="720" w:lineRule="auto"/>
        <w:rPr>
          <w:rFonts w:hint="eastAsia" w:eastAsia="仿宋_GB2312"/>
          <w:b/>
          <w:bCs/>
          <w:sz w:val="44"/>
        </w:rPr>
      </w:pPr>
      <w:r>
        <w:rPr>
          <w:rFonts w:hint="eastAsia" w:eastAsia="仿宋_GB2312"/>
          <w:b/>
          <w:bCs/>
          <w:sz w:val="44"/>
        </w:rPr>
        <w:t>户名：北京康正宏基房地产评估有限公司</w:t>
      </w:r>
    </w:p>
    <w:p>
      <w:pPr>
        <w:spacing w:line="720" w:lineRule="auto"/>
        <w:rPr>
          <w:rFonts w:hint="eastAsia" w:eastAsia="仿宋_GB2312"/>
          <w:b/>
          <w:bCs/>
          <w:sz w:val="44"/>
        </w:rPr>
      </w:pPr>
      <w:r>
        <w:rPr>
          <w:rFonts w:hint="eastAsia" w:eastAsia="仿宋_GB2312"/>
          <w:b/>
          <w:bCs/>
          <w:sz w:val="44"/>
        </w:rPr>
        <w:t>开户行：交通银行北京</w:t>
      </w:r>
      <w:r>
        <w:rPr>
          <w:rFonts w:hint="eastAsia" w:eastAsia="仿宋_GB2312"/>
          <w:b/>
          <w:bCs/>
          <w:sz w:val="44"/>
          <w:lang w:eastAsia="zh-CN"/>
        </w:rPr>
        <w:t>和平里</w:t>
      </w:r>
      <w:r>
        <w:rPr>
          <w:rFonts w:hint="eastAsia" w:eastAsia="仿宋_GB2312"/>
          <w:b/>
          <w:bCs/>
          <w:sz w:val="44"/>
        </w:rPr>
        <w:t>支行</w:t>
      </w:r>
    </w:p>
    <w:p>
      <w:pPr>
        <w:spacing w:line="720" w:lineRule="auto"/>
        <w:rPr>
          <w:rFonts w:hint="eastAsia" w:eastAsia="仿宋_GB2312"/>
          <w:b/>
          <w:bCs/>
          <w:sz w:val="44"/>
        </w:rPr>
      </w:pPr>
      <w:r>
        <w:rPr>
          <w:rFonts w:hint="eastAsia" w:eastAsia="仿宋_GB2312"/>
          <w:b/>
          <w:bCs/>
          <w:sz w:val="44"/>
        </w:rPr>
        <w:t>帐号：110060739012015026873</w:t>
      </w:r>
    </w:p>
    <w:p>
      <w:pPr>
        <w:keepNext w:val="0"/>
        <w:keepLines w:val="0"/>
        <w:pageBreakBefore w:val="0"/>
        <w:widowControl/>
        <w:kinsoku/>
        <w:wordWrap/>
        <w:overflowPunct/>
        <w:topLinePunct w:val="0"/>
        <w:autoSpaceDE w:val="0"/>
        <w:autoSpaceDN w:val="0"/>
        <w:bidi w:val="0"/>
        <w:adjustRightInd w:val="0"/>
        <w:snapToGrid w:val="0"/>
        <w:spacing w:line="360" w:lineRule="auto"/>
        <w:ind w:left="1256" w:leftChars="542" w:right="0" w:hanging="118" w:hangingChars="52"/>
        <w:jc w:val="right"/>
        <w:textAlignment w:val="baseline"/>
        <w:rPr>
          <w:rFonts w:hint="default" w:ascii="Arial" w:hAnsi="Arial" w:eastAsia="宋体" w:cs="Arial"/>
          <w:spacing w:val="-6"/>
          <w:sz w:val="24"/>
          <w:szCs w:val="24"/>
        </w:rPr>
      </w:pPr>
    </w:p>
    <w:sectPr>
      <w:pgSz w:w="11900" w:h="16830"/>
      <w:pgMar w:top="1430" w:right="1775" w:bottom="0" w:left="17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M2ZjVlM2VmNjAwMmNmMzg0MTcxOTI1ODA5M2MyOGEifQ=="/>
  </w:docVars>
  <w:rsids>
    <w:rsidRoot w:val="00000000"/>
    <w:rsid w:val="05A76AA7"/>
    <w:rsid w:val="0CC30E24"/>
    <w:rsid w:val="1D09551F"/>
    <w:rsid w:val="32F20175"/>
    <w:rsid w:val="50083C19"/>
    <w:rsid w:val="5D414C24"/>
    <w:rsid w:val="5F6877E9"/>
    <w:rsid w:val="77C464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464</Words>
  <Characters>565</Characters>
  <TotalTime>2</TotalTime>
  <ScaleCrop>false</ScaleCrop>
  <LinksUpToDate>false</LinksUpToDate>
  <CharactersWithSpaces>565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2022-12-14T09:47:00Z</dcterms:created>
  <dc:creator>Kingsoft-PDF</dc:creator>
  <cp:lastModifiedBy>俊然</cp:lastModifiedBy>
  <dcterms:modified xsi:type="dcterms:W3CDTF">2023-06-14T03:09:48Z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2022-12-14T09:47:47Z</vt:filetime>
  </property>
  <property fmtid="{D5CDD505-2E9C-101B-9397-08002B2CF9AE}" pid="4" name="UsrData">
    <vt:lpwstr>63992b3bdb524f0015e7f94c</vt:lpwstr>
  </property>
  <property fmtid="{D5CDD505-2E9C-101B-9397-08002B2CF9AE}" pid="5" name="KSOProductBuildVer">
    <vt:lpwstr>2052-11.1.0.14309</vt:lpwstr>
  </property>
  <property fmtid="{D5CDD505-2E9C-101B-9397-08002B2CF9AE}" pid="6" name="ICV">
    <vt:lpwstr>5B5ADE80EDB64BE88ADB5B9AE1D5039A</vt:lpwstr>
  </property>
</Properties>
</file>