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7796A">
        <w:rPr>
          <w:rFonts w:ascii="Arial" w:eastAsia="方正黑体简体" w:hAnsi="Arial" w:cs="Arial"/>
          <w:sz w:val="21"/>
          <w:szCs w:val="21"/>
        </w:rPr>
        <w:t>2023-1-0724-F0</w:t>
      </w:r>
      <w:r w:rsidR="00846DD1">
        <w:rPr>
          <w:rFonts w:ascii="Arial" w:eastAsia="方正黑体简体" w:hAnsi="Arial" w:cs="Arial" w:hint="eastAsia"/>
          <w:sz w:val="21"/>
          <w:szCs w:val="21"/>
        </w:rPr>
        <w:t>6</w:t>
      </w:r>
      <w:r w:rsidR="0087796A" w:rsidRPr="0087796A">
        <w:rPr>
          <w:rFonts w:ascii="Arial" w:eastAsia="方正黑体简体" w:hAnsi="Arial" w:cs="Arial"/>
          <w:sz w:val="21"/>
          <w:szCs w:val="21"/>
        </w:rPr>
        <w:t>DYGJ3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  <w:bookmarkStart w:id="0" w:name="_GoBack"/>
      <w:bookmarkEnd w:id="0"/>
    </w:p>
    <w:p w:rsidR="00F929E9" w:rsidRPr="00F929E9" w:rsidRDefault="00F929E9" w:rsidP="00F929E9">
      <w:pPr>
        <w:spacing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北京市朝阳区清林东路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12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幢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-3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B2001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等</w:t>
      </w:r>
      <w:r w:rsidR="00772D6C" w:rsidRPr="00772D6C">
        <w:rPr>
          <w:rFonts w:ascii="Arial" w:eastAsia="方正黑体简体" w:hAnsi="Arial" w:cs="Arial" w:hint="eastAsia"/>
          <w:noProof/>
          <w:sz w:val="28"/>
          <w:szCs w:val="28"/>
        </w:rPr>
        <w:t>260</w:t>
      </w:r>
      <w:r w:rsidR="00772D6C">
        <w:rPr>
          <w:rFonts w:ascii="Arial" w:eastAsia="方正黑体简体" w:hAnsi="Arial" w:cs="Arial" w:hint="eastAsia"/>
          <w:noProof/>
          <w:sz w:val="28"/>
          <w:szCs w:val="28"/>
        </w:rPr>
        <w:t>个地下车位用房房地产抵押价值</w:t>
      </w:r>
      <w:r w:rsidR="0087796A" w:rsidRPr="0087796A">
        <w:rPr>
          <w:rFonts w:ascii="Arial" w:eastAsia="方正黑体简体" w:hAnsi="Arial" w:cs="Arial" w:hint="eastAsia"/>
          <w:noProof/>
          <w:sz w:val="28"/>
          <w:szCs w:val="28"/>
        </w:rPr>
        <w:t>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 w:val="21"/>
        </w:rPr>
      </w:pPr>
    </w:p>
    <w:p w:rsidR="00F929E9" w:rsidRPr="00F929E9" w:rsidRDefault="002B17C3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2B17C3">
        <w:rPr>
          <w:rFonts w:ascii="Arial" w:eastAsiaTheme="minorEastAsia" w:hAnsi="Arial" w:cs="Arial" w:hint="eastAsia"/>
          <w:szCs w:val="24"/>
        </w:rPr>
        <w:t>上海浦东发展银行股份有限公司北京清华园支行</w:t>
      </w:r>
      <w:r w:rsidR="00F929E9" w:rsidRPr="00F929E9">
        <w:rPr>
          <w:rFonts w:ascii="Arial" w:eastAsiaTheme="minorEastAsia" w:hAnsi="Arial" w:cs="Arial"/>
          <w:szCs w:val="24"/>
        </w:rPr>
        <w:t>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2B17C3">
        <w:rPr>
          <w:rFonts w:ascii="Arial" w:eastAsiaTheme="minorEastAsia" w:hAnsi="Arial" w:cs="Arial"/>
          <w:szCs w:val="24"/>
        </w:rPr>
        <w:t>202</w:t>
      </w:r>
      <w:r w:rsidR="002B17C3">
        <w:rPr>
          <w:rFonts w:ascii="Arial" w:eastAsiaTheme="minorEastAsia" w:hAnsi="Arial" w:cs="Arial" w:hint="eastAsia"/>
          <w:szCs w:val="24"/>
        </w:rPr>
        <w:t>4</w:t>
      </w:r>
      <w:r w:rsidRPr="00F929E9">
        <w:rPr>
          <w:rFonts w:ascii="Arial" w:eastAsiaTheme="minorEastAsia" w:hAnsi="Arial" w:cs="Arial"/>
          <w:szCs w:val="24"/>
        </w:rPr>
        <w:t>年</w:t>
      </w:r>
      <w:r w:rsidR="002B17C3">
        <w:rPr>
          <w:rFonts w:ascii="Arial" w:eastAsiaTheme="minorEastAsia" w:hAnsi="Arial" w:cs="Arial" w:hint="eastAsia"/>
          <w:szCs w:val="24"/>
        </w:rPr>
        <w:t>5</w:t>
      </w:r>
      <w:r w:rsidRPr="00F929E9">
        <w:rPr>
          <w:rFonts w:ascii="Arial" w:eastAsiaTheme="minorEastAsia" w:hAnsi="Arial" w:cs="Arial"/>
          <w:szCs w:val="24"/>
        </w:rPr>
        <w:t>月</w:t>
      </w:r>
      <w:r w:rsidR="0087796A">
        <w:rPr>
          <w:rFonts w:ascii="Arial" w:eastAsiaTheme="minorEastAsia" w:hAnsi="Arial" w:cs="Arial" w:hint="eastAsia"/>
          <w:szCs w:val="24"/>
        </w:rPr>
        <w:t>14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772D6C" w:rsidRPr="00772D6C">
        <w:rPr>
          <w:rFonts w:ascii="Arial" w:eastAsiaTheme="minorEastAsia" w:hAnsi="Arial" w:cs="Arial"/>
          <w:szCs w:val="24"/>
        </w:rPr>
        <w:t>2023-1-0724-F02DYGJ3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>
        <w:rPr>
          <w:rFonts w:ascii="Arial" w:eastAsiaTheme="minorEastAsia" w:hAnsi="Arial" w:cs="Arial" w:hint="eastAsia"/>
          <w:szCs w:val="24"/>
        </w:rPr>
        <w:t>应</w:t>
      </w:r>
      <w:r>
        <w:rPr>
          <w:rFonts w:ascii="Arial" w:eastAsiaTheme="minorEastAsia" w:hAnsi="Arial" w:cs="Arial"/>
          <w:szCs w:val="24"/>
        </w:rPr>
        <w:t>贵行要求，净值结果详见</w:t>
      </w:r>
      <w:r w:rsidRPr="00F929E9">
        <w:rPr>
          <w:rFonts w:ascii="Arial" w:eastAsiaTheme="minorEastAsia" w:hAnsi="Arial" w:cs="Arial" w:hint="eastAsia"/>
          <w:szCs w:val="24"/>
        </w:rPr>
        <w:t>估价结果一览表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87796A" w:rsidRPr="0087796A" w:rsidRDefault="00F929E9" w:rsidP="0087796A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418"/>
        <w:gridCol w:w="1502"/>
      </w:tblGrid>
      <w:tr w:rsidR="00772D6C" w:rsidRPr="00AB2937" w:rsidTr="00DD7A15">
        <w:trPr>
          <w:cantSplit/>
          <w:jc w:val="center"/>
        </w:trPr>
        <w:tc>
          <w:tcPr>
            <w:tcW w:w="4962" w:type="dxa"/>
            <w:gridSpan w:val="2"/>
            <w:vMerge w:val="restart"/>
            <w:tcBorders>
              <w:top w:val="thinThickThinSmallGap" w:sz="12" w:space="0" w:color="404040"/>
              <w:bottom w:val="dotted" w:sz="2" w:space="0" w:color="404040"/>
              <w:tl2br w:val="single" w:sz="2" w:space="0" w:color="7F7F7F"/>
            </w:tcBorders>
            <w:shd w:val="clear" w:color="auto" w:fill="auto"/>
            <w:vAlign w:val="center"/>
          </w:tcPr>
          <w:p w:rsidR="00772D6C" w:rsidRPr="00AB2937" w:rsidRDefault="00772D6C" w:rsidP="00DD7A15">
            <w:pPr>
              <w:spacing w:line="240" w:lineRule="exact"/>
              <w:ind w:firstLineChars="1050" w:firstLine="1890"/>
              <w:jc w:val="right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估价方法及结果</w:t>
            </w:r>
          </w:p>
          <w:p w:rsidR="00772D6C" w:rsidRPr="00AB2937" w:rsidRDefault="00772D6C" w:rsidP="00DD7A1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估价对象及结果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测算结果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估价结果</w:t>
            </w:r>
          </w:p>
        </w:tc>
      </w:tr>
      <w:tr w:rsidR="00772D6C" w:rsidRPr="00AB2937" w:rsidTr="00DD7A15">
        <w:trPr>
          <w:cantSplit/>
          <w:jc w:val="center"/>
        </w:trPr>
        <w:tc>
          <w:tcPr>
            <w:tcW w:w="4962" w:type="dxa"/>
            <w:gridSpan w:val="2"/>
            <w:vMerge/>
            <w:tcBorders>
              <w:top w:val="dotted" w:sz="2" w:space="0" w:color="404040"/>
              <w:bottom w:val="dotted" w:sz="2" w:space="0" w:color="404040"/>
              <w:tl2br w:val="single" w:sz="2" w:space="0" w:color="7F7F7F"/>
            </w:tcBorders>
            <w:shd w:val="clear" w:color="auto" w:fill="auto"/>
            <w:vAlign w:val="center"/>
          </w:tcPr>
          <w:p w:rsidR="00772D6C" w:rsidRPr="00AB2937" w:rsidRDefault="00772D6C" w:rsidP="00DD7A1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成本法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收益法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772D6C" w:rsidRPr="00AB2937" w:rsidRDefault="00772D6C" w:rsidP="00DD7A1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</w:p>
        </w:tc>
      </w:tr>
      <w:tr w:rsidR="00772D6C" w:rsidRPr="00AB2937" w:rsidTr="00DD7A15">
        <w:trPr>
          <w:cantSplit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772D6C" w:rsidRPr="00AB2937" w:rsidRDefault="00772D6C" w:rsidP="00DD7A1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B2937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北京市朝阳区清林东路</w:t>
            </w:r>
            <w:r w:rsidRPr="00AB2937">
              <w:rPr>
                <w:rFonts w:ascii="Arial" w:eastAsia="华文细黑" w:hAnsi="Arial" w:cs="Arial"/>
                <w:bCs/>
                <w:sz w:val="18"/>
                <w:szCs w:val="18"/>
              </w:rPr>
              <w:t>4</w:t>
            </w:r>
            <w:r w:rsidRPr="00AB2937">
              <w:rPr>
                <w:rFonts w:ascii="Arial" w:eastAsia="华文细黑" w:hAnsi="Arial" w:cs="Arial" w:hint="eastAsia"/>
                <w:sz w:val="18"/>
                <w:szCs w:val="18"/>
              </w:rPr>
              <w:t>号院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12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幢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-3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层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B2001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等</w:t>
            </w:r>
            <w:r w:rsidRPr="00500B4F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260</w:t>
            </w: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套</w:t>
            </w:r>
            <w:r w:rsidRPr="00AB2937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地下车库用房房地产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总价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11175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5834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7970</w:t>
            </w:r>
          </w:p>
        </w:tc>
      </w:tr>
      <w:tr w:rsidR="00772D6C" w:rsidRPr="00AB2937" w:rsidTr="00DD7A15">
        <w:trPr>
          <w:cantSplit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772D6C" w:rsidRPr="00AB2937" w:rsidRDefault="00772D6C" w:rsidP="00DD7A1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2D6C" w:rsidRPr="00AB2937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AB2937">
              <w:rPr>
                <w:rFonts w:ascii="Arial" w:eastAsia="华文细黑" w:hAnsi="Arial" w:cs="宋体" w:hint="eastAsia"/>
                <w:sz w:val="18"/>
                <w:szCs w:val="18"/>
              </w:rPr>
              <w:t>单价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9415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4915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72D6C" w:rsidRPr="00500B4F" w:rsidRDefault="00772D6C" w:rsidP="00DD7A1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sz w:val="18"/>
                <w:szCs w:val="18"/>
              </w:rPr>
            </w:pPr>
            <w:r w:rsidRPr="00500B4F">
              <w:rPr>
                <w:rFonts w:ascii="Arial" w:eastAsia="华文细黑" w:hAnsi="Arial" w:cs="宋体"/>
                <w:sz w:val="18"/>
                <w:szCs w:val="18"/>
              </w:rPr>
              <w:t>6715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A30726">
              <w:rPr>
                <w:rFonts w:ascii="Arial" w:hAnsi="Arial" w:cs="Arial" w:hint="eastAsia"/>
                <w:color w:val="000000"/>
                <w:szCs w:val="21"/>
              </w:rPr>
              <w:t>六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二十</w:t>
            </w:r>
            <w:r w:rsidR="00846DD1">
              <w:rPr>
                <w:rFonts w:ascii="Arial" w:hAnsi="Arial" w:cs="Arial" w:hint="eastAsia"/>
                <w:color w:val="000000"/>
                <w:szCs w:val="21"/>
              </w:rPr>
              <w:t>八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 w:rsidSect="000C6D44">
          <w:headerReference w:type="default" r:id="rId7"/>
          <w:footerReference w:type="default" r:id="rId8"/>
          <w:pgSz w:w="11906" w:h="16838"/>
          <w:pgMar w:top="1843" w:right="1304" w:bottom="1134" w:left="1304" w:header="1134" w:footer="1134" w:gutter="0"/>
          <w:cols w:space="425"/>
          <w:docGrid w:type="lines" w:linePitch="326"/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A30726" w:rsidRPr="00456DA1" w:rsidRDefault="00A30726" w:rsidP="00A30726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456DA1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993"/>
        <w:gridCol w:w="1983"/>
        <w:gridCol w:w="3544"/>
        <w:gridCol w:w="1077"/>
      </w:tblGrid>
      <w:tr w:rsidR="00A30726" w:rsidRPr="00456DA1" w:rsidTr="00EB2D59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A30726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A30726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北京市朝阳区清林东路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4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号院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12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幢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-3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层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B2001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等</w:t>
            </w:r>
            <w:r w:rsidRPr="00D85E7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260</w:t>
            </w: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个地下车位用房房地产</w:t>
            </w:r>
          </w:p>
        </w:tc>
      </w:tr>
      <w:tr w:rsidR="00A30726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2023</w:t>
            </w: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="0087796A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9</w:t>
            </w: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="0087796A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</w:t>
            </w:r>
            <w:r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D85E7C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D85E7C" w:rsidRPr="00D85E7C" w:rsidRDefault="00D85E7C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D85E7C">
              <w:rPr>
                <w:rFonts w:ascii="Arial" w:eastAsia="华文细黑" w:hAnsi="Arial" w:cs="宋体"/>
                <w:sz w:val="18"/>
                <w:szCs w:val="21"/>
              </w:rPr>
              <w:t>7970</w:t>
            </w:r>
          </w:p>
        </w:tc>
      </w:tr>
      <w:tr w:rsidR="00D85E7C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D85E7C" w:rsidRPr="00D85E7C" w:rsidRDefault="00D85E7C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D85E7C">
              <w:rPr>
                <w:rFonts w:ascii="Arial" w:eastAsia="华文细黑" w:hAnsi="Arial" w:cs="宋体"/>
                <w:sz w:val="18"/>
                <w:szCs w:val="21"/>
              </w:rPr>
              <w:t>7970</w:t>
            </w:r>
          </w:p>
        </w:tc>
      </w:tr>
      <w:tr w:rsidR="00A30726" w:rsidRPr="00456DA1" w:rsidTr="00EB2D59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A30726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D85E7C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5E7C" w:rsidRPr="00D85E7C" w:rsidRDefault="00D85E7C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D85E7C">
              <w:rPr>
                <w:rFonts w:ascii="Arial" w:eastAsia="华文细黑" w:hAnsi="Arial" w:cs="宋体"/>
                <w:sz w:val="18"/>
                <w:szCs w:val="21"/>
              </w:rPr>
              <w:t>425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85E7C" w:rsidRPr="00456DA1" w:rsidRDefault="00D85E7C" w:rsidP="00EB2D59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456DA1">
              <w:rPr>
                <w:rFonts w:ascii="Arial" w:eastAsia="华文细黑" w:hAnsi="Arial" w:cs="宋体" w:hint="eastAsia"/>
                <w:sz w:val="18"/>
                <w:szCs w:val="21"/>
              </w:rPr>
              <w:t>5.6%</w:t>
            </w:r>
          </w:p>
        </w:tc>
      </w:tr>
      <w:tr w:rsidR="00D85E7C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85E7C" w:rsidRPr="00D85E7C" w:rsidRDefault="00D85E7C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D85E7C">
              <w:rPr>
                <w:rFonts w:ascii="Arial" w:eastAsia="华文细黑" w:hAnsi="Arial" w:cs="宋体"/>
                <w:sz w:val="18"/>
                <w:szCs w:val="21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5E7C" w:rsidRPr="00456DA1" w:rsidRDefault="00D85E7C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D85E7C" w:rsidRPr="00456DA1" w:rsidRDefault="00D85E7C" w:rsidP="00EB2D59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456DA1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46DD1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46DD1" w:rsidRPr="00D85E7C" w:rsidRDefault="00846DD1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D85E7C">
              <w:rPr>
                <w:rFonts w:ascii="Arial" w:eastAsia="华文细黑" w:hAnsi="Arial" w:cs="宋体"/>
                <w:sz w:val="18"/>
                <w:szCs w:val="21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6DD1" w:rsidRPr="00456DA1" w:rsidRDefault="00846DD1" w:rsidP="00E926E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增值额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456DA1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46DD1" w:rsidRPr="00456DA1" w:rsidRDefault="00846DD1" w:rsidP="00E926E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详见下表</w:t>
            </w:r>
          </w:p>
        </w:tc>
      </w:tr>
      <w:tr w:rsidR="00846DD1" w:rsidRPr="00456DA1" w:rsidTr="00EB2D5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46DD1">
              <w:rPr>
                <w:rFonts w:ascii="Arial" w:eastAsia="华文细黑" w:hAnsi="Arial" w:cs="Arial"/>
                <w:sz w:val="18"/>
                <w:szCs w:val="18"/>
              </w:rPr>
              <w:t>429</w:t>
            </w:r>
          </w:p>
        </w:tc>
      </w:tr>
      <w:tr w:rsidR="00846DD1" w:rsidRPr="00456DA1" w:rsidTr="00EB2D59">
        <w:trPr>
          <w:jc w:val="center"/>
        </w:trPr>
        <w:tc>
          <w:tcPr>
            <w:tcW w:w="567" w:type="dxa"/>
            <w:vMerge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 w:rsidRPr="00846DD1">
              <w:rPr>
                <w:rFonts w:ascii="Arial" w:eastAsia="华文细黑" w:hAnsi="Arial" w:cs="Arial"/>
                <w:sz w:val="18"/>
                <w:szCs w:val="18"/>
              </w:rPr>
              <w:t>肆佰贰拾玖万</w:t>
            </w:r>
            <w:proofErr w:type="gramEnd"/>
            <w:r w:rsidRPr="00846DD1">
              <w:rPr>
                <w:rFonts w:ascii="Arial" w:eastAsia="华文细黑" w:hAnsi="Arial" w:cs="Arial"/>
                <w:sz w:val="18"/>
                <w:szCs w:val="18"/>
              </w:rPr>
              <w:t>元整</w:t>
            </w:r>
          </w:p>
        </w:tc>
      </w:tr>
      <w:tr w:rsidR="00846DD1" w:rsidRPr="00456DA1" w:rsidTr="00EB2D5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46DD1">
              <w:rPr>
                <w:rFonts w:ascii="Arial" w:eastAsia="华文细黑" w:hAnsi="Arial" w:cs="Arial"/>
                <w:sz w:val="18"/>
                <w:szCs w:val="18"/>
              </w:rPr>
              <w:t>7541</w:t>
            </w:r>
          </w:p>
        </w:tc>
      </w:tr>
      <w:tr w:rsidR="00846DD1" w:rsidRPr="00456DA1" w:rsidTr="00EB2D59">
        <w:trPr>
          <w:jc w:val="center"/>
        </w:trPr>
        <w:tc>
          <w:tcPr>
            <w:tcW w:w="567" w:type="dxa"/>
            <w:vMerge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46DD1" w:rsidRPr="00456DA1" w:rsidRDefault="00846DD1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 w:rsidRPr="00846DD1">
              <w:rPr>
                <w:rFonts w:ascii="Arial" w:eastAsia="华文细黑" w:hAnsi="Arial" w:cs="Arial"/>
                <w:sz w:val="18"/>
                <w:szCs w:val="18"/>
              </w:rPr>
              <w:t>柒仟伍佰肆拾壹万</w:t>
            </w:r>
            <w:proofErr w:type="gramEnd"/>
            <w:r w:rsidRPr="00846DD1">
              <w:rPr>
                <w:rFonts w:ascii="Arial" w:eastAsia="华文细黑" w:hAnsi="Arial" w:cs="Arial"/>
                <w:sz w:val="18"/>
                <w:szCs w:val="18"/>
              </w:rPr>
              <w:t>元整</w:t>
            </w:r>
          </w:p>
        </w:tc>
      </w:tr>
      <w:tr w:rsidR="00A30726" w:rsidRPr="00456DA1" w:rsidTr="00EB2D5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A30726" w:rsidRPr="00456DA1" w:rsidRDefault="00A30726" w:rsidP="00EB2D5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456DA1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604" w:type="dxa"/>
            <w:gridSpan w:val="3"/>
            <w:shd w:val="clear" w:color="auto" w:fill="auto"/>
            <w:vAlign w:val="center"/>
          </w:tcPr>
          <w:p w:rsidR="00A30726" w:rsidRPr="00D85E7C" w:rsidRDefault="00846DD1" w:rsidP="00D85E7C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846DD1">
              <w:rPr>
                <w:rFonts w:ascii="Arial" w:eastAsia="华文细黑" w:hAnsi="Arial" w:cs="宋体"/>
                <w:sz w:val="18"/>
                <w:szCs w:val="21"/>
              </w:rPr>
              <w:t>6353</w:t>
            </w:r>
          </w:p>
        </w:tc>
      </w:tr>
    </w:tbl>
    <w:p w:rsidR="00846DD1" w:rsidRPr="00456DA1" w:rsidRDefault="00846DD1" w:rsidP="00846DD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456DA1">
        <w:rPr>
          <w:rFonts w:ascii="Arial" w:eastAsia="华文细黑" w:hAnsi="Arial" w:cs="Arial"/>
          <w:sz w:val="18"/>
          <w:szCs w:val="18"/>
        </w:rPr>
        <w:t>单位：万元、元</w:t>
      </w:r>
      <w:r w:rsidRPr="00456DA1">
        <w:rPr>
          <w:rFonts w:ascii="Arial" w:eastAsia="华文细黑" w:hAnsi="Arial" w:cs="Arial"/>
          <w:sz w:val="18"/>
          <w:szCs w:val="18"/>
        </w:rPr>
        <w:t>/</w:t>
      </w:r>
      <w:r w:rsidRPr="00456DA1">
        <w:rPr>
          <w:rFonts w:ascii="Arial" w:eastAsia="华文细黑" w:hAnsi="Arial" w:cs="Arial"/>
          <w:sz w:val="18"/>
          <w:szCs w:val="18"/>
        </w:rPr>
        <w:t>平方米</w:t>
      </w:r>
    </w:p>
    <w:p w:rsidR="00846DD1" w:rsidRDefault="00846DD1" w:rsidP="00846DD1">
      <w:pPr>
        <w:spacing w:line="240" w:lineRule="auto"/>
        <w:rPr>
          <w:rFonts w:ascii="Arial" w:eastAsia="华文细黑" w:hAnsi="Arial" w:cs="Arial"/>
          <w:sz w:val="18"/>
          <w:szCs w:val="18"/>
        </w:rPr>
      </w:pPr>
      <w:r w:rsidRPr="00456DA1">
        <w:rPr>
          <w:rFonts w:ascii="Arial" w:eastAsia="华文细黑" w:hAnsi="Arial" w:cs="Arial"/>
          <w:sz w:val="18"/>
          <w:szCs w:val="18"/>
        </w:rPr>
        <w:t>注：</w:t>
      </w:r>
      <w:r w:rsidRPr="00456DA1">
        <w:rPr>
          <w:rFonts w:ascii="Arial" w:eastAsia="华文细黑" w:hAnsi="Arial" w:cs="Arial" w:hint="eastAsia"/>
          <w:sz w:val="18"/>
          <w:szCs w:val="18"/>
        </w:rPr>
        <w:t>a.</w:t>
      </w:r>
      <w:r w:rsidRPr="00456DA1">
        <w:rPr>
          <w:rFonts w:ascii="Arial" w:eastAsia="华文细黑" w:hAnsi="Arial" w:cs="Arial"/>
          <w:sz w:val="18"/>
          <w:szCs w:val="18"/>
        </w:rPr>
        <w:t>依据现行税费表调整</w:t>
      </w:r>
      <w:r w:rsidRPr="00456DA1">
        <w:rPr>
          <w:rFonts w:ascii="Arial" w:eastAsia="华文细黑" w:hAnsi="Arial" w:cs="Arial" w:hint="eastAsia"/>
          <w:sz w:val="18"/>
          <w:szCs w:val="18"/>
        </w:rPr>
        <w:t>。</w:t>
      </w:r>
    </w:p>
    <w:p w:rsidR="00846DD1" w:rsidRPr="003B7A64" w:rsidRDefault="00846DD1" w:rsidP="00846DD1">
      <w:pPr>
        <w:spacing w:line="240" w:lineRule="auto"/>
        <w:outlineLvl w:val="0"/>
        <w:rPr>
          <w:rFonts w:ascii="Arial" w:hAnsi="Arial"/>
          <w:b/>
          <w:sz w:val="21"/>
          <w:szCs w:val="28"/>
        </w:rPr>
      </w:pPr>
      <w:r w:rsidRPr="003B7A64">
        <w:rPr>
          <w:rFonts w:ascii="Arial" w:hAnsi="Arial" w:hint="eastAsia"/>
          <w:sz w:val="21"/>
          <w:szCs w:val="28"/>
        </w:rPr>
        <w:t>其中：土地增值税</w:t>
      </w:r>
    </w:p>
    <w:tbl>
      <w:tblPr>
        <w:tblW w:w="9299" w:type="dxa"/>
        <w:jc w:val="center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2410"/>
        <w:gridCol w:w="1417"/>
        <w:gridCol w:w="1134"/>
        <w:gridCol w:w="3486"/>
      </w:tblGrid>
      <w:tr w:rsidR="00846DD1" w:rsidRPr="003B7A64" w:rsidTr="00E926E5">
        <w:trPr>
          <w:cantSplit/>
          <w:tblHeader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相关系数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备注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转让收入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 xml:space="preserve">7590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扣除项合计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 xml:space="preserve">8543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土地取得成本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土地取得费用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  <w:szCs w:val="22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根据不动产权利人介绍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相关税费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3.05</w:t>
            </w:r>
            <w:r w:rsidRPr="003B7A64">
              <w:rPr>
                <w:rFonts w:ascii="Arial" w:eastAsia="华文细黑" w:hAnsi="Arial" w:cs="Arial"/>
                <w:bCs/>
                <w:sz w:val="18"/>
              </w:rPr>
              <w:t>%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/>
                <w:sz w:val="18"/>
              </w:rPr>
              <w:t>ˣ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契税及印花税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土地开发费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  <w:szCs w:val="22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已包含在土地取得费用中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3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建造成本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5925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  <w:szCs w:val="22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包括前期工程费、建筑安装工程费、基础设施费和公共配套费等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ab/>
            </w:r>
            <w:r w:rsidRPr="003B7A64">
              <w:rPr>
                <w:rFonts w:ascii="Arial" w:eastAsia="华文细黑" w:hAnsi="Arial" w:cs="Arial" w:hint="eastAsia"/>
                <w:sz w:val="18"/>
              </w:rPr>
              <w:tab/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4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开发费用扣除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10.00%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[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3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]</w:t>
            </w:r>
            <w:r w:rsidRPr="003B7A64">
              <w:rPr>
                <w:rFonts w:ascii="Arial" w:eastAsia="华文细黑" w:hAnsi="Arial" w:cs="Arial"/>
                <w:sz w:val="18"/>
              </w:rPr>
              <w:t xml:space="preserve"> ˣ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相关系数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5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转让税金支出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>
              <w:rPr>
                <w:rFonts w:ascii="Arial" w:eastAsia="华文细黑" w:hAnsi="Arial" w:cs="Arial" w:hint="eastAsia"/>
                <w:bCs/>
                <w:sz w:val="18"/>
              </w:rPr>
              <w:t>0.6</w:t>
            </w:r>
            <w:r w:rsidRPr="003B7A64">
              <w:rPr>
                <w:rFonts w:ascii="Arial" w:eastAsia="华文细黑" w:hAnsi="Arial" w:cs="Arial"/>
                <w:bCs/>
                <w:sz w:val="18"/>
              </w:rPr>
              <w:t>%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/>
                <w:sz w:val="18"/>
              </w:rPr>
              <w:t>ˣ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附加税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/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1+5%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/>
                <w:sz w:val="18"/>
              </w:rPr>
              <w:t>6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加计扣除金额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1307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20.00%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 xml:space="preserve"> [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1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2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+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（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3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）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]</w:t>
            </w:r>
            <w:r w:rsidRPr="003B7A64">
              <w:rPr>
                <w:rFonts w:ascii="Arial" w:eastAsia="华文细黑" w:hAnsi="Arial" w:cs="Arial"/>
                <w:sz w:val="18"/>
              </w:rPr>
              <w:t xml:space="preserve"> ˣ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相关系数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 xml:space="preserve">  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增值额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 xml:space="preserve">-953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1-2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增值额与扣除项比率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0.0%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 w:hint="eastAsia"/>
                <w:sz w:val="18"/>
              </w:rPr>
              <w:t>3</w:t>
            </w:r>
            <w:r w:rsidRPr="003B7A64">
              <w:rPr>
                <w:rFonts w:ascii="Arial" w:eastAsia="华文细黑" w:hAnsi="Arial" w:cs="Arial"/>
                <w:sz w:val="18"/>
              </w:rPr>
              <w:t>÷</w:t>
            </w:r>
            <w:r w:rsidRPr="003B7A64">
              <w:rPr>
                <w:rFonts w:ascii="Arial" w:eastAsia="华文细黑" w:hAnsi="Arial" w:cs="Arial" w:hint="eastAsia"/>
                <w:sz w:val="18"/>
              </w:rPr>
              <w:t>2</w:t>
            </w:r>
          </w:p>
        </w:tc>
      </w:tr>
      <w:tr w:rsidR="00846DD1" w:rsidRPr="003B7A64" w:rsidTr="00E926E5">
        <w:trPr>
          <w:cantSplit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/>
                <w:bCs/>
                <w:sz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</w:rPr>
            </w:pPr>
            <w:r w:rsidRPr="003B7A64">
              <w:rPr>
                <w:rFonts w:ascii="Arial" w:eastAsia="华文细黑" w:hAnsi="Arial" w:cs="Arial" w:hint="eastAsia"/>
                <w:bCs/>
                <w:sz w:val="18"/>
              </w:rPr>
              <w:t>应纳增值税税额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6DD1" w:rsidRPr="00846DD1" w:rsidRDefault="00846DD1" w:rsidP="00846DD1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3B7A64">
              <w:rPr>
                <w:rFonts w:ascii="Arial" w:eastAsia="华文细黑" w:hAnsi="Arial" w:cs="Arial"/>
                <w:sz w:val="18"/>
              </w:rPr>
              <w:t>——</w:t>
            </w:r>
          </w:p>
        </w:tc>
        <w:tc>
          <w:tcPr>
            <w:tcW w:w="3486" w:type="dxa"/>
          </w:tcPr>
          <w:p w:rsidR="00846DD1" w:rsidRPr="003B7A64" w:rsidRDefault="00846DD1" w:rsidP="00E926E5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sz w:val="18"/>
              </w:rPr>
            </w:pPr>
            <w:r w:rsidRPr="00846DD1">
              <w:rPr>
                <w:rFonts w:ascii="Arial" w:eastAsia="华文细黑" w:hAnsi="Arial" w:cs="Arial" w:hint="eastAsia"/>
                <w:sz w:val="18"/>
              </w:rPr>
              <w:t>土地增值税税额</w:t>
            </w:r>
            <w:r w:rsidRPr="00846DD1">
              <w:rPr>
                <w:rFonts w:ascii="Arial" w:eastAsia="华文细黑" w:hAnsi="Arial" w:cs="Arial" w:hint="eastAsia"/>
                <w:sz w:val="18"/>
              </w:rPr>
              <w:t>=</w:t>
            </w:r>
            <w:r w:rsidRPr="00846DD1">
              <w:rPr>
                <w:rFonts w:ascii="Arial" w:eastAsia="华文细黑" w:hAnsi="Arial" w:cs="Arial" w:hint="eastAsia"/>
                <w:sz w:val="18"/>
              </w:rPr>
              <w:t>增值额×</w:t>
            </w:r>
            <w:r w:rsidRPr="00846DD1">
              <w:rPr>
                <w:rFonts w:ascii="Arial" w:eastAsia="华文细黑" w:hAnsi="Arial" w:cs="Arial" w:hint="eastAsia"/>
                <w:sz w:val="18"/>
              </w:rPr>
              <w:t>30%</w:t>
            </w:r>
          </w:p>
        </w:tc>
      </w:tr>
    </w:tbl>
    <w:p w:rsidR="00645B48" w:rsidRPr="00846DD1" w:rsidRDefault="00645B48" w:rsidP="00846DD1">
      <w:pPr>
        <w:widowControl/>
        <w:adjustRightInd/>
        <w:spacing w:line="240" w:lineRule="auto"/>
        <w:jc w:val="both"/>
      </w:pPr>
    </w:p>
    <w:sectPr w:rsidR="00645B48" w:rsidRPr="00846DD1" w:rsidSect="00846DD1">
      <w:pgSz w:w="11906" w:h="16838"/>
      <w:pgMar w:top="1843" w:right="1304" w:bottom="1134" w:left="1304" w:header="1134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5E" w:rsidRDefault="0021605E" w:rsidP="00295C81">
      <w:pPr>
        <w:spacing w:line="240" w:lineRule="auto"/>
      </w:pPr>
      <w:r>
        <w:separator/>
      </w:r>
    </w:p>
  </w:endnote>
  <w:endnote w:type="continuationSeparator" w:id="0">
    <w:p w:rsidR="0021605E" w:rsidRDefault="0021605E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7699"/>
      <w:docPartObj>
        <w:docPartGallery w:val="Page Numbers (Bottom of Page)"/>
        <w:docPartUnique/>
      </w:docPartObj>
    </w:sdtPr>
    <w:sdtEndPr/>
    <w:sdtContent>
      <w:sdt>
        <w:sdtPr>
          <w:id w:val="40164150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30726" w:rsidRPr="00846DD1" w:rsidRDefault="00846DD1" w:rsidP="00846DD1">
            <w:pPr>
              <w:pStyle w:val="a4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B469AC">
              <w:rPr>
                <w:rFonts w:ascii="Arial" w:hAnsi="Arial" w:cs="Arial"/>
              </w:rPr>
              <w:fldChar w:fldCharType="begin"/>
            </w:r>
            <w:r w:rsidRPr="00B469AC">
              <w:rPr>
                <w:rFonts w:ascii="Arial" w:hAnsi="Arial" w:cs="Arial"/>
              </w:rPr>
              <w:instrText>PAGE   \* MERGEFORMAT</w:instrText>
            </w:r>
            <w:r w:rsidRPr="00B469AC">
              <w:rPr>
                <w:rFonts w:ascii="Arial" w:hAnsi="Arial" w:cs="Arial"/>
              </w:rPr>
              <w:fldChar w:fldCharType="separate"/>
            </w:r>
            <w:r w:rsidR="00EC4891" w:rsidRPr="00EC4891">
              <w:rPr>
                <w:rFonts w:ascii="Arial" w:hAnsi="Arial" w:cs="Arial"/>
                <w:noProof/>
                <w:lang w:val="zh-CN"/>
              </w:rPr>
              <w:t>1</w:t>
            </w:r>
            <w:r w:rsidRPr="00B469AC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5E" w:rsidRDefault="0021605E" w:rsidP="00295C81">
      <w:pPr>
        <w:spacing w:line="240" w:lineRule="auto"/>
      </w:pPr>
      <w:r>
        <w:separator/>
      </w:r>
    </w:p>
  </w:footnote>
  <w:footnote w:type="continuationSeparator" w:id="0">
    <w:p w:rsidR="0021605E" w:rsidRDefault="0021605E" w:rsidP="0029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B5" w:rsidRDefault="002941B5" w:rsidP="00EC4891">
    <w:pPr>
      <w:pStyle w:val="a3"/>
      <w:pBdr>
        <w:bottom w:val="none" w:sz="0" w:space="0" w:color="auto"/>
      </w:pBdr>
    </w:pPr>
    <w:r w:rsidRPr="002941B5">
      <w:rPr>
        <w:noProof/>
      </w:rPr>
      <w:drawing>
        <wp:inline distT="0" distB="0" distL="0" distR="0" wp14:anchorId="3EC1F717" wp14:editId="32310F37">
          <wp:extent cx="5904000" cy="229194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0" cy="22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638D2"/>
    <w:rsid w:val="000C6D44"/>
    <w:rsid w:val="000F186B"/>
    <w:rsid w:val="000F4652"/>
    <w:rsid w:val="001A49A2"/>
    <w:rsid w:val="0021605E"/>
    <w:rsid w:val="002941B5"/>
    <w:rsid w:val="00295C81"/>
    <w:rsid w:val="002B17C3"/>
    <w:rsid w:val="00435E32"/>
    <w:rsid w:val="0048136A"/>
    <w:rsid w:val="00571FFB"/>
    <w:rsid w:val="00645B48"/>
    <w:rsid w:val="006938A0"/>
    <w:rsid w:val="006B2E3D"/>
    <w:rsid w:val="00733067"/>
    <w:rsid w:val="00772D6C"/>
    <w:rsid w:val="00846DD1"/>
    <w:rsid w:val="0087796A"/>
    <w:rsid w:val="00A30726"/>
    <w:rsid w:val="00BE1227"/>
    <w:rsid w:val="00C32057"/>
    <w:rsid w:val="00D82F52"/>
    <w:rsid w:val="00D85E7C"/>
    <w:rsid w:val="00E10DC0"/>
    <w:rsid w:val="00EC4891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1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1B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1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1B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123</cp:lastModifiedBy>
  <cp:revision>2</cp:revision>
  <cp:lastPrinted>2024-06-24T09:23:00Z</cp:lastPrinted>
  <dcterms:created xsi:type="dcterms:W3CDTF">2024-06-28T09:04:00Z</dcterms:created>
  <dcterms:modified xsi:type="dcterms:W3CDTF">2024-06-28T09:04:00Z</dcterms:modified>
</cp:coreProperties>
</file>