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style1.xml" ContentType="application/vnd.ms-office.chartstyle+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E82F4B">
      <w:pPr>
        <w:spacing w:line="300" w:lineRule="exact"/>
        <w:rPr>
          <w:rFonts w:ascii="Arial" w:hAnsi="Arial"/>
        </w:rPr>
      </w:pPr>
    </w:p>
    <w:p w14:paraId="2B6AF410">
      <w:pPr>
        <w:spacing w:line="300" w:lineRule="exact"/>
        <w:rPr>
          <w:rFonts w:ascii="Arial" w:hAnsi="Arial"/>
        </w:rPr>
      </w:pPr>
    </w:p>
    <w:p w14:paraId="4121DCE9">
      <w:pPr>
        <w:spacing w:line="300" w:lineRule="exact"/>
        <w:rPr>
          <w:rFonts w:ascii="Arial" w:hAnsi="Arial"/>
        </w:rPr>
      </w:pPr>
    </w:p>
    <w:p w14:paraId="4B249AFB">
      <w:pPr>
        <w:spacing w:line="300" w:lineRule="exact"/>
        <w:rPr>
          <w:rFonts w:ascii="Arial" w:hAnsi="Arial"/>
        </w:rPr>
      </w:pPr>
    </w:p>
    <w:p w14:paraId="565A5BD6">
      <w:pPr>
        <w:spacing w:line="300" w:lineRule="exact"/>
        <w:rPr>
          <w:rFonts w:ascii="Arial" w:hAnsi="Arial"/>
        </w:rPr>
      </w:pPr>
    </w:p>
    <w:p w14:paraId="6381F39C">
      <w:pPr>
        <w:spacing w:line="300" w:lineRule="exact"/>
        <w:rPr>
          <w:rFonts w:ascii="Arial" w:hAnsi="Arial"/>
        </w:rPr>
      </w:pPr>
    </w:p>
    <w:p w14:paraId="0B6BA3D5">
      <w:pPr>
        <w:spacing w:line="300" w:lineRule="exact"/>
        <w:rPr>
          <w:rFonts w:ascii="Arial" w:hAnsi="Arial"/>
        </w:rPr>
      </w:pPr>
    </w:p>
    <w:p w14:paraId="3B78D508">
      <w:pPr>
        <w:spacing w:line="300" w:lineRule="exact"/>
        <w:rPr>
          <w:rFonts w:ascii="Arial" w:hAnsi="Arial"/>
        </w:rPr>
      </w:pPr>
    </w:p>
    <w:p w14:paraId="259165A8">
      <w:pPr>
        <w:spacing w:line="300" w:lineRule="exact"/>
        <w:rPr>
          <w:rFonts w:ascii="Arial" w:hAnsi="Arial"/>
        </w:rPr>
      </w:pPr>
    </w:p>
    <w:p w14:paraId="55F59806">
      <w:pPr>
        <w:spacing w:line="300" w:lineRule="exact"/>
        <w:rPr>
          <w:rFonts w:ascii="Arial" w:hAnsi="Arial"/>
        </w:rPr>
      </w:pPr>
    </w:p>
    <w:p w14:paraId="49D60EA6">
      <w:pPr>
        <w:spacing w:line="300" w:lineRule="exact"/>
        <w:rPr>
          <w:rFonts w:ascii="Arial" w:hAnsi="Arial"/>
        </w:rPr>
      </w:pPr>
    </w:p>
    <w:p w14:paraId="33FCC26F">
      <w:pPr>
        <w:spacing w:line="300" w:lineRule="exact"/>
        <w:rPr>
          <w:rFonts w:ascii="Arial" w:hAnsi="Arial"/>
        </w:rPr>
      </w:pPr>
    </w:p>
    <w:p w14:paraId="02BBE4C9">
      <w:pPr>
        <w:spacing w:line="300" w:lineRule="exact"/>
        <w:rPr>
          <w:rFonts w:ascii="Arial" w:hAnsi="Arial"/>
        </w:rPr>
      </w:pPr>
    </w:p>
    <w:p w14:paraId="7D4498EE">
      <w:pPr>
        <w:spacing w:line="300" w:lineRule="exact"/>
        <w:rPr>
          <w:rFonts w:ascii="Arial" w:hAnsi="Arial"/>
        </w:rPr>
      </w:pPr>
    </w:p>
    <w:p w14:paraId="4BABDF38">
      <w:pPr>
        <w:spacing w:line="300" w:lineRule="exact"/>
        <w:rPr>
          <w:rFonts w:ascii="Arial" w:hAnsi="Arial"/>
        </w:rPr>
      </w:pPr>
    </w:p>
    <w:p w14:paraId="1B9F4262">
      <w:pPr>
        <w:spacing w:line="300" w:lineRule="exact"/>
        <w:rPr>
          <w:rFonts w:ascii="Arial" w:hAnsi="Arial"/>
        </w:rPr>
      </w:pPr>
    </w:p>
    <w:p w14:paraId="47C277AD">
      <w:pPr>
        <w:spacing w:line="300" w:lineRule="exact"/>
        <w:rPr>
          <w:rFonts w:ascii="Arial" w:hAnsi="Arial"/>
        </w:rPr>
      </w:pPr>
    </w:p>
    <w:p w14:paraId="0A760C08">
      <w:pPr>
        <w:spacing w:line="300" w:lineRule="exact"/>
        <w:rPr>
          <w:rFonts w:ascii="Arial" w:hAnsi="Arial"/>
        </w:rPr>
      </w:pPr>
    </w:p>
    <w:p w14:paraId="6DB83CC3">
      <w:pPr>
        <w:spacing w:line="300" w:lineRule="exact"/>
        <w:rPr>
          <w:rFonts w:ascii="Arial" w:hAnsi="Arial"/>
        </w:rPr>
      </w:pPr>
    </w:p>
    <w:p w14:paraId="4FFFE4F9">
      <w:pPr>
        <w:spacing w:line="300" w:lineRule="exact"/>
        <w:rPr>
          <w:rFonts w:ascii="Arial" w:hAnsi="Arial"/>
        </w:rPr>
      </w:pPr>
    </w:p>
    <w:p w14:paraId="27000019">
      <w:pPr>
        <w:spacing w:line="300" w:lineRule="exact"/>
        <w:rPr>
          <w:rFonts w:ascii="Arial" w:hAnsi="Arial"/>
        </w:rPr>
      </w:pPr>
    </w:p>
    <w:p w14:paraId="4610782D">
      <w:pPr>
        <w:spacing w:line="300" w:lineRule="exact"/>
        <w:rPr>
          <w:rFonts w:ascii="Arial" w:hAnsi="Arial"/>
        </w:rPr>
      </w:pPr>
    </w:p>
    <w:p w14:paraId="00DF3FED">
      <w:pPr>
        <w:spacing w:line="300" w:lineRule="exact"/>
        <w:rPr>
          <w:rFonts w:ascii="Arial" w:hAnsi="Arial"/>
        </w:rPr>
      </w:pPr>
    </w:p>
    <w:p w14:paraId="0FA417F4">
      <w:pPr>
        <w:spacing w:line="300" w:lineRule="exact"/>
        <w:rPr>
          <w:rFonts w:ascii="Arial" w:hAnsi="Arial"/>
        </w:rPr>
      </w:pPr>
    </w:p>
    <w:p w14:paraId="2537AF9B">
      <w:pPr>
        <w:spacing w:line="300" w:lineRule="exact"/>
        <w:rPr>
          <w:rFonts w:ascii="Arial" w:hAnsi="Arial"/>
        </w:rPr>
      </w:pPr>
    </w:p>
    <w:p w14:paraId="6458829E">
      <w:pPr>
        <w:numPr>
          <w:ilvl w:val="0"/>
          <w:numId w:val="4"/>
        </w:numPr>
        <w:spacing w:line="300" w:lineRule="exact"/>
        <w:ind w:right="-93"/>
        <w:jc w:val="both"/>
        <w:outlineLvl w:val="0"/>
        <w:rPr>
          <w:rFonts w:ascii="Arial" w:hAnsi="Arial" w:eastAsia="方正黑体简体" w:cs="Arial"/>
          <w:b/>
          <w:bCs/>
          <w:sz w:val="21"/>
          <w:szCs w:val="21"/>
        </w:rPr>
      </w:pPr>
      <w:r>
        <w:rPr>
          <w:rFonts w:hint="eastAsia" w:ascii="Arial" w:hAnsi="Arial" w:eastAsia="方正黑体简体" w:cs="Arial"/>
          <w:b/>
          <w:bCs/>
          <w:sz w:val="21"/>
          <w:szCs w:val="21"/>
        </w:rPr>
        <w:t xml:space="preserve">估价项目名称： </w:t>
      </w:r>
    </w:p>
    <w:p w14:paraId="3297DD86">
      <w:pPr>
        <w:spacing w:line="300" w:lineRule="exact"/>
        <w:ind w:left="360"/>
        <w:jc w:val="both"/>
        <w:rPr>
          <w:rFonts w:ascii="Arial" w:hAnsi="Arial" w:eastAsia="方正黑体简体" w:cs="Arial"/>
          <w:sz w:val="21"/>
          <w:szCs w:val="21"/>
        </w:rPr>
      </w:pPr>
      <w:r>
        <w:rPr>
          <w:rFonts w:hint="eastAsia" w:ascii="Arial" w:hAnsi="Arial" w:eastAsia="方正黑体简体" w:cs="Arial"/>
          <w:sz w:val="21"/>
          <w:szCs w:val="21"/>
        </w:rPr>
        <w:t>北京市大兴区饮马井街1号院2号楼11层1单元1102号等305套（福兴雅苑）保障性租赁住房（住宅型）项目同地段、同品质市场租赁住房租金评估</w:t>
      </w:r>
    </w:p>
    <w:p w14:paraId="071A320E">
      <w:pPr>
        <w:spacing w:line="300" w:lineRule="exact"/>
        <w:rPr>
          <w:rFonts w:ascii="Arial" w:hAnsi="Arial" w:eastAsia="方正黑体简体" w:cs="Arial"/>
          <w:b/>
          <w:bCs/>
          <w:sz w:val="21"/>
          <w:szCs w:val="21"/>
        </w:rPr>
      </w:pPr>
    </w:p>
    <w:p w14:paraId="12FEE46F">
      <w:pPr>
        <w:numPr>
          <w:ilvl w:val="0"/>
          <w:numId w:val="4"/>
        </w:numPr>
        <w:spacing w:line="300" w:lineRule="exact"/>
        <w:jc w:val="both"/>
        <w:outlineLvl w:val="0"/>
        <w:rPr>
          <w:rFonts w:ascii="Arial" w:hAnsi="Arial" w:eastAsia="方正黑体简体" w:cs="Arial"/>
          <w:b/>
          <w:sz w:val="21"/>
          <w:szCs w:val="21"/>
        </w:rPr>
      </w:pPr>
      <w:r>
        <w:rPr>
          <w:rFonts w:hint="eastAsia" w:ascii="Arial" w:hAnsi="Arial" w:eastAsia="方正黑体简体" w:cs="Arial"/>
          <w:b/>
          <w:sz w:val="21"/>
          <w:szCs w:val="21"/>
        </w:rPr>
        <w:t>估价委托人：</w:t>
      </w:r>
    </w:p>
    <w:p w14:paraId="578E2348">
      <w:pPr>
        <w:spacing w:line="300" w:lineRule="exact"/>
        <w:ind w:left="360"/>
        <w:jc w:val="both"/>
        <w:rPr>
          <w:rFonts w:ascii="Arial" w:hAnsi="Arial" w:eastAsia="方正黑体简体" w:cs="Arial"/>
          <w:sz w:val="21"/>
          <w:szCs w:val="21"/>
        </w:rPr>
      </w:pPr>
      <w:r>
        <w:rPr>
          <w:rFonts w:hint="eastAsia" w:ascii="Arial" w:hAnsi="Arial" w:eastAsia="方正黑体简体" w:cs="Arial"/>
          <w:sz w:val="21"/>
          <w:szCs w:val="21"/>
        </w:rPr>
        <w:t>北京市燕兴保障性住房建设投资有限公司</w:t>
      </w:r>
    </w:p>
    <w:p w14:paraId="02EC5A66">
      <w:pPr>
        <w:spacing w:line="300" w:lineRule="exact"/>
        <w:ind w:left="360"/>
        <w:jc w:val="both"/>
        <w:rPr>
          <w:rFonts w:ascii="Arial" w:hAnsi="Arial" w:eastAsia="方正黑体简体" w:cs="Arial"/>
          <w:sz w:val="21"/>
          <w:szCs w:val="21"/>
        </w:rPr>
      </w:pPr>
    </w:p>
    <w:p w14:paraId="4054BB58">
      <w:pPr>
        <w:numPr>
          <w:ilvl w:val="0"/>
          <w:numId w:val="4"/>
        </w:numPr>
        <w:spacing w:line="300" w:lineRule="exact"/>
        <w:jc w:val="both"/>
        <w:outlineLvl w:val="0"/>
        <w:rPr>
          <w:rFonts w:ascii="Arial" w:hAnsi="Arial" w:eastAsia="方正黑体简体" w:cs="Arial"/>
          <w:b/>
          <w:sz w:val="21"/>
          <w:szCs w:val="21"/>
        </w:rPr>
      </w:pPr>
      <w:r>
        <w:rPr>
          <w:rFonts w:hint="eastAsia" w:ascii="Arial" w:hAnsi="Arial" w:eastAsia="方正黑体简体" w:cs="Arial"/>
          <w:b/>
          <w:sz w:val="21"/>
          <w:szCs w:val="21"/>
        </w:rPr>
        <w:t>房地产估价机构：</w:t>
      </w:r>
    </w:p>
    <w:p w14:paraId="0DA3F2F8">
      <w:pPr>
        <w:spacing w:line="300" w:lineRule="exact"/>
        <w:ind w:left="360"/>
        <w:jc w:val="both"/>
        <w:rPr>
          <w:rFonts w:ascii="Arial" w:hAnsi="Arial" w:eastAsia="方正黑体简体" w:cs="Arial"/>
          <w:sz w:val="21"/>
          <w:szCs w:val="21"/>
        </w:rPr>
      </w:pPr>
      <w:r>
        <w:rPr>
          <w:rFonts w:hint="eastAsia" w:ascii="Arial" w:hAnsi="Arial" w:eastAsia="方正黑体简体" w:cs="Arial"/>
          <w:sz w:val="21"/>
          <w:szCs w:val="21"/>
        </w:rPr>
        <w:t>北京康正宏基房地产评估有限公司</w:t>
      </w:r>
    </w:p>
    <w:p w14:paraId="65ACCFF6">
      <w:pPr>
        <w:spacing w:line="300" w:lineRule="exact"/>
        <w:jc w:val="both"/>
        <w:rPr>
          <w:rFonts w:ascii="Arial" w:hAnsi="Arial" w:eastAsia="方正黑体简体" w:cs="Arial"/>
          <w:b/>
          <w:sz w:val="21"/>
          <w:szCs w:val="21"/>
        </w:rPr>
      </w:pPr>
    </w:p>
    <w:p w14:paraId="31B2EF3A">
      <w:pPr>
        <w:numPr>
          <w:ilvl w:val="0"/>
          <w:numId w:val="4"/>
        </w:numPr>
        <w:spacing w:line="300" w:lineRule="exact"/>
        <w:jc w:val="both"/>
        <w:outlineLvl w:val="0"/>
        <w:rPr>
          <w:rFonts w:ascii="Arial" w:hAnsi="Arial" w:eastAsia="方正黑体简体" w:cs="Arial"/>
          <w:b/>
          <w:sz w:val="21"/>
          <w:szCs w:val="21"/>
        </w:rPr>
      </w:pPr>
      <w:r>
        <w:rPr>
          <w:rFonts w:hint="eastAsia" w:ascii="Arial" w:hAnsi="Arial" w:eastAsia="方正黑体简体" w:cs="Arial"/>
          <w:b/>
          <w:sz w:val="21"/>
          <w:szCs w:val="21"/>
        </w:rPr>
        <w:t>注册房地产估价师：</w:t>
      </w:r>
    </w:p>
    <w:p w14:paraId="38905C43">
      <w:pPr>
        <w:spacing w:line="300" w:lineRule="exact"/>
        <w:ind w:left="360"/>
        <w:jc w:val="both"/>
        <w:rPr>
          <w:rFonts w:ascii="Arial" w:hAnsi="Arial" w:eastAsia="方正黑体简体" w:cs="Arial"/>
          <w:sz w:val="21"/>
          <w:szCs w:val="21"/>
        </w:rPr>
      </w:pPr>
      <w:bookmarkStart w:id="0" w:name="_Hlk124349677"/>
      <w:r>
        <w:rPr>
          <w:rFonts w:hint="eastAsia" w:ascii="Arial" w:hAnsi="Arial" w:eastAsia="方正黑体简体"/>
          <w:sz w:val="21"/>
          <w:szCs w:val="21"/>
        </w:rPr>
        <w:t>常  畅（注册号：1120250061）</w:t>
      </w:r>
      <w:r>
        <w:rPr>
          <w:rFonts w:ascii="Arial" w:hAnsi="Arial" w:eastAsia="方正黑体简体"/>
          <w:sz w:val="21"/>
          <w:szCs w:val="21"/>
        </w:rPr>
        <w:t xml:space="preserve">  </w:t>
      </w:r>
      <w:r>
        <w:rPr>
          <w:rFonts w:hint="eastAsia" w:ascii="Arial" w:hAnsi="Arial" w:eastAsia="方正黑体简体"/>
          <w:sz w:val="21"/>
          <w:szCs w:val="21"/>
        </w:rPr>
        <w:t>许皓源</w:t>
      </w:r>
      <w:r>
        <w:rPr>
          <w:rFonts w:hint="eastAsia" w:ascii="Arial" w:hAnsi="Arial" w:eastAsia="方正黑体简体" w:cs="Arial"/>
          <w:sz w:val="21"/>
          <w:szCs w:val="21"/>
        </w:rPr>
        <w:t>（注册号：</w:t>
      </w:r>
      <w:r>
        <w:rPr>
          <w:rFonts w:hint="eastAsia" w:ascii="Arial" w:hAnsi="Arial" w:eastAsia="方正黑体简体"/>
          <w:sz w:val="21"/>
          <w:szCs w:val="21"/>
        </w:rPr>
        <w:t>1119980019</w:t>
      </w:r>
      <w:r>
        <w:rPr>
          <w:rFonts w:hint="eastAsia" w:ascii="Arial" w:hAnsi="Arial" w:eastAsia="方正黑体简体" w:cs="Arial"/>
          <w:sz w:val="21"/>
          <w:szCs w:val="21"/>
        </w:rPr>
        <w:t>）</w:t>
      </w:r>
      <w:bookmarkEnd w:id="0"/>
    </w:p>
    <w:p w14:paraId="1530482A">
      <w:pPr>
        <w:spacing w:line="300" w:lineRule="exact"/>
        <w:jc w:val="both"/>
        <w:rPr>
          <w:rFonts w:ascii="Arial" w:hAnsi="Arial" w:eastAsia="方正黑体简体" w:cs="Arial"/>
          <w:b/>
          <w:sz w:val="21"/>
          <w:szCs w:val="21"/>
        </w:rPr>
      </w:pPr>
    </w:p>
    <w:p w14:paraId="784D3438">
      <w:pPr>
        <w:numPr>
          <w:ilvl w:val="0"/>
          <w:numId w:val="4"/>
        </w:numPr>
        <w:spacing w:line="300" w:lineRule="exact"/>
        <w:jc w:val="both"/>
        <w:outlineLvl w:val="0"/>
        <w:rPr>
          <w:rFonts w:ascii="Arial" w:hAnsi="Arial" w:eastAsia="方正黑体简体" w:cs="Arial"/>
          <w:b/>
          <w:sz w:val="21"/>
          <w:szCs w:val="21"/>
        </w:rPr>
      </w:pPr>
      <w:r>
        <w:rPr>
          <w:rFonts w:ascii="Arial" w:hAnsi="Arial" w:eastAsia="方正黑体简体" w:cs="Arial"/>
          <w:b/>
          <w:sz w:val="21"/>
          <w:szCs w:val="21"/>
        </w:rPr>
        <w:t>估价报告出具日期：</w:t>
      </w:r>
    </w:p>
    <w:p w14:paraId="44D934B1">
      <w:pPr>
        <w:spacing w:line="300" w:lineRule="exact"/>
        <w:ind w:left="360"/>
        <w:jc w:val="both"/>
        <w:rPr>
          <w:rFonts w:ascii="Arial" w:hAnsi="Arial" w:eastAsia="方正黑体简体" w:cs="Arial"/>
          <w:sz w:val="21"/>
          <w:szCs w:val="21"/>
        </w:rPr>
      </w:pPr>
      <w:r>
        <w:rPr>
          <w:rFonts w:ascii="Arial" w:hAnsi="Arial" w:eastAsia="方正黑体简体" w:cs="Arial"/>
          <w:sz w:val="21"/>
          <w:szCs w:val="21"/>
        </w:rPr>
        <w:t>202</w:t>
      </w:r>
      <w:r>
        <w:rPr>
          <w:rFonts w:hint="eastAsia" w:ascii="Arial" w:hAnsi="Arial" w:eastAsia="方正黑体简体" w:cs="Arial"/>
          <w:sz w:val="21"/>
          <w:szCs w:val="21"/>
        </w:rPr>
        <w:t>6</w:t>
      </w:r>
      <w:r>
        <w:rPr>
          <w:rFonts w:ascii="Arial" w:hAnsi="Arial" w:eastAsia="方正黑体简体" w:cs="Arial"/>
          <w:sz w:val="21"/>
          <w:szCs w:val="21"/>
        </w:rPr>
        <w:t>年</w:t>
      </w:r>
      <w:r>
        <w:rPr>
          <w:rFonts w:hint="eastAsia" w:ascii="Arial" w:hAnsi="Arial" w:eastAsia="方正黑体简体" w:cs="Arial"/>
          <w:sz w:val="21"/>
          <w:szCs w:val="21"/>
        </w:rPr>
        <w:t>4</w:t>
      </w:r>
      <w:r>
        <w:rPr>
          <w:rFonts w:ascii="Arial" w:hAnsi="Arial" w:eastAsia="方正黑体简体" w:cs="Arial"/>
          <w:sz w:val="21"/>
          <w:szCs w:val="21"/>
        </w:rPr>
        <w:t>月</w:t>
      </w:r>
      <w:r>
        <w:rPr>
          <w:rFonts w:hint="eastAsia" w:ascii="Arial" w:hAnsi="Arial" w:eastAsia="方正黑体简体" w:cs="Arial"/>
          <w:sz w:val="21"/>
          <w:szCs w:val="21"/>
        </w:rPr>
        <w:t>16</w:t>
      </w:r>
      <w:r>
        <w:rPr>
          <w:rFonts w:ascii="Arial" w:hAnsi="Arial" w:eastAsia="方正黑体简体" w:cs="Arial"/>
          <w:sz w:val="21"/>
          <w:szCs w:val="21"/>
        </w:rPr>
        <w:t>日</w:t>
      </w:r>
    </w:p>
    <w:p w14:paraId="5BC736F3">
      <w:pPr>
        <w:spacing w:line="300" w:lineRule="exact"/>
        <w:jc w:val="both"/>
        <w:rPr>
          <w:rFonts w:ascii="Arial" w:hAnsi="Arial" w:eastAsia="方正黑体简体" w:cs="Arial"/>
          <w:b/>
          <w:sz w:val="21"/>
          <w:szCs w:val="21"/>
        </w:rPr>
      </w:pPr>
    </w:p>
    <w:p w14:paraId="04940184">
      <w:pPr>
        <w:numPr>
          <w:ilvl w:val="0"/>
          <w:numId w:val="4"/>
        </w:numPr>
        <w:spacing w:line="300" w:lineRule="exact"/>
        <w:jc w:val="both"/>
        <w:outlineLvl w:val="0"/>
        <w:rPr>
          <w:rFonts w:ascii="Arial" w:hAnsi="Arial" w:eastAsia="方正黑体简体" w:cs="Arial"/>
          <w:sz w:val="21"/>
          <w:szCs w:val="21"/>
        </w:rPr>
      </w:pPr>
      <w:r>
        <w:rPr>
          <w:rFonts w:hint="eastAsia" w:ascii="Arial" w:hAnsi="Arial" w:eastAsia="方正黑体简体" w:cs="Arial"/>
          <w:b/>
          <w:sz w:val="21"/>
          <w:szCs w:val="21"/>
        </w:rPr>
        <w:t>估价报告编号：</w:t>
      </w:r>
    </w:p>
    <w:p w14:paraId="3D0AD462">
      <w:pPr>
        <w:spacing w:line="300" w:lineRule="exact"/>
        <w:ind w:left="360"/>
        <w:jc w:val="both"/>
        <w:rPr>
          <w:rFonts w:ascii="Arial" w:hAnsi="Arial" w:eastAsia="方正黑体简体" w:cs="Arial"/>
          <w:sz w:val="21"/>
          <w:szCs w:val="21"/>
        </w:rPr>
        <w:sectPr>
          <w:headerReference r:id="rId8" w:type="first"/>
          <w:footerReference r:id="rId11" w:type="first"/>
          <w:headerReference r:id="rId7" w:type="default"/>
          <w:footerReference r:id="rId9" w:type="default"/>
          <w:footerReference r:id="rId10" w:type="even"/>
          <w:pgSz w:w="11907" w:h="16840"/>
          <w:pgMar w:top="1843" w:right="1134" w:bottom="1134" w:left="1134" w:header="850" w:footer="1134" w:gutter="340"/>
          <w:cols w:space="720" w:num="1"/>
          <w:titlePg/>
          <w:docGrid w:linePitch="326" w:charSpace="0"/>
        </w:sectPr>
      </w:pPr>
      <w:r>
        <w:rPr>
          <w:rFonts w:hint="eastAsia" w:ascii="Arial" w:hAnsi="Arial" w:eastAsia="方正黑体简体" w:cs="Arial"/>
          <w:sz w:val="21"/>
          <w:szCs w:val="21"/>
        </w:rPr>
        <w:t>康正评字2026-1-0188-F01ZLGJ6号</w:t>
      </w:r>
    </w:p>
    <w:p w14:paraId="63828C9D">
      <w:pPr>
        <w:pStyle w:val="2"/>
        <w:spacing w:line="480" w:lineRule="auto"/>
        <w:jc w:val="center"/>
        <w:rPr>
          <w:rFonts w:eastAsia="方正黑体简体"/>
          <w:b w:val="0"/>
          <w:kern w:val="2"/>
          <w:sz w:val="32"/>
          <w:szCs w:val="32"/>
        </w:rPr>
      </w:pPr>
      <w:bookmarkStart w:id="1" w:name="_Toc477252437"/>
      <w:bookmarkStart w:id="2" w:name="_Toc379795040"/>
      <w:bookmarkStart w:id="3" w:name="_Toc155267082"/>
      <w:r>
        <w:rPr>
          <w:rFonts w:eastAsia="方正黑体简体"/>
          <w:b w:val="0"/>
          <w:kern w:val="2"/>
          <w:sz w:val="32"/>
          <w:szCs w:val="32"/>
        </w:rPr>
        <w:t>致估价委托人函</w:t>
      </w:r>
      <w:bookmarkEnd w:id="1"/>
      <w:bookmarkEnd w:id="2"/>
      <w:bookmarkEnd w:id="3"/>
    </w:p>
    <w:p w14:paraId="22595B26">
      <w:pPr>
        <w:overflowPunct w:val="0"/>
        <w:spacing w:before="120" w:beforeLines="50" w:line="480" w:lineRule="auto"/>
        <w:jc w:val="both"/>
        <w:textAlignment w:val="auto"/>
        <w:rPr>
          <w:rFonts w:ascii="Arial" w:hAnsi="Arial" w:cs="Arial"/>
          <w:b/>
          <w:bCs/>
          <w:sz w:val="21"/>
          <w:szCs w:val="21"/>
        </w:rPr>
      </w:pPr>
      <w:r>
        <w:rPr>
          <w:rFonts w:hint="eastAsia" w:ascii="Arial" w:hAnsi="Arial" w:cs="Arial"/>
          <w:b/>
          <w:bCs/>
          <w:sz w:val="21"/>
          <w:szCs w:val="21"/>
        </w:rPr>
        <w:t>北京市燕兴保障性住房建设投资有限公司</w:t>
      </w:r>
      <w:r>
        <w:rPr>
          <w:rFonts w:ascii="Arial" w:hAnsi="Arial" w:cs="Arial"/>
          <w:b/>
          <w:bCs/>
          <w:sz w:val="21"/>
          <w:szCs w:val="21"/>
        </w:rPr>
        <w:t>：</w:t>
      </w:r>
    </w:p>
    <w:p w14:paraId="590A7ACC">
      <w:pPr>
        <w:overflowPunct w:val="0"/>
        <w:spacing w:line="480" w:lineRule="auto"/>
        <w:ind w:firstLine="420" w:firstLineChars="200"/>
        <w:jc w:val="both"/>
        <w:textAlignment w:val="auto"/>
        <w:rPr>
          <w:rFonts w:ascii="Arial" w:hAnsi="Arial" w:cs="Arial"/>
          <w:kern w:val="2"/>
          <w:sz w:val="21"/>
          <w:szCs w:val="21"/>
        </w:rPr>
      </w:pPr>
      <w:r>
        <w:rPr>
          <w:rFonts w:ascii="Arial" w:hAnsi="Arial" w:cs="Arial"/>
          <w:kern w:val="2"/>
          <w:sz w:val="21"/>
          <w:szCs w:val="21"/>
        </w:rPr>
        <w:t>受贵单位委托，我公司对</w:t>
      </w:r>
      <w:r>
        <w:rPr>
          <w:rFonts w:hint="eastAsia" w:ascii="Arial" w:hAnsi="Arial" w:cs="Arial"/>
          <w:kern w:val="2"/>
          <w:sz w:val="21"/>
          <w:szCs w:val="21"/>
        </w:rPr>
        <w:t>北京市大兴区饮马井街1号院2号楼11层1单元1102号等305套（福兴雅苑）保障性租赁住房（住宅型）项目同地段、同品质市场租赁住房租金进行了评估。</w:t>
      </w:r>
    </w:p>
    <w:p w14:paraId="0215D495">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估价目的：</w:t>
      </w:r>
      <w:r>
        <w:rPr>
          <w:rFonts w:hint="eastAsia" w:ascii="Arial" w:hAnsi="Arial" w:cs="Arial"/>
          <w:sz w:val="21"/>
          <w:szCs w:val="21"/>
        </w:rPr>
        <w:t>评估保障性租赁住房项目同地段同品质市场租赁住房租金，为有关单位合理确定保障性租赁住房项目租金提供参考依据</w:t>
      </w:r>
      <w:r>
        <w:rPr>
          <w:rFonts w:ascii="Arial" w:hAnsi="Arial" w:cs="Arial"/>
          <w:sz w:val="21"/>
          <w:szCs w:val="21"/>
        </w:rPr>
        <w:t>。</w:t>
      </w:r>
    </w:p>
    <w:p w14:paraId="1A88FDE5">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估价对象：</w:t>
      </w:r>
      <w:r>
        <w:rPr>
          <w:rFonts w:hint="eastAsia" w:ascii="Arial" w:hAnsi="Arial" w:cs="Arial"/>
          <w:sz w:val="21"/>
          <w:szCs w:val="21"/>
        </w:rPr>
        <w:t>根据《北京市大兴区住房和城乡建设委员会 关于向燕兴公司出售我区安置房剩余房源资产的请示》[京兴建文（2026）20号]及其附件、《北京市燕兴保障性住房建设投资有限公司 关于保留原房屋产权性质的请示》[燕兴建投文（2026）08号]、《北京市规划和自然资源委员会 大兴分局关于燕兴保障房公司保留原房屋产权性质有关意见的报告》[京规自兴文（2026）91号]、《北京市保障性住房收购合同》及其附件、</w:t>
      </w:r>
      <w:r>
        <w:rPr>
          <w:rFonts w:hint="eastAsia" w:ascii="Arial" w:hAnsi="Arial" w:cs="Arial"/>
          <w:sz w:val="21"/>
          <w:szCs w:val="21"/>
          <w:lang w:eastAsia="zh-CN"/>
        </w:rPr>
        <w:t>《不动产权证书》[京（2026）大不动产权第0006890、0007126、0007158号]部分</w:t>
      </w:r>
      <w:r>
        <w:rPr>
          <w:rFonts w:hint="eastAsia" w:ascii="Arial" w:hAnsi="Arial" w:cs="Arial"/>
          <w:sz w:val="21"/>
          <w:szCs w:val="21"/>
        </w:rPr>
        <w:t>、《估价委托书》，估价对象为北京市</w:t>
      </w:r>
      <w:r>
        <w:rPr>
          <w:rFonts w:hint="eastAsia" w:ascii="Arial" w:hAnsi="Arial" w:cs="Arial"/>
          <w:kern w:val="2"/>
          <w:sz w:val="21"/>
          <w:szCs w:val="21"/>
        </w:rPr>
        <w:t>大兴区饮马井街1、2</w:t>
      </w:r>
      <w:r>
        <w:rPr>
          <w:rFonts w:hint="eastAsia" w:ascii="Arial" w:hAnsi="Arial" w:cs="Arial"/>
          <w:sz w:val="21"/>
          <w:szCs w:val="21"/>
        </w:rPr>
        <w:t>号院（福兴雅苑）共计305套保障性租赁住房（住宅型），总建筑</w:t>
      </w:r>
      <w:r>
        <w:rPr>
          <w:rFonts w:hint="eastAsia" w:ascii="Arial" w:hAnsi="Arial" w:cs="Arial"/>
          <w:kern w:val="2"/>
          <w:sz w:val="21"/>
          <w:szCs w:val="21"/>
        </w:rPr>
        <w:t>面积26934.35平方米，其中，北京市大兴区饮马井街1号院2号楼11层1单元1102等46套，建筑面积3699.3平方米；大兴区饮马井街1号院9号楼1层1单元101等67套，建筑面积5908.18平方米；大兴区饮马井街2号院3号楼21层1单元2101等192套，建筑面积17326.87平方米；</w:t>
      </w:r>
      <w:r>
        <w:rPr>
          <w:rFonts w:hint="eastAsia" w:ascii="Arial" w:hAnsi="Arial" w:cs="Arial"/>
          <w:kern w:val="2"/>
          <w:sz w:val="21"/>
          <w:szCs w:val="21"/>
          <w:lang w:val="en-US" w:eastAsia="zh-CN"/>
        </w:rPr>
        <w:t>权利人</w:t>
      </w:r>
      <w:r>
        <w:rPr>
          <w:rStyle w:val="40"/>
        </w:rPr>
        <w:commentReference w:id="0"/>
      </w:r>
      <w:r>
        <w:rPr>
          <w:rFonts w:hint="eastAsia" w:ascii="Arial" w:hAnsi="Arial" w:cs="Arial"/>
          <w:kern w:val="2"/>
          <w:sz w:val="21"/>
          <w:szCs w:val="21"/>
        </w:rPr>
        <w:t>为北京市燕兴保障性住房建设投资有限公司，并由其负责房源出租及运营管理。</w:t>
      </w:r>
      <w:r>
        <w:rPr>
          <w:rFonts w:hint="eastAsia" w:ascii="Arial" w:hAnsi="Arial" w:cs="Arial"/>
          <w:sz w:val="21"/>
          <w:szCs w:val="21"/>
        </w:rPr>
        <w:t>估价对象具体情况如下：</w:t>
      </w:r>
    </w:p>
    <w:p w14:paraId="148102A7">
      <w:pPr>
        <w:overflowPunct w:val="0"/>
        <w:spacing w:line="240" w:lineRule="auto"/>
        <w:jc w:val="center"/>
        <w:textAlignment w:val="auto"/>
        <w:rPr>
          <w:rFonts w:ascii="Arial" w:hAnsi="Arial" w:cs="Arial"/>
          <w:b/>
          <w:bCs/>
          <w:sz w:val="21"/>
          <w:szCs w:val="21"/>
        </w:rPr>
      </w:pPr>
      <w:r>
        <w:rPr>
          <w:rFonts w:hint="eastAsia" w:ascii="Arial" w:hAnsi="Arial" w:cs="Arial"/>
          <w:b/>
          <w:bCs/>
          <w:sz w:val="21"/>
          <w:szCs w:val="21"/>
        </w:rPr>
        <w:t>估价对象明细表</w:t>
      </w:r>
    </w:p>
    <w:tbl>
      <w:tblPr>
        <w:tblStyle w:val="33"/>
        <w:tblW w:w="4994" w:type="pct"/>
        <w:tblInd w:w="0" w:type="dxa"/>
        <w:shd w:val="clear" w:color="auto" w:fill="FFFFFF" w:themeFill="background1"/>
        <w:tblLayout w:type="autofit"/>
        <w:tblCellMar>
          <w:top w:w="0" w:type="dxa"/>
          <w:left w:w="108" w:type="dxa"/>
          <w:bottom w:w="0" w:type="dxa"/>
          <w:right w:w="108" w:type="dxa"/>
        </w:tblCellMar>
      </w:tblPr>
      <w:tblGrid>
        <w:gridCol w:w="2423"/>
        <w:gridCol w:w="898"/>
        <w:gridCol w:w="1811"/>
        <w:gridCol w:w="1350"/>
        <w:gridCol w:w="1040"/>
        <w:gridCol w:w="1982"/>
      </w:tblGrid>
      <w:tr w14:paraId="3D630352">
        <w:tblPrEx>
          <w:tblCellMar>
            <w:top w:w="0" w:type="dxa"/>
            <w:left w:w="108" w:type="dxa"/>
            <w:bottom w:w="0" w:type="dxa"/>
            <w:right w:w="108" w:type="dxa"/>
          </w:tblCellMar>
        </w:tblPrEx>
        <w:trPr>
          <w:trHeight w:val="264" w:hRule="atLeast"/>
        </w:trPr>
        <w:tc>
          <w:tcPr>
            <w:tcW w:w="127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4F7D96">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位置及楼号</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91B0D1">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户型</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392D26">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面积（平方米）</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85E1E0">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套数（套）</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370467">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朝向</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B09579">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总建筑面积（平方米）</w:t>
            </w:r>
          </w:p>
        </w:tc>
      </w:tr>
      <w:tr w14:paraId="5A289406">
        <w:tblPrEx>
          <w:tblCellMar>
            <w:top w:w="0" w:type="dxa"/>
            <w:left w:w="108" w:type="dxa"/>
            <w:bottom w:w="0" w:type="dxa"/>
            <w:right w:w="108" w:type="dxa"/>
          </w:tblCellMar>
        </w:tblPrEx>
        <w:trPr>
          <w:trHeight w:val="174" w:hRule="atLeast"/>
        </w:trPr>
        <w:tc>
          <w:tcPr>
            <w:tcW w:w="1274"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833BC1">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饮马井街1号院2、5、9、10、11、12、13、15号楼</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7982239">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开间</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65A6A4">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60.36-60.49</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B6DBC9">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7</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1A91AD">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5363CD">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423.17</w:t>
            </w:r>
          </w:p>
        </w:tc>
      </w:tr>
      <w:tr w14:paraId="2764B8F9">
        <w:tblPrEx>
          <w:tblCellMar>
            <w:top w:w="0" w:type="dxa"/>
            <w:left w:w="108" w:type="dxa"/>
            <w:bottom w:w="0" w:type="dxa"/>
            <w:right w:w="108" w:type="dxa"/>
          </w:tblCellMar>
        </w:tblPrEx>
        <w:trPr>
          <w:trHeight w:val="17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C3A13D">
            <w:pPr>
              <w:spacing w:line="240" w:lineRule="auto"/>
              <w:jc w:val="center"/>
              <w:rPr>
                <w:rFonts w:hint="eastAsia" w:ascii="华文细黑" w:hAnsi="华文细黑" w:eastAsia="华文细黑" w:cs="Arial"/>
                <w:sz w:val="18"/>
                <w:szCs w:val="18"/>
              </w:rPr>
            </w:pP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90D930E">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一居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CF3729">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82.85</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83E6C8">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83</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3933B1">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80C725">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6876.55</w:t>
            </w:r>
          </w:p>
        </w:tc>
      </w:tr>
      <w:tr w14:paraId="44F9A048">
        <w:tblPrEx>
          <w:shd w:val="clear" w:color="auto" w:fill="FFFFFF" w:themeFill="background1"/>
          <w:tblCellMar>
            <w:top w:w="0" w:type="dxa"/>
            <w:left w:w="108" w:type="dxa"/>
            <w:bottom w:w="0" w:type="dxa"/>
            <w:right w:w="108" w:type="dxa"/>
          </w:tblCellMar>
        </w:tblPrEx>
        <w:trPr>
          <w:trHeight w:val="90"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18FCD3">
            <w:pPr>
              <w:spacing w:line="240" w:lineRule="auto"/>
              <w:jc w:val="center"/>
              <w:rPr>
                <w:rFonts w:hint="eastAsia" w:ascii="华文细黑" w:hAnsi="华文细黑" w:eastAsia="华文细黑" w:cs="Arial"/>
                <w:sz w:val="18"/>
                <w:szCs w:val="18"/>
              </w:rPr>
            </w:pP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A818B8">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两居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C94486">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99.63-101.3</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56C849">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23</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4E58E2">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B4B111">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2307.76</w:t>
            </w:r>
          </w:p>
        </w:tc>
      </w:tr>
      <w:tr w14:paraId="695B39F5">
        <w:tblPrEx>
          <w:shd w:val="clear" w:color="auto" w:fill="FFFFFF" w:themeFill="background1"/>
          <w:tblCellMar>
            <w:top w:w="0" w:type="dxa"/>
            <w:left w:w="108" w:type="dxa"/>
            <w:bottom w:w="0" w:type="dxa"/>
            <w:right w:w="108" w:type="dxa"/>
          </w:tblCellMar>
        </w:tblPrEx>
        <w:trPr>
          <w:trHeight w:val="194" w:hRule="atLeast"/>
        </w:trPr>
        <w:tc>
          <w:tcPr>
            <w:tcW w:w="1274" w:type="pct"/>
            <w:tcBorders>
              <w:top w:val="nil"/>
              <w:left w:val="single" w:color="000000" w:sz="4" w:space="0"/>
              <w:bottom w:val="nil"/>
              <w:right w:val="single" w:color="000000" w:sz="4" w:space="0"/>
            </w:tcBorders>
            <w:shd w:val="clear" w:color="auto" w:fill="FFFFFF" w:themeFill="background1"/>
            <w:vAlign w:val="center"/>
          </w:tcPr>
          <w:p w14:paraId="3786D275">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小计</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44A659">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AE87FD">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A3BEB7">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113</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D8491A">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791D06">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9607.48</w:t>
            </w:r>
          </w:p>
        </w:tc>
      </w:tr>
      <w:tr w14:paraId="0D73408E">
        <w:tblPrEx>
          <w:shd w:val="clear" w:color="auto" w:fill="FFFFFF" w:themeFill="background1"/>
          <w:tblCellMar>
            <w:top w:w="0" w:type="dxa"/>
            <w:left w:w="108" w:type="dxa"/>
            <w:bottom w:w="0" w:type="dxa"/>
            <w:right w:w="108" w:type="dxa"/>
          </w:tblCellMar>
        </w:tblPrEx>
        <w:trPr>
          <w:trHeight w:val="94" w:hRule="atLeast"/>
        </w:trPr>
        <w:tc>
          <w:tcPr>
            <w:tcW w:w="1274"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CB507B">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饮马井街2号院2、3、5、6、7号楼</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DB6EC6">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开间</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3597F2">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60.49</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12D5B0">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22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9C924E">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A5C494">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1330.78</w:t>
            </w:r>
          </w:p>
        </w:tc>
      </w:tr>
      <w:tr w14:paraId="7E537B1E">
        <w:tblPrEx>
          <w:shd w:val="clear" w:color="auto" w:fill="FFFFFF" w:themeFill="background1"/>
          <w:tblCellMar>
            <w:top w:w="0" w:type="dxa"/>
            <w:left w:w="108" w:type="dxa"/>
            <w:bottom w:w="0" w:type="dxa"/>
            <w:right w:w="108" w:type="dxa"/>
          </w:tblCellMar>
        </w:tblPrEx>
        <w:trPr>
          <w:trHeight w:val="14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803273">
            <w:pPr>
              <w:spacing w:line="240" w:lineRule="auto"/>
              <w:jc w:val="center"/>
              <w:rPr>
                <w:rFonts w:hint="eastAsia" w:ascii="华文细黑" w:hAnsi="华文细黑" w:eastAsia="华文细黑" w:cs="Arial"/>
                <w:sz w:val="18"/>
                <w:szCs w:val="18"/>
              </w:rPr>
            </w:pP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1C155B">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一居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6C2B02">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73.85</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BADB97">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873753">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625493">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147.7</w:t>
            </w:r>
          </w:p>
        </w:tc>
      </w:tr>
      <w:tr w14:paraId="2EB360DA">
        <w:tblPrEx>
          <w:shd w:val="clear" w:color="auto" w:fill="FFFFFF" w:themeFill="background1"/>
          <w:tblCellMar>
            <w:top w:w="0" w:type="dxa"/>
            <w:left w:w="108" w:type="dxa"/>
            <w:bottom w:w="0" w:type="dxa"/>
            <w:right w:w="108" w:type="dxa"/>
          </w:tblCellMar>
        </w:tblPrEx>
        <w:trPr>
          <w:trHeight w:val="15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A7276E">
            <w:pPr>
              <w:spacing w:line="240" w:lineRule="auto"/>
              <w:jc w:val="center"/>
              <w:rPr>
                <w:rFonts w:hint="eastAsia" w:ascii="华文细黑" w:hAnsi="华文细黑" w:eastAsia="华文细黑" w:cs="Arial"/>
                <w:sz w:val="18"/>
                <w:szCs w:val="18"/>
              </w:rP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A098C8">
            <w:pPr>
              <w:spacing w:line="240" w:lineRule="auto"/>
              <w:jc w:val="center"/>
              <w:rPr>
                <w:rFonts w:hint="eastAsia" w:ascii="华文细黑" w:hAnsi="华文细黑" w:eastAsia="华文细黑" w:cs="Arial"/>
                <w:sz w:val="18"/>
                <w:szCs w:val="18"/>
              </w:rPr>
            </w:pP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11E0C3">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74</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E863D8">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6</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4B287D">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5D2724">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444</w:t>
            </w:r>
          </w:p>
        </w:tc>
      </w:tr>
      <w:tr w14:paraId="2DBAF731">
        <w:tblPrEx>
          <w:shd w:val="clear" w:color="auto" w:fill="FFFFFF" w:themeFill="background1"/>
          <w:tblCellMar>
            <w:top w:w="0" w:type="dxa"/>
            <w:left w:w="108" w:type="dxa"/>
            <w:bottom w:w="0" w:type="dxa"/>
            <w:right w:w="108" w:type="dxa"/>
          </w:tblCellMar>
        </w:tblPrEx>
        <w:trPr>
          <w:trHeight w:val="21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975DB1">
            <w:pPr>
              <w:spacing w:line="240" w:lineRule="auto"/>
              <w:jc w:val="center"/>
              <w:rPr>
                <w:rFonts w:hint="eastAsia" w:ascii="华文细黑" w:hAnsi="华文细黑" w:eastAsia="华文细黑" w:cs="Arial"/>
                <w:sz w:val="18"/>
                <w:szCs w:val="18"/>
              </w:rP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F2289D">
            <w:pPr>
              <w:spacing w:line="240" w:lineRule="auto"/>
              <w:jc w:val="center"/>
              <w:rPr>
                <w:rFonts w:hint="eastAsia" w:ascii="华文细黑" w:hAnsi="华文细黑" w:eastAsia="华文细黑" w:cs="Arial"/>
                <w:sz w:val="18"/>
                <w:szCs w:val="18"/>
              </w:rPr>
            </w:pP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0CFCA8">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82.85</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4588FC">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42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A4D7C1">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F5E766">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3479.7</w:t>
            </w:r>
          </w:p>
        </w:tc>
      </w:tr>
      <w:tr w14:paraId="28C5FF3B">
        <w:tblPrEx>
          <w:shd w:val="clear" w:color="auto" w:fill="FFFFFF" w:themeFill="background1"/>
          <w:tblCellMar>
            <w:top w:w="0" w:type="dxa"/>
            <w:left w:w="108" w:type="dxa"/>
            <w:bottom w:w="0" w:type="dxa"/>
            <w:right w:w="108" w:type="dxa"/>
          </w:tblCellMar>
        </w:tblPrEx>
        <w:trPr>
          <w:trHeight w:val="19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A9E30C">
            <w:pPr>
              <w:spacing w:line="240" w:lineRule="auto"/>
              <w:jc w:val="center"/>
              <w:rPr>
                <w:rFonts w:hint="eastAsia" w:ascii="华文细黑" w:hAnsi="华文细黑" w:eastAsia="华文细黑" w:cs="Arial"/>
                <w:sz w:val="18"/>
                <w:szCs w:val="18"/>
              </w:rPr>
            </w:pPr>
          </w:p>
        </w:tc>
        <w:tc>
          <w:tcPr>
            <w:tcW w:w="472" w:type="pct"/>
            <w:tcBorders>
              <w:top w:val="nil"/>
              <w:left w:val="single" w:color="000000" w:sz="4" w:space="0"/>
              <w:bottom w:val="nil"/>
              <w:right w:val="single" w:color="000000" w:sz="4" w:space="0"/>
            </w:tcBorders>
            <w:shd w:val="clear" w:color="auto" w:fill="FFFFFF" w:themeFill="background1"/>
            <w:vAlign w:val="center"/>
          </w:tcPr>
          <w:p w14:paraId="287831CE">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小计</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1B7BC9">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68A098">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50</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E5A123">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63A537">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4071.4</w:t>
            </w:r>
          </w:p>
        </w:tc>
      </w:tr>
      <w:tr w14:paraId="5216FE37">
        <w:tblPrEx>
          <w:shd w:val="clear" w:color="auto" w:fill="FFFFFF" w:themeFill="background1"/>
          <w:tblCellMar>
            <w:top w:w="0" w:type="dxa"/>
            <w:left w:w="108" w:type="dxa"/>
            <w:bottom w:w="0" w:type="dxa"/>
            <w:right w:w="108" w:type="dxa"/>
          </w:tblCellMar>
        </w:tblPrEx>
        <w:trPr>
          <w:trHeight w:val="202"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DD4284">
            <w:pPr>
              <w:spacing w:line="240" w:lineRule="auto"/>
              <w:jc w:val="center"/>
              <w:rPr>
                <w:rFonts w:hint="eastAsia" w:ascii="华文细黑" w:hAnsi="华文细黑" w:eastAsia="华文细黑" w:cs="Arial"/>
                <w:sz w:val="18"/>
                <w:szCs w:val="18"/>
              </w:rPr>
            </w:pPr>
          </w:p>
        </w:tc>
        <w:tc>
          <w:tcPr>
            <w:tcW w:w="472" w:type="pct"/>
            <w:tcBorders>
              <w:top w:val="single" w:color="000000" w:sz="4" w:space="0"/>
              <w:left w:val="single" w:color="000000" w:sz="4" w:space="0"/>
              <w:bottom w:val="nil"/>
              <w:right w:val="single" w:color="000000" w:sz="4" w:space="0"/>
            </w:tcBorders>
            <w:shd w:val="clear" w:color="auto" w:fill="FFFFFF" w:themeFill="background1"/>
            <w:vAlign w:val="center"/>
          </w:tcPr>
          <w:p w14:paraId="194D91C1">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两居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DD5DBF">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95.85-101.74</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6250E9">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112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C6E365">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0E7121">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11062.77</w:t>
            </w:r>
          </w:p>
        </w:tc>
      </w:tr>
      <w:tr w14:paraId="4670F3BC">
        <w:tblPrEx>
          <w:shd w:val="clear" w:color="auto" w:fill="FFFFFF" w:themeFill="background1"/>
          <w:tblCellMar>
            <w:top w:w="0" w:type="dxa"/>
            <w:left w:w="108" w:type="dxa"/>
            <w:bottom w:w="0" w:type="dxa"/>
            <w:right w:w="108" w:type="dxa"/>
          </w:tblCellMar>
        </w:tblPrEx>
        <w:trPr>
          <w:trHeight w:val="15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236E4D">
            <w:pPr>
              <w:spacing w:line="240" w:lineRule="auto"/>
              <w:jc w:val="center"/>
              <w:rPr>
                <w:rFonts w:hint="eastAsia" w:ascii="华文细黑" w:hAnsi="华文细黑" w:eastAsia="华文细黑" w:cs="Arial"/>
                <w:sz w:val="18"/>
                <w:szCs w:val="18"/>
              </w:rPr>
            </w:pPr>
          </w:p>
        </w:tc>
        <w:tc>
          <w:tcPr>
            <w:tcW w:w="472" w:type="pct"/>
            <w:tcBorders>
              <w:top w:val="single" w:color="000000" w:sz="4" w:space="0"/>
              <w:left w:val="single" w:color="000000" w:sz="4" w:space="0"/>
              <w:bottom w:val="nil"/>
              <w:right w:val="single" w:color="000000" w:sz="4" w:space="0"/>
            </w:tcBorders>
            <w:shd w:val="clear" w:color="auto" w:fill="FFFFFF" w:themeFill="background1"/>
            <w:vAlign w:val="center"/>
          </w:tcPr>
          <w:p w14:paraId="054B7683">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三居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0E40B4">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107.74</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D50D50">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6C7A53">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9D87D6">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861.92</w:t>
            </w:r>
          </w:p>
        </w:tc>
      </w:tr>
      <w:tr w14:paraId="07198EEC">
        <w:tblPrEx>
          <w:shd w:val="clear" w:color="auto" w:fill="FFFFFF" w:themeFill="background1"/>
          <w:tblCellMar>
            <w:top w:w="0" w:type="dxa"/>
            <w:left w:w="108" w:type="dxa"/>
            <w:bottom w:w="0" w:type="dxa"/>
            <w:right w:w="108" w:type="dxa"/>
          </w:tblCellMar>
        </w:tblPrEx>
        <w:trPr>
          <w:trHeight w:val="144" w:hRule="atLeast"/>
        </w:trPr>
        <w:tc>
          <w:tcPr>
            <w:tcW w:w="127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4348B6">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小计</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497105">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818CE2">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067931">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192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642465">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D4F721">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17326.87</w:t>
            </w:r>
          </w:p>
        </w:tc>
      </w:tr>
      <w:tr w14:paraId="1F0807D2">
        <w:tblPrEx>
          <w:shd w:val="clear" w:color="auto" w:fill="FFFFFF" w:themeFill="background1"/>
          <w:tblCellMar>
            <w:top w:w="0" w:type="dxa"/>
            <w:left w:w="108" w:type="dxa"/>
            <w:bottom w:w="0" w:type="dxa"/>
            <w:right w:w="108" w:type="dxa"/>
          </w:tblCellMar>
        </w:tblPrEx>
        <w:trPr>
          <w:trHeight w:val="174" w:hRule="atLeast"/>
        </w:trPr>
        <w:tc>
          <w:tcPr>
            <w:tcW w:w="127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8CB6CB">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合计</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4D7965">
            <w:pPr>
              <w:widowControl/>
              <w:adjustRightInd/>
              <w:spacing w:line="240" w:lineRule="auto"/>
              <w:jc w:val="center"/>
              <w:textAlignment w:val="auto"/>
              <w:rPr>
                <w:rFonts w:hint="eastAsia" w:ascii="华文细黑" w:hAnsi="华文细黑" w:eastAsia="华文细黑" w:cs="Arial"/>
                <w:sz w:val="18"/>
                <w:szCs w:val="18"/>
              </w:rPr>
            </w:pP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36BDAE">
            <w:pPr>
              <w:widowControl/>
              <w:adjustRightInd/>
              <w:spacing w:line="240" w:lineRule="auto"/>
              <w:jc w:val="center"/>
              <w:textAlignment w:val="auto"/>
              <w:rPr>
                <w:rFonts w:hint="eastAsia" w:ascii="华文细黑" w:hAnsi="华文细黑" w:eastAsia="华文细黑" w:cs="Arial"/>
                <w:sz w:val="18"/>
                <w:szCs w:val="18"/>
              </w:rPr>
            </w:pP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179993">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305</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6B7352">
            <w:pPr>
              <w:widowControl/>
              <w:adjustRightInd/>
              <w:spacing w:line="240" w:lineRule="auto"/>
              <w:jc w:val="center"/>
              <w:textAlignment w:val="auto"/>
              <w:rPr>
                <w:rFonts w:hint="eastAsia" w:ascii="华文细黑" w:hAnsi="华文细黑" w:eastAsia="华文细黑" w:cs="Arial"/>
                <w:sz w:val="18"/>
                <w:szCs w:val="18"/>
              </w:rPr>
            </w:pP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33DF3D">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26934.35</w:t>
            </w:r>
          </w:p>
        </w:tc>
      </w:tr>
    </w:tbl>
    <w:p w14:paraId="1220C2E8">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价值时点：</w:t>
      </w:r>
      <w:r>
        <w:rPr>
          <w:rFonts w:hint="eastAsia" w:ascii="Arial" w:hAnsi="Arial" w:cs="Arial"/>
          <w:sz w:val="21"/>
          <w:szCs w:val="21"/>
        </w:rPr>
        <w:t>2026年4月7日（依据《估价委托书》确定）</w:t>
      </w:r>
    </w:p>
    <w:p w14:paraId="0DE1F9ED">
      <w:pPr>
        <w:tabs>
          <w:tab w:val="left" w:pos="7920"/>
        </w:tabs>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价值类型：</w:t>
      </w:r>
      <w:r>
        <w:rPr>
          <w:rFonts w:hint="eastAsia" w:ascii="Arial" w:hAnsi="Arial" w:cs="Arial"/>
          <w:sz w:val="21"/>
          <w:szCs w:val="21"/>
        </w:rPr>
        <w:t>根据房地产评估的技术规程和本次估价目的，本次估价采用的是市场价值标准。</w:t>
      </w:r>
      <w:bookmarkStart w:id="4" w:name="_Hlk118454962"/>
      <w:r>
        <w:rPr>
          <w:rFonts w:hint="eastAsia" w:ascii="Arial" w:hAnsi="Arial" w:cs="Arial"/>
          <w:sz w:val="21"/>
          <w:szCs w:val="21"/>
        </w:rPr>
        <w:t>市场租赁住房租金是指市场租赁住房于价值时点在公开市场上的平均租金，</w:t>
      </w:r>
      <w:bookmarkEnd w:id="4"/>
      <w:r>
        <w:rPr>
          <w:rFonts w:hint="eastAsia" w:ascii="Arial" w:hAnsi="Arial" w:cs="Arial"/>
          <w:sz w:val="21"/>
          <w:szCs w:val="21"/>
          <w:lang w:eastAsia="zh-CN"/>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r>
        <w:rPr>
          <w:rFonts w:hint="eastAsia" w:ascii="Arial" w:hAnsi="Arial" w:cs="Arial"/>
          <w:sz w:val="21"/>
          <w:szCs w:val="21"/>
        </w:rPr>
        <w:t>。</w:t>
      </w:r>
    </w:p>
    <w:p w14:paraId="313DC30E">
      <w:pPr>
        <w:tabs>
          <w:tab w:val="left" w:pos="7920"/>
        </w:tabs>
        <w:overflowPunct w:val="0"/>
        <w:spacing w:line="480" w:lineRule="auto"/>
        <w:ind w:firstLine="422" w:firstLineChars="200"/>
        <w:jc w:val="both"/>
        <w:textAlignment w:val="auto"/>
        <w:rPr>
          <w:rFonts w:ascii="Arial" w:hAnsi="Arial" w:cs="Arial"/>
          <w:b/>
          <w:bCs/>
          <w:sz w:val="21"/>
          <w:szCs w:val="21"/>
        </w:rPr>
      </w:pPr>
      <w:r>
        <w:rPr>
          <w:rFonts w:ascii="Arial" w:hAnsi="Arial" w:cs="Arial"/>
          <w:b/>
          <w:bCs/>
          <w:sz w:val="21"/>
          <w:szCs w:val="21"/>
        </w:rPr>
        <w:t>估价方法：</w:t>
      </w:r>
      <w:r>
        <w:rPr>
          <w:rFonts w:ascii="Arial" w:hAnsi="Arial" w:cs="Arial"/>
          <w:bCs/>
          <w:sz w:val="21"/>
          <w:szCs w:val="21"/>
        </w:rPr>
        <w:t>本次评估采用的估价方法为比较法</w:t>
      </w:r>
      <w:r>
        <w:rPr>
          <w:rFonts w:ascii="Arial" w:hAnsi="Arial" w:cs="Arial"/>
          <w:sz w:val="21"/>
          <w:szCs w:val="21"/>
        </w:rPr>
        <w:t>。</w:t>
      </w:r>
    </w:p>
    <w:p w14:paraId="2970AE47">
      <w:pPr>
        <w:tabs>
          <w:tab w:val="left" w:pos="7920"/>
        </w:tabs>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估价结果：</w:t>
      </w:r>
      <w:r>
        <w:rPr>
          <w:rFonts w:ascii="Arial" w:hAnsi="Arial" w:cs="Arial"/>
          <w:sz w:val="21"/>
          <w:szCs w:val="21"/>
        </w:rPr>
        <w:t>评估专业人员根据估价的目的，</w:t>
      </w:r>
      <w:r>
        <w:rPr>
          <w:rFonts w:hint="eastAsia" w:ascii="Arial" w:hAnsi="Arial" w:cs="Arial"/>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hint="eastAsia" w:ascii="Arial" w:hAnsi="Arial" w:cs="Arial"/>
          <w:sz w:val="21"/>
          <w:szCs w:val="21"/>
        </w:rPr>
        <w:t>租赁</w:t>
      </w:r>
      <w:r>
        <w:rPr>
          <w:rFonts w:ascii="Arial" w:hAnsi="Arial" w:cs="Arial"/>
          <w:sz w:val="21"/>
          <w:szCs w:val="21"/>
        </w:rPr>
        <w:t>价格的因素，</w:t>
      </w:r>
      <w:r>
        <w:rPr>
          <w:rFonts w:hint="eastAsia" w:ascii="Arial" w:hAnsi="Arial" w:cs="Arial"/>
          <w:sz w:val="21"/>
          <w:szCs w:val="21"/>
        </w:rPr>
        <w:t>最终</w:t>
      </w:r>
      <w:r>
        <w:rPr>
          <w:rFonts w:ascii="Arial" w:hAnsi="Arial" w:cs="Arial"/>
          <w:sz w:val="21"/>
          <w:szCs w:val="21"/>
        </w:rPr>
        <w:t>确定</w:t>
      </w:r>
      <w:r>
        <w:rPr>
          <w:rFonts w:hint="eastAsia" w:ascii="Arial" w:hAnsi="Arial" w:cs="Arial"/>
          <w:sz w:val="21"/>
          <w:szCs w:val="21"/>
        </w:rPr>
        <w:t>（福兴雅苑）保障性租赁住房（住宅型）项目于价值时点2026年4月7日同地段、同品质市场租赁住房租金为：</w:t>
      </w:r>
    </w:p>
    <w:p w14:paraId="62DAAA7D">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开  间（60.36-60.49</w:t>
      </w:r>
      <w:r>
        <w:rPr>
          <w:rFonts w:ascii="Arial" w:hAnsi="Arial" w:cs="Arial"/>
          <w:b/>
          <w:bCs/>
          <w:sz w:val="21"/>
          <w:szCs w:val="21"/>
        </w:rPr>
        <w:t>平方米）</w:t>
      </w:r>
      <w:r>
        <w:rPr>
          <w:rFonts w:hint="eastAsia" w:ascii="Arial" w:hAnsi="Arial" w:cs="Arial"/>
          <w:b/>
          <w:bCs/>
          <w:sz w:val="21"/>
          <w:szCs w:val="21"/>
        </w:rPr>
        <w:t>：46.38元/平方米·月</w:t>
      </w:r>
    </w:p>
    <w:p w14:paraId="79CB6F4C">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一居室（73.85-74.00</w:t>
      </w:r>
      <w:r>
        <w:rPr>
          <w:rFonts w:ascii="Arial" w:hAnsi="Arial" w:cs="Arial"/>
          <w:b/>
          <w:bCs/>
          <w:sz w:val="21"/>
          <w:szCs w:val="21"/>
        </w:rPr>
        <w:t>平方米）</w:t>
      </w:r>
      <w:r>
        <w:rPr>
          <w:rFonts w:hint="eastAsia" w:ascii="Arial" w:hAnsi="Arial" w:cs="Arial"/>
          <w:b/>
          <w:bCs/>
          <w:sz w:val="21"/>
          <w:szCs w:val="21"/>
        </w:rPr>
        <w:t>：50.25元/平方米·月</w:t>
      </w:r>
    </w:p>
    <w:p w14:paraId="0C79BA69">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一居室（82.25</w:t>
      </w:r>
      <w:r>
        <w:rPr>
          <w:rFonts w:ascii="Arial" w:hAnsi="Arial" w:cs="Arial"/>
          <w:b/>
          <w:bCs/>
          <w:sz w:val="21"/>
          <w:szCs w:val="21"/>
        </w:rPr>
        <w:t>平方米）</w:t>
      </w:r>
      <w:r>
        <w:rPr>
          <w:rFonts w:hint="eastAsia" w:ascii="Arial" w:hAnsi="Arial" w:cs="Arial"/>
          <w:b/>
          <w:bCs/>
          <w:sz w:val="21"/>
          <w:szCs w:val="21"/>
        </w:rPr>
        <w:t>：44.95元/平方米·月</w:t>
      </w:r>
    </w:p>
    <w:p w14:paraId="34F1151A">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两居室（95.85-101.74</w:t>
      </w:r>
      <w:r>
        <w:rPr>
          <w:rFonts w:ascii="Arial" w:hAnsi="Arial" w:cs="Arial"/>
          <w:b/>
          <w:bCs/>
          <w:sz w:val="21"/>
          <w:szCs w:val="21"/>
        </w:rPr>
        <w:t>平方米）</w:t>
      </w:r>
      <w:r>
        <w:rPr>
          <w:rFonts w:hint="eastAsia" w:ascii="Arial" w:hAnsi="Arial" w:cs="Arial"/>
          <w:b/>
          <w:bCs/>
          <w:sz w:val="21"/>
          <w:szCs w:val="21"/>
        </w:rPr>
        <w:t>：40.02元/平方米·月</w:t>
      </w:r>
    </w:p>
    <w:p w14:paraId="1FC360D0">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三居室（107.74</w:t>
      </w:r>
      <w:r>
        <w:rPr>
          <w:rFonts w:ascii="Arial" w:hAnsi="Arial" w:cs="Arial"/>
          <w:b/>
          <w:bCs/>
          <w:sz w:val="21"/>
          <w:szCs w:val="21"/>
        </w:rPr>
        <w:t>平方米</w:t>
      </w:r>
      <w:r>
        <w:rPr>
          <w:rFonts w:hint="eastAsia" w:ascii="Arial" w:hAnsi="Arial" w:cs="Arial"/>
          <w:b/>
          <w:bCs/>
          <w:sz w:val="21"/>
          <w:szCs w:val="21"/>
        </w:rPr>
        <w:t>）：38.25元/平方米·月</w:t>
      </w:r>
    </w:p>
    <w:p w14:paraId="2565C14A">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综合租金：42.32元/平方米·月</w:t>
      </w:r>
    </w:p>
    <w:p w14:paraId="4BB4F06D">
      <w:pPr>
        <w:overflowPunct w:val="0"/>
        <w:spacing w:line="480" w:lineRule="auto"/>
        <w:ind w:firstLine="360" w:firstLineChars="200"/>
        <w:jc w:val="both"/>
        <w:textAlignment w:val="auto"/>
        <w:rPr>
          <w:rFonts w:ascii="Arial" w:hAnsi="Arial" w:cs="Arial"/>
          <w:sz w:val="18"/>
          <w:szCs w:val="18"/>
        </w:rPr>
      </w:pPr>
      <w:r>
        <w:rPr>
          <w:rFonts w:ascii="Arial" w:hAnsi="Arial" w:cs="Arial"/>
          <w:sz w:val="18"/>
          <w:szCs w:val="18"/>
        </w:rPr>
        <w:t>注：1、</w:t>
      </w:r>
      <w:r>
        <w:rPr>
          <w:rFonts w:hint="eastAsia" w:ascii="Arial" w:hAnsi="Arial" w:cs="Arial"/>
          <w:sz w:val="18"/>
          <w:szCs w:val="18"/>
        </w:rPr>
        <w:t>评估的详细结果、过程及有关说明，详见《估价结果报告》、《估价技术报告》。</w:t>
      </w:r>
    </w:p>
    <w:p w14:paraId="77785671">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w:t>
      </w:r>
      <w:r>
        <w:rPr>
          <w:rFonts w:hint="eastAsia" w:ascii="Arial" w:hAnsi="Arial" w:cs="Arial"/>
          <w:sz w:val="18"/>
          <w:szCs w:val="18"/>
        </w:rPr>
        <w:t>2</w:t>
      </w:r>
      <w:r>
        <w:rPr>
          <w:rFonts w:ascii="Arial" w:hAnsi="Arial" w:cs="Arial"/>
          <w:sz w:val="18"/>
          <w:szCs w:val="18"/>
        </w:rPr>
        <w:t>、</w:t>
      </w:r>
      <w:r>
        <w:rPr>
          <w:rFonts w:hint="eastAsia" w:ascii="Arial" w:hAnsi="Arial" w:cs="Arial"/>
          <w:sz w:val="18"/>
          <w:szCs w:val="18"/>
        </w:rPr>
        <w:t>市场租赁住房租金是指市场租赁住房于价值时点在公开市场上的平均租金，</w:t>
      </w:r>
      <w:r>
        <w:rPr>
          <w:rFonts w:hint="eastAsia" w:ascii="Arial" w:hAnsi="Arial" w:cs="Arial"/>
          <w:sz w:val="18"/>
          <w:szCs w:val="18"/>
          <w:lang w:eastAsia="zh-CN"/>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r>
        <w:rPr>
          <w:rFonts w:hint="eastAsia" w:ascii="Arial" w:hAnsi="Arial" w:cs="Arial"/>
          <w:sz w:val="18"/>
          <w:szCs w:val="18"/>
        </w:rPr>
        <w:t>。</w:t>
      </w:r>
    </w:p>
    <w:p w14:paraId="5E992CE0">
      <w:pPr>
        <w:overflowPunct w:val="0"/>
        <w:spacing w:line="480" w:lineRule="auto"/>
        <w:ind w:firstLine="420" w:firstLineChars="200"/>
        <w:jc w:val="both"/>
        <w:textAlignment w:val="auto"/>
        <w:rPr>
          <w:rFonts w:hint="eastAsia" w:ascii="华文楷体" w:hAnsi="华文楷体" w:eastAsia="华文楷体" w:cs="华文楷体"/>
          <w:sz w:val="21"/>
          <w:szCs w:val="21"/>
        </w:rPr>
      </w:pPr>
      <w:r>
        <w:rPr>
          <w:rFonts w:hint="eastAsia" w:ascii="华文楷体" w:hAnsi="华文楷体" w:eastAsia="华文楷体" w:cs="华文楷体"/>
          <w:sz w:val="21"/>
          <w:szCs w:val="21"/>
        </w:rPr>
        <w:t>（转下页）</w:t>
      </w:r>
    </w:p>
    <w:p w14:paraId="355B8915">
      <w:pPr>
        <w:rPr>
          <w:rFonts w:hint="eastAsia" w:ascii="华文楷体" w:hAnsi="华文楷体" w:eastAsia="华文楷体" w:cs="华文楷体"/>
          <w:sz w:val="21"/>
          <w:szCs w:val="21"/>
        </w:rPr>
      </w:pPr>
      <w:r>
        <w:rPr>
          <w:rFonts w:ascii="华文楷体" w:hAnsi="华文楷体" w:eastAsia="华文楷体" w:cs="华文楷体"/>
          <w:sz w:val="21"/>
          <w:szCs w:val="21"/>
        </w:rPr>
        <w:br w:type="page"/>
      </w:r>
    </w:p>
    <w:p w14:paraId="13A6C033">
      <w:pPr>
        <w:overflowPunct w:val="0"/>
        <w:spacing w:line="480" w:lineRule="auto"/>
        <w:ind w:firstLine="420" w:firstLineChars="200"/>
        <w:jc w:val="both"/>
        <w:textAlignment w:val="auto"/>
        <w:rPr>
          <w:rFonts w:hint="eastAsia" w:ascii="华文楷体" w:hAnsi="华文楷体" w:eastAsia="华文楷体" w:cs="华文楷体"/>
          <w:sz w:val="21"/>
          <w:szCs w:val="21"/>
        </w:rPr>
      </w:pPr>
      <w:r>
        <w:rPr>
          <w:rFonts w:hint="eastAsia" w:ascii="华文楷体" w:hAnsi="华文楷体" w:eastAsia="华文楷体" w:cs="华文楷体"/>
          <w:sz w:val="21"/>
          <w:szCs w:val="21"/>
        </w:rPr>
        <w:t>（此页无正文）</w:t>
      </w:r>
    </w:p>
    <w:p w14:paraId="7F2828A2">
      <w:pPr>
        <w:overflowPunct w:val="0"/>
        <w:spacing w:line="480" w:lineRule="auto"/>
        <w:jc w:val="both"/>
        <w:textAlignment w:val="auto"/>
        <w:rPr>
          <w:rFonts w:hint="eastAsia" w:ascii="华文楷体" w:hAnsi="华文楷体" w:eastAsia="华文楷体" w:cs="华文楷体"/>
          <w:sz w:val="21"/>
          <w:szCs w:val="21"/>
        </w:rPr>
      </w:pPr>
    </w:p>
    <w:p w14:paraId="42ABD353">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顺致</w:t>
      </w:r>
    </w:p>
    <w:p w14:paraId="54D6F663">
      <w:pPr>
        <w:overflowPunct w:val="0"/>
        <w:spacing w:line="480" w:lineRule="auto"/>
        <w:ind w:firstLine="420" w:firstLineChars="200"/>
        <w:jc w:val="both"/>
        <w:textAlignment w:val="auto"/>
        <w:rPr>
          <w:rFonts w:ascii="Arial" w:hAnsi="Arial" w:cs="Arial"/>
          <w:sz w:val="21"/>
          <w:szCs w:val="21"/>
        </w:rPr>
      </w:pPr>
    </w:p>
    <w:p w14:paraId="55B708A2">
      <w:pPr>
        <w:spacing w:line="480" w:lineRule="auto"/>
        <w:ind w:firstLine="1260" w:firstLineChars="600"/>
        <w:jc w:val="both"/>
        <w:rPr>
          <w:rFonts w:ascii="Arial" w:hAnsi="Arial" w:cs="Arial"/>
          <w:sz w:val="21"/>
          <w:szCs w:val="21"/>
        </w:rPr>
      </w:pPr>
      <w:r>
        <w:rPr>
          <w:rFonts w:ascii="Arial" w:hAnsi="Arial" w:cs="Arial"/>
          <w:sz w:val="21"/>
          <w:szCs w:val="21"/>
        </w:rPr>
        <w:t>商祺</w:t>
      </w:r>
    </w:p>
    <w:tbl>
      <w:tblPr>
        <w:tblStyle w:val="33"/>
        <w:tblpPr w:leftFromText="180" w:rightFromText="180" w:vertAnchor="text" w:horzAnchor="margin" w:tblpXSpec="right" w:tblpY="1117"/>
        <w:tblW w:w="0" w:type="auto"/>
        <w:tblInd w:w="0" w:type="dxa"/>
        <w:tblLayout w:type="autofit"/>
        <w:tblCellMar>
          <w:top w:w="0" w:type="dxa"/>
          <w:left w:w="108" w:type="dxa"/>
          <w:bottom w:w="0" w:type="dxa"/>
          <w:right w:w="108" w:type="dxa"/>
        </w:tblCellMar>
      </w:tblPr>
      <w:tblGrid>
        <w:gridCol w:w="3402"/>
      </w:tblGrid>
      <w:tr w14:paraId="6176EF29">
        <w:tblPrEx>
          <w:tblCellMar>
            <w:top w:w="0" w:type="dxa"/>
            <w:left w:w="108" w:type="dxa"/>
            <w:bottom w:w="0" w:type="dxa"/>
            <w:right w:w="108" w:type="dxa"/>
          </w:tblCellMar>
        </w:tblPrEx>
        <w:tc>
          <w:tcPr>
            <w:tcW w:w="3402" w:type="dxa"/>
          </w:tcPr>
          <w:p w14:paraId="69D3126E">
            <w:pPr>
              <w:spacing w:line="480" w:lineRule="auto"/>
              <w:rPr>
                <w:rFonts w:ascii="Arial" w:hAnsi="Arial" w:cs="Arial"/>
                <w:sz w:val="21"/>
                <w:szCs w:val="21"/>
              </w:rPr>
            </w:pPr>
            <w:r>
              <w:rPr>
                <w:rFonts w:ascii="Arial" w:hAnsi="Arial" w:cs="Arial"/>
                <w:sz w:val="21"/>
                <w:szCs w:val="21"/>
              </w:rPr>
              <w:t>北京康正宏基房地产评估有限公司</w:t>
            </w:r>
          </w:p>
        </w:tc>
      </w:tr>
      <w:tr w14:paraId="68BA696A">
        <w:tblPrEx>
          <w:tblCellMar>
            <w:top w:w="0" w:type="dxa"/>
            <w:left w:w="108" w:type="dxa"/>
            <w:bottom w:w="0" w:type="dxa"/>
            <w:right w:w="108" w:type="dxa"/>
          </w:tblCellMar>
        </w:tblPrEx>
        <w:trPr>
          <w:trHeight w:val="1298" w:hRule="atLeast"/>
        </w:trPr>
        <w:tc>
          <w:tcPr>
            <w:tcW w:w="3402" w:type="dxa"/>
          </w:tcPr>
          <w:p w14:paraId="2AC1D2A2">
            <w:pPr>
              <w:spacing w:line="480" w:lineRule="auto"/>
              <w:rPr>
                <w:rFonts w:ascii="Arial" w:hAnsi="Arial" w:cs="Arial"/>
                <w:sz w:val="21"/>
                <w:szCs w:val="21"/>
              </w:rPr>
            </w:pPr>
            <w:r>
              <w:rPr>
                <w:rFonts w:ascii="Arial" w:hAnsi="Arial" w:cs="Arial"/>
                <w:sz w:val="21"/>
                <w:szCs w:val="21"/>
              </w:rPr>
              <w:t>法定代表人：</w:t>
            </w:r>
          </w:p>
        </w:tc>
      </w:tr>
      <w:tr w14:paraId="6D58F6B4">
        <w:tblPrEx>
          <w:tblCellMar>
            <w:top w:w="0" w:type="dxa"/>
            <w:left w:w="108" w:type="dxa"/>
            <w:bottom w:w="0" w:type="dxa"/>
            <w:right w:w="108" w:type="dxa"/>
          </w:tblCellMar>
        </w:tblPrEx>
        <w:tc>
          <w:tcPr>
            <w:tcW w:w="3402" w:type="dxa"/>
          </w:tcPr>
          <w:p w14:paraId="526AFC2C">
            <w:pPr>
              <w:spacing w:line="480" w:lineRule="auto"/>
              <w:jc w:val="right"/>
              <w:rPr>
                <w:rFonts w:ascii="Arial" w:hAnsi="Arial" w:cs="Arial"/>
                <w:sz w:val="21"/>
                <w:szCs w:val="21"/>
              </w:rPr>
            </w:pPr>
            <w:r>
              <w:rPr>
                <w:rFonts w:ascii="Arial" w:hAnsi="Arial" w:cs="Arial"/>
                <w:sz w:val="21"/>
                <w:szCs w:val="21"/>
              </w:rPr>
              <w:t>二〇二</w:t>
            </w:r>
            <w:r>
              <w:rPr>
                <w:rFonts w:hint="eastAsia" w:ascii="Arial" w:hAnsi="Arial" w:cs="Arial"/>
                <w:sz w:val="21"/>
                <w:szCs w:val="21"/>
              </w:rPr>
              <w:t>六</w:t>
            </w:r>
            <w:r>
              <w:rPr>
                <w:rFonts w:ascii="Arial" w:hAnsi="Arial" w:cs="Arial"/>
                <w:sz w:val="21"/>
                <w:szCs w:val="21"/>
              </w:rPr>
              <w:t>年</w:t>
            </w:r>
            <w:r>
              <w:rPr>
                <w:rFonts w:hint="eastAsia" w:ascii="Arial" w:hAnsi="Arial" w:cs="Arial"/>
                <w:sz w:val="21"/>
                <w:szCs w:val="21"/>
              </w:rPr>
              <w:t>四</w:t>
            </w:r>
            <w:r>
              <w:rPr>
                <w:rFonts w:ascii="Arial" w:hAnsi="Arial" w:cs="Arial"/>
                <w:sz w:val="21"/>
                <w:szCs w:val="21"/>
              </w:rPr>
              <w:t>月</w:t>
            </w:r>
            <w:r>
              <w:rPr>
                <w:rFonts w:hint="eastAsia" w:ascii="Arial" w:hAnsi="Arial" w:cs="Arial"/>
                <w:sz w:val="21"/>
                <w:szCs w:val="21"/>
              </w:rPr>
              <w:t>十六</w:t>
            </w:r>
            <w:r>
              <w:rPr>
                <w:rFonts w:ascii="Arial" w:hAnsi="Arial" w:cs="Arial"/>
                <w:sz w:val="21"/>
                <w:szCs w:val="21"/>
              </w:rPr>
              <w:t>日</w:t>
            </w:r>
          </w:p>
        </w:tc>
      </w:tr>
    </w:tbl>
    <w:p w14:paraId="08FD459D">
      <w:pPr>
        <w:spacing w:line="480" w:lineRule="auto"/>
        <w:rPr>
          <w:rFonts w:ascii="Arial" w:hAnsi="Arial" w:cs="Arial"/>
          <w:sz w:val="21"/>
          <w:szCs w:val="21"/>
        </w:rPr>
      </w:pPr>
    </w:p>
    <w:p w14:paraId="77645300">
      <w:pPr>
        <w:rPr>
          <w:rFonts w:ascii="Arial" w:hAnsi="Arial" w:cs="Arial"/>
          <w:sz w:val="21"/>
          <w:szCs w:val="21"/>
        </w:rPr>
      </w:pPr>
    </w:p>
    <w:p w14:paraId="5ED12554">
      <w:pPr>
        <w:rPr>
          <w:rFonts w:ascii="Arial" w:hAnsi="Arial" w:cs="Arial"/>
          <w:sz w:val="21"/>
          <w:szCs w:val="21"/>
        </w:rPr>
      </w:pPr>
    </w:p>
    <w:p w14:paraId="1891EAF3">
      <w:pPr>
        <w:rPr>
          <w:rFonts w:ascii="Arial" w:hAnsi="Arial" w:cs="Arial"/>
          <w:sz w:val="21"/>
          <w:szCs w:val="21"/>
        </w:rPr>
      </w:pPr>
    </w:p>
    <w:p w14:paraId="30EF212E">
      <w:pPr>
        <w:rPr>
          <w:rFonts w:ascii="Arial" w:hAnsi="Arial" w:cs="Arial"/>
          <w:sz w:val="21"/>
          <w:szCs w:val="21"/>
        </w:rPr>
      </w:pPr>
    </w:p>
    <w:p w14:paraId="60D89E54">
      <w:pPr>
        <w:rPr>
          <w:rFonts w:ascii="Arial" w:hAnsi="Arial" w:cs="Arial"/>
          <w:sz w:val="21"/>
          <w:szCs w:val="21"/>
        </w:rPr>
      </w:pPr>
    </w:p>
    <w:p w14:paraId="713ED454">
      <w:pPr>
        <w:rPr>
          <w:rFonts w:ascii="Arial" w:hAnsi="Arial" w:cs="Arial"/>
          <w:sz w:val="21"/>
          <w:szCs w:val="21"/>
        </w:rPr>
      </w:pPr>
    </w:p>
    <w:p w14:paraId="1264963A">
      <w:pPr>
        <w:rPr>
          <w:rFonts w:ascii="Arial" w:hAnsi="Arial" w:cs="Arial"/>
          <w:sz w:val="21"/>
          <w:szCs w:val="21"/>
        </w:rPr>
      </w:pPr>
    </w:p>
    <w:p w14:paraId="37E3DE5A">
      <w:pPr>
        <w:rPr>
          <w:rFonts w:ascii="Arial" w:hAnsi="Arial" w:cs="Arial"/>
          <w:sz w:val="21"/>
          <w:szCs w:val="21"/>
        </w:rPr>
      </w:pPr>
    </w:p>
    <w:p w14:paraId="3BD5EDC6">
      <w:pPr>
        <w:rPr>
          <w:rFonts w:ascii="Arial" w:hAnsi="Arial" w:eastAsia="方正黑体简体" w:cs="Arial"/>
          <w:sz w:val="32"/>
          <w:szCs w:val="32"/>
        </w:rPr>
      </w:pPr>
      <w:r>
        <w:rPr>
          <w:rFonts w:hint="eastAsia" w:ascii="Arial" w:hAnsi="Arial" w:eastAsia="方正黑体简体" w:cs="Arial"/>
          <w:sz w:val="32"/>
          <w:szCs w:val="32"/>
        </w:rPr>
        <w:br w:type="page"/>
      </w:r>
    </w:p>
    <w:p w14:paraId="190F9EEC">
      <w:pPr>
        <w:spacing w:line="480" w:lineRule="auto"/>
        <w:jc w:val="center"/>
        <w:outlineLvl w:val="0"/>
        <w:rPr>
          <w:rFonts w:ascii="Arial" w:hAnsi="Arial" w:eastAsia="方正黑体简体" w:cs="Arial"/>
          <w:sz w:val="32"/>
          <w:szCs w:val="32"/>
        </w:rPr>
      </w:pPr>
      <w:r>
        <w:rPr>
          <w:rFonts w:hint="eastAsia" w:ascii="Arial" w:hAnsi="Arial" w:eastAsia="方正黑体简体" w:cs="Arial"/>
          <w:sz w:val="32"/>
          <w:szCs w:val="32"/>
        </w:rPr>
        <w:t>目   录</w:t>
      </w:r>
    </w:p>
    <w:p w14:paraId="07507CFC">
      <w:pPr>
        <w:pStyle w:val="23"/>
        <w:rPr>
          <w:rFonts w:hint="eastAsia" w:ascii="等线" w:hAnsi="等线" w:eastAsia="等线"/>
          <w:b w:val="0"/>
          <w:bCs w:val="0"/>
          <w:kern w:val="2"/>
          <w:sz w:val="24"/>
          <w:szCs w:val="24"/>
        </w:rPr>
      </w:pPr>
      <w:r>
        <w:rPr>
          <w:rFonts w:ascii="宋体" w:hAnsi="宋体" w:eastAsia="宋体" w:cs="Arial"/>
          <w:sz w:val="24"/>
          <w:szCs w:val="24"/>
        </w:rPr>
        <w:fldChar w:fldCharType="begin"/>
      </w:r>
      <w:r>
        <w:rPr>
          <w:rFonts w:ascii="宋体" w:hAnsi="宋体" w:eastAsia="宋体" w:cs="Arial"/>
          <w:sz w:val="24"/>
          <w:szCs w:val="24"/>
        </w:rPr>
        <w:instrText xml:space="preserve"> TOC \o "1-3" \h \z </w:instrText>
      </w:r>
      <w:r>
        <w:rPr>
          <w:rFonts w:ascii="宋体" w:hAnsi="宋体" w:eastAsia="宋体" w:cs="Arial"/>
          <w:sz w:val="24"/>
          <w:szCs w:val="24"/>
        </w:rPr>
        <w:fldChar w:fldCharType="separate"/>
      </w:r>
      <w:r>
        <w:fldChar w:fldCharType="begin"/>
      </w:r>
      <w:r>
        <w:instrText xml:space="preserve"> HYPERLINK \l "_Toc155267082" </w:instrText>
      </w:r>
      <w:r>
        <w:fldChar w:fldCharType="separate"/>
      </w:r>
      <w:r>
        <w:rPr>
          <w:rStyle w:val="39"/>
          <w:rFonts w:eastAsia="方正黑体简体"/>
          <w:sz w:val="24"/>
          <w:szCs w:val="24"/>
        </w:rPr>
        <w:t>致估价委托人函</w:t>
      </w:r>
      <w:r>
        <w:rPr>
          <w:sz w:val="24"/>
          <w:szCs w:val="24"/>
        </w:rPr>
        <w:tab/>
      </w:r>
      <w:r>
        <w:rPr>
          <w:sz w:val="24"/>
          <w:szCs w:val="24"/>
        </w:rPr>
        <w:fldChar w:fldCharType="begin"/>
      </w:r>
      <w:r>
        <w:rPr>
          <w:sz w:val="24"/>
          <w:szCs w:val="24"/>
        </w:rPr>
        <w:instrText xml:space="preserve"> PAGEREF _Toc155267082 \h </w:instrText>
      </w:r>
      <w:r>
        <w:rPr>
          <w:sz w:val="24"/>
          <w:szCs w:val="24"/>
        </w:rPr>
        <w:fldChar w:fldCharType="separate"/>
      </w:r>
      <w:r>
        <w:rPr>
          <w:sz w:val="24"/>
          <w:szCs w:val="24"/>
        </w:rPr>
        <w:t>2</w:t>
      </w:r>
      <w:r>
        <w:rPr>
          <w:sz w:val="24"/>
          <w:szCs w:val="24"/>
        </w:rPr>
        <w:fldChar w:fldCharType="end"/>
      </w:r>
      <w:r>
        <w:rPr>
          <w:sz w:val="24"/>
          <w:szCs w:val="24"/>
        </w:rPr>
        <w:fldChar w:fldCharType="end"/>
      </w:r>
    </w:p>
    <w:p w14:paraId="35D77A55">
      <w:pPr>
        <w:pStyle w:val="23"/>
        <w:rPr>
          <w:rFonts w:hint="eastAsia" w:ascii="等线" w:hAnsi="等线" w:eastAsia="等线"/>
          <w:b w:val="0"/>
          <w:bCs w:val="0"/>
          <w:kern w:val="2"/>
          <w:sz w:val="24"/>
          <w:szCs w:val="24"/>
        </w:rPr>
      </w:pPr>
      <w:r>
        <w:fldChar w:fldCharType="begin"/>
      </w:r>
      <w:r>
        <w:instrText xml:space="preserve"> HYPERLINK \l "_Toc155267083" </w:instrText>
      </w:r>
      <w:r>
        <w:fldChar w:fldCharType="separate"/>
      </w:r>
      <w:r>
        <w:rPr>
          <w:rStyle w:val="39"/>
          <w:rFonts w:eastAsia="方正黑体简体"/>
          <w:sz w:val="24"/>
          <w:szCs w:val="24"/>
        </w:rPr>
        <w:t>估价师声明</w:t>
      </w:r>
      <w:r>
        <w:rPr>
          <w:sz w:val="24"/>
          <w:szCs w:val="24"/>
        </w:rPr>
        <w:tab/>
      </w:r>
      <w:r>
        <w:rPr>
          <w:sz w:val="24"/>
          <w:szCs w:val="24"/>
        </w:rPr>
        <w:fldChar w:fldCharType="begin"/>
      </w:r>
      <w:r>
        <w:rPr>
          <w:sz w:val="24"/>
          <w:szCs w:val="24"/>
        </w:rPr>
        <w:instrText xml:space="preserve"> PAGEREF _Toc155267083 \h </w:instrText>
      </w:r>
      <w:r>
        <w:rPr>
          <w:sz w:val="24"/>
          <w:szCs w:val="24"/>
        </w:rPr>
        <w:fldChar w:fldCharType="separate"/>
      </w:r>
      <w:r>
        <w:rPr>
          <w:sz w:val="24"/>
          <w:szCs w:val="24"/>
        </w:rPr>
        <w:t>7</w:t>
      </w:r>
      <w:r>
        <w:rPr>
          <w:sz w:val="24"/>
          <w:szCs w:val="24"/>
        </w:rPr>
        <w:fldChar w:fldCharType="end"/>
      </w:r>
      <w:r>
        <w:rPr>
          <w:sz w:val="24"/>
          <w:szCs w:val="24"/>
        </w:rPr>
        <w:fldChar w:fldCharType="end"/>
      </w:r>
    </w:p>
    <w:p w14:paraId="267CDDDB">
      <w:pPr>
        <w:pStyle w:val="23"/>
        <w:rPr>
          <w:rFonts w:hint="eastAsia" w:ascii="等线" w:hAnsi="等线" w:eastAsia="等线"/>
          <w:b w:val="0"/>
          <w:bCs w:val="0"/>
          <w:kern w:val="2"/>
          <w:sz w:val="24"/>
          <w:szCs w:val="24"/>
        </w:rPr>
      </w:pPr>
      <w:r>
        <w:fldChar w:fldCharType="begin"/>
      </w:r>
      <w:r>
        <w:instrText xml:space="preserve"> HYPERLINK \l "_Toc155267084" </w:instrText>
      </w:r>
      <w:r>
        <w:fldChar w:fldCharType="separate"/>
      </w:r>
      <w:r>
        <w:rPr>
          <w:rStyle w:val="39"/>
          <w:rFonts w:eastAsia="方正黑体简体"/>
          <w:sz w:val="24"/>
          <w:szCs w:val="24"/>
        </w:rPr>
        <w:t>估价假设和限制条件</w:t>
      </w:r>
      <w:r>
        <w:rPr>
          <w:sz w:val="24"/>
          <w:szCs w:val="24"/>
        </w:rPr>
        <w:tab/>
      </w:r>
      <w:r>
        <w:rPr>
          <w:sz w:val="24"/>
          <w:szCs w:val="24"/>
        </w:rPr>
        <w:fldChar w:fldCharType="begin"/>
      </w:r>
      <w:r>
        <w:rPr>
          <w:sz w:val="24"/>
          <w:szCs w:val="24"/>
        </w:rPr>
        <w:instrText xml:space="preserve"> PAGEREF _Toc155267084 \h </w:instrText>
      </w:r>
      <w:r>
        <w:rPr>
          <w:sz w:val="24"/>
          <w:szCs w:val="24"/>
        </w:rPr>
        <w:fldChar w:fldCharType="separate"/>
      </w:r>
      <w:r>
        <w:rPr>
          <w:sz w:val="24"/>
          <w:szCs w:val="24"/>
        </w:rPr>
        <w:t>8</w:t>
      </w:r>
      <w:r>
        <w:rPr>
          <w:sz w:val="24"/>
          <w:szCs w:val="24"/>
        </w:rPr>
        <w:fldChar w:fldCharType="end"/>
      </w:r>
      <w:r>
        <w:rPr>
          <w:sz w:val="24"/>
          <w:szCs w:val="24"/>
        </w:rPr>
        <w:fldChar w:fldCharType="end"/>
      </w:r>
    </w:p>
    <w:p w14:paraId="1F57DF45">
      <w:pPr>
        <w:pStyle w:val="23"/>
        <w:rPr>
          <w:rFonts w:hint="eastAsia" w:ascii="等线" w:hAnsi="等线" w:eastAsia="等线"/>
          <w:b w:val="0"/>
          <w:bCs w:val="0"/>
          <w:kern w:val="2"/>
          <w:sz w:val="24"/>
          <w:szCs w:val="24"/>
        </w:rPr>
      </w:pPr>
      <w:r>
        <w:fldChar w:fldCharType="begin"/>
      </w:r>
      <w:r>
        <w:instrText xml:space="preserve"> HYPERLINK \l "_Toc155267085" </w:instrText>
      </w:r>
      <w:r>
        <w:fldChar w:fldCharType="separate"/>
      </w:r>
      <w:r>
        <w:rPr>
          <w:rStyle w:val="39"/>
          <w:rFonts w:eastAsia="方正黑体简体"/>
          <w:sz w:val="24"/>
          <w:szCs w:val="24"/>
        </w:rPr>
        <w:t>估价结果报告</w:t>
      </w:r>
      <w:r>
        <w:rPr>
          <w:sz w:val="24"/>
          <w:szCs w:val="24"/>
        </w:rPr>
        <w:tab/>
      </w:r>
      <w:r>
        <w:rPr>
          <w:sz w:val="24"/>
          <w:szCs w:val="24"/>
        </w:rPr>
        <w:fldChar w:fldCharType="begin"/>
      </w:r>
      <w:r>
        <w:rPr>
          <w:sz w:val="24"/>
          <w:szCs w:val="24"/>
        </w:rPr>
        <w:instrText xml:space="preserve"> PAGEREF _Toc155267085 \h </w:instrText>
      </w:r>
      <w:r>
        <w:rPr>
          <w:sz w:val="24"/>
          <w:szCs w:val="24"/>
        </w:rPr>
        <w:fldChar w:fldCharType="separate"/>
      </w:r>
      <w:r>
        <w:rPr>
          <w:sz w:val="24"/>
          <w:szCs w:val="24"/>
        </w:rPr>
        <w:t>11</w:t>
      </w:r>
      <w:r>
        <w:rPr>
          <w:sz w:val="24"/>
          <w:szCs w:val="24"/>
        </w:rPr>
        <w:fldChar w:fldCharType="end"/>
      </w:r>
      <w:r>
        <w:rPr>
          <w:sz w:val="24"/>
          <w:szCs w:val="24"/>
        </w:rPr>
        <w:fldChar w:fldCharType="end"/>
      </w:r>
    </w:p>
    <w:p w14:paraId="091D2333">
      <w:pPr>
        <w:pStyle w:val="27"/>
        <w:rPr>
          <w:rFonts w:hint="eastAsia" w:ascii="等线" w:hAnsi="等线" w:eastAsia="等线"/>
          <w:kern w:val="2"/>
          <w:sz w:val="21"/>
          <w:szCs w:val="21"/>
        </w:rPr>
      </w:pPr>
      <w:r>
        <w:fldChar w:fldCharType="begin"/>
      </w:r>
      <w:r>
        <w:instrText xml:space="preserve"> HYPERLINK \l "_Toc155267086" </w:instrText>
      </w:r>
      <w:r>
        <w:fldChar w:fldCharType="separate"/>
      </w:r>
      <w:r>
        <w:rPr>
          <w:rStyle w:val="39"/>
          <w:rFonts w:eastAsia="宋体"/>
          <w:sz w:val="21"/>
          <w:szCs w:val="21"/>
        </w:rPr>
        <w:t>一、估价委托人</w:t>
      </w:r>
      <w:r>
        <w:rPr>
          <w:sz w:val="21"/>
          <w:szCs w:val="21"/>
        </w:rPr>
        <w:tab/>
      </w:r>
      <w:r>
        <w:rPr>
          <w:sz w:val="21"/>
          <w:szCs w:val="21"/>
        </w:rPr>
        <w:fldChar w:fldCharType="begin"/>
      </w:r>
      <w:r>
        <w:rPr>
          <w:sz w:val="21"/>
          <w:szCs w:val="21"/>
        </w:rPr>
        <w:instrText xml:space="preserve"> PAGEREF _Toc155267086 \h </w:instrText>
      </w:r>
      <w:r>
        <w:rPr>
          <w:sz w:val="21"/>
          <w:szCs w:val="21"/>
        </w:rPr>
        <w:fldChar w:fldCharType="separate"/>
      </w:r>
      <w:r>
        <w:rPr>
          <w:sz w:val="21"/>
          <w:szCs w:val="21"/>
        </w:rPr>
        <w:t>11</w:t>
      </w:r>
      <w:r>
        <w:rPr>
          <w:sz w:val="21"/>
          <w:szCs w:val="21"/>
        </w:rPr>
        <w:fldChar w:fldCharType="end"/>
      </w:r>
      <w:r>
        <w:rPr>
          <w:sz w:val="21"/>
          <w:szCs w:val="21"/>
        </w:rPr>
        <w:fldChar w:fldCharType="end"/>
      </w:r>
    </w:p>
    <w:p w14:paraId="3DDC19CB">
      <w:pPr>
        <w:pStyle w:val="27"/>
        <w:rPr>
          <w:rFonts w:hint="eastAsia" w:ascii="等线" w:hAnsi="等线" w:eastAsia="等线"/>
          <w:kern w:val="2"/>
          <w:sz w:val="21"/>
          <w:szCs w:val="21"/>
        </w:rPr>
      </w:pPr>
      <w:r>
        <w:fldChar w:fldCharType="begin"/>
      </w:r>
      <w:r>
        <w:instrText xml:space="preserve"> HYPERLINK \l "_Toc155267087" </w:instrText>
      </w:r>
      <w:r>
        <w:fldChar w:fldCharType="separate"/>
      </w:r>
      <w:r>
        <w:rPr>
          <w:rStyle w:val="39"/>
          <w:rFonts w:eastAsia="宋体"/>
          <w:sz w:val="21"/>
          <w:szCs w:val="21"/>
        </w:rPr>
        <w:t>二、房地产估价机构</w:t>
      </w:r>
      <w:r>
        <w:rPr>
          <w:sz w:val="21"/>
          <w:szCs w:val="21"/>
        </w:rPr>
        <w:tab/>
      </w:r>
      <w:r>
        <w:rPr>
          <w:sz w:val="21"/>
          <w:szCs w:val="21"/>
        </w:rPr>
        <w:fldChar w:fldCharType="begin"/>
      </w:r>
      <w:r>
        <w:rPr>
          <w:sz w:val="21"/>
          <w:szCs w:val="21"/>
        </w:rPr>
        <w:instrText xml:space="preserve"> PAGEREF _Toc155267087 \h </w:instrText>
      </w:r>
      <w:r>
        <w:rPr>
          <w:sz w:val="21"/>
          <w:szCs w:val="21"/>
        </w:rPr>
        <w:fldChar w:fldCharType="separate"/>
      </w:r>
      <w:r>
        <w:rPr>
          <w:sz w:val="21"/>
          <w:szCs w:val="21"/>
        </w:rPr>
        <w:t>11</w:t>
      </w:r>
      <w:r>
        <w:rPr>
          <w:sz w:val="21"/>
          <w:szCs w:val="21"/>
        </w:rPr>
        <w:fldChar w:fldCharType="end"/>
      </w:r>
      <w:r>
        <w:rPr>
          <w:sz w:val="21"/>
          <w:szCs w:val="21"/>
        </w:rPr>
        <w:fldChar w:fldCharType="end"/>
      </w:r>
    </w:p>
    <w:p w14:paraId="3FD6586A">
      <w:pPr>
        <w:pStyle w:val="27"/>
        <w:rPr>
          <w:rFonts w:hint="eastAsia" w:ascii="等线" w:hAnsi="等线" w:eastAsia="等线"/>
          <w:kern w:val="2"/>
          <w:sz w:val="21"/>
          <w:szCs w:val="21"/>
        </w:rPr>
      </w:pPr>
      <w:r>
        <w:fldChar w:fldCharType="begin"/>
      </w:r>
      <w:r>
        <w:instrText xml:space="preserve"> HYPERLINK \l "_Toc155267088" </w:instrText>
      </w:r>
      <w:r>
        <w:fldChar w:fldCharType="separate"/>
      </w:r>
      <w:r>
        <w:rPr>
          <w:rStyle w:val="39"/>
          <w:rFonts w:eastAsia="宋体"/>
          <w:sz w:val="21"/>
          <w:szCs w:val="21"/>
        </w:rPr>
        <w:t>三、估价目的</w:t>
      </w:r>
      <w:r>
        <w:rPr>
          <w:sz w:val="21"/>
          <w:szCs w:val="21"/>
        </w:rPr>
        <w:tab/>
      </w:r>
      <w:r>
        <w:rPr>
          <w:sz w:val="21"/>
          <w:szCs w:val="21"/>
        </w:rPr>
        <w:fldChar w:fldCharType="begin"/>
      </w:r>
      <w:r>
        <w:rPr>
          <w:sz w:val="21"/>
          <w:szCs w:val="21"/>
        </w:rPr>
        <w:instrText xml:space="preserve"> PAGEREF _Toc155267088 \h </w:instrText>
      </w:r>
      <w:r>
        <w:rPr>
          <w:sz w:val="21"/>
          <w:szCs w:val="21"/>
        </w:rPr>
        <w:fldChar w:fldCharType="separate"/>
      </w:r>
      <w:r>
        <w:rPr>
          <w:sz w:val="21"/>
          <w:szCs w:val="21"/>
        </w:rPr>
        <w:t>11</w:t>
      </w:r>
      <w:r>
        <w:rPr>
          <w:sz w:val="21"/>
          <w:szCs w:val="21"/>
        </w:rPr>
        <w:fldChar w:fldCharType="end"/>
      </w:r>
      <w:r>
        <w:rPr>
          <w:sz w:val="21"/>
          <w:szCs w:val="21"/>
        </w:rPr>
        <w:fldChar w:fldCharType="end"/>
      </w:r>
    </w:p>
    <w:p w14:paraId="1D0AA1EB">
      <w:pPr>
        <w:pStyle w:val="27"/>
        <w:rPr>
          <w:rFonts w:hint="eastAsia" w:ascii="等线" w:hAnsi="等线" w:eastAsia="等线"/>
          <w:kern w:val="2"/>
          <w:sz w:val="21"/>
          <w:szCs w:val="21"/>
        </w:rPr>
      </w:pPr>
      <w:r>
        <w:fldChar w:fldCharType="begin"/>
      </w:r>
      <w:r>
        <w:instrText xml:space="preserve"> HYPERLINK \l "_Toc155267089" </w:instrText>
      </w:r>
      <w:r>
        <w:fldChar w:fldCharType="separate"/>
      </w:r>
      <w:r>
        <w:rPr>
          <w:rStyle w:val="39"/>
          <w:rFonts w:eastAsia="宋体"/>
          <w:sz w:val="21"/>
          <w:szCs w:val="21"/>
        </w:rPr>
        <w:t>四、估价对象</w:t>
      </w:r>
      <w:r>
        <w:rPr>
          <w:sz w:val="21"/>
          <w:szCs w:val="21"/>
        </w:rPr>
        <w:tab/>
      </w:r>
      <w:r>
        <w:rPr>
          <w:sz w:val="21"/>
          <w:szCs w:val="21"/>
        </w:rPr>
        <w:fldChar w:fldCharType="begin"/>
      </w:r>
      <w:r>
        <w:rPr>
          <w:sz w:val="21"/>
          <w:szCs w:val="21"/>
        </w:rPr>
        <w:instrText xml:space="preserve"> PAGEREF _Toc155267089 \h </w:instrText>
      </w:r>
      <w:r>
        <w:rPr>
          <w:sz w:val="21"/>
          <w:szCs w:val="21"/>
        </w:rPr>
        <w:fldChar w:fldCharType="separate"/>
      </w:r>
      <w:r>
        <w:rPr>
          <w:sz w:val="21"/>
          <w:szCs w:val="21"/>
        </w:rPr>
        <w:t>12</w:t>
      </w:r>
      <w:r>
        <w:rPr>
          <w:sz w:val="21"/>
          <w:szCs w:val="21"/>
        </w:rPr>
        <w:fldChar w:fldCharType="end"/>
      </w:r>
      <w:r>
        <w:rPr>
          <w:sz w:val="21"/>
          <w:szCs w:val="21"/>
        </w:rPr>
        <w:fldChar w:fldCharType="end"/>
      </w:r>
    </w:p>
    <w:p w14:paraId="3BF26BD2">
      <w:pPr>
        <w:pStyle w:val="27"/>
        <w:rPr>
          <w:rFonts w:hint="eastAsia" w:ascii="等线" w:hAnsi="等线" w:eastAsia="等线"/>
          <w:kern w:val="2"/>
          <w:sz w:val="21"/>
          <w:szCs w:val="21"/>
        </w:rPr>
      </w:pPr>
      <w:r>
        <w:fldChar w:fldCharType="begin"/>
      </w:r>
      <w:r>
        <w:instrText xml:space="preserve"> HYPERLINK \l "_Toc155267090" </w:instrText>
      </w:r>
      <w:r>
        <w:fldChar w:fldCharType="separate"/>
      </w:r>
      <w:r>
        <w:rPr>
          <w:rStyle w:val="39"/>
          <w:rFonts w:eastAsia="宋体"/>
          <w:sz w:val="21"/>
          <w:szCs w:val="21"/>
        </w:rPr>
        <w:t>五、价值时点</w:t>
      </w:r>
      <w:r>
        <w:rPr>
          <w:sz w:val="21"/>
          <w:szCs w:val="21"/>
        </w:rPr>
        <w:tab/>
      </w:r>
      <w:r>
        <w:rPr>
          <w:sz w:val="21"/>
          <w:szCs w:val="21"/>
        </w:rPr>
        <w:fldChar w:fldCharType="begin"/>
      </w:r>
      <w:r>
        <w:rPr>
          <w:sz w:val="21"/>
          <w:szCs w:val="21"/>
        </w:rPr>
        <w:instrText xml:space="preserve"> PAGEREF _Toc155267090 \h </w:instrText>
      </w:r>
      <w:r>
        <w:rPr>
          <w:sz w:val="21"/>
          <w:szCs w:val="21"/>
        </w:rPr>
        <w:fldChar w:fldCharType="separate"/>
      </w:r>
      <w:r>
        <w:rPr>
          <w:sz w:val="21"/>
          <w:szCs w:val="21"/>
        </w:rPr>
        <w:t>15</w:t>
      </w:r>
      <w:r>
        <w:rPr>
          <w:sz w:val="21"/>
          <w:szCs w:val="21"/>
        </w:rPr>
        <w:fldChar w:fldCharType="end"/>
      </w:r>
      <w:r>
        <w:rPr>
          <w:sz w:val="21"/>
          <w:szCs w:val="21"/>
        </w:rPr>
        <w:fldChar w:fldCharType="end"/>
      </w:r>
    </w:p>
    <w:p w14:paraId="5E1F1AA6">
      <w:pPr>
        <w:pStyle w:val="27"/>
        <w:rPr>
          <w:rFonts w:hint="eastAsia" w:ascii="等线" w:hAnsi="等线" w:eastAsia="等线"/>
          <w:kern w:val="2"/>
          <w:sz w:val="21"/>
          <w:szCs w:val="21"/>
        </w:rPr>
      </w:pPr>
      <w:r>
        <w:fldChar w:fldCharType="begin"/>
      </w:r>
      <w:r>
        <w:instrText xml:space="preserve"> HYPERLINK \l "_Toc155267091" </w:instrText>
      </w:r>
      <w:r>
        <w:fldChar w:fldCharType="separate"/>
      </w:r>
      <w:r>
        <w:rPr>
          <w:rStyle w:val="39"/>
          <w:rFonts w:eastAsia="宋体"/>
          <w:sz w:val="21"/>
          <w:szCs w:val="21"/>
        </w:rPr>
        <w:t>六、价值类型</w:t>
      </w:r>
      <w:r>
        <w:rPr>
          <w:sz w:val="21"/>
          <w:szCs w:val="21"/>
        </w:rPr>
        <w:tab/>
      </w:r>
      <w:r>
        <w:rPr>
          <w:sz w:val="21"/>
          <w:szCs w:val="21"/>
        </w:rPr>
        <w:fldChar w:fldCharType="begin"/>
      </w:r>
      <w:r>
        <w:rPr>
          <w:sz w:val="21"/>
          <w:szCs w:val="21"/>
        </w:rPr>
        <w:instrText xml:space="preserve"> PAGEREF _Toc155267091 \h </w:instrText>
      </w:r>
      <w:r>
        <w:rPr>
          <w:sz w:val="21"/>
          <w:szCs w:val="21"/>
        </w:rPr>
        <w:fldChar w:fldCharType="separate"/>
      </w:r>
      <w:r>
        <w:rPr>
          <w:sz w:val="21"/>
          <w:szCs w:val="21"/>
        </w:rPr>
        <w:t>16</w:t>
      </w:r>
      <w:r>
        <w:rPr>
          <w:sz w:val="21"/>
          <w:szCs w:val="21"/>
        </w:rPr>
        <w:fldChar w:fldCharType="end"/>
      </w:r>
      <w:r>
        <w:rPr>
          <w:sz w:val="21"/>
          <w:szCs w:val="21"/>
        </w:rPr>
        <w:fldChar w:fldCharType="end"/>
      </w:r>
    </w:p>
    <w:p w14:paraId="6A4E3775">
      <w:pPr>
        <w:pStyle w:val="27"/>
        <w:rPr>
          <w:rFonts w:hint="eastAsia" w:ascii="等线" w:hAnsi="等线" w:eastAsia="等线"/>
          <w:kern w:val="2"/>
          <w:sz w:val="21"/>
          <w:szCs w:val="21"/>
        </w:rPr>
      </w:pPr>
      <w:r>
        <w:fldChar w:fldCharType="begin"/>
      </w:r>
      <w:r>
        <w:instrText xml:space="preserve"> HYPERLINK \l "_Toc155267092" </w:instrText>
      </w:r>
      <w:r>
        <w:fldChar w:fldCharType="separate"/>
      </w:r>
      <w:r>
        <w:rPr>
          <w:rStyle w:val="39"/>
          <w:rFonts w:eastAsia="宋体"/>
          <w:sz w:val="21"/>
          <w:szCs w:val="21"/>
        </w:rPr>
        <w:t>七、估价原则</w:t>
      </w:r>
      <w:r>
        <w:rPr>
          <w:sz w:val="21"/>
          <w:szCs w:val="21"/>
        </w:rPr>
        <w:tab/>
      </w:r>
      <w:r>
        <w:rPr>
          <w:sz w:val="21"/>
          <w:szCs w:val="21"/>
        </w:rPr>
        <w:fldChar w:fldCharType="begin"/>
      </w:r>
      <w:r>
        <w:rPr>
          <w:sz w:val="21"/>
          <w:szCs w:val="21"/>
        </w:rPr>
        <w:instrText xml:space="preserve"> PAGEREF _Toc155267092 \h </w:instrText>
      </w:r>
      <w:r>
        <w:rPr>
          <w:sz w:val="21"/>
          <w:szCs w:val="21"/>
        </w:rPr>
        <w:fldChar w:fldCharType="separate"/>
      </w:r>
      <w:r>
        <w:rPr>
          <w:sz w:val="21"/>
          <w:szCs w:val="21"/>
        </w:rPr>
        <w:t>16</w:t>
      </w:r>
      <w:r>
        <w:rPr>
          <w:sz w:val="21"/>
          <w:szCs w:val="21"/>
        </w:rPr>
        <w:fldChar w:fldCharType="end"/>
      </w:r>
      <w:r>
        <w:rPr>
          <w:sz w:val="21"/>
          <w:szCs w:val="21"/>
        </w:rPr>
        <w:fldChar w:fldCharType="end"/>
      </w:r>
    </w:p>
    <w:p w14:paraId="55B26596">
      <w:pPr>
        <w:pStyle w:val="27"/>
        <w:rPr>
          <w:rFonts w:hint="eastAsia" w:ascii="等线" w:hAnsi="等线" w:eastAsia="等线"/>
          <w:kern w:val="2"/>
          <w:sz w:val="21"/>
          <w:szCs w:val="21"/>
        </w:rPr>
      </w:pPr>
      <w:r>
        <w:fldChar w:fldCharType="begin"/>
      </w:r>
      <w:r>
        <w:instrText xml:space="preserve"> HYPERLINK \l "_Toc155267093" </w:instrText>
      </w:r>
      <w:r>
        <w:fldChar w:fldCharType="separate"/>
      </w:r>
      <w:r>
        <w:rPr>
          <w:rStyle w:val="39"/>
          <w:rFonts w:eastAsia="宋体"/>
          <w:sz w:val="21"/>
          <w:szCs w:val="21"/>
        </w:rPr>
        <w:t>八、估价依据</w:t>
      </w:r>
      <w:r>
        <w:rPr>
          <w:sz w:val="21"/>
          <w:szCs w:val="21"/>
        </w:rPr>
        <w:tab/>
      </w:r>
      <w:r>
        <w:rPr>
          <w:sz w:val="21"/>
          <w:szCs w:val="21"/>
        </w:rPr>
        <w:fldChar w:fldCharType="begin"/>
      </w:r>
      <w:r>
        <w:rPr>
          <w:sz w:val="21"/>
          <w:szCs w:val="21"/>
        </w:rPr>
        <w:instrText xml:space="preserve"> PAGEREF _Toc155267093 \h </w:instrText>
      </w:r>
      <w:r>
        <w:rPr>
          <w:sz w:val="21"/>
          <w:szCs w:val="21"/>
        </w:rPr>
        <w:fldChar w:fldCharType="separate"/>
      </w:r>
      <w:r>
        <w:rPr>
          <w:sz w:val="21"/>
          <w:szCs w:val="21"/>
        </w:rPr>
        <w:t>18</w:t>
      </w:r>
      <w:r>
        <w:rPr>
          <w:sz w:val="21"/>
          <w:szCs w:val="21"/>
        </w:rPr>
        <w:fldChar w:fldCharType="end"/>
      </w:r>
      <w:r>
        <w:rPr>
          <w:sz w:val="21"/>
          <w:szCs w:val="21"/>
        </w:rPr>
        <w:fldChar w:fldCharType="end"/>
      </w:r>
    </w:p>
    <w:p w14:paraId="37EFFC6A">
      <w:pPr>
        <w:pStyle w:val="27"/>
        <w:rPr>
          <w:rFonts w:hint="eastAsia" w:ascii="等线" w:hAnsi="等线" w:eastAsia="等线"/>
          <w:kern w:val="2"/>
          <w:sz w:val="21"/>
          <w:szCs w:val="21"/>
        </w:rPr>
      </w:pPr>
      <w:r>
        <w:fldChar w:fldCharType="begin"/>
      </w:r>
      <w:r>
        <w:instrText xml:space="preserve"> HYPERLINK \l "_Toc155267094" </w:instrText>
      </w:r>
      <w:r>
        <w:fldChar w:fldCharType="separate"/>
      </w:r>
      <w:r>
        <w:rPr>
          <w:rStyle w:val="39"/>
          <w:rFonts w:eastAsia="宋体"/>
          <w:sz w:val="21"/>
          <w:szCs w:val="21"/>
        </w:rPr>
        <w:t>九、估价方法</w:t>
      </w:r>
      <w:r>
        <w:rPr>
          <w:sz w:val="21"/>
          <w:szCs w:val="21"/>
        </w:rPr>
        <w:tab/>
      </w:r>
      <w:r>
        <w:rPr>
          <w:sz w:val="21"/>
          <w:szCs w:val="21"/>
        </w:rPr>
        <w:fldChar w:fldCharType="begin"/>
      </w:r>
      <w:r>
        <w:rPr>
          <w:sz w:val="21"/>
          <w:szCs w:val="21"/>
        </w:rPr>
        <w:instrText xml:space="preserve"> PAGEREF _Toc155267094 \h </w:instrText>
      </w:r>
      <w:r>
        <w:rPr>
          <w:sz w:val="21"/>
          <w:szCs w:val="21"/>
        </w:rPr>
        <w:fldChar w:fldCharType="separate"/>
      </w:r>
      <w:r>
        <w:rPr>
          <w:sz w:val="21"/>
          <w:szCs w:val="21"/>
        </w:rPr>
        <w:t>19</w:t>
      </w:r>
      <w:r>
        <w:rPr>
          <w:sz w:val="21"/>
          <w:szCs w:val="21"/>
        </w:rPr>
        <w:fldChar w:fldCharType="end"/>
      </w:r>
      <w:r>
        <w:rPr>
          <w:sz w:val="21"/>
          <w:szCs w:val="21"/>
        </w:rPr>
        <w:fldChar w:fldCharType="end"/>
      </w:r>
    </w:p>
    <w:p w14:paraId="0CB34EF2">
      <w:pPr>
        <w:pStyle w:val="27"/>
        <w:rPr>
          <w:rFonts w:hint="eastAsia" w:ascii="等线" w:hAnsi="等线" w:eastAsia="等线"/>
          <w:kern w:val="2"/>
          <w:sz w:val="21"/>
          <w:szCs w:val="21"/>
        </w:rPr>
      </w:pPr>
      <w:r>
        <w:fldChar w:fldCharType="begin"/>
      </w:r>
      <w:r>
        <w:instrText xml:space="preserve"> HYPERLINK \l "_Toc155267095" </w:instrText>
      </w:r>
      <w:r>
        <w:fldChar w:fldCharType="separate"/>
      </w:r>
      <w:r>
        <w:rPr>
          <w:rStyle w:val="39"/>
          <w:rFonts w:eastAsia="宋体"/>
          <w:sz w:val="21"/>
          <w:szCs w:val="21"/>
        </w:rPr>
        <w:t>十、估价结果</w:t>
      </w:r>
      <w:r>
        <w:rPr>
          <w:sz w:val="21"/>
          <w:szCs w:val="21"/>
        </w:rPr>
        <w:tab/>
      </w:r>
      <w:r>
        <w:rPr>
          <w:sz w:val="21"/>
          <w:szCs w:val="21"/>
        </w:rPr>
        <w:fldChar w:fldCharType="begin"/>
      </w:r>
      <w:r>
        <w:rPr>
          <w:sz w:val="21"/>
          <w:szCs w:val="21"/>
        </w:rPr>
        <w:instrText xml:space="preserve"> PAGEREF _Toc155267095 \h </w:instrText>
      </w:r>
      <w:r>
        <w:rPr>
          <w:sz w:val="21"/>
          <w:szCs w:val="21"/>
        </w:rPr>
        <w:fldChar w:fldCharType="separate"/>
      </w:r>
      <w:r>
        <w:rPr>
          <w:sz w:val="21"/>
          <w:szCs w:val="21"/>
        </w:rPr>
        <w:t>21</w:t>
      </w:r>
      <w:r>
        <w:rPr>
          <w:sz w:val="21"/>
          <w:szCs w:val="21"/>
        </w:rPr>
        <w:fldChar w:fldCharType="end"/>
      </w:r>
      <w:r>
        <w:rPr>
          <w:sz w:val="21"/>
          <w:szCs w:val="21"/>
        </w:rPr>
        <w:fldChar w:fldCharType="end"/>
      </w:r>
    </w:p>
    <w:p w14:paraId="55E8449F">
      <w:pPr>
        <w:pStyle w:val="27"/>
        <w:rPr>
          <w:rFonts w:hint="eastAsia" w:ascii="等线" w:hAnsi="等线" w:eastAsia="等线"/>
          <w:kern w:val="2"/>
          <w:sz w:val="21"/>
          <w:szCs w:val="21"/>
        </w:rPr>
      </w:pPr>
      <w:r>
        <w:fldChar w:fldCharType="begin"/>
      </w:r>
      <w:r>
        <w:instrText xml:space="preserve"> HYPERLINK \l "_Toc155267096" </w:instrText>
      </w:r>
      <w:r>
        <w:fldChar w:fldCharType="separate"/>
      </w:r>
      <w:r>
        <w:rPr>
          <w:rStyle w:val="39"/>
          <w:rFonts w:eastAsia="宋体"/>
          <w:sz w:val="21"/>
          <w:szCs w:val="21"/>
        </w:rPr>
        <w:t>十一、参与本次估价工作的评估专业人员</w:t>
      </w:r>
      <w:r>
        <w:rPr>
          <w:sz w:val="21"/>
          <w:szCs w:val="21"/>
        </w:rPr>
        <w:tab/>
      </w:r>
      <w:r>
        <w:rPr>
          <w:sz w:val="21"/>
          <w:szCs w:val="21"/>
        </w:rPr>
        <w:fldChar w:fldCharType="begin"/>
      </w:r>
      <w:r>
        <w:rPr>
          <w:sz w:val="21"/>
          <w:szCs w:val="21"/>
        </w:rPr>
        <w:instrText xml:space="preserve"> PAGEREF _Toc155267096 \h </w:instrText>
      </w:r>
      <w:r>
        <w:rPr>
          <w:sz w:val="21"/>
          <w:szCs w:val="21"/>
        </w:rPr>
        <w:fldChar w:fldCharType="separate"/>
      </w:r>
      <w:r>
        <w:rPr>
          <w:sz w:val="21"/>
          <w:szCs w:val="21"/>
        </w:rPr>
        <w:t>22</w:t>
      </w:r>
      <w:r>
        <w:rPr>
          <w:sz w:val="21"/>
          <w:szCs w:val="21"/>
        </w:rPr>
        <w:fldChar w:fldCharType="end"/>
      </w:r>
      <w:r>
        <w:rPr>
          <w:sz w:val="21"/>
          <w:szCs w:val="21"/>
        </w:rPr>
        <w:fldChar w:fldCharType="end"/>
      </w:r>
    </w:p>
    <w:p w14:paraId="4A9D7621">
      <w:pPr>
        <w:pStyle w:val="27"/>
        <w:rPr>
          <w:rFonts w:hint="eastAsia" w:ascii="等线" w:hAnsi="等线" w:eastAsia="等线"/>
          <w:kern w:val="2"/>
          <w:sz w:val="21"/>
          <w:szCs w:val="21"/>
        </w:rPr>
      </w:pPr>
      <w:r>
        <w:fldChar w:fldCharType="begin"/>
      </w:r>
      <w:r>
        <w:instrText xml:space="preserve"> HYPERLINK \l "_Toc155267097" </w:instrText>
      </w:r>
      <w:r>
        <w:fldChar w:fldCharType="separate"/>
      </w:r>
      <w:r>
        <w:rPr>
          <w:rStyle w:val="39"/>
          <w:rFonts w:eastAsia="宋体"/>
          <w:sz w:val="21"/>
          <w:szCs w:val="21"/>
        </w:rPr>
        <w:t>十二、实地查勘期</w:t>
      </w:r>
      <w:r>
        <w:rPr>
          <w:sz w:val="21"/>
          <w:szCs w:val="21"/>
        </w:rPr>
        <w:tab/>
      </w:r>
      <w:r>
        <w:rPr>
          <w:sz w:val="21"/>
          <w:szCs w:val="21"/>
        </w:rPr>
        <w:fldChar w:fldCharType="begin"/>
      </w:r>
      <w:r>
        <w:rPr>
          <w:sz w:val="21"/>
          <w:szCs w:val="21"/>
        </w:rPr>
        <w:instrText xml:space="preserve"> PAGEREF _Toc155267097 \h </w:instrText>
      </w:r>
      <w:r>
        <w:rPr>
          <w:sz w:val="21"/>
          <w:szCs w:val="21"/>
        </w:rPr>
        <w:fldChar w:fldCharType="separate"/>
      </w:r>
      <w:r>
        <w:rPr>
          <w:sz w:val="21"/>
          <w:szCs w:val="21"/>
        </w:rPr>
        <w:t>22</w:t>
      </w:r>
      <w:r>
        <w:rPr>
          <w:sz w:val="21"/>
          <w:szCs w:val="21"/>
        </w:rPr>
        <w:fldChar w:fldCharType="end"/>
      </w:r>
      <w:r>
        <w:rPr>
          <w:sz w:val="21"/>
          <w:szCs w:val="21"/>
        </w:rPr>
        <w:fldChar w:fldCharType="end"/>
      </w:r>
    </w:p>
    <w:p w14:paraId="15C9BF2F">
      <w:pPr>
        <w:pStyle w:val="27"/>
        <w:rPr>
          <w:rFonts w:hint="eastAsia" w:ascii="等线" w:hAnsi="等线" w:eastAsia="等线"/>
          <w:kern w:val="2"/>
          <w:sz w:val="21"/>
          <w:szCs w:val="21"/>
        </w:rPr>
      </w:pPr>
      <w:r>
        <w:fldChar w:fldCharType="begin"/>
      </w:r>
      <w:r>
        <w:instrText xml:space="preserve"> HYPERLINK \l "_Toc155267098" </w:instrText>
      </w:r>
      <w:r>
        <w:fldChar w:fldCharType="separate"/>
      </w:r>
      <w:r>
        <w:rPr>
          <w:rStyle w:val="39"/>
          <w:rFonts w:eastAsia="宋体"/>
          <w:sz w:val="21"/>
          <w:szCs w:val="21"/>
        </w:rPr>
        <w:t>十三、估价作业期</w:t>
      </w:r>
      <w:r>
        <w:rPr>
          <w:sz w:val="21"/>
          <w:szCs w:val="21"/>
        </w:rPr>
        <w:tab/>
      </w:r>
      <w:r>
        <w:rPr>
          <w:sz w:val="21"/>
          <w:szCs w:val="21"/>
        </w:rPr>
        <w:fldChar w:fldCharType="begin"/>
      </w:r>
      <w:r>
        <w:rPr>
          <w:sz w:val="21"/>
          <w:szCs w:val="21"/>
        </w:rPr>
        <w:instrText xml:space="preserve"> PAGEREF _Toc155267098 \h </w:instrText>
      </w:r>
      <w:r>
        <w:rPr>
          <w:sz w:val="21"/>
          <w:szCs w:val="21"/>
        </w:rPr>
        <w:fldChar w:fldCharType="separate"/>
      </w:r>
      <w:r>
        <w:rPr>
          <w:sz w:val="21"/>
          <w:szCs w:val="21"/>
        </w:rPr>
        <w:t>22</w:t>
      </w:r>
      <w:r>
        <w:rPr>
          <w:sz w:val="21"/>
          <w:szCs w:val="21"/>
        </w:rPr>
        <w:fldChar w:fldCharType="end"/>
      </w:r>
      <w:r>
        <w:rPr>
          <w:sz w:val="21"/>
          <w:szCs w:val="21"/>
        </w:rPr>
        <w:fldChar w:fldCharType="end"/>
      </w:r>
    </w:p>
    <w:p w14:paraId="77B836D4">
      <w:pPr>
        <w:pStyle w:val="23"/>
        <w:rPr>
          <w:rFonts w:hint="eastAsia" w:ascii="等线" w:hAnsi="等线" w:eastAsia="等线"/>
          <w:b w:val="0"/>
          <w:bCs w:val="0"/>
          <w:kern w:val="2"/>
          <w:sz w:val="24"/>
          <w:szCs w:val="24"/>
        </w:rPr>
      </w:pPr>
      <w:r>
        <w:fldChar w:fldCharType="begin"/>
      </w:r>
      <w:r>
        <w:instrText xml:space="preserve"> HYPERLINK \l "_Toc155267099" </w:instrText>
      </w:r>
      <w:r>
        <w:fldChar w:fldCharType="separate"/>
      </w:r>
      <w:r>
        <w:rPr>
          <w:rStyle w:val="39"/>
          <w:rFonts w:eastAsia="方正黑体简体"/>
          <w:sz w:val="24"/>
          <w:szCs w:val="24"/>
        </w:rPr>
        <w:t>估价技术报告</w:t>
      </w:r>
      <w:r>
        <w:rPr>
          <w:sz w:val="24"/>
          <w:szCs w:val="24"/>
        </w:rPr>
        <w:tab/>
      </w:r>
      <w:r>
        <w:rPr>
          <w:sz w:val="24"/>
          <w:szCs w:val="24"/>
        </w:rPr>
        <w:fldChar w:fldCharType="begin"/>
      </w:r>
      <w:r>
        <w:rPr>
          <w:sz w:val="24"/>
          <w:szCs w:val="24"/>
        </w:rPr>
        <w:instrText xml:space="preserve"> PAGEREF _Toc155267099 \h </w:instrText>
      </w:r>
      <w:r>
        <w:rPr>
          <w:sz w:val="24"/>
          <w:szCs w:val="24"/>
        </w:rPr>
        <w:fldChar w:fldCharType="separate"/>
      </w:r>
      <w:r>
        <w:rPr>
          <w:sz w:val="24"/>
          <w:szCs w:val="24"/>
        </w:rPr>
        <w:t>23</w:t>
      </w:r>
      <w:r>
        <w:rPr>
          <w:sz w:val="24"/>
          <w:szCs w:val="24"/>
        </w:rPr>
        <w:fldChar w:fldCharType="end"/>
      </w:r>
      <w:r>
        <w:rPr>
          <w:sz w:val="24"/>
          <w:szCs w:val="24"/>
        </w:rPr>
        <w:fldChar w:fldCharType="end"/>
      </w:r>
    </w:p>
    <w:p w14:paraId="711C4B2A">
      <w:pPr>
        <w:pStyle w:val="27"/>
        <w:rPr>
          <w:rFonts w:hint="eastAsia" w:ascii="等线" w:hAnsi="等线" w:eastAsia="等线"/>
          <w:kern w:val="2"/>
          <w:sz w:val="21"/>
          <w:szCs w:val="21"/>
        </w:rPr>
      </w:pPr>
      <w:r>
        <w:fldChar w:fldCharType="begin"/>
      </w:r>
      <w:r>
        <w:instrText xml:space="preserve"> HYPERLINK \l "_Toc155267100" </w:instrText>
      </w:r>
      <w:r>
        <w:fldChar w:fldCharType="separate"/>
      </w:r>
      <w:r>
        <w:rPr>
          <w:rStyle w:val="39"/>
          <w:rFonts w:eastAsia="宋体"/>
          <w:sz w:val="21"/>
          <w:szCs w:val="21"/>
        </w:rPr>
        <w:t>一、估价对象描述与分析</w:t>
      </w:r>
      <w:r>
        <w:rPr>
          <w:sz w:val="21"/>
          <w:szCs w:val="21"/>
        </w:rPr>
        <w:tab/>
      </w:r>
      <w:r>
        <w:rPr>
          <w:sz w:val="21"/>
          <w:szCs w:val="21"/>
        </w:rPr>
        <w:fldChar w:fldCharType="begin"/>
      </w:r>
      <w:r>
        <w:rPr>
          <w:sz w:val="21"/>
          <w:szCs w:val="21"/>
        </w:rPr>
        <w:instrText xml:space="preserve"> PAGEREF _Toc155267100 \h </w:instrText>
      </w:r>
      <w:r>
        <w:rPr>
          <w:sz w:val="21"/>
          <w:szCs w:val="21"/>
        </w:rPr>
        <w:fldChar w:fldCharType="separate"/>
      </w:r>
      <w:r>
        <w:rPr>
          <w:sz w:val="21"/>
          <w:szCs w:val="21"/>
        </w:rPr>
        <w:t>23</w:t>
      </w:r>
      <w:r>
        <w:rPr>
          <w:sz w:val="21"/>
          <w:szCs w:val="21"/>
        </w:rPr>
        <w:fldChar w:fldCharType="end"/>
      </w:r>
      <w:r>
        <w:rPr>
          <w:sz w:val="21"/>
          <w:szCs w:val="21"/>
        </w:rPr>
        <w:fldChar w:fldCharType="end"/>
      </w:r>
    </w:p>
    <w:p w14:paraId="657C76AD">
      <w:pPr>
        <w:pStyle w:val="27"/>
        <w:rPr>
          <w:rFonts w:hint="eastAsia" w:ascii="等线" w:hAnsi="等线" w:eastAsia="等线"/>
          <w:kern w:val="2"/>
          <w:sz w:val="21"/>
          <w:szCs w:val="21"/>
        </w:rPr>
      </w:pPr>
      <w:r>
        <w:fldChar w:fldCharType="begin"/>
      </w:r>
      <w:r>
        <w:instrText xml:space="preserve"> HYPERLINK \l "_Toc155267101" </w:instrText>
      </w:r>
      <w:r>
        <w:fldChar w:fldCharType="separate"/>
      </w:r>
      <w:r>
        <w:rPr>
          <w:rStyle w:val="39"/>
          <w:rFonts w:eastAsia="宋体"/>
          <w:sz w:val="21"/>
          <w:szCs w:val="21"/>
        </w:rPr>
        <w:t>（一）区位状况分析</w:t>
      </w:r>
      <w:r>
        <w:rPr>
          <w:sz w:val="21"/>
          <w:szCs w:val="21"/>
        </w:rPr>
        <w:tab/>
      </w:r>
      <w:r>
        <w:rPr>
          <w:sz w:val="21"/>
          <w:szCs w:val="21"/>
        </w:rPr>
        <w:fldChar w:fldCharType="begin"/>
      </w:r>
      <w:r>
        <w:rPr>
          <w:sz w:val="21"/>
          <w:szCs w:val="21"/>
        </w:rPr>
        <w:instrText xml:space="preserve"> PAGEREF _Toc155267101 \h </w:instrText>
      </w:r>
      <w:r>
        <w:rPr>
          <w:sz w:val="21"/>
          <w:szCs w:val="21"/>
        </w:rPr>
        <w:fldChar w:fldCharType="separate"/>
      </w:r>
      <w:r>
        <w:rPr>
          <w:sz w:val="21"/>
          <w:szCs w:val="21"/>
        </w:rPr>
        <w:t>23</w:t>
      </w:r>
      <w:r>
        <w:rPr>
          <w:sz w:val="21"/>
          <w:szCs w:val="21"/>
        </w:rPr>
        <w:fldChar w:fldCharType="end"/>
      </w:r>
      <w:r>
        <w:rPr>
          <w:sz w:val="21"/>
          <w:szCs w:val="21"/>
        </w:rPr>
        <w:fldChar w:fldCharType="end"/>
      </w:r>
    </w:p>
    <w:p w14:paraId="72E1C4C1">
      <w:pPr>
        <w:pStyle w:val="27"/>
        <w:rPr>
          <w:rFonts w:hint="eastAsia" w:ascii="等线" w:hAnsi="等线" w:eastAsia="等线"/>
          <w:kern w:val="2"/>
          <w:sz w:val="21"/>
          <w:szCs w:val="21"/>
        </w:rPr>
      </w:pPr>
      <w:r>
        <w:fldChar w:fldCharType="begin"/>
      </w:r>
      <w:r>
        <w:instrText xml:space="preserve"> HYPERLINK \l "_Toc155267102" </w:instrText>
      </w:r>
      <w:r>
        <w:fldChar w:fldCharType="separate"/>
      </w:r>
      <w:r>
        <w:rPr>
          <w:rStyle w:val="39"/>
          <w:rFonts w:eastAsia="宋体"/>
          <w:sz w:val="21"/>
          <w:szCs w:val="21"/>
        </w:rPr>
        <w:t>（二）实物状况分析</w:t>
      </w:r>
      <w:r>
        <w:rPr>
          <w:sz w:val="21"/>
          <w:szCs w:val="21"/>
        </w:rPr>
        <w:tab/>
      </w:r>
      <w:r>
        <w:rPr>
          <w:sz w:val="21"/>
          <w:szCs w:val="21"/>
        </w:rPr>
        <w:fldChar w:fldCharType="begin"/>
      </w:r>
      <w:r>
        <w:rPr>
          <w:sz w:val="21"/>
          <w:szCs w:val="21"/>
        </w:rPr>
        <w:instrText xml:space="preserve"> PAGEREF _Toc155267102 \h </w:instrText>
      </w:r>
      <w:r>
        <w:rPr>
          <w:sz w:val="21"/>
          <w:szCs w:val="21"/>
        </w:rPr>
        <w:fldChar w:fldCharType="separate"/>
      </w:r>
      <w:r>
        <w:rPr>
          <w:sz w:val="21"/>
          <w:szCs w:val="21"/>
        </w:rPr>
        <w:t>24</w:t>
      </w:r>
      <w:r>
        <w:rPr>
          <w:sz w:val="21"/>
          <w:szCs w:val="21"/>
        </w:rPr>
        <w:fldChar w:fldCharType="end"/>
      </w:r>
      <w:r>
        <w:rPr>
          <w:sz w:val="21"/>
          <w:szCs w:val="21"/>
        </w:rPr>
        <w:fldChar w:fldCharType="end"/>
      </w:r>
    </w:p>
    <w:p w14:paraId="5A460E42">
      <w:pPr>
        <w:pStyle w:val="27"/>
        <w:rPr>
          <w:rFonts w:hint="eastAsia" w:ascii="等线" w:hAnsi="等线" w:eastAsia="等线"/>
          <w:kern w:val="2"/>
          <w:sz w:val="21"/>
          <w:szCs w:val="21"/>
        </w:rPr>
      </w:pPr>
      <w:r>
        <w:fldChar w:fldCharType="begin"/>
      </w:r>
      <w:r>
        <w:instrText xml:space="preserve"> HYPERLINK \l "_Toc155267103" </w:instrText>
      </w:r>
      <w:r>
        <w:fldChar w:fldCharType="separate"/>
      </w:r>
      <w:r>
        <w:rPr>
          <w:rStyle w:val="39"/>
          <w:rFonts w:eastAsia="宋体"/>
          <w:sz w:val="21"/>
          <w:szCs w:val="21"/>
        </w:rPr>
        <w:t>（三）权益状况分析</w:t>
      </w:r>
      <w:r>
        <w:rPr>
          <w:sz w:val="21"/>
          <w:szCs w:val="21"/>
        </w:rPr>
        <w:tab/>
      </w:r>
      <w:r>
        <w:rPr>
          <w:sz w:val="21"/>
          <w:szCs w:val="21"/>
        </w:rPr>
        <w:fldChar w:fldCharType="begin"/>
      </w:r>
      <w:r>
        <w:rPr>
          <w:sz w:val="21"/>
          <w:szCs w:val="21"/>
        </w:rPr>
        <w:instrText xml:space="preserve"> PAGEREF _Toc155267103 \h </w:instrText>
      </w:r>
      <w:r>
        <w:rPr>
          <w:sz w:val="21"/>
          <w:szCs w:val="21"/>
        </w:rPr>
        <w:fldChar w:fldCharType="separate"/>
      </w:r>
      <w:r>
        <w:rPr>
          <w:sz w:val="21"/>
          <w:szCs w:val="21"/>
        </w:rPr>
        <w:t>26</w:t>
      </w:r>
      <w:r>
        <w:rPr>
          <w:sz w:val="21"/>
          <w:szCs w:val="21"/>
        </w:rPr>
        <w:fldChar w:fldCharType="end"/>
      </w:r>
      <w:r>
        <w:rPr>
          <w:sz w:val="21"/>
          <w:szCs w:val="21"/>
        </w:rPr>
        <w:fldChar w:fldCharType="end"/>
      </w:r>
    </w:p>
    <w:p w14:paraId="4C9DD46A">
      <w:pPr>
        <w:pStyle w:val="27"/>
        <w:rPr>
          <w:rFonts w:hint="eastAsia" w:ascii="等线" w:hAnsi="等线" w:eastAsia="等线"/>
          <w:kern w:val="2"/>
          <w:sz w:val="21"/>
          <w:szCs w:val="21"/>
        </w:rPr>
      </w:pPr>
      <w:r>
        <w:fldChar w:fldCharType="begin"/>
      </w:r>
      <w:r>
        <w:instrText xml:space="preserve"> HYPERLINK \l "_Toc155267104" </w:instrText>
      </w:r>
      <w:r>
        <w:fldChar w:fldCharType="separate"/>
      </w:r>
      <w:r>
        <w:rPr>
          <w:rStyle w:val="39"/>
          <w:rFonts w:eastAsia="宋体"/>
          <w:sz w:val="21"/>
          <w:szCs w:val="21"/>
        </w:rPr>
        <w:t>二、市场背景描述与分析</w:t>
      </w:r>
      <w:r>
        <w:rPr>
          <w:sz w:val="21"/>
          <w:szCs w:val="21"/>
        </w:rPr>
        <w:tab/>
      </w:r>
      <w:r>
        <w:rPr>
          <w:sz w:val="21"/>
          <w:szCs w:val="21"/>
        </w:rPr>
        <w:fldChar w:fldCharType="begin"/>
      </w:r>
      <w:r>
        <w:rPr>
          <w:sz w:val="21"/>
          <w:szCs w:val="21"/>
        </w:rPr>
        <w:instrText xml:space="preserve"> PAGEREF _Toc155267104 \h </w:instrText>
      </w:r>
      <w:r>
        <w:rPr>
          <w:sz w:val="21"/>
          <w:szCs w:val="21"/>
        </w:rPr>
        <w:fldChar w:fldCharType="separate"/>
      </w:r>
      <w:r>
        <w:rPr>
          <w:sz w:val="21"/>
          <w:szCs w:val="21"/>
        </w:rPr>
        <w:t>26</w:t>
      </w:r>
      <w:r>
        <w:rPr>
          <w:sz w:val="21"/>
          <w:szCs w:val="21"/>
        </w:rPr>
        <w:fldChar w:fldCharType="end"/>
      </w:r>
      <w:r>
        <w:rPr>
          <w:sz w:val="21"/>
          <w:szCs w:val="21"/>
        </w:rPr>
        <w:fldChar w:fldCharType="end"/>
      </w:r>
    </w:p>
    <w:p w14:paraId="5DEAC990">
      <w:pPr>
        <w:pStyle w:val="27"/>
        <w:rPr>
          <w:rFonts w:hint="eastAsia" w:ascii="等线" w:hAnsi="等线" w:eastAsia="等线"/>
          <w:kern w:val="2"/>
          <w:sz w:val="21"/>
          <w:szCs w:val="21"/>
        </w:rPr>
      </w:pPr>
      <w:r>
        <w:fldChar w:fldCharType="begin"/>
      </w:r>
      <w:r>
        <w:instrText xml:space="preserve"> HYPERLINK \l "_Toc155267105" </w:instrText>
      </w:r>
      <w:r>
        <w:fldChar w:fldCharType="separate"/>
      </w:r>
      <w:r>
        <w:rPr>
          <w:rStyle w:val="39"/>
          <w:rFonts w:eastAsia="宋体"/>
          <w:sz w:val="21"/>
          <w:szCs w:val="21"/>
        </w:rPr>
        <w:t>三、最高最佳利用分析</w:t>
      </w:r>
      <w:r>
        <w:rPr>
          <w:sz w:val="21"/>
          <w:szCs w:val="21"/>
        </w:rPr>
        <w:tab/>
      </w:r>
      <w:r>
        <w:rPr>
          <w:sz w:val="21"/>
          <w:szCs w:val="21"/>
        </w:rPr>
        <w:fldChar w:fldCharType="begin"/>
      </w:r>
      <w:r>
        <w:rPr>
          <w:sz w:val="21"/>
          <w:szCs w:val="21"/>
        </w:rPr>
        <w:instrText xml:space="preserve"> PAGEREF _Toc155267105 \h </w:instrText>
      </w:r>
      <w:r>
        <w:rPr>
          <w:sz w:val="21"/>
          <w:szCs w:val="21"/>
        </w:rPr>
        <w:fldChar w:fldCharType="separate"/>
      </w:r>
      <w:r>
        <w:rPr>
          <w:sz w:val="21"/>
          <w:szCs w:val="21"/>
        </w:rPr>
        <w:t>45</w:t>
      </w:r>
      <w:r>
        <w:rPr>
          <w:sz w:val="21"/>
          <w:szCs w:val="21"/>
        </w:rPr>
        <w:fldChar w:fldCharType="end"/>
      </w:r>
      <w:r>
        <w:rPr>
          <w:sz w:val="21"/>
          <w:szCs w:val="21"/>
        </w:rPr>
        <w:fldChar w:fldCharType="end"/>
      </w:r>
    </w:p>
    <w:p w14:paraId="1343781A">
      <w:pPr>
        <w:pStyle w:val="27"/>
        <w:rPr>
          <w:rFonts w:hint="eastAsia" w:ascii="等线" w:hAnsi="等线" w:eastAsia="等线"/>
          <w:kern w:val="2"/>
          <w:sz w:val="21"/>
          <w:szCs w:val="21"/>
        </w:rPr>
      </w:pPr>
      <w:r>
        <w:fldChar w:fldCharType="begin"/>
      </w:r>
      <w:r>
        <w:instrText xml:space="preserve"> HYPERLINK \l "_Toc155267106" </w:instrText>
      </w:r>
      <w:r>
        <w:fldChar w:fldCharType="separate"/>
      </w:r>
      <w:r>
        <w:rPr>
          <w:rStyle w:val="39"/>
          <w:rFonts w:eastAsia="宋体"/>
          <w:sz w:val="21"/>
          <w:szCs w:val="21"/>
        </w:rPr>
        <w:t>四、估价方法适用性分析</w:t>
      </w:r>
      <w:r>
        <w:rPr>
          <w:sz w:val="21"/>
          <w:szCs w:val="21"/>
        </w:rPr>
        <w:tab/>
      </w:r>
      <w:r>
        <w:rPr>
          <w:sz w:val="21"/>
          <w:szCs w:val="21"/>
        </w:rPr>
        <w:fldChar w:fldCharType="begin"/>
      </w:r>
      <w:r>
        <w:rPr>
          <w:sz w:val="21"/>
          <w:szCs w:val="21"/>
        </w:rPr>
        <w:instrText xml:space="preserve"> PAGEREF _Toc155267106 \h </w:instrText>
      </w:r>
      <w:r>
        <w:rPr>
          <w:sz w:val="21"/>
          <w:szCs w:val="21"/>
        </w:rPr>
        <w:fldChar w:fldCharType="separate"/>
      </w:r>
      <w:r>
        <w:rPr>
          <w:sz w:val="21"/>
          <w:szCs w:val="21"/>
        </w:rPr>
        <w:t>47</w:t>
      </w:r>
      <w:r>
        <w:rPr>
          <w:sz w:val="21"/>
          <w:szCs w:val="21"/>
        </w:rPr>
        <w:fldChar w:fldCharType="end"/>
      </w:r>
      <w:r>
        <w:rPr>
          <w:sz w:val="21"/>
          <w:szCs w:val="21"/>
        </w:rPr>
        <w:fldChar w:fldCharType="end"/>
      </w:r>
    </w:p>
    <w:p w14:paraId="1E63284F">
      <w:pPr>
        <w:pStyle w:val="27"/>
        <w:rPr>
          <w:rFonts w:hint="eastAsia" w:ascii="等线" w:hAnsi="等线" w:eastAsia="等线"/>
          <w:kern w:val="2"/>
          <w:sz w:val="21"/>
          <w:szCs w:val="21"/>
        </w:rPr>
      </w:pPr>
      <w:r>
        <w:fldChar w:fldCharType="begin"/>
      </w:r>
      <w:r>
        <w:instrText xml:space="preserve"> HYPERLINK \l "_Toc155267107" </w:instrText>
      </w:r>
      <w:r>
        <w:fldChar w:fldCharType="separate"/>
      </w:r>
      <w:r>
        <w:rPr>
          <w:rStyle w:val="39"/>
          <w:rFonts w:eastAsia="宋体"/>
          <w:sz w:val="21"/>
          <w:szCs w:val="21"/>
        </w:rPr>
        <w:t>五、估价测算过程</w:t>
      </w:r>
      <w:r>
        <w:rPr>
          <w:sz w:val="21"/>
          <w:szCs w:val="21"/>
        </w:rPr>
        <w:tab/>
      </w:r>
      <w:r>
        <w:rPr>
          <w:sz w:val="21"/>
          <w:szCs w:val="21"/>
        </w:rPr>
        <w:fldChar w:fldCharType="begin"/>
      </w:r>
      <w:r>
        <w:rPr>
          <w:sz w:val="21"/>
          <w:szCs w:val="21"/>
        </w:rPr>
        <w:instrText xml:space="preserve"> PAGEREF _Toc155267107 \h </w:instrText>
      </w:r>
      <w:r>
        <w:rPr>
          <w:sz w:val="21"/>
          <w:szCs w:val="21"/>
        </w:rPr>
        <w:fldChar w:fldCharType="separate"/>
      </w:r>
      <w:r>
        <w:rPr>
          <w:sz w:val="21"/>
          <w:szCs w:val="21"/>
        </w:rPr>
        <w:t>50</w:t>
      </w:r>
      <w:r>
        <w:rPr>
          <w:sz w:val="21"/>
          <w:szCs w:val="21"/>
        </w:rPr>
        <w:fldChar w:fldCharType="end"/>
      </w:r>
      <w:r>
        <w:rPr>
          <w:sz w:val="21"/>
          <w:szCs w:val="21"/>
        </w:rPr>
        <w:fldChar w:fldCharType="end"/>
      </w:r>
    </w:p>
    <w:p w14:paraId="5D0E0E47">
      <w:pPr>
        <w:pStyle w:val="27"/>
        <w:rPr>
          <w:rFonts w:hint="eastAsia" w:ascii="等线" w:hAnsi="等线" w:eastAsia="等线"/>
          <w:kern w:val="2"/>
          <w:sz w:val="21"/>
          <w:szCs w:val="21"/>
        </w:rPr>
      </w:pPr>
      <w:r>
        <w:fldChar w:fldCharType="begin"/>
      </w:r>
      <w:r>
        <w:instrText xml:space="preserve"> HYPERLINK \l "_Toc155267108" </w:instrText>
      </w:r>
      <w:r>
        <w:fldChar w:fldCharType="separate"/>
      </w:r>
      <w:r>
        <w:rPr>
          <w:rStyle w:val="39"/>
          <w:rFonts w:eastAsia="宋体"/>
          <w:sz w:val="21"/>
          <w:szCs w:val="21"/>
        </w:rPr>
        <w:t>六、估价结果确定</w:t>
      </w:r>
      <w:r>
        <w:rPr>
          <w:sz w:val="21"/>
          <w:szCs w:val="21"/>
        </w:rPr>
        <w:tab/>
      </w:r>
      <w:r>
        <w:rPr>
          <w:sz w:val="21"/>
          <w:szCs w:val="21"/>
        </w:rPr>
        <w:fldChar w:fldCharType="begin"/>
      </w:r>
      <w:r>
        <w:rPr>
          <w:sz w:val="21"/>
          <w:szCs w:val="21"/>
        </w:rPr>
        <w:instrText xml:space="preserve"> PAGEREF _Toc155267108 \h </w:instrText>
      </w:r>
      <w:r>
        <w:rPr>
          <w:sz w:val="21"/>
          <w:szCs w:val="21"/>
        </w:rPr>
        <w:fldChar w:fldCharType="separate"/>
      </w:r>
      <w:r>
        <w:rPr>
          <w:sz w:val="21"/>
          <w:szCs w:val="21"/>
        </w:rPr>
        <w:t>100</w:t>
      </w:r>
      <w:r>
        <w:rPr>
          <w:sz w:val="21"/>
          <w:szCs w:val="21"/>
        </w:rPr>
        <w:fldChar w:fldCharType="end"/>
      </w:r>
      <w:r>
        <w:rPr>
          <w:sz w:val="21"/>
          <w:szCs w:val="21"/>
        </w:rPr>
        <w:fldChar w:fldCharType="end"/>
      </w:r>
    </w:p>
    <w:p w14:paraId="7F46A0BE">
      <w:pPr>
        <w:pStyle w:val="23"/>
        <w:rPr>
          <w:rFonts w:hint="eastAsia" w:ascii="等线" w:hAnsi="等线" w:eastAsia="等线"/>
          <w:b w:val="0"/>
          <w:bCs w:val="0"/>
          <w:kern w:val="2"/>
          <w:sz w:val="24"/>
          <w:szCs w:val="24"/>
        </w:rPr>
      </w:pPr>
      <w:r>
        <w:fldChar w:fldCharType="begin"/>
      </w:r>
      <w:r>
        <w:instrText xml:space="preserve"> HYPERLINK \l "_Toc155267109" </w:instrText>
      </w:r>
      <w:r>
        <w:fldChar w:fldCharType="separate"/>
      </w:r>
      <w:r>
        <w:rPr>
          <w:rStyle w:val="39"/>
          <w:rFonts w:eastAsia="方正黑体简体"/>
          <w:sz w:val="24"/>
          <w:szCs w:val="24"/>
        </w:rPr>
        <w:t>附   件</w:t>
      </w:r>
      <w:r>
        <w:rPr>
          <w:sz w:val="24"/>
          <w:szCs w:val="24"/>
        </w:rPr>
        <w:tab/>
      </w:r>
      <w:r>
        <w:rPr>
          <w:sz w:val="24"/>
          <w:szCs w:val="24"/>
        </w:rPr>
        <w:fldChar w:fldCharType="begin"/>
      </w:r>
      <w:r>
        <w:rPr>
          <w:sz w:val="24"/>
          <w:szCs w:val="24"/>
        </w:rPr>
        <w:instrText xml:space="preserve"> PAGEREF _Toc155267109 \h </w:instrText>
      </w:r>
      <w:r>
        <w:rPr>
          <w:sz w:val="24"/>
          <w:szCs w:val="24"/>
        </w:rPr>
        <w:fldChar w:fldCharType="separate"/>
      </w:r>
      <w:r>
        <w:rPr>
          <w:sz w:val="24"/>
          <w:szCs w:val="24"/>
        </w:rPr>
        <w:t>101</w:t>
      </w:r>
      <w:r>
        <w:rPr>
          <w:sz w:val="24"/>
          <w:szCs w:val="24"/>
        </w:rPr>
        <w:fldChar w:fldCharType="end"/>
      </w:r>
      <w:r>
        <w:rPr>
          <w:sz w:val="24"/>
          <w:szCs w:val="24"/>
        </w:rPr>
        <w:fldChar w:fldCharType="end"/>
      </w:r>
    </w:p>
    <w:p w14:paraId="539188E4">
      <w:pPr>
        <w:numPr>
          <w:ilvl w:val="0"/>
          <w:numId w:val="5"/>
        </w:numPr>
        <w:spacing w:line="360" w:lineRule="auto"/>
        <w:jc w:val="both"/>
        <w:rPr>
          <w:rFonts w:ascii="Arial" w:hAnsi="Arial" w:cs="Arial"/>
          <w:sz w:val="21"/>
          <w:szCs w:val="21"/>
        </w:rPr>
      </w:pPr>
      <w:r>
        <w:rPr>
          <w:rFonts w:ascii="宋体" w:hAnsi="宋体" w:cs="Arial"/>
          <w:szCs w:val="24"/>
        </w:rPr>
        <w:fldChar w:fldCharType="end"/>
      </w:r>
      <w:r>
        <w:rPr>
          <w:rFonts w:hint="eastAsia" w:ascii="Arial" w:hAnsi="Arial" w:cs="Arial"/>
          <w:sz w:val="21"/>
          <w:szCs w:val="21"/>
        </w:rPr>
        <w:t>《估价委托书》复印件</w:t>
      </w:r>
    </w:p>
    <w:p w14:paraId="113D7403">
      <w:pPr>
        <w:numPr>
          <w:ilvl w:val="0"/>
          <w:numId w:val="5"/>
        </w:numPr>
        <w:spacing w:line="360" w:lineRule="auto"/>
        <w:jc w:val="both"/>
        <w:rPr>
          <w:rFonts w:ascii="Arial" w:hAnsi="Arial" w:cs="Arial"/>
          <w:sz w:val="21"/>
          <w:szCs w:val="21"/>
        </w:rPr>
      </w:pPr>
      <w:r>
        <w:rPr>
          <w:rFonts w:hint="eastAsia" w:ascii="Arial" w:hAnsi="Arial" w:cs="Arial"/>
          <w:sz w:val="21"/>
          <w:szCs w:val="21"/>
        </w:rPr>
        <w:t>估价对象所在位置示意图</w:t>
      </w:r>
    </w:p>
    <w:p w14:paraId="7D98611E">
      <w:pPr>
        <w:numPr>
          <w:ilvl w:val="0"/>
          <w:numId w:val="5"/>
        </w:numPr>
        <w:spacing w:line="360" w:lineRule="auto"/>
        <w:jc w:val="both"/>
        <w:rPr>
          <w:rFonts w:ascii="Arial" w:hAnsi="Arial" w:cs="Arial"/>
          <w:sz w:val="21"/>
          <w:szCs w:val="21"/>
        </w:rPr>
      </w:pPr>
      <w:r>
        <w:rPr>
          <w:rFonts w:hint="eastAsia" w:ascii="Arial" w:hAnsi="Arial" w:cs="Arial"/>
          <w:sz w:val="21"/>
          <w:szCs w:val="21"/>
        </w:rPr>
        <w:t>估价对象现状照片</w:t>
      </w:r>
    </w:p>
    <w:p w14:paraId="59D2A76B">
      <w:pPr>
        <w:numPr>
          <w:ilvl w:val="0"/>
          <w:numId w:val="5"/>
        </w:numPr>
        <w:spacing w:line="360" w:lineRule="auto"/>
        <w:jc w:val="both"/>
        <w:rPr>
          <w:rFonts w:ascii="Arial" w:hAnsi="Arial" w:cs="Arial"/>
          <w:sz w:val="21"/>
          <w:szCs w:val="21"/>
        </w:rPr>
      </w:pPr>
      <w:r>
        <w:rPr>
          <w:rFonts w:hint="eastAsia" w:ascii="Arial" w:hAnsi="Arial" w:cs="Arial"/>
          <w:sz w:val="21"/>
          <w:szCs w:val="21"/>
        </w:rPr>
        <w:t>《北京市大兴区住房和城乡建设委员会 关于向燕兴公司出售我区安置房剩余房源资产的请示》[京兴建文（2026）20号]及其附件复印件</w:t>
      </w:r>
    </w:p>
    <w:p w14:paraId="016DA6E4">
      <w:pPr>
        <w:numPr>
          <w:ilvl w:val="0"/>
          <w:numId w:val="5"/>
        </w:numPr>
        <w:spacing w:line="360" w:lineRule="auto"/>
        <w:jc w:val="both"/>
        <w:rPr>
          <w:rFonts w:ascii="Arial" w:hAnsi="Arial" w:cs="Arial"/>
          <w:sz w:val="21"/>
          <w:szCs w:val="21"/>
        </w:rPr>
      </w:pPr>
      <w:r>
        <w:rPr>
          <w:rFonts w:hint="eastAsia" w:ascii="Arial" w:hAnsi="Arial" w:cs="Arial"/>
          <w:sz w:val="21"/>
          <w:szCs w:val="21"/>
        </w:rPr>
        <w:t>《北京市规划和自然资源委员会 大兴分局关于燕兴保障房公司保留原房屋产权性质有关意见的报告》[京规自兴文（2026）91号]复印件</w:t>
      </w:r>
    </w:p>
    <w:p w14:paraId="66A82555">
      <w:pPr>
        <w:numPr>
          <w:ilvl w:val="0"/>
          <w:numId w:val="5"/>
        </w:numPr>
        <w:spacing w:line="360" w:lineRule="auto"/>
        <w:jc w:val="both"/>
        <w:rPr>
          <w:rFonts w:ascii="Arial" w:hAnsi="Arial" w:cs="Arial"/>
          <w:sz w:val="21"/>
          <w:szCs w:val="21"/>
        </w:rPr>
      </w:pPr>
      <w:r>
        <w:rPr>
          <w:rFonts w:hint="eastAsia" w:ascii="Arial" w:hAnsi="Arial" w:cs="Arial"/>
          <w:sz w:val="21"/>
          <w:szCs w:val="21"/>
        </w:rPr>
        <w:t>《北京市燕兴保障性住房建设投资有限公司 关于保留原房屋产权性质的请示》[燕兴建投文（2026）08号]复印件</w:t>
      </w:r>
    </w:p>
    <w:p w14:paraId="5BAD2A09">
      <w:pPr>
        <w:numPr>
          <w:ilvl w:val="0"/>
          <w:numId w:val="5"/>
        </w:numPr>
        <w:spacing w:line="360" w:lineRule="auto"/>
        <w:jc w:val="both"/>
        <w:rPr>
          <w:rFonts w:ascii="Arial" w:hAnsi="Arial" w:cs="Arial"/>
          <w:sz w:val="21"/>
          <w:szCs w:val="21"/>
        </w:rPr>
      </w:pPr>
      <w:r>
        <w:rPr>
          <w:rFonts w:hint="eastAsia" w:ascii="Arial" w:hAnsi="Arial" w:cs="Arial"/>
          <w:sz w:val="21"/>
          <w:szCs w:val="21"/>
        </w:rPr>
        <w:t>《北京市保障性住房收购合同》及其附件复印件</w:t>
      </w:r>
    </w:p>
    <w:p w14:paraId="1D327FC0">
      <w:pPr>
        <w:numPr>
          <w:ilvl w:val="0"/>
          <w:numId w:val="5"/>
        </w:numPr>
        <w:spacing w:line="360" w:lineRule="auto"/>
        <w:jc w:val="both"/>
        <w:rPr>
          <w:rFonts w:ascii="Arial" w:hAnsi="Arial" w:cs="Arial"/>
          <w:sz w:val="21"/>
          <w:szCs w:val="21"/>
        </w:rPr>
      </w:pPr>
      <w:r>
        <w:rPr>
          <w:rFonts w:hint="eastAsia" w:ascii="Arial" w:hAnsi="Arial" w:cs="Arial"/>
          <w:sz w:val="21"/>
          <w:szCs w:val="21"/>
          <w:lang w:eastAsia="zh-CN"/>
        </w:rPr>
        <w:t>《不动产权证书》[京（2026）大不动产权第0006890、0007126、0007158号]部分</w:t>
      </w:r>
      <w:r>
        <w:rPr>
          <w:rFonts w:hint="eastAsia" w:ascii="Arial" w:hAnsi="Arial" w:cs="Arial"/>
          <w:sz w:val="21"/>
          <w:szCs w:val="21"/>
        </w:rPr>
        <w:t>复印件</w:t>
      </w:r>
    </w:p>
    <w:p w14:paraId="355BB27B">
      <w:pPr>
        <w:numPr>
          <w:ilvl w:val="0"/>
          <w:numId w:val="5"/>
        </w:numPr>
        <w:spacing w:line="360" w:lineRule="auto"/>
        <w:jc w:val="both"/>
        <w:rPr>
          <w:rFonts w:ascii="Arial" w:hAnsi="Arial" w:cs="Arial"/>
          <w:sz w:val="21"/>
          <w:szCs w:val="21"/>
        </w:rPr>
      </w:pPr>
      <w:r>
        <w:rPr>
          <w:rFonts w:hint="eastAsia" w:ascii="Arial" w:hAnsi="Arial" w:cs="Arial"/>
          <w:sz w:val="21"/>
          <w:szCs w:val="21"/>
        </w:rPr>
        <w:t>估价委托人《营业执照（副本）》复印件</w:t>
      </w:r>
    </w:p>
    <w:p w14:paraId="19DAE856">
      <w:pPr>
        <w:numPr>
          <w:ilvl w:val="0"/>
          <w:numId w:val="5"/>
        </w:numPr>
        <w:spacing w:line="360" w:lineRule="auto"/>
        <w:jc w:val="both"/>
        <w:rPr>
          <w:rFonts w:ascii="Arial" w:hAnsi="Arial" w:cs="Arial"/>
          <w:sz w:val="21"/>
          <w:szCs w:val="21"/>
        </w:rPr>
      </w:pPr>
      <w:r>
        <w:rPr>
          <w:rFonts w:hint="eastAsia" w:ascii="Arial" w:hAnsi="Arial" w:cs="Arial"/>
          <w:sz w:val="21"/>
          <w:szCs w:val="21"/>
        </w:rPr>
        <w:t>房地产估价机构《营业执照（副本）》复印件</w:t>
      </w:r>
    </w:p>
    <w:p w14:paraId="7E0FE1F0">
      <w:pPr>
        <w:numPr>
          <w:ilvl w:val="0"/>
          <w:numId w:val="5"/>
        </w:numPr>
        <w:spacing w:line="360" w:lineRule="auto"/>
        <w:jc w:val="both"/>
        <w:rPr>
          <w:rFonts w:ascii="Arial" w:hAnsi="Arial" w:cs="Arial"/>
          <w:sz w:val="21"/>
          <w:szCs w:val="21"/>
        </w:rPr>
      </w:pPr>
      <w:r>
        <w:rPr>
          <w:rFonts w:hint="eastAsia" w:ascii="Arial" w:hAnsi="Arial" w:cs="Arial"/>
          <w:sz w:val="21"/>
          <w:szCs w:val="21"/>
        </w:rPr>
        <w:t>房地产估价机构资质证书复印件</w:t>
      </w:r>
    </w:p>
    <w:p w14:paraId="425BA4F4">
      <w:pPr>
        <w:numPr>
          <w:ilvl w:val="0"/>
          <w:numId w:val="5"/>
        </w:numPr>
        <w:spacing w:line="360" w:lineRule="auto"/>
        <w:jc w:val="both"/>
        <w:rPr>
          <w:rFonts w:ascii="Arial" w:hAnsi="Arial" w:cs="Arial"/>
          <w:sz w:val="21"/>
          <w:szCs w:val="21"/>
        </w:rPr>
      </w:pPr>
      <w:r>
        <w:rPr>
          <w:rFonts w:hint="eastAsia" w:ascii="Arial" w:hAnsi="Arial" w:cs="Arial"/>
          <w:sz w:val="21"/>
          <w:szCs w:val="21"/>
        </w:rPr>
        <w:t>评估专业人员执业证书复印件</w:t>
      </w:r>
    </w:p>
    <w:p w14:paraId="50D40CB7">
      <w:pPr>
        <w:spacing w:line="240" w:lineRule="auto"/>
        <w:jc w:val="both"/>
        <w:outlineLvl w:val="0"/>
        <w:rPr>
          <w:rFonts w:ascii="Arial" w:hAnsi="Arial" w:eastAsia="楷体_GB2312" w:cs="Arial"/>
          <w:i/>
          <w:kern w:val="2"/>
          <w:sz w:val="28"/>
          <w:szCs w:val="28"/>
        </w:rPr>
        <w:sectPr>
          <w:headerReference r:id="rId14" w:type="first"/>
          <w:headerReference r:id="rId12" w:type="default"/>
          <w:headerReference r:id="rId13" w:type="even"/>
          <w:pgSz w:w="11907" w:h="16840"/>
          <w:pgMar w:top="1843" w:right="1134" w:bottom="1134" w:left="1134" w:header="1134" w:footer="907" w:gutter="340"/>
          <w:cols w:space="720" w:num="1"/>
          <w:docGrid w:linePitch="326" w:charSpace="0"/>
        </w:sectPr>
      </w:pPr>
    </w:p>
    <w:p w14:paraId="71F8ADC8">
      <w:pPr>
        <w:pStyle w:val="2"/>
        <w:spacing w:line="480" w:lineRule="auto"/>
        <w:jc w:val="center"/>
        <w:rPr>
          <w:rFonts w:eastAsia="方正黑体简体"/>
          <w:b w:val="0"/>
          <w:kern w:val="2"/>
          <w:sz w:val="32"/>
          <w:szCs w:val="32"/>
        </w:rPr>
      </w:pPr>
      <w:bookmarkStart w:id="5" w:name="_Toc155267083"/>
      <w:bookmarkStart w:id="6" w:name="_Toc379795041"/>
      <w:r>
        <w:rPr>
          <w:rFonts w:hint="eastAsia" w:eastAsia="方正黑体简体"/>
          <w:b w:val="0"/>
          <w:kern w:val="2"/>
          <w:sz w:val="32"/>
          <w:szCs w:val="32"/>
        </w:rPr>
        <w:t>估价师声明</w:t>
      </w:r>
      <w:bookmarkEnd w:id="5"/>
      <w:bookmarkEnd w:id="6"/>
    </w:p>
    <w:p w14:paraId="6C2FC1AC">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14:paraId="7F25D299">
      <w:pPr>
        <w:spacing w:line="480" w:lineRule="auto"/>
        <w:jc w:val="both"/>
        <w:outlineLvl w:val="0"/>
        <w:rPr>
          <w:rFonts w:ascii="Arial" w:hAnsi="Arial" w:cs="Arial"/>
          <w:kern w:val="2"/>
          <w:sz w:val="21"/>
          <w:szCs w:val="21"/>
        </w:rPr>
      </w:pPr>
      <w:bookmarkStart w:id="7" w:name="_Toc168225811"/>
      <w:r>
        <w:rPr>
          <w:rFonts w:ascii="Arial" w:hAnsi="Arial" w:cs="Arial"/>
          <w:kern w:val="2"/>
          <w:sz w:val="21"/>
          <w:szCs w:val="21"/>
        </w:rPr>
        <w:t>（一）注册房地产估价师在本估价报告中对事实的说明是真实的和准确的，没有虚假记载、误导性陈述和重大遗漏。</w:t>
      </w:r>
    </w:p>
    <w:p w14:paraId="690D462B">
      <w:pPr>
        <w:spacing w:line="480" w:lineRule="auto"/>
        <w:jc w:val="both"/>
        <w:outlineLvl w:val="0"/>
        <w:rPr>
          <w:rFonts w:ascii="Arial" w:hAnsi="Arial" w:cs="Arial"/>
          <w:kern w:val="2"/>
          <w:sz w:val="21"/>
          <w:szCs w:val="21"/>
        </w:rPr>
      </w:pPr>
      <w:r>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3D49D2F0">
      <w:pPr>
        <w:spacing w:line="480" w:lineRule="auto"/>
        <w:jc w:val="both"/>
        <w:outlineLvl w:val="0"/>
        <w:rPr>
          <w:rFonts w:ascii="Arial" w:hAnsi="Arial" w:cs="Arial"/>
          <w:kern w:val="2"/>
          <w:sz w:val="21"/>
          <w:szCs w:val="21"/>
        </w:rPr>
      </w:pPr>
      <w:r>
        <w:rPr>
          <w:rFonts w:ascii="Arial" w:hAnsi="Arial" w:cs="Arial"/>
          <w:kern w:val="2"/>
          <w:sz w:val="21"/>
          <w:szCs w:val="21"/>
        </w:rPr>
        <w:t>（三）</w:t>
      </w:r>
      <w:r>
        <w:rPr>
          <w:rFonts w:hint="eastAsia" w:ascii="Arial" w:hAnsi="Arial" w:cs="Arial"/>
          <w:kern w:val="2"/>
          <w:sz w:val="21"/>
          <w:szCs w:val="21"/>
        </w:rPr>
        <w:t>评估专业人员已对估价对象进行了实地查勘。我们</w:t>
      </w:r>
      <w:r>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542E0991">
      <w:pPr>
        <w:spacing w:line="480" w:lineRule="auto"/>
        <w:jc w:val="both"/>
        <w:outlineLvl w:val="0"/>
        <w:rPr>
          <w:rFonts w:ascii="Arial" w:hAnsi="Arial" w:cs="Arial"/>
          <w:kern w:val="2"/>
          <w:sz w:val="21"/>
          <w:szCs w:val="21"/>
        </w:rPr>
      </w:pPr>
      <w:r>
        <w:rPr>
          <w:rFonts w:ascii="Arial" w:hAnsi="Arial" w:cs="Arial"/>
          <w:kern w:val="2"/>
          <w:sz w:val="21"/>
          <w:szCs w:val="21"/>
        </w:rPr>
        <w:t>（四）注册房地产估价师依照中华人民共和国国家标准《房地产估价规范》</w:t>
      </w:r>
      <w:bookmarkStart w:id="8" w:name="_Hlk130229083"/>
      <w:r>
        <w:rPr>
          <w:rFonts w:ascii="Arial" w:hAnsi="Arial" w:cs="Arial"/>
          <w:kern w:val="2"/>
          <w:sz w:val="21"/>
          <w:szCs w:val="21"/>
        </w:rPr>
        <w:t>[GB/T</w:t>
      </w:r>
      <w:r>
        <w:rPr>
          <w:rFonts w:hint="eastAsia" w:ascii="Arial" w:hAnsi="Arial" w:cs="Arial"/>
          <w:kern w:val="2"/>
          <w:sz w:val="21"/>
          <w:szCs w:val="21"/>
        </w:rPr>
        <w:t xml:space="preserve"> </w:t>
      </w:r>
      <w:r>
        <w:rPr>
          <w:rFonts w:ascii="Arial" w:hAnsi="Arial" w:cs="Arial"/>
          <w:kern w:val="2"/>
          <w:sz w:val="21"/>
          <w:szCs w:val="21"/>
        </w:rPr>
        <w:t>50291-2015]</w:t>
      </w:r>
      <w:bookmarkEnd w:id="8"/>
      <w:r>
        <w:rPr>
          <w:rFonts w:hint="eastAsia" w:ascii="Arial" w:hAnsi="Arial" w:cs="Arial"/>
          <w:kern w:val="2"/>
          <w:sz w:val="21"/>
          <w:szCs w:val="21"/>
        </w:rPr>
        <w:t>、《</w:t>
      </w:r>
      <w:r>
        <w:rPr>
          <w:rFonts w:ascii="Arial" w:hAnsi="Arial" w:cs="Arial"/>
          <w:kern w:val="2"/>
          <w:sz w:val="21"/>
          <w:szCs w:val="21"/>
        </w:rPr>
        <w:t>房地产估价基本术语标</w:t>
      </w:r>
      <w:r>
        <w:rPr>
          <w:rFonts w:hint="eastAsia" w:ascii="Arial" w:hAnsi="Arial" w:cs="Arial"/>
          <w:kern w:val="2"/>
          <w:sz w:val="21"/>
          <w:szCs w:val="21"/>
        </w:rPr>
        <w:t>准》</w:t>
      </w:r>
      <w:bookmarkStart w:id="9" w:name="_Hlk130229088"/>
      <w:r>
        <w:rPr>
          <w:rFonts w:ascii="Arial" w:hAnsi="Arial" w:cs="Arial"/>
          <w:kern w:val="2"/>
          <w:sz w:val="21"/>
          <w:szCs w:val="21"/>
        </w:rPr>
        <w:t>[GB/T</w:t>
      </w:r>
      <w:r>
        <w:rPr>
          <w:rFonts w:hint="eastAsia" w:ascii="Arial" w:hAnsi="Arial" w:cs="Arial"/>
          <w:kern w:val="2"/>
          <w:sz w:val="21"/>
          <w:szCs w:val="21"/>
        </w:rPr>
        <w:t xml:space="preserve"> </w:t>
      </w:r>
      <w:r>
        <w:rPr>
          <w:rFonts w:ascii="Arial" w:hAnsi="Arial" w:cs="Arial"/>
          <w:kern w:val="2"/>
          <w:sz w:val="21"/>
          <w:szCs w:val="21"/>
        </w:rPr>
        <w:t>50899-2013]</w:t>
      </w:r>
      <w:bookmarkEnd w:id="9"/>
      <w:r>
        <w:rPr>
          <w:rFonts w:ascii="Arial" w:hAnsi="Arial" w:cs="Arial"/>
          <w:kern w:val="2"/>
          <w:sz w:val="21"/>
          <w:szCs w:val="21"/>
        </w:rPr>
        <w:t>以及相关房地产估价专项标准，撰写本估价报告。</w:t>
      </w:r>
    </w:p>
    <w:p w14:paraId="0531EB5A">
      <w:pPr>
        <w:rPr>
          <w:rFonts w:ascii="Arial" w:hAnsi="Arial" w:eastAsia="楷体_GB2312" w:cs="Arial"/>
          <w:kern w:val="2"/>
          <w:sz w:val="28"/>
        </w:rPr>
        <w:sectPr>
          <w:headerReference r:id="rId17" w:type="first"/>
          <w:footerReference r:id="rId18" w:type="first"/>
          <w:headerReference r:id="rId15" w:type="default"/>
          <w:headerReference r:id="rId16" w:type="even"/>
          <w:pgSz w:w="11907" w:h="16840"/>
          <w:pgMar w:top="1843" w:right="1134" w:bottom="1134" w:left="1134" w:header="1134" w:footer="907" w:gutter="340"/>
          <w:cols w:space="720" w:num="1"/>
          <w:docGrid w:linePitch="326" w:charSpace="0"/>
        </w:sectPr>
      </w:pPr>
    </w:p>
    <w:p w14:paraId="671E8FD8">
      <w:pPr>
        <w:pStyle w:val="2"/>
        <w:spacing w:line="480" w:lineRule="auto"/>
        <w:jc w:val="center"/>
        <w:rPr>
          <w:rFonts w:eastAsia="方正黑体简体"/>
          <w:b w:val="0"/>
          <w:kern w:val="2"/>
          <w:sz w:val="32"/>
          <w:szCs w:val="32"/>
        </w:rPr>
      </w:pPr>
      <w:bookmarkStart w:id="10" w:name="_Toc379795042"/>
      <w:bookmarkStart w:id="11" w:name="_Toc155267084"/>
      <w:r>
        <w:rPr>
          <w:rFonts w:hint="eastAsia" w:eastAsia="方正黑体简体"/>
          <w:b w:val="0"/>
          <w:kern w:val="2"/>
          <w:sz w:val="32"/>
          <w:szCs w:val="32"/>
        </w:rPr>
        <w:t>估价假设和限制条件</w:t>
      </w:r>
      <w:bookmarkEnd w:id="10"/>
      <w:bookmarkEnd w:id="11"/>
    </w:p>
    <w:p w14:paraId="1A813B7F">
      <w:pPr>
        <w:spacing w:line="480" w:lineRule="auto"/>
        <w:jc w:val="both"/>
        <w:outlineLvl w:val="0"/>
        <w:rPr>
          <w:rFonts w:ascii="Arial" w:hAnsi="Arial" w:cs="Arial"/>
          <w:b/>
          <w:kern w:val="2"/>
          <w:sz w:val="21"/>
          <w:szCs w:val="21"/>
        </w:rPr>
      </w:pPr>
      <w:r>
        <w:rPr>
          <w:rFonts w:ascii="Arial" w:hAnsi="Arial" w:cs="Arial"/>
          <w:b/>
          <w:kern w:val="2"/>
          <w:sz w:val="21"/>
          <w:szCs w:val="21"/>
        </w:rPr>
        <w:t>（一）</w:t>
      </w:r>
      <w:r>
        <w:rPr>
          <w:rFonts w:hint="eastAsia" w:ascii="Arial" w:hAnsi="Arial" w:cs="Arial"/>
          <w:b/>
          <w:kern w:val="2"/>
          <w:sz w:val="21"/>
          <w:szCs w:val="21"/>
        </w:rPr>
        <w:t>本次估价的一般假设</w:t>
      </w:r>
    </w:p>
    <w:p w14:paraId="6AD42B6F">
      <w:pPr>
        <w:spacing w:line="480" w:lineRule="auto"/>
        <w:ind w:firstLine="420" w:firstLineChars="200"/>
        <w:jc w:val="both"/>
        <w:rPr>
          <w:rFonts w:ascii="Arial" w:hAnsi="Arial" w:cs="Arial"/>
          <w:kern w:val="2"/>
          <w:sz w:val="21"/>
          <w:szCs w:val="21"/>
        </w:rPr>
      </w:pPr>
      <w:r>
        <w:rPr>
          <w:rFonts w:ascii="Arial" w:hAnsi="Arial" w:cs="Arial"/>
          <w:kern w:val="2"/>
          <w:sz w:val="21"/>
          <w:szCs w:val="21"/>
        </w:rPr>
        <w:t>1.在</w:t>
      </w:r>
      <w:r>
        <w:rPr>
          <w:rFonts w:hint="eastAsia" w:ascii="Arial" w:hAnsi="Arial" w:cs="Arial"/>
          <w:kern w:val="2"/>
          <w:sz w:val="21"/>
          <w:szCs w:val="21"/>
        </w:rPr>
        <w:t>估价时段</w:t>
      </w:r>
      <w:r>
        <w:rPr>
          <w:rFonts w:ascii="Arial" w:hAnsi="Arial" w:cs="Arial"/>
          <w:kern w:val="2"/>
          <w:sz w:val="21"/>
          <w:szCs w:val="21"/>
        </w:rPr>
        <w:t>的房地产</w:t>
      </w:r>
      <w:r>
        <w:rPr>
          <w:rFonts w:hint="eastAsia" w:ascii="Arial" w:hAnsi="Arial" w:cs="Arial"/>
          <w:kern w:val="2"/>
          <w:sz w:val="21"/>
          <w:szCs w:val="21"/>
        </w:rPr>
        <w:t>租赁</w:t>
      </w:r>
      <w:r>
        <w:rPr>
          <w:rFonts w:ascii="Arial" w:hAnsi="Arial" w:cs="Arial"/>
          <w:kern w:val="2"/>
          <w:sz w:val="21"/>
          <w:szCs w:val="21"/>
        </w:rPr>
        <w:t>市场为公开、平等、自愿的交易市场。</w:t>
      </w:r>
    </w:p>
    <w:p w14:paraId="68933948">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2.</w:t>
      </w:r>
      <w:r>
        <w:rPr>
          <w:rFonts w:ascii="Arial" w:hAnsi="Arial" w:cs="Arial"/>
          <w:kern w:val="2"/>
          <w:sz w:val="21"/>
        </w:rPr>
        <w:t>以估价对象为符合法律、法规规定，在市场上可进行出租的房地产为假设前提。</w:t>
      </w:r>
    </w:p>
    <w:p w14:paraId="73097803">
      <w:pPr>
        <w:spacing w:line="480" w:lineRule="auto"/>
        <w:ind w:firstLine="420" w:firstLineChars="200"/>
        <w:jc w:val="both"/>
        <w:rPr>
          <w:rFonts w:ascii="Arial" w:hAnsi="Arial" w:cs="Arial"/>
          <w:kern w:val="2"/>
          <w:sz w:val="21"/>
          <w:szCs w:val="21"/>
        </w:rPr>
      </w:pPr>
      <w:r>
        <w:rPr>
          <w:rFonts w:hint="eastAsia" w:ascii="Arial" w:hAnsi="Arial" w:cs="Arial"/>
          <w:kern w:val="2"/>
          <w:sz w:val="21"/>
        </w:rPr>
        <w:t>3</w:t>
      </w:r>
      <w:r>
        <w:rPr>
          <w:rFonts w:ascii="Arial" w:hAnsi="Arial" w:cs="Arial"/>
          <w:kern w:val="2"/>
          <w:sz w:val="21"/>
        </w:rPr>
        <w:t>.以</w:t>
      </w:r>
      <w:r>
        <w:rPr>
          <w:rFonts w:hint="eastAsia" w:ascii="Arial" w:hAnsi="Arial" w:cs="Arial"/>
          <w:kern w:val="2"/>
          <w:sz w:val="21"/>
        </w:rPr>
        <w:t>估价委托人</w:t>
      </w:r>
      <w:r>
        <w:rPr>
          <w:rFonts w:ascii="Arial" w:hAnsi="Arial" w:cs="Arial"/>
          <w:kern w:val="2"/>
          <w:sz w:val="21"/>
        </w:rPr>
        <w:t>能按照设定用途</w:t>
      </w:r>
      <w:r>
        <w:rPr>
          <w:rFonts w:hint="eastAsia" w:ascii="宋体" w:hAnsi="宋体"/>
          <w:kern w:val="2"/>
          <w:sz w:val="21"/>
        </w:rPr>
        <w:t>正常使用并可持续对外出租</w:t>
      </w:r>
      <w:r>
        <w:rPr>
          <w:rFonts w:ascii="Arial" w:hAnsi="Arial" w:cs="Arial"/>
          <w:kern w:val="2"/>
          <w:sz w:val="21"/>
        </w:rPr>
        <w:t>为假设前提。</w:t>
      </w:r>
    </w:p>
    <w:p w14:paraId="4D4E0AC4">
      <w:pPr>
        <w:spacing w:line="480" w:lineRule="auto"/>
        <w:ind w:firstLine="420" w:firstLineChars="200"/>
        <w:jc w:val="both"/>
        <w:rPr>
          <w:rFonts w:ascii="Arial" w:hAnsi="Arial" w:cs="Arial"/>
          <w:kern w:val="2"/>
          <w:sz w:val="21"/>
          <w:szCs w:val="21"/>
        </w:rPr>
      </w:pPr>
      <w:r>
        <w:rPr>
          <w:rFonts w:ascii="Arial" w:hAnsi="Arial" w:cs="Arial"/>
          <w:kern w:val="2"/>
          <w:sz w:val="21"/>
          <w:szCs w:val="21"/>
        </w:rPr>
        <w:t>4.评估专业人员已对估价委托人所提供的、本估价报告所依据的估价对象的</w:t>
      </w:r>
      <w:r>
        <w:rPr>
          <w:rFonts w:hint="eastAsia" w:ascii="Arial" w:hAnsi="Arial" w:cs="Arial"/>
          <w:kern w:val="2"/>
          <w:sz w:val="21"/>
          <w:szCs w:val="21"/>
          <w:lang w:val="en-US" w:eastAsia="zh-CN"/>
        </w:rPr>
        <w:t>权属、面积、用途等</w:t>
      </w:r>
      <w:r>
        <w:rPr>
          <w:rStyle w:val="40"/>
        </w:rPr>
        <w:commentReference w:id="1"/>
      </w:r>
      <w:r>
        <w:rPr>
          <w:rFonts w:ascii="Arial" w:hAnsi="Arial" w:cs="Arial"/>
          <w:kern w:val="2"/>
          <w:sz w:val="21"/>
          <w:szCs w:val="21"/>
        </w:rPr>
        <w:t>资料进行了检查，无理由怀疑其合法性、真实性、准确性和完整性。本次评估设定估价委托人提供的资料合法、</w:t>
      </w:r>
      <w:r>
        <w:rPr>
          <w:rFonts w:hint="eastAsia" w:ascii="Arial" w:hAnsi="Arial" w:cs="Arial"/>
          <w:kern w:val="2"/>
          <w:sz w:val="21"/>
          <w:szCs w:val="21"/>
          <w:lang w:val="en-US" w:eastAsia="zh-CN"/>
        </w:rPr>
        <w:t>真实、准确、完整</w:t>
      </w:r>
      <w:r>
        <w:rPr>
          <w:rStyle w:val="40"/>
        </w:rPr>
        <w:commentReference w:id="2"/>
      </w:r>
      <w:r>
        <w:rPr>
          <w:rFonts w:ascii="Arial" w:hAnsi="Arial" w:cs="Arial"/>
          <w:kern w:val="2"/>
          <w:sz w:val="21"/>
          <w:szCs w:val="21"/>
        </w:rPr>
        <w:t>，并且提供了与本次评估有关的所有资料，没有保留及隐瞒。</w:t>
      </w:r>
    </w:p>
    <w:p w14:paraId="45FFEED3">
      <w:pPr>
        <w:spacing w:line="480" w:lineRule="auto"/>
        <w:ind w:firstLine="420" w:firstLineChars="200"/>
        <w:jc w:val="both"/>
        <w:rPr>
          <w:rFonts w:ascii="Arial" w:hAnsi="Arial" w:cs="Arial"/>
          <w:kern w:val="2"/>
          <w:sz w:val="21"/>
          <w:szCs w:val="21"/>
        </w:rPr>
      </w:pPr>
      <w:r>
        <w:rPr>
          <w:rFonts w:ascii="Arial" w:hAnsi="Arial" w:cs="Arial"/>
          <w:kern w:val="2"/>
          <w:sz w:val="21"/>
          <w:szCs w:val="21"/>
        </w:rPr>
        <w:t>5</w:t>
      </w:r>
      <w:r>
        <w:rPr>
          <w:rFonts w:hint="eastAsia" w:ascii="Arial" w:hAnsi="Arial" w:cs="Arial"/>
          <w:kern w:val="2"/>
          <w:sz w:val="21"/>
          <w:szCs w:val="21"/>
        </w:rPr>
        <w:t>.本次估价结果是在满足全部假设与限制条件下，于价值时点2026年4月7日，</w:t>
      </w:r>
      <w:r>
        <w:rPr>
          <w:rFonts w:hint="eastAsia" w:ascii="Arial" w:hAnsi="Arial" w:cs="Arial"/>
          <w:sz w:val="21"/>
          <w:szCs w:val="21"/>
        </w:rPr>
        <w:t>市场租赁住房租金是指市场租赁住房于价值时点在公开市场上的平均租金，</w:t>
      </w:r>
      <w:r>
        <w:rPr>
          <w:rFonts w:hint="eastAsia" w:ascii="Arial" w:hAnsi="Arial" w:cs="Arial"/>
          <w:sz w:val="21"/>
          <w:szCs w:val="21"/>
          <w:lang w:eastAsia="zh-CN"/>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r>
        <w:rPr>
          <w:rFonts w:hint="eastAsia" w:ascii="Arial" w:hAnsi="Arial" w:cs="Arial"/>
          <w:sz w:val="21"/>
          <w:szCs w:val="21"/>
        </w:rPr>
        <w:t>。</w:t>
      </w:r>
    </w:p>
    <w:p w14:paraId="0679E488">
      <w:pPr>
        <w:spacing w:line="480" w:lineRule="auto"/>
        <w:ind w:firstLine="420" w:firstLineChars="200"/>
        <w:jc w:val="both"/>
        <w:rPr>
          <w:rFonts w:ascii="Arial" w:hAnsi="Arial" w:cs="Arial"/>
          <w:kern w:val="2"/>
          <w:sz w:val="21"/>
          <w:szCs w:val="21"/>
        </w:rPr>
      </w:pPr>
      <w:r>
        <w:rPr>
          <w:rFonts w:ascii="Arial" w:hAnsi="Arial" w:cs="Arial"/>
          <w:kern w:val="2"/>
          <w:sz w:val="21"/>
          <w:szCs w:val="21"/>
        </w:rPr>
        <w:t>6</w:t>
      </w:r>
      <w:r>
        <w:rPr>
          <w:rFonts w:hint="eastAsia" w:ascii="Arial" w:hAnsi="Arial" w:cs="Arial"/>
          <w:kern w:val="2"/>
          <w:sz w:val="21"/>
          <w:szCs w:val="21"/>
        </w:rPr>
        <w:t>.本次估价所涉及</w:t>
      </w:r>
      <w:r>
        <w:rPr>
          <w:rFonts w:ascii="Arial" w:hAnsi="Arial" w:cs="Arial"/>
          <w:kern w:val="2"/>
          <w:sz w:val="21"/>
          <w:szCs w:val="21"/>
        </w:rPr>
        <w:t>估价对象</w:t>
      </w:r>
      <w:r>
        <w:rPr>
          <w:rFonts w:hint="eastAsia" w:ascii="Arial" w:hAnsi="Arial" w:cs="Arial"/>
          <w:kern w:val="2"/>
          <w:sz w:val="21"/>
          <w:szCs w:val="21"/>
        </w:rPr>
        <w:t>坐落、户型、建筑面积、朝向、套数、装修及设备等情况均以估价委托人提供的《估价委托书》、</w:t>
      </w:r>
      <w:r>
        <w:rPr>
          <w:rFonts w:hint="eastAsia" w:ascii="Arial" w:hAnsi="Arial" w:cs="Arial"/>
          <w:sz w:val="21"/>
          <w:szCs w:val="21"/>
        </w:rPr>
        <w:t>《北京市保障性住房收购合同》</w:t>
      </w:r>
      <w:commentRangeStart w:id="3"/>
      <w:r>
        <w:rPr>
          <w:rFonts w:hint="eastAsia" w:ascii="Arial" w:hAnsi="Arial" w:cs="Arial"/>
          <w:sz w:val="21"/>
          <w:szCs w:val="21"/>
        </w:rPr>
        <w:t>及其</w:t>
      </w:r>
      <w:commentRangeEnd w:id="3"/>
      <w:r>
        <w:rPr>
          <w:rStyle w:val="40"/>
        </w:rPr>
        <w:commentReference w:id="3"/>
      </w:r>
      <w:r>
        <w:rPr>
          <w:rFonts w:hint="eastAsia" w:ascii="Arial" w:hAnsi="Arial" w:cs="Arial"/>
          <w:sz w:val="21"/>
          <w:szCs w:val="21"/>
        </w:rPr>
        <w:t>附件</w:t>
      </w:r>
      <w:r>
        <w:rPr>
          <w:rFonts w:hint="eastAsia" w:ascii="Arial" w:hAnsi="Arial" w:cs="Arial"/>
          <w:sz w:val="21"/>
          <w:szCs w:val="21"/>
          <w:lang w:eastAsia="zh-CN"/>
        </w:rPr>
        <w:t>、</w:t>
      </w:r>
      <w:r>
        <w:rPr>
          <w:rFonts w:hint="eastAsia" w:ascii="Arial" w:hAnsi="Arial" w:cs="Arial"/>
          <w:sz w:val="21"/>
          <w:szCs w:val="21"/>
        </w:rPr>
        <w:t>《不动产权证书》[京（2026）大不动产权第0006890、0007126、0007158号]</w:t>
      </w:r>
      <w:r>
        <w:rPr>
          <w:rFonts w:hint="eastAsia" w:ascii="Arial" w:hAnsi="Arial" w:cs="Arial"/>
          <w:sz w:val="21"/>
          <w:szCs w:val="21"/>
          <w:lang w:val="en-US" w:eastAsia="zh-CN"/>
        </w:rPr>
        <w:t>部分复印件</w:t>
      </w:r>
      <w:r>
        <w:rPr>
          <w:rFonts w:ascii="Arial" w:hAnsi="Arial" w:cs="Arial"/>
          <w:kern w:val="2"/>
          <w:sz w:val="21"/>
          <w:szCs w:val="21"/>
        </w:rPr>
        <w:t>为</w:t>
      </w:r>
      <w:r>
        <w:rPr>
          <w:rFonts w:ascii="Arial" w:hAnsi="Arial" w:cs="Arial"/>
          <w:sz w:val="21"/>
          <w:szCs w:val="21"/>
        </w:rPr>
        <w:t>依据。</w:t>
      </w:r>
      <w:r>
        <w:rPr>
          <w:rFonts w:ascii="Arial" w:hAnsi="Arial" w:cs="Arial"/>
          <w:kern w:val="2"/>
          <w:sz w:val="21"/>
        </w:rPr>
        <w:t>如上述情况发生变化，估价结果需做相应调整，在此提请报告使用者注意。</w:t>
      </w:r>
    </w:p>
    <w:p w14:paraId="0D40DAA6">
      <w:pPr>
        <w:spacing w:line="480" w:lineRule="auto"/>
        <w:ind w:firstLine="420" w:firstLineChars="200"/>
        <w:jc w:val="both"/>
        <w:rPr>
          <w:rFonts w:ascii="Arial" w:hAnsi="Arial" w:cs="Arial"/>
          <w:kern w:val="2"/>
          <w:sz w:val="21"/>
          <w:szCs w:val="21"/>
        </w:rPr>
      </w:pPr>
      <w:r>
        <w:rPr>
          <w:rFonts w:ascii="Arial" w:hAnsi="Arial" w:cs="Arial"/>
          <w:sz w:val="21"/>
          <w:szCs w:val="21"/>
        </w:rPr>
        <w:t>7.</w:t>
      </w:r>
      <w:r>
        <w:rPr>
          <w:rFonts w:ascii="Arial" w:hAnsi="Arial" w:cs="Arial"/>
          <w:kern w:val="2"/>
          <w:sz w:val="21"/>
          <w:szCs w:val="21"/>
        </w:rPr>
        <w:t>评估专业人员</w:t>
      </w:r>
      <w:r>
        <w:rPr>
          <w:rFonts w:hint="eastAsia" w:ascii="Arial" w:hAnsi="Arial" w:cs="Arial"/>
          <w:kern w:val="2"/>
          <w:sz w:val="21"/>
          <w:szCs w:val="21"/>
        </w:rPr>
        <w:t>仅</w:t>
      </w:r>
      <w:r>
        <w:rPr>
          <w:rFonts w:ascii="Arial" w:hAnsi="Arial" w:cs="Arial"/>
          <w:kern w:val="2"/>
          <w:sz w:val="21"/>
          <w:szCs w:val="21"/>
        </w:rPr>
        <w:t>对估价对象及其周边环境进行了</w:t>
      </w:r>
      <w:commentRangeStart w:id="4"/>
      <w:r>
        <w:rPr>
          <w:rFonts w:ascii="Arial" w:hAnsi="Arial" w:cs="Arial"/>
          <w:kern w:val="2"/>
          <w:sz w:val="21"/>
          <w:szCs w:val="21"/>
        </w:rPr>
        <w:t>一般性查勘</w:t>
      </w:r>
      <w:commentRangeEnd w:id="4"/>
      <w:r>
        <w:rPr>
          <w:rStyle w:val="40"/>
        </w:rPr>
        <w:commentReference w:id="4"/>
      </w:r>
      <w:r>
        <w:rPr>
          <w:rFonts w:ascii="Arial" w:hAnsi="Arial" w:cs="Arial"/>
          <w:kern w:val="2"/>
          <w:sz w:val="21"/>
          <w:szCs w:val="21"/>
        </w:rPr>
        <w:t>，并对房屋安全以及环境污染等影响估价对象价值的重大因素给予了关注，在无理由怀疑估价对象存在隐患且无相应的专业机构进行鉴定、检测的情况下，设定估价对象能够正常安全使用。</w:t>
      </w:r>
    </w:p>
    <w:p w14:paraId="0C10D059">
      <w:pPr>
        <w:spacing w:line="480" w:lineRule="auto"/>
        <w:ind w:firstLine="420" w:firstLineChars="200"/>
        <w:jc w:val="both"/>
        <w:rPr>
          <w:rFonts w:ascii="Arial" w:hAnsi="Arial" w:cs="Arial"/>
          <w:kern w:val="2"/>
          <w:sz w:val="21"/>
          <w:szCs w:val="21"/>
        </w:rPr>
      </w:pPr>
      <w:r>
        <w:rPr>
          <w:rFonts w:ascii="Arial" w:hAnsi="Arial" w:cs="Arial"/>
          <w:kern w:val="2"/>
          <w:sz w:val="21"/>
          <w:szCs w:val="21"/>
        </w:rPr>
        <w:t>8.任何有关估价对象的运作方式、程序符合国家、地方的有关法律、法规。</w:t>
      </w:r>
    </w:p>
    <w:p w14:paraId="7C15A917">
      <w:pPr>
        <w:spacing w:line="480" w:lineRule="auto"/>
        <w:ind w:firstLine="420" w:firstLineChars="200"/>
        <w:jc w:val="both"/>
        <w:rPr>
          <w:rFonts w:ascii="Arial" w:hAnsi="Arial" w:cs="Arial"/>
          <w:kern w:val="2"/>
          <w:sz w:val="21"/>
          <w:szCs w:val="21"/>
        </w:rPr>
      </w:pPr>
      <w:r>
        <w:rPr>
          <w:rFonts w:ascii="Arial" w:hAnsi="Arial" w:cs="Arial"/>
          <w:kern w:val="2"/>
          <w:sz w:val="21"/>
          <w:szCs w:val="21"/>
        </w:rPr>
        <w:t>9.本次估价结果未考虑国家宏观政策发生重大变化以及遇有自然力和其他不可抗力对估价结果的影响。</w:t>
      </w:r>
    </w:p>
    <w:p w14:paraId="6604D17D">
      <w:pPr>
        <w:spacing w:line="480" w:lineRule="auto"/>
        <w:ind w:firstLine="420" w:firstLineChars="200"/>
        <w:jc w:val="both"/>
        <w:rPr>
          <w:rFonts w:ascii="Arial" w:hAnsi="Arial" w:cs="Arial"/>
          <w:kern w:val="2"/>
          <w:sz w:val="21"/>
          <w:szCs w:val="21"/>
        </w:rPr>
      </w:pPr>
      <w:r>
        <w:rPr>
          <w:rFonts w:ascii="Arial" w:hAnsi="Arial" w:cs="Arial"/>
          <w:kern w:val="2"/>
          <w:sz w:val="21"/>
          <w:szCs w:val="21"/>
        </w:rPr>
        <w:t>10</w:t>
      </w:r>
      <w:r>
        <w:rPr>
          <w:rFonts w:hint="eastAsia" w:ascii="Arial" w:hAnsi="Arial" w:cs="Arial"/>
          <w:kern w:val="2"/>
          <w:sz w:val="21"/>
          <w:szCs w:val="21"/>
        </w:rPr>
        <w:t>.</w:t>
      </w:r>
      <w:r>
        <w:rPr>
          <w:rFonts w:ascii="Arial" w:hAnsi="Arial" w:cs="Arial"/>
          <w:kern w:val="2"/>
          <w:sz w:val="21"/>
          <w:szCs w:val="21"/>
        </w:rPr>
        <w:t>估价结果未考虑估价对象及其运营企业已承担的债务、或有债务及经营决策失误或市场运作失当对其</w:t>
      </w:r>
      <w:bookmarkStart w:id="12" w:name="_Hlk130229376"/>
      <w:r>
        <w:rPr>
          <w:rFonts w:hint="eastAsia" w:ascii="Arial" w:hAnsi="Arial" w:cs="Arial"/>
          <w:kern w:val="2"/>
          <w:sz w:val="21"/>
          <w:szCs w:val="21"/>
        </w:rPr>
        <w:t>租赁价格水平</w:t>
      </w:r>
      <w:bookmarkEnd w:id="12"/>
      <w:r>
        <w:rPr>
          <w:rFonts w:ascii="Arial" w:hAnsi="Arial" w:cs="Arial"/>
          <w:kern w:val="2"/>
          <w:sz w:val="21"/>
          <w:szCs w:val="21"/>
        </w:rPr>
        <w:t>的影响。</w:t>
      </w:r>
    </w:p>
    <w:p w14:paraId="61E5853F">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1</w:t>
      </w:r>
      <w:r>
        <w:rPr>
          <w:rFonts w:ascii="Arial" w:hAnsi="Arial" w:cs="Arial"/>
          <w:kern w:val="2"/>
          <w:sz w:val="21"/>
          <w:szCs w:val="21"/>
        </w:rPr>
        <w:t>1</w:t>
      </w:r>
      <w:r>
        <w:rPr>
          <w:rFonts w:hint="eastAsia" w:ascii="Arial" w:hAnsi="Arial" w:cs="Arial"/>
          <w:kern w:val="2"/>
          <w:sz w:val="21"/>
          <w:szCs w:val="21"/>
        </w:rPr>
        <w:t>.根据估价目的，本次估价未考虑</w:t>
      </w:r>
      <w:commentRangeStart w:id="5"/>
      <w:r>
        <w:rPr>
          <w:rFonts w:hint="eastAsia" w:ascii="Arial" w:hAnsi="Arial" w:cs="Arial"/>
          <w:kern w:val="2"/>
          <w:sz w:val="21"/>
          <w:szCs w:val="21"/>
        </w:rPr>
        <w:t>抵押、租赁、地役、查封</w:t>
      </w:r>
      <w:commentRangeEnd w:id="5"/>
      <w:r>
        <w:rPr>
          <w:rStyle w:val="40"/>
        </w:rPr>
        <w:commentReference w:id="5"/>
      </w:r>
      <w:r>
        <w:rPr>
          <w:rFonts w:hint="eastAsia" w:ascii="Arial" w:hAnsi="Arial" w:cs="Arial"/>
          <w:kern w:val="2"/>
          <w:sz w:val="21"/>
          <w:szCs w:val="21"/>
        </w:rPr>
        <w:t>等影响，故设定估价对象于价值时点不存在抵押、租赁、地役、查封等限制。</w:t>
      </w:r>
    </w:p>
    <w:p w14:paraId="3D359DC0">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二</w:t>
      </w:r>
      <w:r>
        <w:rPr>
          <w:rFonts w:ascii="Arial" w:hAnsi="Arial" w:cs="Arial"/>
          <w:b/>
          <w:kern w:val="2"/>
          <w:sz w:val="21"/>
          <w:szCs w:val="21"/>
        </w:rPr>
        <w:t>）</w:t>
      </w:r>
      <w:r>
        <w:rPr>
          <w:rFonts w:hint="eastAsia" w:ascii="Arial" w:hAnsi="Arial" w:cs="Arial"/>
          <w:b/>
          <w:kern w:val="2"/>
          <w:sz w:val="21"/>
          <w:szCs w:val="21"/>
        </w:rPr>
        <w:t>本次估价的未定事项假设</w:t>
      </w:r>
    </w:p>
    <w:p w14:paraId="4CF19CC0">
      <w:pPr>
        <w:spacing w:line="480" w:lineRule="auto"/>
        <w:ind w:firstLine="420" w:firstLineChars="200"/>
        <w:jc w:val="both"/>
        <w:rPr>
          <w:rFonts w:ascii="Arial" w:hAnsi="Arial" w:cs="Arial"/>
          <w:sz w:val="21"/>
          <w:szCs w:val="21"/>
        </w:rPr>
      </w:pPr>
      <w:r>
        <w:rPr>
          <w:rFonts w:hint="eastAsia" w:ascii="Arial" w:hAnsi="Arial" w:cs="Arial"/>
          <w:sz w:val="21"/>
          <w:szCs w:val="21"/>
        </w:rPr>
        <w:t>无。</w:t>
      </w:r>
    </w:p>
    <w:p w14:paraId="6C174EF5">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三</w:t>
      </w:r>
      <w:r>
        <w:rPr>
          <w:rFonts w:ascii="Arial" w:hAnsi="Arial" w:cs="Arial"/>
          <w:b/>
          <w:kern w:val="2"/>
          <w:sz w:val="21"/>
          <w:szCs w:val="21"/>
        </w:rPr>
        <w:t>）</w:t>
      </w:r>
      <w:r>
        <w:rPr>
          <w:rFonts w:hint="eastAsia" w:ascii="Arial" w:hAnsi="Arial" w:cs="Arial"/>
          <w:b/>
          <w:kern w:val="2"/>
          <w:sz w:val="21"/>
          <w:szCs w:val="21"/>
        </w:rPr>
        <w:t>本次估价的</w:t>
      </w:r>
      <w:bookmarkStart w:id="13" w:name="_Hlk118391731"/>
      <w:r>
        <w:rPr>
          <w:rFonts w:hint="eastAsia" w:ascii="Arial" w:hAnsi="Arial" w:cs="Arial"/>
          <w:b/>
          <w:kern w:val="2"/>
          <w:sz w:val="21"/>
          <w:szCs w:val="21"/>
        </w:rPr>
        <w:t>背离事实假设</w:t>
      </w:r>
      <w:bookmarkEnd w:id="13"/>
    </w:p>
    <w:p w14:paraId="553D0BB5">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无。</w:t>
      </w:r>
    </w:p>
    <w:p w14:paraId="21F6FE97">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四</w:t>
      </w:r>
      <w:r>
        <w:rPr>
          <w:rFonts w:ascii="Arial" w:hAnsi="Arial" w:cs="Arial"/>
          <w:b/>
          <w:kern w:val="2"/>
          <w:sz w:val="21"/>
          <w:szCs w:val="21"/>
        </w:rPr>
        <w:t>）</w:t>
      </w:r>
      <w:r>
        <w:rPr>
          <w:rFonts w:hint="eastAsia" w:ascii="Arial" w:hAnsi="Arial" w:cs="Arial"/>
          <w:b/>
          <w:kern w:val="2"/>
          <w:sz w:val="21"/>
          <w:szCs w:val="21"/>
        </w:rPr>
        <w:t>本次估价的</w:t>
      </w:r>
      <w:bookmarkStart w:id="14" w:name="_Hlk124791168"/>
      <w:r>
        <w:rPr>
          <w:rFonts w:hint="eastAsia" w:ascii="Arial" w:hAnsi="Arial" w:cs="Arial"/>
          <w:b/>
          <w:kern w:val="2"/>
          <w:sz w:val="21"/>
          <w:szCs w:val="21"/>
        </w:rPr>
        <w:t>不相一致假设</w:t>
      </w:r>
      <w:bookmarkEnd w:id="14"/>
    </w:p>
    <w:p w14:paraId="1B91A68C">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根据</w:t>
      </w:r>
      <w:r>
        <w:rPr>
          <w:rFonts w:hint="eastAsia" w:ascii="Arial" w:hAnsi="Arial" w:cs="Arial"/>
          <w:sz w:val="21"/>
          <w:szCs w:val="21"/>
          <w:lang w:eastAsia="zh-CN"/>
        </w:rPr>
        <w:t>《不动产权证书》[京（2026）大不动产权第0006890、0007126、0007158号]部分</w:t>
      </w:r>
      <w:r>
        <w:rPr>
          <w:rFonts w:hint="eastAsia" w:ascii="Arial" w:hAnsi="Arial" w:cs="Arial"/>
          <w:sz w:val="21"/>
          <w:szCs w:val="21"/>
        </w:rPr>
        <w:t>，估价对象大兴区饮马井街1号院2号楼11层1单元1102号等305套住宅用房，证载权利类型为国有建设用地使用权/房屋所有权，权利性质为划拨/按经济使用住房管理</w:t>
      </w:r>
      <w:r>
        <w:rPr>
          <w:rFonts w:hint="eastAsia" w:ascii="Arial" w:hAnsi="Arial" w:cs="Arial"/>
          <w:kern w:val="2"/>
          <w:sz w:val="21"/>
          <w:szCs w:val="21"/>
        </w:rPr>
        <w:t>。另根据</w:t>
      </w:r>
      <w:r>
        <w:rPr>
          <w:rFonts w:hint="eastAsia" w:ascii="Arial" w:hAnsi="Arial" w:cs="Arial"/>
          <w:sz w:val="21"/>
          <w:szCs w:val="21"/>
        </w:rPr>
        <w:t>《北京市燕兴保障性住房建设投资有限公司 关于保留原房屋产权性质的请示》[燕兴建投文（2026）08号]、《北京市规划和自然资源委员会 大兴分局关于燕兴保障房公司保留原房屋产权性质有关意见的报告》[京规自兴文（2026）91号]，明确在办理收购区住建委及区住保中心名下14个项目过程中保留原房屋产权性质，区住建委名下按经济适用住房管理的项目转移登记免缴土地出让金。现将估价对象大兴区饮马井街1号院2号楼11层1单元1102号等305套住宅用房收购作为保障性租赁住房（住宅型）使用，在此提请报告使用者注意。</w:t>
      </w:r>
    </w:p>
    <w:p w14:paraId="3DAF0B79">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五</w:t>
      </w:r>
      <w:r>
        <w:rPr>
          <w:rFonts w:ascii="Arial" w:hAnsi="Arial" w:cs="Arial"/>
          <w:b/>
          <w:kern w:val="2"/>
          <w:sz w:val="21"/>
          <w:szCs w:val="21"/>
        </w:rPr>
        <w:t>）</w:t>
      </w:r>
      <w:r>
        <w:rPr>
          <w:rFonts w:hint="eastAsia" w:ascii="Arial" w:hAnsi="Arial" w:cs="Arial"/>
          <w:b/>
          <w:kern w:val="2"/>
          <w:sz w:val="21"/>
          <w:szCs w:val="21"/>
        </w:rPr>
        <w:t>本次估价的依据不足假设</w:t>
      </w:r>
    </w:p>
    <w:p w14:paraId="7F57E6C9">
      <w:pPr>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无。</w:t>
      </w:r>
    </w:p>
    <w:p w14:paraId="6A3DB84F">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六</w:t>
      </w:r>
      <w:r>
        <w:rPr>
          <w:rFonts w:ascii="Arial" w:hAnsi="Arial" w:cs="Arial"/>
          <w:b/>
          <w:kern w:val="2"/>
          <w:sz w:val="21"/>
          <w:szCs w:val="21"/>
        </w:rPr>
        <w:t>）</w:t>
      </w:r>
      <w:r>
        <w:rPr>
          <w:rFonts w:hint="eastAsia" w:ascii="Arial" w:hAnsi="Arial" w:cs="Arial"/>
          <w:b/>
          <w:kern w:val="2"/>
          <w:sz w:val="21"/>
          <w:szCs w:val="21"/>
        </w:rPr>
        <w:t>估价报告使用限制</w:t>
      </w:r>
    </w:p>
    <w:p w14:paraId="5CD4A250">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1.使用范围：本估价报告只能由估价报告载明的报告使用者使用，且只能用于本报告载明的唯一估价目的和用途。</w:t>
      </w:r>
    </w:p>
    <w:p w14:paraId="6463BB51">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2.估价委托人或者本估价报告使用人应按照法律规定和估价报告载明的使用范围使用本估价报告。估价委托人或者估价报告使用人违反前述规定使用本估价报告的，估价机构和评估专业人员不承担责任。</w:t>
      </w:r>
    </w:p>
    <w:p w14:paraId="6115ED9D">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3.除估价委托人、估价委托合同中约定的其他估价报告使用人和法律、行政法规规定的估价报告使用人之外，其他任何机构和个人不能成为估价报告的使用人。</w:t>
      </w:r>
    </w:p>
    <w:p w14:paraId="21497C0D">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4.估价报告使用人应当正确理解估价结论。估价结论不等同于估价对象可实现价格，估价结论不应当被认为是对估价对象可实现价格的保证。</w:t>
      </w:r>
    </w:p>
    <w:p w14:paraId="1B28B44D">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5.</w:t>
      </w:r>
      <w:r>
        <w:rPr>
          <w:rFonts w:ascii="Arial" w:hAnsi="Arial" w:cs="Arial"/>
          <w:kern w:val="2"/>
          <w:sz w:val="21"/>
          <w:szCs w:val="21"/>
        </w:rPr>
        <w:t>本</w:t>
      </w:r>
      <w:r>
        <w:rPr>
          <w:rFonts w:ascii="Arial" w:hAnsi="Arial" w:cs="Arial"/>
          <w:sz w:val="21"/>
          <w:szCs w:val="21"/>
        </w:rPr>
        <w:t>估价报告</w:t>
      </w:r>
      <w:r>
        <w:rPr>
          <w:rFonts w:ascii="Arial" w:hAnsi="Arial" w:cs="Arial"/>
          <w:kern w:val="2"/>
          <w:sz w:val="21"/>
          <w:szCs w:val="21"/>
        </w:rPr>
        <w:t>评估目的是</w:t>
      </w:r>
      <w:r>
        <w:rPr>
          <w:rFonts w:hint="eastAsia" w:ascii="Arial" w:hAnsi="Arial" w:cs="Arial"/>
          <w:sz w:val="21"/>
          <w:szCs w:val="21"/>
        </w:rPr>
        <w:t>为有关单位合理确定保障性租赁住房项目租金提供参考依据</w:t>
      </w:r>
      <w:r>
        <w:rPr>
          <w:rFonts w:ascii="Arial" w:hAnsi="Arial" w:cs="Arial"/>
          <w:kern w:val="2"/>
          <w:sz w:val="21"/>
          <w:szCs w:val="21"/>
        </w:rPr>
        <w:t>，不做其他评估目的之用。如果估价对象的评估条件或目的发生变化，需重新进行评估。</w:t>
      </w:r>
    </w:p>
    <w:p w14:paraId="03999C95">
      <w:pPr>
        <w:spacing w:line="480" w:lineRule="auto"/>
        <w:ind w:firstLine="420" w:firstLineChars="200"/>
        <w:jc w:val="both"/>
        <w:rPr>
          <w:rFonts w:ascii="Arial" w:hAnsi="Arial" w:cs="Arial"/>
          <w:kern w:val="2"/>
          <w:sz w:val="21"/>
          <w:szCs w:val="21"/>
        </w:rPr>
      </w:pPr>
      <w:r>
        <w:rPr>
          <w:rFonts w:hint="eastAsia" w:ascii="Arial" w:hAnsi="Arial" w:cs="Arial"/>
          <w:sz w:val="21"/>
          <w:szCs w:val="21"/>
        </w:rPr>
        <w:t>6</w:t>
      </w:r>
      <w:r>
        <w:rPr>
          <w:rFonts w:ascii="Arial" w:hAnsi="Arial" w:cs="Arial"/>
          <w:sz w:val="21"/>
          <w:szCs w:val="21"/>
        </w:rPr>
        <w:t>.</w:t>
      </w:r>
      <w:r>
        <w:rPr>
          <w:rFonts w:hint="eastAsia" w:ascii="Arial" w:hAnsi="Arial" w:cs="Arial"/>
          <w:kern w:val="2"/>
          <w:sz w:val="21"/>
          <w:szCs w:val="21"/>
        </w:rPr>
        <w:t>估价委托人应对其提供的评估相关资料的真实性、完整性和合法性负责</w:t>
      </w:r>
      <w:r>
        <w:rPr>
          <w:rFonts w:ascii="Arial" w:hAnsi="Arial" w:cs="Arial"/>
          <w:kern w:val="2"/>
          <w:sz w:val="21"/>
          <w:szCs w:val="21"/>
        </w:rPr>
        <w:t>。如因资料失实或资料提供人有所隐匿而导致估价结果失真，估价机构不承担相应的责任。</w:t>
      </w:r>
    </w:p>
    <w:p w14:paraId="3718B2DB">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7.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49925446">
      <w:pPr>
        <w:spacing w:line="480" w:lineRule="auto"/>
        <w:ind w:firstLine="420" w:firstLineChars="200"/>
        <w:jc w:val="both"/>
        <w:rPr>
          <w:rFonts w:ascii="Arial" w:hAnsi="Arial" w:cs="Arial"/>
          <w:sz w:val="21"/>
          <w:szCs w:val="21"/>
        </w:rPr>
      </w:pPr>
      <w:r>
        <w:rPr>
          <w:rFonts w:hint="eastAsia" w:ascii="Arial" w:hAnsi="Arial" w:cs="Arial"/>
          <w:sz w:val="21"/>
          <w:szCs w:val="21"/>
        </w:rPr>
        <w:t>8</w:t>
      </w:r>
      <w:r>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0DB7DDAB">
      <w:pPr>
        <w:spacing w:line="480" w:lineRule="auto"/>
        <w:ind w:firstLine="420" w:firstLineChars="200"/>
        <w:jc w:val="both"/>
        <w:rPr>
          <w:rFonts w:ascii="Arial" w:hAnsi="Arial" w:cs="Arial"/>
          <w:sz w:val="21"/>
          <w:szCs w:val="21"/>
        </w:rPr>
      </w:pPr>
      <w:r>
        <w:rPr>
          <w:rFonts w:hint="eastAsia" w:ascii="Arial" w:hAnsi="Arial" w:cs="Arial"/>
          <w:sz w:val="21"/>
          <w:szCs w:val="21"/>
        </w:rPr>
        <w:t>9</w:t>
      </w:r>
      <w:r>
        <w:rPr>
          <w:rFonts w:ascii="Arial" w:hAnsi="Arial" w:cs="Arial"/>
          <w:sz w:val="21"/>
          <w:szCs w:val="21"/>
        </w:rPr>
        <w:t>.本估价报告在估价机构盖章和注册房地产估价师签字</w:t>
      </w:r>
      <w:r>
        <w:rPr>
          <w:rFonts w:hint="eastAsia" w:ascii="Arial" w:hAnsi="Arial" w:cs="Arial"/>
          <w:sz w:val="21"/>
          <w:szCs w:val="21"/>
        </w:rPr>
        <w:t>或盖章</w:t>
      </w:r>
      <w:r>
        <w:rPr>
          <w:rFonts w:ascii="Arial" w:hAnsi="Arial" w:cs="Arial"/>
          <w:sz w:val="21"/>
          <w:szCs w:val="21"/>
        </w:rPr>
        <w:t>的条件下有效。</w:t>
      </w:r>
    </w:p>
    <w:p w14:paraId="61BFB399">
      <w:pPr>
        <w:spacing w:line="480" w:lineRule="auto"/>
        <w:ind w:firstLine="420" w:firstLineChars="200"/>
        <w:jc w:val="both"/>
        <w:rPr>
          <w:rFonts w:ascii="Arial" w:hAnsi="Arial" w:cs="Arial"/>
          <w:sz w:val="21"/>
          <w:szCs w:val="21"/>
        </w:rPr>
      </w:pPr>
      <w:r>
        <w:rPr>
          <w:rFonts w:hint="eastAsia" w:ascii="Arial" w:hAnsi="Arial" w:cs="Arial"/>
          <w:kern w:val="2"/>
          <w:sz w:val="21"/>
          <w:szCs w:val="21"/>
        </w:rPr>
        <w:t>10</w:t>
      </w:r>
      <w:r>
        <w:rPr>
          <w:rFonts w:ascii="Arial" w:hAnsi="Arial" w:cs="Arial"/>
          <w:kern w:val="2"/>
          <w:sz w:val="21"/>
          <w:szCs w:val="21"/>
        </w:rPr>
        <w:t>.</w:t>
      </w:r>
      <w:r>
        <w:rPr>
          <w:rFonts w:ascii="Arial" w:hAnsi="Arial" w:cs="Arial"/>
          <w:sz w:val="21"/>
          <w:szCs w:val="21"/>
        </w:rPr>
        <w:t>价值时点后，估价报告有效期内估价对象的质量及价格标准发生变化，并对估价对象租赁价值产生明显影响时，不能直接使用本次估价结论</w:t>
      </w:r>
      <w:r>
        <w:rPr>
          <w:rFonts w:hint="eastAsia" w:ascii="Arial" w:hAnsi="Arial" w:cs="Arial"/>
          <w:sz w:val="21"/>
          <w:szCs w:val="21"/>
        </w:rPr>
        <w:t>。</w:t>
      </w:r>
    </w:p>
    <w:p w14:paraId="1259E38E">
      <w:pPr>
        <w:spacing w:line="480" w:lineRule="auto"/>
        <w:ind w:firstLine="420" w:firstLineChars="200"/>
        <w:jc w:val="both"/>
        <w:rPr>
          <w:rFonts w:ascii="Arial" w:hAnsi="Arial" w:cs="Arial"/>
          <w:sz w:val="21"/>
          <w:szCs w:val="21"/>
        </w:rPr>
      </w:pPr>
      <w:r>
        <w:rPr>
          <w:rFonts w:hint="eastAsia" w:ascii="Arial" w:hAnsi="Arial" w:cs="Arial"/>
          <w:sz w:val="21"/>
          <w:szCs w:val="21"/>
        </w:rPr>
        <w:t>11.</w:t>
      </w:r>
      <w:r>
        <w:rPr>
          <w:rFonts w:ascii="Arial" w:hAnsi="Arial" w:cs="Arial"/>
          <w:sz w:val="21"/>
          <w:szCs w:val="21"/>
        </w:rPr>
        <w:t>本次估价未考虑特殊交易方式对估价结果的影响。</w:t>
      </w:r>
    </w:p>
    <w:p w14:paraId="23E200D7">
      <w:pPr>
        <w:spacing w:line="480" w:lineRule="auto"/>
        <w:ind w:firstLine="420" w:firstLineChars="200"/>
        <w:jc w:val="both"/>
        <w:rPr>
          <w:rFonts w:ascii="Arial" w:hAnsi="Arial" w:cs="Arial"/>
          <w:sz w:val="21"/>
          <w:szCs w:val="21"/>
        </w:rPr>
      </w:pPr>
      <w:r>
        <w:rPr>
          <w:rFonts w:hint="eastAsia" w:ascii="Arial" w:hAnsi="Arial" w:cs="Arial"/>
          <w:kern w:val="2"/>
          <w:sz w:val="21"/>
          <w:szCs w:val="21"/>
        </w:rPr>
        <w:t>1</w:t>
      </w:r>
      <w:r>
        <w:rPr>
          <w:rFonts w:hint="eastAsia" w:ascii="Arial" w:hAnsi="Arial" w:cs="Arial"/>
          <w:kern w:val="2"/>
          <w:sz w:val="21"/>
          <w:szCs w:val="21"/>
          <w:lang w:val="en-US" w:eastAsia="zh-CN"/>
        </w:rPr>
        <w:t>2</w:t>
      </w:r>
      <w:r>
        <w:rPr>
          <w:rFonts w:ascii="Arial" w:hAnsi="Arial" w:cs="Arial"/>
          <w:kern w:val="2"/>
          <w:sz w:val="21"/>
          <w:szCs w:val="21"/>
        </w:rPr>
        <w:t>.本估价报告</w:t>
      </w:r>
      <w:r>
        <w:rPr>
          <w:rFonts w:hint="eastAsia" w:ascii="Arial" w:hAnsi="Arial" w:cs="Arial"/>
          <w:kern w:val="2"/>
          <w:sz w:val="21"/>
          <w:szCs w:val="21"/>
        </w:rPr>
        <w:t>自报告出具日起计算，自</w:t>
      </w:r>
      <w:r>
        <w:rPr>
          <w:rFonts w:ascii="Arial" w:hAnsi="Arial" w:cs="Arial"/>
          <w:kern w:val="2"/>
          <w:sz w:val="21"/>
          <w:szCs w:val="21"/>
        </w:rPr>
        <w:t>202</w:t>
      </w:r>
      <w:r>
        <w:rPr>
          <w:rFonts w:hint="eastAsia" w:ascii="Arial" w:hAnsi="Arial" w:cs="Arial"/>
          <w:kern w:val="2"/>
          <w:sz w:val="21"/>
          <w:szCs w:val="21"/>
        </w:rPr>
        <w:t>6</w:t>
      </w:r>
      <w:r>
        <w:rPr>
          <w:rFonts w:ascii="Arial" w:hAnsi="Arial" w:cs="Arial"/>
          <w:kern w:val="2"/>
          <w:sz w:val="21"/>
          <w:szCs w:val="21"/>
        </w:rPr>
        <w:t>年</w:t>
      </w:r>
      <w:r>
        <w:rPr>
          <w:rFonts w:hint="eastAsia" w:ascii="Arial" w:hAnsi="Arial" w:cs="Arial"/>
          <w:kern w:val="2"/>
          <w:sz w:val="21"/>
          <w:szCs w:val="21"/>
        </w:rPr>
        <w:t>4</w:t>
      </w:r>
      <w:r>
        <w:rPr>
          <w:rFonts w:ascii="Arial" w:hAnsi="Arial" w:cs="Arial"/>
          <w:kern w:val="2"/>
          <w:sz w:val="21"/>
          <w:szCs w:val="21"/>
        </w:rPr>
        <w:t>月</w:t>
      </w:r>
      <w:r>
        <w:rPr>
          <w:rFonts w:hint="eastAsia" w:ascii="Arial" w:hAnsi="Arial" w:cs="Arial"/>
          <w:kern w:val="2"/>
          <w:sz w:val="21"/>
          <w:szCs w:val="21"/>
        </w:rPr>
        <w:t>16</w:t>
      </w:r>
      <w:r>
        <w:rPr>
          <w:rFonts w:ascii="Arial" w:hAnsi="Arial" w:cs="Arial"/>
          <w:kern w:val="2"/>
          <w:sz w:val="21"/>
          <w:szCs w:val="21"/>
        </w:rPr>
        <w:t>日</w:t>
      </w:r>
      <w:r>
        <w:rPr>
          <w:rFonts w:hint="eastAsia" w:ascii="Arial" w:hAnsi="Arial" w:cs="Arial"/>
          <w:kern w:val="2"/>
          <w:sz w:val="21"/>
          <w:szCs w:val="21"/>
        </w:rPr>
        <w:t>至</w:t>
      </w:r>
      <w:r>
        <w:rPr>
          <w:rFonts w:ascii="Arial" w:hAnsi="Arial" w:cs="Arial"/>
          <w:kern w:val="2"/>
          <w:sz w:val="21"/>
          <w:szCs w:val="21"/>
        </w:rPr>
        <w:t>202</w:t>
      </w:r>
      <w:r>
        <w:rPr>
          <w:rFonts w:hint="eastAsia" w:ascii="Arial" w:hAnsi="Arial" w:cs="Arial"/>
          <w:kern w:val="2"/>
          <w:sz w:val="21"/>
          <w:szCs w:val="21"/>
        </w:rPr>
        <w:t>7年4月15日有效</w:t>
      </w:r>
      <w:r>
        <w:rPr>
          <w:rFonts w:ascii="Arial" w:hAnsi="Arial" w:cs="Arial"/>
          <w:kern w:val="2"/>
          <w:sz w:val="21"/>
          <w:szCs w:val="21"/>
        </w:rPr>
        <w:t>。</w:t>
      </w:r>
    </w:p>
    <w:bookmarkEnd w:id="7"/>
    <w:p w14:paraId="3046FCE4">
      <w:pPr>
        <w:spacing w:line="480" w:lineRule="auto"/>
        <w:jc w:val="both"/>
        <w:rPr>
          <w:rFonts w:ascii="Arial" w:hAnsi="Arial" w:cs="Arial"/>
          <w:kern w:val="2"/>
          <w:sz w:val="21"/>
          <w:szCs w:val="21"/>
        </w:rPr>
        <w:sectPr>
          <w:pgSz w:w="11907" w:h="16840"/>
          <w:pgMar w:top="1843" w:right="1134" w:bottom="1134" w:left="1134" w:header="1134" w:footer="907" w:gutter="340"/>
          <w:cols w:space="720" w:num="1"/>
          <w:docGrid w:linePitch="326" w:charSpace="0"/>
        </w:sectPr>
      </w:pPr>
    </w:p>
    <w:p w14:paraId="2E6086EE">
      <w:pPr>
        <w:pStyle w:val="2"/>
        <w:spacing w:line="360" w:lineRule="auto"/>
        <w:jc w:val="center"/>
        <w:rPr>
          <w:rFonts w:eastAsia="方正黑体简体"/>
          <w:b w:val="0"/>
          <w:kern w:val="2"/>
          <w:sz w:val="32"/>
          <w:szCs w:val="32"/>
        </w:rPr>
      </w:pPr>
      <w:bookmarkStart w:id="15" w:name="_Toc168225812"/>
      <w:bookmarkStart w:id="16" w:name="_Toc155267085"/>
      <w:r>
        <w:rPr>
          <w:rFonts w:hint="eastAsia" w:eastAsia="方正黑体简体"/>
          <w:b w:val="0"/>
          <w:kern w:val="2"/>
          <w:sz w:val="32"/>
          <w:szCs w:val="32"/>
        </w:rPr>
        <w:t>估价结果报告</w:t>
      </w:r>
      <w:bookmarkEnd w:id="15"/>
      <w:bookmarkEnd w:id="16"/>
    </w:p>
    <w:p w14:paraId="4825129B">
      <w:pPr>
        <w:pStyle w:val="3"/>
        <w:numPr>
          <w:ilvl w:val="0"/>
          <w:numId w:val="0"/>
        </w:numPr>
        <w:wordWrap w:val="0"/>
        <w:overflowPunct w:val="0"/>
        <w:spacing w:line="480" w:lineRule="auto"/>
        <w:ind w:left="358" w:hanging="358" w:hangingChars="170"/>
        <w:jc w:val="both"/>
        <w:textAlignment w:val="auto"/>
        <w:rPr>
          <w:rFonts w:eastAsia="宋体"/>
          <w:b w:val="0"/>
          <w:kern w:val="2"/>
          <w:sz w:val="21"/>
          <w:szCs w:val="21"/>
        </w:rPr>
      </w:pPr>
      <w:bookmarkStart w:id="17" w:name="_Toc216083223"/>
      <w:bookmarkStart w:id="18" w:name="_Toc155267086"/>
      <w:r>
        <w:rPr>
          <w:rFonts w:eastAsia="宋体"/>
          <w:kern w:val="2"/>
          <w:sz w:val="21"/>
          <w:szCs w:val="21"/>
        </w:rPr>
        <w:t>一</w:t>
      </w:r>
      <w:bookmarkEnd w:id="17"/>
      <w:r>
        <w:rPr>
          <w:rFonts w:eastAsia="宋体"/>
          <w:kern w:val="2"/>
          <w:sz w:val="21"/>
          <w:szCs w:val="21"/>
        </w:rPr>
        <w:t>、</w:t>
      </w:r>
      <w:commentRangeStart w:id="6"/>
      <w:r>
        <w:rPr>
          <w:rFonts w:eastAsia="宋体"/>
          <w:kern w:val="2"/>
          <w:sz w:val="21"/>
          <w:szCs w:val="21"/>
        </w:rPr>
        <w:t>估价委托人</w:t>
      </w:r>
      <w:commentRangeEnd w:id="6"/>
      <w:r>
        <w:rPr>
          <w:rStyle w:val="40"/>
          <w:rFonts w:ascii="Times New Roman" w:hAnsi="Times New Roman" w:eastAsia="宋体" w:cs="Times New Roman"/>
          <w:b w:val="0"/>
          <w:bCs w:val="0"/>
        </w:rPr>
        <w:commentReference w:id="6"/>
      </w:r>
      <w:bookmarkEnd w:id="18"/>
    </w:p>
    <w:p w14:paraId="51479C59">
      <w:pPr>
        <w:wordWrap w:val="0"/>
        <w:overflowPunct w:val="0"/>
        <w:spacing w:line="480" w:lineRule="auto"/>
        <w:ind w:firstLine="420" w:firstLineChars="200"/>
        <w:jc w:val="both"/>
        <w:textAlignment w:val="auto"/>
        <w:rPr>
          <w:rFonts w:hint="eastAsia" w:ascii="Arial" w:hAnsi="Arial" w:cs="Arial"/>
          <w:sz w:val="21"/>
          <w:szCs w:val="21"/>
        </w:rPr>
      </w:pPr>
      <w:r>
        <w:rPr>
          <w:rFonts w:ascii="Arial" w:hAnsi="Arial" w:cs="Arial"/>
          <w:sz w:val="21"/>
          <w:szCs w:val="21"/>
        </w:rPr>
        <w:t>单位名称：</w:t>
      </w:r>
      <w:r>
        <w:rPr>
          <w:rFonts w:hint="eastAsia" w:ascii="Arial" w:hAnsi="Arial" w:cs="Arial"/>
          <w:sz w:val="21"/>
          <w:szCs w:val="21"/>
        </w:rPr>
        <w:t>北京市燕兴保障性住房建设投资有限公司</w:t>
      </w:r>
    </w:p>
    <w:p w14:paraId="2862ED98">
      <w:pPr>
        <w:wordWrap w:val="0"/>
        <w:overflowPunct w:val="0"/>
        <w:spacing w:line="480" w:lineRule="auto"/>
        <w:ind w:firstLine="420" w:firstLineChars="200"/>
        <w:jc w:val="both"/>
        <w:textAlignment w:val="auto"/>
        <w:rPr>
          <w:rFonts w:hint="eastAsia" w:ascii="Arial" w:hAnsi="Arial" w:cs="Arial"/>
          <w:sz w:val="21"/>
          <w:szCs w:val="21"/>
          <w:lang w:val="en-US" w:eastAsia="zh-CN"/>
        </w:rPr>
      </w:pPr>
      <w:r>
        <w:rPr>
          <w:rFonts w:hint="eastAsia" w:ascii="Arial" w:hAnsi="Arial" w:cs="Arial"/>
          <w:sz w:val="21"/>
          <w:szCs w:val="21"/>
          <w:lang w:val="en-US" w:eastAsia="zh-CN"/>
        </w:rPr>
        <w:t>注册资本：500000万元</w:t>
      </w:r>
    </w:p>
    <w:p w14:paraId="09FA97AD">
      <w:pPr>
        <w:wordWrap w:val="0"/>
        <w:overflowPunct w:val="0"/>
        <w:spacing w:line="480" w:lineRule="auto"/>
        <w:ind w:firstLine="420" w:firstLineChars="200"/>
        <w:jc w:val="both"/>
        <w:textAlignment w:val="auto"/>
        <w:rPr>
          <w:rFonts w:hint="eastAsia" w:ascii="Arial" w:hAnsi="Arial" w:cs="Arial"/>
          <w:sz w:val="21"/>
          <w:szCs w:val="21"/>
          <w:lang w:val="en-US" w:eastAsia="zh-CN"/>
        </w:rPr>
      </w:pPr>
      <w:r>
        <w:rPr>
          <w:rFonts w:hint="eastAsia" w:ascii="Arial" w:hAnsi="Arial" w:cs="Arial"/>
          <w:sz w:val="21"/>
          <w:szCs w:val="21"/>
          <w:lang w:val="en-US" w:eastAsia="zh-CN"/>
        </w:rPr>
        <w:t>类    型：其他有限责任公司</w:t>
      </w:r>
    </w:p>
    <w:p w14:paraId="17769300">
      <w:pPr>
        <w:wordWrap w:val="0"/>
        <w:overflowPunct w:val="0"/>
        <w:spacing w:line="480" w:lineRule="auto"/>
        <w:ind w:firstLine="420" w:firstLineChars="200"/>
        <w:jc w:val="both"/>
        <w:textAlignment w:val="auto"/>
        <w:rPr>
          <w:rFonts w:hint="eastAsia" w:ascii="Arial" w:hAnsi="Arial" w:cs="Arial"/>
          <w:sz w:val="21"/>
          <w:szCs w:val="21"/>
          <w:lang w:val="en-US" w:eastAsia="zh-CN"/>
        </w:rPr>
      </w:pPr>
      <w:r>
        <w:rPr>
          <w:rFonts w:hint="eastAsia" w:ascii="Arial" w:hAnsi="Arial" w:cs="Arial"/>
          <w:sz w:val="21"/>
          <w:szCs w:val="21"/>
          <w:lang w:val="en-US" w:eastAsia="zh-CN"/>
        </w:rPr>
        <w:t>成立日期：2023年07月20日</w:t>
      </w:r>
    </w:p>
    <w:p w14:paraId="3FBF2F11">
      <w:pPr>
        <w:wordWrap w:val="0"/>
        <w:overflowPunct w:val="0"/>
        <w:spacing w:line="480" w:lineRule="auto"/>
        <w:ind w:firstLine="420" w:firstLineChars="200"/>
        <w:jc w:val="both"/>
        <w:textAlignment w:val="auto"/>
        <w:rPr>
          <w:rFonts w:hint="default" w:ascii="Arial" w:hAnsi="Arial" w:cs="Arial"/>
          <w:sz w:val="21"/>
          <w:szCs w:val="21"/>
          <w:lang w:val="en-US" w:eastAsia="zh-CN"/>
        </w:rPr>
      </w:pPr>
      <w:r>
        <w:rPr>
          <w:rFonts w:hint="eastAsia" w:ascii="Arial" w:hAnsi="Arial" w:cs="Arial"/>
          <w:sz w:val="21"/>
          <w:szCs w:val="21"/>
          <w:lang w:val="en-US" w:eastAsia="zh-CN"/>
        </w:rPr>
        <w:t>法定代表人：孙兴凯</w:t>
      </w:r>
    </w:p>
    <w:p w14:paraId="494786CD">
      <w:pPr>
        <w:wordWrap w:val="0"/>
        <w:overflowPunct w:val="0"/>
        <w:spacing w:line="480" w:lineRule="auto"/>
        <w:ind w:firstLine="420" w:firstLineChars="200"/>
        <w:jc w:val="both"/>
        <w:textAlignment w:val="auto"/>
        <w:rPr>
          <w:rFonts w:hint="default" w:ascii="Arial" w:hAnsi="Arial" w:eastAsia="宋体" w:cs="Arial"/>
          <w:sz w:val="21"/>
          <w:szCs w:val="21"/>
          <w:lang w:val="en-US" w:eastAsia="zh-CN"/>
        </w:rPr>
      </w:pPr>
      <w:r>
        <w:rPr>
          <w:rFonts w:hint="eastAsia" w:ascii="Arial" w:hAnsi="Arial" w:cs="Arial"/>
          <w:sz w:val="21"/>
          <w:szCs w:val="21"/>
          <w:lang w:val="en-US" w:eastAsia="zh-CN"/>
        </w:rPr>
        <w:t>住    所</w:t>
      </w:r>
      <w:r>
        <w:rPr>
          <w:rFonts w:hint="eastAsia" w:ascii="Arial" w:hAnsi="Arial" w:cs="Arial"/>
          <w:sz w:val="21"/>
          <w:szCs w:val="21"/>
        </w:rPr>
        <w:t>：北京市大兴区欣雅街15号院1号楼6层 606</w:t>
      </w:r>
    </w:p>
    <w:p w14:paraId="6C91D955">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联 系 人：齐继</w:t>
      </w:r>
    </w:p>
    <w:p w14:paraId="324B7D7A">
      <w:pPr>
        <w:wordWrap w:val="0"/>
        <w:overflowPunct w:val="0"/>
        <w:spacing w:line="480" w:lineRule="auto"/>
        <w:ind w:firstLine="420" w:firstLineChars="200"/>
        <w:jc w:val="both"/>
        <w:textAlignment w:val="auto"/>
        <w:rPr>
          <w:rFonts w:ascii="Arial" w:hAnsi="Arial" w:cs="Arial"/>
          <w:sz w:val="21"/>
          <w:szCs w:val="21"/>
        </w:rPr>
      </w:pPr>
    </w:p>
    <w:p w14:paraId="151984DE">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19" w:name="_Toc168225814"/>
      <w:bookmarkStart w:id="20" w:name="_Toc155267087"/>
      <w:r>
        <w:rPr>
          <w:rFonts w:eastAsia="宋体"/>
          <w:kern w:val="2"/>
          <w:sz w:val="21"/>
          <w:szCs w:val="21"/>
        </w:rPr>
        <w:t>二、房地产估价机构</w:t>
      </w:r>
      <w:bookmarkEnd w:id="19"/>
      <w:bookmarkEnd w:id="20"/>
    </w:p>
    <w:p w14:paraId="0F0B006F">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受托机构：北京康正宏基房地产评估有限公司</w:t>
      </w:r>
    </w:p>
    <w:p w14:paraId="341C5640">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资质级别：壹级</w:t>
      </w:r>
    </w:p>
    <w:p w14:paraId="3E25AA5E">
      <w:pPr>
        <w:overflowPunct w:val="0"/>
        <w:spacing w:line="480" w:lineRule="auto"/>
        <w:ind w:firstLine="420" w:firstLineChars="200"/>
        <w:jc w:val="both"/>
        <w:textAlignment w:val="auto"/>
        <w:rPr>
          <w:rFonts w:ascii="Arial" w:hAnsi="Arial"/>
          <w:sz w:val="21"/>
          <w:szCs w:val="21"/>
        </w:rPr>
      </w:pPr>
      <w:r>
        <w:rPr>
          <w:rFonts w:hint="eastAsia" w:ascii="Arial" w:hAnsi="Arial"/>
          <w:sz w:val="21"/>
          <w:szCs w:val="21"/>
        </w:rPr>
        <w:t>资格证书号：建房估备字[2013第]081号</w:t>
      </w:r>
    </w:p>
    <w:p w14:paraId="4605BF2D">
      <w:pPr>
        <w:overflowPunct w:val="0"/>
        <w:spacing w:line="480" w:lineRule="auto"/>
        <w:ind w:firstLine="420" w:firstLineChars="200"/>
        <w:jc w:val="both"/>
        <w:textAlignment w:val="auto"/>
        <w:rPr>
          <w:rFonts w:ascii="Arial" w:hAnsi="Arial"/>
          <w:sz w:val="21"/>
          <w:szCs w:val="21"/>
        </w:rPr>
      </w:pPr>
      <w:r>
        <w:rPr>
          <w:rFonts w:hint="eastAsia" w:ascii="Arial" w:hAnsi="Arial"/>
          <w:sz w:val="21"/>
          <w:szCs w:val="21"/>
        </w:rPr>
        <w:t>有效期限：</w:t>
      </w:r>
      <w:r>
        <w:rPr>
          <w:rFonts w:ascii="Arial" w:hAnsi="Arial"/>
          <w:sz w:val="21"/>
          <w:szCs w:val="21"/>
        </w:rPr>
        <w:t>202</w:t>
      </w:r>
      <w:r>
        <w:rPr>
          <w:rFonts w:hint="eastAsia" w:ascii="Arial" w:hAnsi="Arial"/>
          <w:sz w:val="21"/>
          <w:szCs w:val="21"/>
        </w:rPr>
        <w:t>5年07月01日至</w:t>
      </w:r>
      <w:r>
        <w:rPr>
          <w:rFonts w:ascii="Arial" w:hAnsi="Arial"/>
          <w:sz w:val="21"/>
          <w:szCs w:val="21"/>
        </w:rPr>
        <w:t>202</w:t>
      </w:r>
      <w:r>
        <w:rPr>
          <w:rFonts w:hint="eastAsia" w:ascii="Arial" w:hAnsi="Arial"/>
          <w:sz w:val="21"/>
          <w:szCs w:val="21"/>
        </w:rPr>
        <w:t>8年06月30日</w:t>
      </w:r>
    </w:p>
    <w:p w14:paraId="6583F1D2">
      <w:pPr>
        <w:overflowPunct w:val="0"/>
        <w:spacing w:line="480" w:lineRule="auto"/>
        <w:ind w:firstLine="420" w:firstLineChars="200"/>
        <w:jc w:val="both"/>
        <w:textAlignment w:val="auto"/>
        <w:rPr>
          <w:rFonts w:ascii="Arial" w:hAnsi="Arial"/>
          <w:sz w:val="21"/>
          <w:szCs w:val="21"/>
        </w:rPr>
      </w:pPr>
      <w:r>
        <w:rPr>
          <w:rFonts w:hint="eastAsia" w:ascii="Arial" w:hAnsi="Arial"/>
          <w:sz w:val="21"/>
          <w:szCs w:val="21"/>
        </w:rPr>
        <w:t>注册地址：北京市丰台区芳城园一区16号楼2层2门配套公建01</w:t>
      </w:r>
    </w:p>
    <w:p w14:paraId="11E0E247">
      <w:pPr>
        <w:overflowPunct w:val="0"/>
        <w:spacing w:line="480" w:lineRule="auto"/>
        <w:ind w:firstLine="420" w:firstLineChars="200"/>
        <w:jc w:val="both"/>
        <w:rPr>
          <w:rFonts w:ascii="Arial" w:hAnsi="Arial" w:cs="Arial"/>
          <w:sz w:val="21"/>
          <w:szCs w:val="21"/>
        </w:rPr>
      </w:pPr>
      <w:r>
        <w:rPr>
          <w:rFonts w:hint="eastAsia" w:ascii="Arial" w:hAnsi="Arial" w:cs="Arial"/>
          <w:sz w:val="21"/>
          <w:szCs w:val="21"/>
        </w:rPr>
        <w:t>法定代表人：齐宏</w:t>
      </w:r>
    </w:p>
    <w:p w14:paraId="7B55813A">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联</w:t>
      </w:r>
      <w:r>
        <w:rPr>
          <w:rFonts w:hint="eastAsia" w:ascii="Arial" w:hAnsi="Arial" w:cs="Arial"/>
          <w:sz w:val="21"/>
          <w:szCs w:val="21"/>
        </w:rPr>
        <w:t xml:space="preserve"> </w:t>
      </w:r>
      <w:r>
        <w:rPr>
          <w:rFonts w:ascii="Arial" w:hAnsi="Arial" w:cs="Arial"/>
          <w:sz w:val="21"/>
          <w:szCs w:val="21"/>
        </w:rPr>
        <w:t>系</w:t>
      </w:r>
      <w:r>
        <w:rPr>
          <w:rFonts w:hint="eastAsia" w:ascii="Arial" w:hAnsi="Arial" w:cs="Arial"/>
          <w:sz w:val="21"/>
          <w:szCs w:val="21"/>
        </w:rPr>
        <w:t xml:space="preserve"> </w:t>
      </w:r>
      <w:r>
        <w:rPr>
          <w:rFonts w:ascii="Arial" w:hAnsi="Arial" w:cs="Arial"/>
          <w:sz w:val="21"/>
          <w:szCs w:val="21"/>
        </w:rPr>
        <w:t>人：</w:t>
      </w:r>
      <w:r>
        <w:rPr>
          <w:rFonts w:hint="eastAsia" w:ascii="Arial" w:hAnsi="Arial" w:cs="Arial"/>
          <w:sz w:val="21"/>
          <w:szCs w:val="21"/>
        </w:rPr>
        <w:t>李诗霖</w:t>
      </w:r>
    </w:p>
    <w:p w14:paraId="1A4B7A32">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联系电话：010-82253558</w:t>
      </w:r>
    </w:p>
    <w:p w14:paraId="5C9B87D6">
      <w:pPr>
        <w:wordWrap w:val="0"/>
        <w:overflowPunct w:val="0"/>
        <w:spacing w:line="480" w:lineRule="auto"/>
        <w:ind w:firstLine="420" w:firstLineChars="200"/>
        <w:jc w:val="both"/>
        <w:textAlignment w:val="auto"/>
        <w:rPr>
          <w:rFonts w:ascii="Arial" w:hAnsi="Arial" w:cs="Arial"/>
          <w:kern w:val="2"/>
          <w:sz w:val="21"/>
          <w:szCs w:val="21"/>
        </w:rPr>
      </w:pPr>
    </w:p>
    <w:p w14:paraId="55B6F502">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21" w:name="_Toc168225815"/>
      <w:bookmarkStart w:id="22" w:name="_Toc155267088"/>
      <w:r>
        <w:rPr>
          <w:rFonts w:eastAsia="宋体"/>
          <w:kern w:val="2"/>
          <w:sz w:val="21"/>
          <w:szCs w:val="21"/>
        </w:rPr>
        <w:t>三、估价目的</w:t>
      </w:r>
      <w:bookmarkEnd w:id="21"/>
      <w:bookmarkEnd w:id="22"/>
    </w:p>
    <w:p w14:paraId="66E22684">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sz w:val="21"/>
          <w:szCs w:val="21"/>
        </w:rPr>
        <w:t>评估保障性租赁住房项目同地段同品质市场租赁住房租金，为有关单位合理确定保障性租赁住房项目租金提供参考依据</w:t>
      </w:r>
      <w:r>
        <w:rPr>
          <w:rFonts w:hint="eastAsia" w:ascii="Arial" w:hAnsi="Arial" w:cs="Arial"/>
          <w:kern w:val="2"/>
          <w:sz w:val="21"/>
          <w:szCs w:val="21"/>
        </w:rPr>
        <w:t>。</w:t>
      </w:r>
      <w:r>
        <w:rPr>
          <w:rFonts w:ascii="Arial" w:hAnsi="Arial" w:cs="Arial"/>
          <w:kern w:val="2"/>
          <w:sz w:val="21"/>
          <w:szCs w:val="21"/>
        </w:rPr>
        <w:t xml:space="preserve"> </w:t>
      </w:r>
    </w:p>
    <w:p w14:paraId="0CEC7929">
      <w:pPr>
        <w:wordWrap w:val="0"/>
        <w:overflowPunct w:val="0"/>
        <w:spacing w:line="480" w:lineRule="auto"/>
        <w:ind w:firstLine="420" w:firstLineChars="200"/>
        <w:jc w:val="both"/>
        <w:textAlignment w:val="auto"/>
        <w:rPr>
          <w:rFonts w:ascii="Arial" w:hAnsi="Arial" w:cs="Arial"/>
          <w:sz w:val="21"/>
          <w:szCs w:val="21"/>
        </w:rPr>
      </w:pPr>
    </w:p>
    <w:p w14:paraId="66F0E040">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23" w:name="_Toc155267089"/>
      <w:bookmarkStart w:id="24" w:name="_Toc168225816"/>
      <w:r>
        <w:rPr>
          <w:rFonts w:eastAsia="宋体"/>
          <w:kern w:val="2"/>
          <w:sz w:val="21"/>
          <w:szCs w:val="21"/>
        </w:rPr>
        <w:t>四、估价对象</w:t>
      </w:r>
      <w:bookmarkEnd w:id="23"/>
      <w:bookmarkEnd w:id="24"/>
    </w:p>
    <w:p w14:paraId="41D7E698">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（一）估价对象范围</w:t>
      </w:r>
    </w:p>
    <w:p w14:paraId="12B62BEA">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根据</w:t>
      </w:r>
      <w:r>
        <w:rPr>
          <w:rFonts w:hint="eastAsia" w:ascii="Arial" w:hAnsi="Arial" w:cs="Arial"/>
          <w:sz w:val="21"/>
          <w:szCs w:val="21"/>
          <w:lang w:eastAsia="zh-CN"/>
        </w:rPr>
        <w:t>《不动产权证书》[京（2026）大不动产权第0006890、0007126、0007158号]部分</w:t>
      </w:r>
      <w:r>
        <w:rPr>
          <w:rFonts w:hint="eastAsia" w:ascii="Arial" w:hAnsi="Arial" w:cs="Arial"/>
          <w:sz w:val="21"/>
          <w:szCs w:val="21"/>
        </w:rPr>
        <w:t>及《估价委托书》，估价对象为北京市</w:t>
      </w:r>
      <w:r>
        <w:rPr>
          <w:rFonts w:hint="eastAsia" w:ascii="Arial" w:hAnsi="Arial" w:cs="Arial"/>
          <w:kern w:val="2"/>
          <w:sz w:val="21"/>
          <w:szCs w:val="21"/>
        </w:rPr>
        <w:t>大兴区饮马井街1、2</w:t>
      </w:r>
      <w:r>
        <w:rPr>
          <w:rFonts w:hint="eastAsia" w:ascii="Arial" w:hAnsi="Arial" w:cs="Arial"/>
          <w:sz w:val="21"/>
          <w:szCs w:val="21"/>
        </w:rPr>
        <w:t>号院（福兴雅苑）共计305套保障性租赁住房（住宅型），总建筑</w:t>
      </w:r>
      <w:r>
        <w:rPr>
          <w:rFonts w:hint="eastAsia" w:ascii="Arial" w:hAnsi="Arial" w:cs="Arial"/>
          <w:kern w:val="2"/>
          <w:sz w:val="21"/>
          <w:szCs w:val="21"/>
        </w:rPr>
        <w:t>面积26934.35平方米，其中，北京市大兴区饮马井街1号院2号楼11层1单元1102等46套，建筑面积3699.3平方米；大兴区饮马井街1号院9号楼1层1单元101等67套，建筑面积5908.18平方米；大兴区饮马井街2号院3号楼21层1单元2101等192套，建筑面积17326.87平方米。</w:t>
      </w:r>
      <w:r>
        <w:rPr>
          <w:rFonts w:ascii="Arial" w:hAnsi="Arial" w:cs="Arial"/>
          <w:kern w:val="2"/>
          <w:sz w:val="21"/>
          <w:szCs w:val="21"/>
        </w:rPr>
        <w:t>截至</w:t>
      </w:r>
      <w:r>
        <w:rPr>
          <w:rFonts w:hint="eastAsia" w:ascii="Arial" w:hAnsi="Arial" w:cs="Arial"/>
          <w:kern w:val="2"/>
          <w:sz w:val="21"/>
          <w:szCs w:val="21"/>
        </w:rPr>
        <w:t>报告出具日，上述房屋已办理不动产权变更登记，取得</w:t>
      </w:r>
      <w:r>
        <w:rPr>
          <w:rFonts w:hint="eastAsia" w:ascii="Arial" w:hAnsi="Arial" w:cs="Arial"/>
          <w:sz w:val="21"/>
          <w:szCs w:val="21"/>
          <w:lang w:eastAsia="zh-CN"/>
        </w:rPr>
        <w:t>《不动产权证书》[京（2026）大不动产权第0006890、0007126、0007158号]部分</w:t>
      </w:r>
      <w:r>
        <w:rPr>
          <w:rFonts w:hint="eastAsia" w:ascii="Arial" w:hAnsi="Arial" w:cs="Arial"/>
          <w:kern w:val="2"/>
          <w:sz w:val="21"/>
          <w:szCs w:val="21"/>
        </w:rPr>
        <w:t>。经与估价委托人确认，北京市燕兴保障性住房建设投资有限公司对上述租赁房屋享有合法、完整的占有、使用、收益及出租的权利，房屋来源合法，不存在任何抵押、租赁、查封等权利受限情形。</w:t>
      </w:r>
      <w:r>
        <w:rPr>
          <w:rFonts w:hint="eastAsia" w:ascii="Arial" w:hAnsi="Arial" w:cs="Arial"/>
          <w:sz w:val="21"/>
          <w:szCs w:val="21"/>
        </w:rPr>
        <w:t>估价对象具体情况如下：</w:t>
      </w:r>
    </w:p>
    <w:p w14:paraId="71BF698D">
      <w:pPr>
        <w:overflowPunct w:val="0"/>
        <w:spacing w:after="120" w:afterLines="50" w:line="240" w:lineRule="auto"/>
        <w:jc w:val="center"/>
        <w:textAlignment w:val="auto"/>
        <w:rPr>
          <w:rFonts w:ascii="Arial" w:hAnsi="Arial" w:cs="Arial"/>
          <w:b/>
          <w:bCs/>
          <w:sz w:val="21"/>
          <w:szCs w:val="21"/>
        </w:rPr>
      </w:pPr>
      <w:r>
        <w:rPr>
          <w:rFonts w:hint="eastAsia" w:ascii="Arial" w:hAnsi="Arial" w:cs="Arial"/>
          <w:b/>
          <w:bCs/>
          <w:sz w:val="21"/>
          <w:szCs w:val="21"/>
        </w:rPr>
        <w:t>估价对象明细表</w:t>
      </w:r>
    </w:p>
    <w:tbl>
      <w:tblPr>
        <w:tblStyle w:val="33"/>
        <w:tblW w:w="4994" w:type="pct"/>
        <w:tblInd w:w="0" w:type="dxa"/>
        <w:shd w:val="clear" w:color="auto" w:fill="FFFFFF" w:themeFill="background1"/>
        <w:tblLayout w:type="autofit"/>
        <w:tblCellMar>
          <w:top w:w="0" w:type="dxa"/>
          <w:left w:w="108" w:type="dxa"/>
          <w:bottom w:w="0" w:type="dxa"/>
          <w:right w:w="108" w:type="dxa"/>
        </w:tblCellMar>
      </w:tblPr>
      <w:tblGrid>
        <w:gridCol w:w="2423"/>
        <w:gridCol w:w="898"/>
        <w:gridCol w:w="1811"/>
        <w:gridCol w:w="1350"/>
        <w:gridCol w:w="1040"/>
        <w:gridCol w:w="1982"/>
      </w:tblGrid>
      <w:tr w14:paraId="55919E8D">
        <w:tblPrEx>
          <w:shd w:val="clear" w:color="auto" w:fill="FFFFFF" w:themeFill="background1"/>
          <w:tblCellMar>
            <w:top w:w="0" w:type="dxa"/>
            <w:left w:w="108" w:type="dxa"/>
            <w:bottom w:w="0" w:type="dxa"/>
            <w:right w:w="108" w:type="dxa"/>
          </w:tblCellMar>
        </w:tblPrEx>
        <w:trPr>
          <w:trHeight w:val="264" w:hRule="atLeast"/>
        </w:trPr>
        <w:tc>
          <w:tcPr>
            <w:tcW w:w="127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41333E">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位置及楼号</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57B673">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户型</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FF4D50">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面积（平方米）</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45F9DC">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套数（套）</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8F5A3E">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朝向</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85D6E4">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总建筑面积（平方米）</w:t>
            </w:r>
          </w:p>
        </w:tc>
      </w:tr>
      <w:tr w14:paraId="3EF4557F">
        <w:tblPrEx>
          <w:shd w:val="clear" w:color="auto" w:fill="FFFFFF" w:themeFill="background1"/>
          <w:tblCellMar>
            <w:top w:w="0" w:type="dxa"/>
            <w:left w:w="108" w:type="dxa"/>
            <w:bottom w:w="0" w:type="dxa"/>
            <w:right w:w="108" w:type="dxa"/>
          </w:tblCellMar>
        </w:tblPrEx>
        <w:trPr>
          <w:trHeight w:val="174" w:hRule="atLeast"/>
        </w:trPr>
        <w:tc>
          <w:tcPr>
            <w:tcW w:w="1274"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7C6A21">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饮马井街1号院2、5、9、10、11、12、13、15号楼</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60044D7">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开间</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5D9F35">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60.36-60.49</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B18972">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7</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F2C86A">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FF3080">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423.17</w:t>
            </w:r>
          </w:p>
        </w:tc>
      </w:tr>
      <w:tr w14:paraId="3B741C81">
        <w:tblPrEx>
          <w:shd w:val="clear" w:color="auto" w:fill="FFFFFF" w:themeFill="background1"/>
          <w:tblCellMar>
            <w:top w:w="0" w:type="dxa"/>
            <w:left w:w="108" w:type="dxa"/>
            <w:bottom w:w="0" w:type="dxa"/>
            <w:right w:w="108" w:type="dxa"/>
          </w:tblCellMar>
        </w:tblPrEx>
        <w:trPr>
          <w:trHeight w:val="17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80CF6A">
            <w:pPr>
              <w:spacing w:line="240" w:lineRule="auto"/>
              <w:jc w:val="center"/>
              <w:rPr>
                <w:rFonts w:hint="eastAsia" w:ascii="华文细黑" w:hAnsi="华文细黑" w:eastAsia="华文细黑" w:cs="Arial"/>
                <w:sz w:val="18"/>
                <w:szCs w:val="18"/>
              </w:rPr>
            </w:pP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EA1ED06">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一居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0EDF03">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82.85</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8E5C38">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83</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7499ED">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41DAD0">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6876.55</w:t>
            </w:r>
          </w:p>
        </w:tc>
      </w:tr>
      <w:tr w14:paraId="1457B134">
        <w:tblPrEx>
          <w:shd w:val="clear" w:color="auto" w:fill="FFFFFF" w:themeFill="background1"/>
          <w:tblCellMar>
            <w:top w:w="0" w:type="dxa"/>
            <w:left w:w="108" w:type="dxa"/>
            <w:bottom w:w="0" w:type="dxa"/>
            <w:right w:w="108" w:type="dxa"/>
          </w:tblCellMar>
        </w:tblPrEx>
        <w:trPr>
          <w:trHeight w:val="90"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764A84">
            <w:pPr>
              <w:spacing w:line="240" w:lineRule="auto"/>
              <w:jc w:val="center"/>
              <w:rPr>
                <w:rFonts w:hint="eastAsia" w:ascii="华文细黑" w:hAnsi="华文细黑" w:eastAsia="华文细黑" w:cs="Arial"/>
                <w:sz w:val="18"/>
                <w:szCs w:val="18"/>
              </w:rPr>
            </w:pP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159900">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两居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9B4FF8">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99.63-101.3</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57B50F">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23</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C9E3BA">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324A43">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2307.76</w:t>
            </w:r>
          </w:p>
        </w:tc>
      </w:tr>
      <w:tr w14:paraId="6BAD8CD4">
        <w:tblPrEx>
          <w:shd w:val="clear" w:color="auto" w:fill="FFFFFF" w:themeFill="background1"/>
          <w:tblCellMar>
            <w:top w:w="0" w:type="dxa"/>
            <w:left w:w="108" w:type="dxa"/>
            <w:bottom w:w="0" w:type="dxa"/>
            <w:right w:w="108" w:type="dxa"/>
          </w:tblCellMar>
        </w:tblPrEx>
        <w:trPr>
          <w:trHeight w:val="194" w:hRule="atLeast"/>
        </w:trPr>
        <w:tc>
          <w:tcPr>
            <w:tcW w:w="1274" w:type="pct"/>
            <w:tcBorders>
              <w:top w:val="nil"/>
              <w:left w:val="single" w:color="000000" w:sz="4" w:space="0"/>
              <w:bottom w:val="nil"/>
              <w:right w:val="single" w:color="000000" w:sz="4" w:space="0"/>
            </w:tcBorders>
            <w:shd w:val="clear" w:color="auto" w:fill="FFFFFF" w:themeFill="background1"/>
            <w:vAlign w:val="center"/>
          </w:tcPr>
          <w:p w14:paraId="0335C899">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小计</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5D4B9B">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2A51BA">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8E23EF">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113</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058015">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0F9400">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9607.48</w:t>
            </w:r>
          </w:p>
        </w:tc>
      </w:tr>
      <w:tr w14:paraId="5D843DC6">
        <w:tblPrEx>
          <w:shd w:val="clear" w:color="auto" w:fill="FFFFFF" w:themeFill="background1"/>
          <w:tblCellMar>
            <w:top w:w="0" w:type="dxa"/>
            <w:left w:w="108" w:type="dxa"/>
            <w:bottom w:w="0" w:type="dxa"/>
            <w:right w:w="108" w:type="dxa"/>
          </w:tblCellMar>
        </w:tblPrEx>
        <w:trPr>
          <w:trHeight w:val="94" w:hRule="atLeast"/>
        </w:trPr>
        <w:tc>
          <w:tcPr>
            <w:tcW w:w="1274"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009022">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饮马井街2号院2、3、5、6、7号楼</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A65094">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开间</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6E0AB7">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60.49</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9DFD3A">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22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085F61">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3FE6C0">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1330.78</w:t>
            </w:r>
          </w:p>
        </w:tc>
      </w:tr>
      <w:tr w14:paraId="1AA82B7D">
        <w:tblPrEx>
          <w:shd w:val="clear" w:color="auto" w:fill="FFFFFF" w:themeFill="background1"/>
          <w:tblCellMar>
            <w:top w:w="0" w:type="dxa"/>
            <w:left w:w="108" w:type="dxa"/>
            <w:bottom w:w="0" w:type="dxa"/>
            <w:right w:w="108" w:type="dxa"/>
          </w:tblCellMar>
        </w:tblPrEx>
        <w:trPr>
          <w:trHeight w:val="14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42AFAB">
            <w:pPr>
              <w:spacing w:line="240" w:lineRule="auto"/>
              <w:jc w:val="center"/>
              <w:rPr>
                <w:rFonts w:hint="eastAsia" w:ascii="华文细黑" w:hAnsi="华文细黑" w:eastAsia="华文细黑" w:cs="Arial"/>
                <w:sz w:val="18"/>
                <w:szCs w:val="18"/>
              </w:rPr>
            </w:pP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5A0BAF">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一居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7F2D3D">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73.85</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F74FE1">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C058F4">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219042">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147.7</w:t>
            </w:r>
          </w:p>
        </w:tc>
      </w:tr>
      <w:tr w14:paraId="520595DC">
        <w:tblPrEx>
          <w:shd w:val="clear" w:color="auto" w:fill="FFFFFF" w:themeFill="background1"/>
          <w:tblCellMar>
            <w:top w:w="0" w:type="dxa"/>
            <w:left w:w="108" w:type="dxa"/>
            <w:bottom w:w="0" w:type="dxa"/>
            <w:right w:w="108" w:type="dxa"/>
          </w:tblCellMar>
        </w:tblPrEx>
        <w:trPr>
          <w:trHeight w:val="15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992963">
            <w:pPr>
              <w:spacing w:line="240" w:lineRule="auto"/>
              <w:jc w:val="center"/>
              <w:rPr>
                <w:rFonts w:hint="eastAsia" w:ascii="华文细黑" w:hAnsi="华文细黑" w:eastAsia="华文细黑" w:cs="Arial"/>
                <w:sz w:val="18"/>
                <w:szCs w:val="18"/>
              </w:rP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D57FAC">
            <w:pPr>
              <w:spacing w:line="240" w:lineRule="auto"/>
              <w:jc w:val="center"/>
              <w:rPr>
                <w:rFonts w:hint="eastAsia" w:ascii="华文细黑" w:hAnsi="华文细黑" w:eastAsia="华文细黑" w:cs="Arial"/>
                <w:sz w:val="18"/>
                <w:szCs w:val="18"/>
              </w:rPr>
            </w:pP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8FD8FA">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74</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83D372">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6</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53BA84">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274EC4">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444</w:t>
            </w:r>
          </w:p>
        </w:tc>
      </w:tr>
      <w:tr w14:paraId="3C1196D3">
        <w:tblPrEx>
          <w:shd w:val="clear" w:color="auto" w:fill="FFFFFF" w:themeFill="background1"/>
          <w:tblCellMar>
            <w:top w:w="0" w:type="dxa"/>
            <w:left w:w="108" w:type="dxa"/>
            <w:bottom w:w="0" w:type="dxa"/>
            <w:right w:w="108" w:type="dxa"/>
          </w:tblCellMar>
        </w:tblPrEx>
        <w:trPr>
          <w:trHeight w:val="21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52FF0D">
            <w:pPr>
              <w:spacing w:line="240" w:lineRule="auto"/>
              <w:jc w:val="center"/>
              <w:rPr>
                <w:rFonts w:hint="eastAsia" w:ascii="华文细黑" w:hAnsi="华文细黑" w:eastAsia="华文细黑" w:cs="Arial"/>
                <w:sz w:val="18"/>
                <w:szCs w:val="18"/>
              </w:rP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0F5F4D">
            <w:pPr>
              <w:spacing w:line="240" w:lineRule="auto"/>
              <w:jc w:val="center"/>
              <w:rPr>
                <w:rFonts w:hint="eastAsia" w:ascii="华文细黑" w:hAnsi="华文细黑" w:eastAsia="华文细黑" w:cs="Arial"/>
                <w:sz w:val="18"/>
                <w:szCs w:val="18"/>
              </w:rPr>
            </w:pP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C7F50C">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82.85</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10B2BD">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42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A5CD49">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C12E15">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3479.7</w:t>
            </w:r>
          </w:p>
        </w:tc>
      </w:tr>
      <w:tr w14:paraId="4658D2B3">
        <w:tblPrEx>
          <w:shd w:val="clear" w:color="auto" w:fill="FFFFFF" w:themeFill="background1"/>
          <w:tblCellMar>
            <w:top w:w="0" w:type="dxa"/>
            <w:left w:w="108" w:type="dxa"/>
            <w:bottom w:w="0" w:type="dxa"/>
            <w:right w:w="108" w:type="dxa"/>
          </w:tblCellMar>
        </w:tblPrEx>
        <w:trPr>
          <w:trHeight w:val="19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D3E32A">
            <w:pPr>
              <w:spacing w:line="240" w:lineRule="auto"/>
              <w:jc w:val="center"/>
              <w:rPr>
                <w:rFonts w:hint="eastAsia" w:ascii="华文细黑" w:hAnsi="华文细黑" w:eastAsia="华文细黑" w:cs="Arial"/>
                <w:sz w:val="18"/>
                <w:szCs w:val="18"/>
              </w:rPr>
            </w:pPr>
          </w:p>
        </w:tc>
        <w:tc>
          <w:tcPr>
            <w:tcW w:w="472" w:type="pct"/>
            <w:tcBorders>
              <w:top w:val="nil"/>
              <w:left w:val="single" w:color="000000" w:sz="4" w:space="0"/>
              <w:bottom w:val="nil"/>
              <w:right w:val="single" w:color="000000" w:sz="4" w:space="0"/>
            </w:tcBorders>
            <w:shd w:val="clear" w:color="auto" w:fill="FFFFFF" w:themeFill="background1"/>
            <w:vAlign w:val="center"/>
          </w:tcPr>
          <w:p w14:paraId="20BE72D0">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小计</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476403">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D4A7BF">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50</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34305E">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3041CB">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4071.4</w:t>
            </w:r>
          </w:p>
        </w:tc>
      </w:tr>
      <w:tr w14:paraId="352BF104">
        <w:tblPrEx>
          <w:shd w:val="clear" w:color="auto" w:fill="FFFFFF" w:themeFill="background1"/>
          <w:tblCellMar>
            <w:top w:w="0" w:type="dxa"/>
            <w:left w:w="108" w:type="dxa"/>
            <w:bottom w:w="0" w:type="dxa"/>
            <w:right w:w="108" w:type="dxa"/>
          </w:tblCellMar>
        </w:tblPrEx>
        <w:trPr>
          <w:trHeight w:val="17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980194">
            <w:pPr>
              <w:spacing w:line="240" w:lineRule="auto"/>
              <w:jc w:val="center"/>
              <w:rPr>
                <w:rFonts w:hint="eastAsia" w:ascii="华文细黑" w:hAnsi="华文细黑" w:eastAsia="华文细黑" w:cs="Arial"/>
                <w:sz w:val="18"/>
                <w:szCs w:val="18"/>
              </w:rPr>
            </w:pPr>
          </w:p>
        </w:tc>
        <w:tc>
          <w:tcPr>
            <w:tcW w:w="472" w:type="pct"/>
            <w:tcBorders>
              <w:top w:val="single" w:color="000000" w:sz="4" w:space="0"/>
              <w:left w:val="single" w:color="000000" w:sz="4" w:space="0"/>
              <w:bottom w:val="nil"/>
              <w:right w:val="single" w:color="000000" w:sz="4" w:space="0"/>
            </w:tcBorders>
            <w:shd w:val="clear" w:color="auto" w:fill="FFFFFF" w:themeFill="background1"/>
            <w:vAlign w:val="center"/>
          </w:tcPr>
          <w:p w14:paraId="5A8181D3">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两居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5E6D8B">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95.85-101.74</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9D4AF0">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112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5079B4">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59E828">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11062.77</w:t>
            </w:r>
          </w:p>
        </w:tc>
      </w:tr>
      <w:tr w14:paraId="7646665E">
        <w:tblPrEx>
          <w:shd w:val="clear" w:color="auto" w:fill="FFFFFF" w:themeFill="background1"/>
          <w:tblCellMar>
            <w:top w:w="0" w:type="dxa"/>
            <w:left w:w="108" w:type="dxa"/>
            <w:bottom w:w="0" w:type="dxa"/>
            <w:right w:w="108" w:type="dxa"/>
          </w:tblCellMar>
        </w:tblPrEx>
        <w:trPr>
          <w:trHeight w:val="15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C9FFEA">
            <w:pPr>
              <w:spacing w:line="240" w:lineRule="auto"/>
              <w:jc w:val="center"/>
              <w:rPr>
                <w:rFonts w:hint="eastAsia" w:ascii="华文细黑" w:hAnsi="华文细黑" w:eastAsia="华文细黑" w:cs="Arial"/>
                <w:sz w:val="18"/>
                <w:szCs w:val="18"/>
              </w:rPr>
            </w:pPr>
          </w:p>
        </w:tc>
        <w:tc>
          <w:tcPr>
            <w:tcW w:w="472" w:type="pct"/>
            <w:tcBorders>
              <w:top w:val="single" w:color="000000" w:sz="4" w:space="0"/>
              <w:left w:val="single" w:color="000000" w:sz="4" w:space="0"/>
              <w:bottom w:val="nil"/>
              <w:right w:val="single" w:color="000000" w:sz="4" w:space="0"/>
            </w:tcBorders>
            <w:shd w:val="clear" w:color="auto" w:fill="FFFFFF" w:themeFill="background1"/>
            <w:vAlign w:val="center"/>
          </w:tcPr>
          <w:p w14:paraId="6D6BAF90">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三居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3B1562">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107.74</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B02400">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61CDD8">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22BA00">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861.92</w:t>
            </w:r>
          </w:p>
        </w:tc>
      </w:tr>
      <w:tr w14:paraId="046C5291">
        <w:tblPrEx>
          <w:shd w:val="clear" w:color="auto" w:fill="FFFFFF" w:themeFill="background1"/>
          <w:tblCellMar>
            <w:top w:w="0" w:type="dxa"/>
            <w:left w:w="108" w:type="dxa"/>
            <w:bottom w:w="0" w:type="dxa"/>
            <w:right w:w="108" w:type="dxa"/>
          </w:tblCellMar>
        </w:tblPrEx>
        <w:trPr>
          <w:trHeight w:val="144" w:hRule="atLeast"/>
        </w:trPr>
        <w:tc>
          <w:tcPr>
            <w:tcW w:w="127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D21239">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小计</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11C1BD">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424FDF">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FEDA2E">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192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04EB14">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BB4C56">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17326.87</w:t>
            </w:r>
          </w:p>
        </w:tc>
      </w:tr>
      <w:tr w14:paraId="0B7D32D2">
        <w:tblPrEx>
          <w:shd w:val="clear" w:color="auto" w:fill="FFFFFF" w:themeFill="background1"/>
          <w:tblCellMar>
            <w:top w:w="0" w:type="dxa"/>
            <w:left w:w="108" w:type="dxa"/>
            <w:bottom w:w="0" w:type="dxa"/>
            <w:right w:w="108" w:type="dxa"/>
          </w:tblCellMar>
        </w:tblPrEx>
        <w:trPr>
          <w:trHeight w:val="174" w:hRule="atLeast"/>
        </w:trPr>
        <w:tc>
          <w:tcPr>
            <w:tcW w:w="127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A8378D">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合计</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6802E0">
            <w:pPr>
              <w:widowControl/>
              <w:adjustRightInd/>
              <w:spacing w:line="240" w:lineRule="auto"/>
              <w:jc w:val="center"/>
              <w:textAlignment w:val="auto"/>
              <w:rPr>
                <w:rFonts w:hint="eastAsia" w:ascii="华文细黑" w:hAnsi="华文细黑" w:eastAsia="华文细黑" w:cs="Arial"/>
                <w:sz w:val="18"/>
                <w:szCs w:val="18"/>
              </w:rPr>
            </w:pP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431F5E">
            <w:pPr>
              <w:widowControl/>
              <w:adjustRightInd/>
              <w:spacing w:line="240" w:lineRule="auto"/>
              <w:jc w:val="center"/>
              <w:textAlignment w:val="auto"/>
              <w:rPr>
                <w:rFonts w:hint="eastAsia" w:ascii="华文细黑" w:hAnsi="华文细黑" w:eastAsia="华文细黑" w:cs="Arial"/>
                <w:sz w:val="18"/>
                <w:szCs w:val="18"/>
              </w:rPr>
            </w:pP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174ABE">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305</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9B1C96">
            <w:pPr>
              <w:widowControl/>
              <w:adjustRightInd/>
              <w:spacing w:line="240" w:lineRule="auto"/>
              <w:jc w:val="center"/>
              <w:textAlignment w:val="auto"/>
              <w:rPr>
                <w:rFonts w:hint="eastAsia" w:ascii="华文细黑" w:hAnsi="华文细黑" w:eastAsia="华文细黑" w:cs="Arial"/>
                <w:sz w:val="18"/>
                <w:szCs w:val="18"/>
              </w:rPr>
            </w:pP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A47DDC">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26934.35</w:t>
            </w:r>
          </w:p>
        </w:tc>
      </w:tr>
    </w:tbl>
    <w:p w14:paraId="5D136A38">
      <w:pPr>
        <w:overflowPunct w:val="0"/>
        <w:spacing w:before="120" w:beforeLines="50"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于价值时点，估价对象所属由于已全部竣工，</w:t>
      </w:r>
      <w:r>
        <w:rPr>
          <w:rFonts w:hint="eastAsia" w:ascii="Arial" w:hAnsi="Arial" w:cs="Arial"/>
          <w:sz w:val="21"/>
          <w:szCs w:val="21"/>
        </w:rPr>
        <w:t>根据《北京市保障性住房收购合同》及其附件、《估价委托书》及评估专业人员实地查勘</w:t>
      </w:r>
      <w:r>
        <w:rPr>
          <w:rFonts w:hint="eastAsia" w:ascii="Arial" w:hAnsi="Arial" w:cs="Arial"/>
          <w:kern w:val="2"/>
          <w:sz w:val="21"/>
          <w:szCs w:val="21"/>
        </w:rPr>
        <w:t>，</w:t>
      </w:r>
      <w:r>
        <w:rPr>
          <w:rFonts w:hint="eastAsia" w:ascii="Arial" w:hAnsi="Arial" w:cs="Arial"/>
          <w:sz w:val="21"/>
          <w:szCs w:val="21"/>
        </w:rPr>
        <w:t>估价对象</w:t>
      </w:r>
      <w:r>
        <w:rPr>
          <w:rFonts w:hint="eastAsia" w:ascii="Arial" w:hAnsi="Arial" w:cs="Arial"/>
          <w:kern w:val="2"/>
          <w:sz w:val="21"/>
          <w:szCs w:val="21"/>
        </w:rPr>
        <w:t>全部房源均转化为保障性租赁住房（住宅型），按照</w:t>
      </w:r>
      <w:r>
        <w:rPr>
          <w:rFonts w:hint="eastAsia" w:ascii="Arial" w:hAnsi="Arial" w:cs="Arial"/>
          <w:kern w:val="2"/>
          <w:sz w:val="21"/>
          <w:szCs w:val="21"/>
          <w:lang w:eastAsia="zh-CN"/>
        </w:rPr>
        <w:t>中档装修</w:t>
      </w:r>
      <w:r>
        <w:rPr>
          <w:rFonts w:hint="eastAsia" w:ascii="Arial" w:hAnsi="Arial" w:cs="Arial"/>
          <w:kern w:val="2"/>
          <w:sz w:val="21"/>
          <w:szCs w:val="21"/>
        </w:rPr>
        <w:t>标准配租，故本次评估室内装修情况均设定为</w:t>
      </w:r>
      <w:r>
        <w:rPr>
          <w:rFonts w:hint="eastAsia" w:ascii="Arial" w:hAnsi="Arial" w:cs="Arial"/>
          <w:kern w:val="2"/>
          <w:sz w:val="21"/>
          <w:szCs w:val="21"/>
          <w:lang w:eastAsia="zh-CN"/>
        </w:rPr>
        <w:t>中档装修</w:t>
      </w:r>
      <w:r>
        <w:rPr>
          <w:rFonts w:hint="eastAsia" w:ascii="Arial" w:hAnsi="Arial" w:cs="Arial"/>
          <w:kern w:val="2"/>
          <w:sz w:val="21"/>
          <w:szCs w:val="21"/>
        </w:rPr>
        <w:t>。</w:t>
      </w:r>
    </w:p>
    <w:p w14:paraId="4CDECE92">
      <w:pPr>
        <w:overflowPunct w:val="0"/>
        <w:spacing w:before="120" w:beforeLines="50"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（转下页）</w:t>
      </w:r>
    </w:p>
    <w:p w14:paraId="1AA783EB">
      <w:pPr>
        <w:rPr>
          <w:rFonts w:ascii="Arial" w:hAnsi="Arial" w:cs="Arial"/>
          <w:kern w:val="2"/>
          <w:sz w:val="21"/>
          <w:szCs w:val="21"/>
        </w:rPr>
      </w:pPr>
      <w:r>
        <w:rPr>
          <w:rFonts w:hint="eastAsia" w:ascii="Arial" w:hAnsi="Arial" w:cs="Arial"/>
          <w:kern w:val="2"/>
          <w:sz w:val="21"/>
          <w:szCs w:val="21"/>
        </w:rPr>
        <w:br w:type="page"/>
      </w:r>
    </w:p>
    <w:p w14:paraId="277C8FC9">
      <w:pPr>
        <w:overflowPunct w:val="0"/>
        <w:spacing w:line="480" w:lineRule="auto"/>
        <w:jc w:val="center"/>
        <w:textAlignment w:val="auto"/>
      </w:pPr>
      <w:r>
        <w:rPr>
          <w:rFonts w:hint="eastAsia" w:ascii="Arial" w:hAnsi="Arial" w:cs="Arial"/>
          <w:kern w:val="2"/>
          <w:sz w:val="21"/>
          <w:szCs w:val="21"/>
        </w:rPr>
        <w:t>估价对象位置示意图</w:t>
      </w:r>
      <w:r>
        <w:t xml:space="preserve"> </w:t>
      </w:r>
    </w:p>
    <w:p w14:paraId="70A4DB72">
      <w:pPr>
        <w:overflowPunct w:val="0"/>
        <w:spacing w:line="480" w:lineRule="auto"/>
        <w:jc w:val="center"/>
        <w:textAlignment w:val="auto"/>
        <w:rPr>
          <w:rFonts w:ascii="Arial" w:hAnsi="Arial" w:cs="Arial"/>
          <w:b/>
          <w:kern w:val="2"/>
          <w:sz w:val="21"/>
          <w:szCs w:val="21"/>
        </w:rPr>
      </w:pPr>
      <w:r>
        <mc:AlternateContent>
          <mc:Choice Requires="wps">
            <w:drawing>
              <wp:anchor distT="0" distB="0" distL="114300" distR="114300" simplePos="0" relativeHeight="251659264" behindDoc="0" locked="0" layoutInCell="1" allowOverlap="1">
                <wp:simplePos x="0" y="0"/>
                <wp:positionH relativeFrom="column">
                  <wp:posOffset>2430780</wp:posOffset>
                </wp:positionH>
                <wp:positionV relativeFrom="paragraph">
                  <wp:posOffset>737235</wp:posOffset>
                </wp:positionV>
                <wp:extent cx="1100455" cy="403225"/>
                <wp:effectExtent l="5080" t="5080" r="6985" b="429895"/>
                <wp:wrapNone/>
                <wp:docPr id="27" name="自选图形 2"/>
                <wp:cNvGraphicFramePr/>
                <a:graphic xmlns:a="http://schemas.openxmlformats.org/drawingml/2006/main">
                  <a:graphicData uri="http://schemas.microsoft.com/office/word/2010/wordprocessingShape">
                    <wps:wsp>
                      <wps:cNvSpPr>
                        <a:spLocks noChangeArrowheads="1"/>
                      </wps:cNvSpPr>
                      <wps:spPr bwMode="auto">
                        <a:xfrm>
                          <a:off x="0" y="0"/>
                          <a:ext cx="1100455" cy="403225"/>
                        </a:xfrm>
                        <a:prstGeom prst="wedgeRoundRectCallout">
                          <a:avLst>
                            <a:gd name="adj1" fmla="val 39397"/>
                            <a:gd name="adj2" fmla="val 151138"/>
                            <a:gd name="adj3" fmla="val 16667"/>
                          </a:avLst>
                        </a:prstGeom>
                        <a:solidFill>
                          <a:srgbClr val="FF0000"/>
                        </a:solidFill>
                        <a:ln w="9525">
                          <a:solidFill>
                            <a:srgbClr val="000000"/>
                          </a:solidFill>
                          <a:miter lim="800000"/>
                        </a:ln>
                      </wps:spPr>
                      <wps:txbx>
                        <w:txbxContent>
                          <w:p w14:paraId="6FD6AAB6">
                            <w:pPr>
                              <w:jc w:val="center"/>
                              <w:rPr>
                                <w:b/>
                                <w:bCs/>
                                <w:color w:val="FFFFFF" w:themeColor="background1"/>
                                <w14:textFill>
                                  <w14:solidFill>
                                    <w14:schemeClr w14:val="bg1"/>
                                  </w14:solidFill>
                                </w14:textFill>
                              </w:rPr>
                            </w:pPr>
                            <w:r>
                              <w:rPr>
                                <w:rFonts w:hint="eastAsia" w:ascii="Arial" w:hAnsi="Arial" w:cs="Arial"/>
                                <w:b/>
                                <w:bCs/>
                                <w:color w:val="FFFFFF" w:themeColor="background1"/>
                                <w:kern w:val="2"/>
                                <w:sz w:val="21"/>
                                <w:szCs w:val="21"/>
                                <w14:textFill>
                                  <w14:solidFill>
                                    <w14:schemeClr w14:val="bg1"/>
                                  </w14:solidFill>
                                </w14:textFill>
                              </w:rPr>
                              <w:t>福兴雅苑</w:t>
                            </w:r>
                          </w:p>
                        </w:txbxContent>
                      </wps:txbx>
                      <wps:bodyPr rot="0" vert="horz" wrap="square" lIns="91440" tIns="45720" rIns="91440" bIns="45720" anchor="t" anchorCtr="0" upright="1">
                        <a:noAutofit/>
                      </wps:bodyPr>
                    </wps:wsp>
                  </a:graphicData>
                </a:graphic>
              </wp:anchor>
            </w:drawing>
          </mc:Choice>
          <mc:Fallback>
            <w:pict>
              <v:shape id="自选图形 2" o:spid="_x0000_s1026" o:spt="62" type="#_x0000_t62" style="position:absolute;left:0pt;margin-left:191.4pt;margin-top:58.05pt;height:31.75pt;width:86.65pt;z-index:251659264;mso-width-relative:page;mso-height-relative:page;" fillcolor="#FF0000" filled="t" stroked="t" coordsize="21600,21600" o:gfxdata="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M/iGAPYAAAACwEAAA8AAAAAAAAAAQAgAAAAIgAA&#10;AGRycy9kb3ducmV2LnhtbFBLAQIUABQAAAAIAIdO4kAJ80DOegIAAAgFAAAOAAAAAAAAAAEAIAAA&#10;ACcBAABkcnMvZTJvRG9jLnhtbFBLBQYAAAAABgAGAFkBAAATBgAAAAA=&#10;" adj="19310,43446,14400">
                <v:fill on="t" focussize="0,0"/>
                <v:stroke color="#000000" miterlimit="8" joinstyle="miter"/>
                <v:imagedata o:title=""/>
                <o:lock v:ext="edit" aspectratio="f"/>
                <v:textbox>
                  <w:txbxContent>
                    <w:p w14:paraId="6FD6AAB6">
                      <w:pPr>
                        <w:jc w:val="center"/>
                        <w:rPr>
                          <w:b/>
                          <w:bCs/>
                          <w:color w:val="FFFFFF" w:themeColor="background1"/>
                          <w14:textFill>
                            <w14:solidFill>
                              <w14:schemeClr w14:val="bg1"/>
                            </w14:solidFill>
                          </w14:textFill>
                        </w:rPr>
                      </w:pPr>
                      <w:r>
                        <w:rPr>
                          <w:rFonts w:hint="eastAsia" w:ascii="Arial" w:hAnsi="Arial" w:cs="Arial"/>
                          <w:b/>
                          <w:bCs/>
                          <w:color w:val="FFFFFF" w:themeColor="background1"/>
                          <w:kern w:val="2"/>
                          <w:sz w:val="21"/>
                          <w:szCs w:val="21"/>
                          <w14:textFill>
                            <w14:solidFill>
                              <w14:schemeClr w14:val="bg1"/>
                            </w14:solidFill>
                          </w14:textFill>
                        </w:rPr>
                        <w:t>福兴雅苑</w:t>
                      </w:r>
                    </w:p>
                  </w:txbxContent>
                </v:textbox>
              </v:shape>
            </w:pict>
          </mc:Fallback>
        </mc:AlternateContent>
      </w:r>
      <w:r>
        <w:drawing>
          <wp:inline distT="0" distB="0" distL="114300" distR="114300">
            <wp:extent cx="4782185" cy="3210560"/>
            <wp:effectExtent l="0" t="0" r="317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a:stretch>
                      <a:fillRect/>
                    </a:stretch>
                  </pic:blipFill>
                  <pic:spPr>
                    <a:xfrm>
                      <a:off x="0" y="0"/>
                      <a:ext cx="4782185" cy="3210560"/>
                    </a:xfrm>
                    <a:prstGeom prst="rect">
                      <a:avLst/>
                    </a:prstGeom>
                    <a:noFill/>
                    <a:ln>
                      <a:noFill/>
                    </a:ln>
                  </pic:spPr>
                </pic:pic>
              </a:graphicData>
            </a:graphic>
          </wp:inline>
        </w:drawing>
      </w:r>
    </w:p>
    <w:p w14:paraId="7F83A4EA">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（二）土地基本状况</w:t>
      </w:r>
    </w:p>
    <w:p w14:paraId="785A92A0">
      <w:pPr>
        <w:wordWrap w:val="0"/>
        <w:overflowPunct w:val="0"/>
        <w:spacing w:line="480" w:lineRule="auto"/>
        <w:ind w:firstLine="420" w:firstLineChars="200"/>
        <w:jc w:val="both"/>
        <w:textAlignment w:val="auto"/>
        <w:rPr>
          <w:rFonts w:ascii="Arial" w:hAnsi="Arial" w:cs="Arial"/>
          <w:kern w:val="2"/>
          <w:sz w:val="21"/>
          <w:szCs w:val="21"/>
          <w:highlight w:val="yellow"/>
        </w:rPr>
      </w:pPr>
      <w:r>
        <w:rPr>
          <w:rFonts w:ascii="Arial" w:hAnsi="Arial" w:cs="Arial"/>
          <w:sz w:val="21"/>
          <w:szCs w:val="21"/>
        </w:rPr>
        <w:t>1.</w:t>
      </w:r>
      <w:r>
        <w:rPr>
          <w:rFonts w:hint="eastAsia" w:ascii="Arial" w:hAnsi="Arial" w:cs="Arial"/>
          <w:sz w:val="21"/>
          <w:szCs w:val="21"/>
        </w:rPr>
        <w:t>根据</w:t>
      </w:r>
      <w:r>
        <w:rPr>
          <w:rFonts w:hint="eastAsia" w:ascii="Arial" w:hAnsi="Arial" w:cs="Arial"/>
          <w:sz w:val="21"/>
          <w:szCs w:val="21"/>
          <w:lang w:eastAsia="zh-CN"/>
        </w:rPr>
        <w:t>《不动产权证书》[京（2026）大不动产权第0006890、0007126、0007158号]部分</w:t>
      </w:r>
      <w:r>
        <w:rPr>
          <w:rFonts w:hint="eastAsia" w:ascii="Arial" w:hAnsi="Arial" w:cs="Arial"/>
          <w:sz w:val="21"/>
          <w:szCs w:val="21"/>
        </w:rPr>
        <w:t>，估价对象为北京市大兴区饮马井街1号院2号楼11层1单元1102号等305套（福兴雅苑）保障性租赁住房（住宅型），总建筑</w:t>
      </w:r>
      <w:r>
        <w:rPr>
          <w:rFonts w:hint="eastAsia" w:ascii="Arial" w:hAnsi="Arial" w:cs="Arial"/>
          <w:kern w:val="2"/>
          <w:sz w:val="21"/>
          <w:szCs w:val="21"/>
        </w:rPr>
        <w:t>面积26934.35平方米，权利人为北京市燕兴保障性住房建设投资有限公司，共有情况为单独所有，权利类型为国有建设用地使用权/房屋所有权，权利性质为划拨/按经济适用住房管理，用途为城镇住宅用地/住房，共有宗地面积58606.06平方米，所属宗地现状四至为东至</w:t>
      </w:r>
      <w:r>
        <w:rPr>
          <w:rFonts w:hint="eastAsia" w:ascii="Arial" w:hAnsi="Arial" w:cs="Arial"/>
          <w:sz w:val="21"/>
          <w:szCs w:val="21"/>
        </w:rPr>
        <w:t>饮马井街</w:t>
      </w:r>
      <w:r>
        <w:rPr>
          <w:rFonts w:hint="eastAsia" w:ascii="Arial" w:hAnsi="Arial" w:cs="Arial"/>
          <w:kern w:val="2"/>
          <w:sz w:val="21"/>
          <w:szCs w:val="21"/>
        </w:rPr>
        <w:t>，南至</w:t>
      </w:r>
      <w:r>
        <w:rPr>
          <w:rFonts w:hint="eastAsia" w:ascii="Arial" w:hAnsi="Arial" w:cs="Arial"/>
          <w:sz w:val="21"/>
          <w:szCs w:val="21"/>
        </w:rPr>
        <w:t>饮马井西街</w:t>
      </w:r>
      <w:r>
        <w:rPr>
          <w:rFonts w:hint="eastAsia" w:ascii="Arial" w:hAnsi="Arial" w:cs="Arial"/>
          <w:kern w:val="2"/>
          <w:sz w:val="21"/>
          <w:szCs w:val="21"/>
        </w:rPr>
        <w:t>，西至林校路，北至林校南路。</w:t>
      </w:r>
    </w:p>
    <w:p w14:paraId="45B7FA70">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.估价对象所属项目用地呈</w:t>
      </w:r>
      <w:r>
        <w:rPr>
          <w:rFonts w:hint="eastAsia" w:ascii="Arial" w:hAnsi="Arial" w:cs="Arial"/>
          <w:sz w:val="21"/>
          <w:szCs w:val="21"/>
        </w:rPr>
        <w:t>较</w:t>
      </w:r>
      <w:r>
        <w:rPr>
          <w:rFonts w:ascii="Arial" w:hAnsi="Arial" w:cs="Arial"/>
          <w:sz w:val="21"/>
          <w:szCs w:val="21"/>
        </w:rPr>
        <w:t>规则形状，</w:t>
      </w:r>
      <w:r>
        <w:rPr>
          <w:rFonts w:hint="eastAsia" w:ascii="Arial" w:hAnsi="Arial" w:cs="Arial"/>
          <w:sz w:val="21"/>
          <w:szCs w:val="21"/>
        </w:rPr>
        <w:t>对利用无不良影响，</w:t>
      </w:r>
      <w:r>
        <w:rPr>
          <w:rFonts w:ascii="Arial" w:hAnsi="Arial" w:cs="Arial"/>
          <w:sz w:val="21"/>
          <w:szCs w:val="21"/>
        </w:rPr>
        <w:t>场地</w:t>
      </w:r>
      <w:r>
        <w:rPr>
          <w:rFonts w:hint="eastAsia" w:ascii="Arial" w:hAnsi="Arial" w:cs="Arial"/>
          <w:sz w:val="21"/>
          <w:szCs w:val="21"/>
        </w:rPr>
        <w:t>呈</w:t>
      </w:r>
      <w:r>
        <w:rPr>
          <w:rFonts w:ascii="Arial" w:hAnsi="Arial" w:cs="Arial"/>
          <w:sz w:val="21"/>
          <w:szCs w:val="21"/>
        </w:rPr>
        <w:t>较平坦地势</w:t>
      </w:r>
      <w:r>
        <w:rPr>
          <w:rFonts w:hint="eastAsia" w:ascii="Arial" w:hAnsi="Arial" w:cs="Arial"/>
          <w:sz w:val="21"/>
          <w:szCs w:val="21"/>
        </w:rPr>
        <w:t>，工程地质条件良好，无不良地质现象</w:t>
      </w:r>
      <w:r>
        <w:rPr>
          <w:rFonts w:ascii="Arial" w:hAnsi="Arial" w:cs="Arial"/>
          <w:sz w:val="21"/>
          <w:szCs w:val="21"/>
        </w:rPr>
        <w:t>。</w:t>
      </w:r>
      <w:r>
        <w:rPr>
          <w:rFonts w:hint="eastAsia" w:ascii="Arial" w:hAnsi="Arial" w:cs="Arial"/>
          <w:sz w:val="21"/>
          <w:szCs w:val="21"/>
        </w:rPr>
        <w:t>估价对象现状已完成开发建设，土地利用程度高。</w:t>
      </w:r>
    </w:p>
    <w:p w14:paraId="3E0F6D55">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3</w:t>
      </w:r>
      <w:r>
        <w:rPr>
          <w:rFonts w:ascii="Arial" w:hAnsi="Arial" w:cs="Arial"/>
          <w:sz w:val="21"/>
          <w:szCs w:val="21"/>
        </w:rPr>
        <w:t>.</w:t>
      </w:r>
      <w:r>
        <w:rPr>
          <w:rFonts w:hint="eastAsia" w:ascii="Arial" w:hAnsi="Arial" w:cs="Arial"/>
          <w:sz w:val="21"/>
          <w:szCs w:val="21"/>
        </w:rPr>
        <w:t>开发程度</w:t>
      </w:r>
      <w:r>
        <w:rPr>
          <w:rFonts w:ascii="Arial" w:hAnsi="Arial" w:cs="Arial"/>
          <w:sz w:val="21"/>
          <w:szCs w:val="21"/>
        </w:rPr>
        <w:t>：</w:t>
      </w:r>
    </w:p>
    <w:p w14:paraId="70E23D21">
      <w:pPr>
        <w:wordWrap w:val="0"/>
        <w:overflowPunct w:val="0"/>
        <w:spacing w:line="480" w:lineRule="auto"/>
        <w:ind w:firstLine="420" w:firstLineChars="20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hint="eastAsia" w:ascii="Arial" w:hAnsi="Arial" w:cs="Arial"/>
          <w:kern w:val="2"/>
          <w:sz w:val="21"/>
          <w:szCs w:val="21"/>
        </w:rPr>
        <w:t>“七通”</w:t>
      </w:r>
      <w:r>
        <w:rPr>
          <w:rFonts w:ascii="Arial" w:hAnsi="Arial" w:cs="Arial"/>
          <w:kern w:val="2"/>
          <w:sz w:val="21"/>
          <w:szCs w:val="21"/>
        </w:rPr>
        <w:t>（即通路、通电、通讯</w:t>
      </w:r>
      <w:r>
        <w:rPr>
          <w:rFonts w:hint="eastAsia" w:ascii="Arial" w:hAnsi="Arial" w:cs="Arial"/>
          <w:kern w:val="2"/>
          <w:sz w:val="21"/>
          <w:szCs w:val="21"/>
        </w:rPr>
        <w:t>、</w:t>
      </w:r>
      <w:r>
        <w:rPr>
          <w:rFonts w:ascii="Arial" w:hAnsi="Arial" w:cs="Arial"/>
          <w:kern w:val="2"/>
          <w:sz w:val="21"/>
          <w:szCs w:val="21"/>
        </w:rPr>
        <w:t>通上水、通下水、通燃气、通热力），且保证程度高。</w:t>
      </w:r>
    </w:p>
    <w:p w14:paraId="3250005E">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kern w:val="2"/>
          <w:sz w:val="21"/>
          <w:szCs w:val="21"/>
        </w:rPr>
        <w:t>综上所述，</w:t>
      </w:r>
      <w:r>
        <w:rPr>
          <w:rFonts w:ascii="Arial" w:hAnsi="Arial" w:cs="Arial"/>
          <w:kern w:val="2"/>
          <w:sz w:val="21"/>
          <w:szCs w:val="21"/>
        </w:rPr>
        <w:t>估价对象</w:t>
      </w:r>
      <w:r>
        <w:rPr>
          <w:rFonts w:hint="eastAsia" w:ascii="Arial" w:hAnsi="Arial" w:cs="Arial"/>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hint="eastAsia" w:ascii="Arial" w:hAnsi="Arial" w:cs="Arial"/>
          <w:sz w:val="21"/>
          <w:szCs w:val="21"/>
        </w:rPr>
        <w:t>。</w:t>
      </w:r>
    </w:p>
    <w:p w14:paraId="422AE6D9">
      <w:pPr>
        <w:wordWrap w:val="0"/>
        <w:overflowPunct w:val="0"/>
        <w:spacing w:line="480" w:lineRule="auto"/>
        <w:ind w:firstLine="422" w:firstLineChars="200"/>
        <w:jc w:val="both"/>
        <w:textAlignment w:val="auto"/>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三</w:t>
      </w:r>
      <w:r>
        <w:rPr>
          <w:rFonts w:ascii="Arial" w:hAnsi="Arial" w:cs="Arial"/>
          <w:b/>
          <w:kern w:val="2"/>
          <w:sz w:val="21"/>
          <w:szCs w:val="21"/>
        </w:rPr>
        <w:t>）建筑物基本状况</w:t>
      </w:r>
    </w:p>
    <w:p w14:paraId="02E6DE5D">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w:t>
      </w:r>
      <w:r>
        <w:rPr>
          <w:rFonts w:hint="eastAsia" w:ascii="Arial" w:hAnsi="Arial" w:cs="Arial"/>
          <w:sz w:val="21"/>
          <w:szCs w:val="21"/>
          <w:lang w:val="en-US" w:eastAsia="zh-CN"/>
        </w:rPr>
        <w:t>.</w:t>
      </w:r>
      <w:r>
        <w:rPr>
          <w:rFonts w:hint="eastAsia" w:ascii="Arial" w:hAnsi="Arial" w:cs="Arial"/>
          <w:sz w:val="21"/>
          <w:szCs w:val="21"/>
        </w:rPr>
        <w:t>建设规模：估价对象所属福兴雅苑</w:t>
      </w:r>
      <w:r>
        <w:rPr>
          <w:rFonts w:ascii="Arial" w:hAnsi="Arial" w:cs="Arial"/>
          <w:sz w:val="21"/>
          <w:szCs w:val="21"/>
        </w:rPr>
        <w:t>项目</w:t>
      </w:r>
      <w:r>
        <w:rPr>
          <w:rFonts w:hint="eastAsia" w:ascii="Arial" w:hAnsi="Arial" w:cs="Arial"/>
          <w:sz w:val="21"/>
          <w:szCs w:val="21"/>
        </w:rPr>
        <w:t>，位于大兴区林校路街道饮马井街1、2号院，距离地铁4号线大兴火车站站1公里，距离京开高速海子角收费站500米，距离</w:t>
      </w:r>
      <w:r>
        <w:rPr>
          <w:rFonts w:hint="eastAsia" w:ascii="Arial" w:hAnsi="Arial" w:cs="Arial"/>
          <w:sz w:val="21"/>
          <w:szCs w:val="21"/>
          <w:lang w:val="en-US" w:eastAsia="zh-CN"/>
        </w:rPr>
        <w:t>区</w:t>
      </w:r>
      <w:r>
        <w:rPr>
          <w:rFonts w:hint="eastAsia" w:ascii="Arial" w:hAnsi="Arial" w:cs="Arial"/>
          <w:sz w:val="21"/>
          <w:szCs w:val="21"/>
        </w:rPr>
        <w:t>政府办公区800米，距离念坛国际金融商务区1公里，距离生物医药产业基地1.5公里。</w:t>
      </w:r>
      <w:r>
        <w:rPr>
          <w:rFonts w:hint="eastAsia" w:ascii="Arial" w:hAnsi="Arial" w:cs="Arial"/>
          <w:sz w:val="21"/>
          <w:szCs w:val="21"/>
          <w:lang w:val="en-US" w:eastAsia="zh-CN"/>
        </w:rPr>
        <w:t>本次</w:t>
      </w:r>
      <w:r>
        <w:rPr>
          <w:rFonts w:hint="eastAsia" w:ascii="Arial" w:hAnsi="Arial" w:cs="Arial"/>
          <w:sz w:val="21"/>
          <w:szCs w:val="21"/>
        </w:rPr>
        <w:t>收购房屋套数305套，总建筑</w:t>
      </w:r>
      <w:r>
        <w:rPr>
          <w:rFonts w:hint="eastAsia" w:ascii="Arial" w:hAnsi="Arial" w:cs="Arial"/>
          <w:kern w:val="2"/>
          <w:sz w:val="21"/>
          <w:szCs w:val="21"/>
        </w:rPr>
        <w:t>面积26934.35平方米，</w:t>
      </w:r>
      <w:r>
        <w:rPr>
          <w:rFonts w:hint="eastAsia" w:ascii="Arial" w:hAnsi="Arial" w:cs="Arial"/>
          <w:sz w:val="21"/>
          <w:szCs w:val="21"/>
        </w:rPr>
        <w:t>其中，开间7套（户型面积区间60.36至60.49平方米），均为南朝向；一居室8套（户型面积区间73.85至74.00平方米），南朝向2套、南北朝向6套；一居室125套（户型面积82.85平方米），均为南朝向；两居室135套（户型面积区间95.85至101.74平方米），均为南北朝向；三居室8套（户型面积107.74平方米），房屋状态为</w:t>
      </w:r>
      <w:r>
        <w:rPr>
          <w:rFonts w:hint="eastAsia" w:ascii="Arial" w:hAnsi="Arial" w:cs="Arial"/>
          <w:sz w:val="21"/>
          <w:szCs w:val="21"/>
          <w:lang w:eastAsia="zh-CN"/>
        </w:rPr>
        <w:t>中档装修</w:t>
      </w:r>
      <w:r>
        <w:rPr>
          <w:rFonts w:hint="eastAsia" w:ascii="Arial" w:hAnsi="Arial" w:cs="Arial"/>
          <w:sz w:val="21"/>
          <w:szCs w:val="21"/>
        </w:rPr>
        <w:t>。估价对象具体情况如下：</w:t>
      </w:r>
    </w:p>
    <w:p w14:paraId="6DED4CDB">
      <w:pPr>
        <w:overflowPunct w:val="0"/>
        <w:spacing w:after="120" w:afterLines="50" w:line="240" w:lineRule="auto"/>
        <w:jc w:val="center"/>
        <w:textAlignment w:val="auto"/>
        <w:rPr>
          <w:rFonts w:ascii="Arial" w:hAnsi="Arial" w:cs="Arial"/>
          <w:b/>
          <w:bCs/>
          <w:sz w:val="21"/>
          <w:szCs w:val="21"/>
        </w:rPr>
      </w:pPr>
      <w:r>
        <w:rPr>
          <w:rFonts w:hint="eastAsia" w:ascii="Arial" w:hAnsi="Arial" w:cs="Arial"/>
          <w:b/>
          <w:bCs/>
          <w:sz w:val="21"/>
          <w:szCs w:val="21"/>
        </w:rPr>
        <w:t>估价对象明细表</w:t>
      </w:r>
    </w:p>
    <w:tbl>
      <w:tblPr>
        <w:tblStyle w:val="33"/>
        <w:tblW w:w="4994" w:type="pct"/>
        <w:tblInd w:w="0" w:type="dxa"/>
        <w:shd w:val="clear" w:color="auto" w:fill="FFFFFF" w:themeFill="background1"/>
        <w:tblLayout w:type="autofit"/>
        <w:tblCellMar>
          <w:top w:w="0" w:type="dxa"/>
          <w:left w:w="108" w:type="dxa"/>
          <w:bottom w:w="0" w:type="dxa"/>
          <w:right w:w="108" w:type="dxa"/>
        </w:tblCellMar>
      </w:tblPr>
      <w:tblGrid>
        <w:gridCol w:w="2423"/>
        <w:gridCol w:w="898"/>
        <w:gridCol w:w="1811"/>
        <w:gridCol w:w="1350"/>
        <w:gridCol w:w="1040"/>
        <w:gridCol w:w="1982"/>
      </w:tblGrid>
      <w:tr w14:paraId="227BC866">
        <w:tblPrEx>
          <w:shd w:val="clear" w:color="auto" w:fill="FFFFFF" w:themeFill="background1"/>
          <w:tblCellMar>
            <w:top w:w="0" w:type="dxa"/>
            <w:left w:w="108" w:type="dxa"/>
            <w:bottom w:w="0" w:type="dxa"/>
            <w:right w:w="108" w:type="dxa"/>
          </w:tblCellMar>
        </w:tblPrEx>
        <w:trPr>
          <w:trHeight w:val="264" w:hRule="atLeast"/>
        </w:trPr>
        <w:tc>
          <w:tcPr>
            <w:tcW w:w="127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AA5ACE">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位置及楼号</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6A7B4E">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户型</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0963D0">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面积（平方米）</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46DB6F">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套数（套）</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5D05FE">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朝向</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BBC4DB">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总建筑面积（平方米）</w:t>
            </w:r>
          </w:p>
        </w:tc>
      </w:tr>
      <w:tr w14:paraId="61C1C9A1">
        <w:tblPrEx>
          <w:tblCellMar>
            <w:top w:w="0" w:type="dxa"/>
            <w:left w:w="108" w:type="dxa"/>
            <w:bottom w:w="0" w:type="dxa"/>
            <w:right w:w="108" w:type="dxa"/>
          </w:tblCellMar>
        </w:tblPrEx>
        <w:trPr>
          <w:trHeight w:val="174" w:hRule="atLeast"/>
        </w:trPr>
        <w:tc>
          <w:tcPr>
            <w:tcW w:w="1274"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C3A56F">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饮马井街1号院2、5、9、10、11、12、13、15号楼</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9AE4587">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开间</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AE1A59">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60.36-60.49</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358BB1">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7</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3CEA75">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FB4639">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423.17</w:t>
            </w:r>
          </w:p>
        </w:tc>
      </w:tr>
      <w:tr w14:paraId="7C86450A">
        <w:tblPrEx>
          <w:tblCellMar>
            <w:top w:w="0" w:type="dxa"/>
            <w:left w:w="108" w:type="dxa"/>
            <w:bottom w:w="0" w:type="dxa"/>
            <w:right w:w="108" w:type="dxa"/>
          </w:tblCellMar>
        </w:tblPrEx>
        <w:trPr>
          <w:trHeight w:val="17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6105EB">
            <w:pPr>
              <w:spacing w:line="240" w:lineRule="auto"/>
              <w:jc w:val="center"/>
              <w:rPr>
                <w:rFonts w:hint="eastAsia" w:ascii="华文细黑" w:hAnsi="华文细黑" w:eastAsia="华文细黑" w:cs="Arial"/>
                <w:sz w:val="18"/>
                <w:szCs w:val="18"/>
              </w:rPr>
            </w:pP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F2CFFCF">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一居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5E7035">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82.85</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036A16">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83</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0996C0">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E90589">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6876.55</w:t>
            </w:r>
          </w:p>
        </w:tc>
      </w:tr>
      <w:tr w14:paraId="291BA659">
        <w:tblPrEx>
          <w:tblCellMar>
            <w:top w:w="0" w:type="dxa"/>
            <w:left w:w="108" w:type="dxa"/>
            <w:bottom w:w="0" w:type="dxa"/>
            <w:right w:w="108" w:type="dxa"/>
          </w:tblCellMar>
        </w:tblPrEx>
        <w:trPr>
          <w:trHeight w:val="90"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137C9B">
            <w:pPr>
              <w:spacing w:line="240" w:lineRule="auto"/>
              <w:jc w:val="center"/>
              <w:rPr>
                <w:rFonts w:hint="eastAsia" w:ascii="华文细黑" w:hAnsi="华文细黑" w:eastAsia="华文细黑" w:cs="Arial"/>
                <w:sz w:val="18"/>
                <w:szCs w:val="18"/>
              </w:rPr>
            </w:pP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A01667">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两居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88744A">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99.63-101.3</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E212EC">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23</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FCD1FB">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1079C1">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2307.76</w:t>
            </w:r>
          </w:p>
        </w:tc>
      </w:tr>
      <w:tr w14:paraId="3413ED71">
        <w:tblPrEx>
          <w:tblCellMar>
            <w:top w:w="0" w:type="dxa"/>
            <w:left w:w="108" w:type="dxa"/>
            <w:bottom w:w="0" w:type="dxa"/>
            <w:right w:w="108" w:type="dxa"/>
          </w:tblCellMar>
        </w:tblPrEx>
        <w:trPr>
          <w:trHeight w:val="194" w:hRule="atLeast"/>
        </w:trPr>
        <w:tc>
          <w:tcPr>
            <w:tcW w:w="1274" w:type="pct"/>
            <w:tcBorders>
              <w:top w:val="nil"/>
              <w:left w:val="single" w:color="000000" w:sz="4" w:space="0"/>
              <w:bottom w:val="nil"/>
              <w:right w:val="single" w:color="000000" w:sz="4" w:space="0"/>
            </w:tcBorders>
            <w:shd w:val="clear" w:color="auto" w:fill="FFFFFF" w:themeFill="background1"/>
            <w:vAlign w:val="center"/>
          </w:tcPr>
          <w:p w14:paraId="24C977E1">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小计</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08BA85">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E85A9B">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E8C16D">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113</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5159A1">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E81FAD">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9607.48</w:t>
            </w:r>
          </w:p>
        </w:tc>
      </w:tr>
      <w:tr w14:paraId="4C7F80C7">
        <w:tblPrEx>
          <w:tblCellMar>
            <w:top w:w="0" w:type="dxa"/>
            <w:left w:w="108" w:type="dxa"/>
            <w:bottom w:w="0" w:type="dxa"/>
            <w:right w:w="108" w:type="dxa"/>
          </w:tblCellMar>
        </w:tblPrEx>
        <w:trPr>
          <w:trHeight w:val="94" w:hRule="atLeast"/>
        </w:trPr>
        <w:tc>
          <w:tcPr>
            <w:tcW w:w="1274"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88C75D">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饮马井街2号院2、3、5、6、7号楼</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552748">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开间</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D0CF98">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60.49</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B8DD45">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22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0DA536">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880048">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1330.78</w:t>
            </w:r>
          </w:p>
        </w:tc>
      </w:tr>
      <w:tr w14:paraId="4A2DD4E6">
        <w:tblPrEx>
          <w:tblCellMar>
            <w:top w:w="0" w:type="dxa"/>
            <w:left w:w="108" w:type="dxa"/>
            <w:bottom w:w="0" w:type="dxa"/>
            <w:right w:w="108" w:type="dxa"/>
          </w:tblCellMar>
        </w:tblPrEx>
        <w:trPr>
          <w:trHeight w:val="14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7C3C17">
            <w:pPr>
              <w:spacing w:line="240" w:lineRule="auto"/>
              <w:jc w:val="center"/>
              <w:rPr>
                <w:rFonts w:hint="eastAsia" w:ascii="华文细黑" w:hAnsi="华文细黑" w:eastAsia="华文细黑" w:cs="Arial"/>
                <w:sz w:val="18"/>
                <w:szCs w:val="18"/>
              </w:rPr>
            </w:pP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1A2A7B">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一居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DC6848">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73.85</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996375">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894D0E">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5DEBD9">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147.7</w:t>
            </w:r>
          </w:p>
        </w:tc>
      </w:tr>
      <w:tr w14:paraId="543436AD">
        <w:tblPrEx>
          <w:tblCellMar>
            <w:top w:w="0" w:type="dxa"/>
            <w:left w:w="108" w:type="dxa"/>
            <w:bottom w:w="0" w:type="dxa"/>
            <w:right w:w="108" w:type="dxa"/>
          </w:tblCellMar>
        </w:tblPrEx>
        <w:trPr>
          <w:trHeight w:val="15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4D5910">
            <w:pPr>
              <w:spacing w:line="240" w:lineRule="auto"/>
              <w:jc w:val="center"/>
              <w:rPr>
                <w:rFonts w:hint="eastAsia" w:ascii="华文细黑" w:hAnsi="华文细黑" w:eastAsia="华文细黑" w:cs="Arial"/>
                <w:sz w:val="18"/>
                <w:szCs w:val="18"/>
              </w:rP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5EAF07">
            <w:pPr>
              <w:spacing w:line="240" w:lineRule="auto"/>
              <w:jc w:val="center"/>
              <w:rPr>
                <w:rFonts w:hint="eastAsia" w:ascii="华文细黑" w:hAnsi="华文细黑" w:eastAsia="华文细黑" w:cs="Arial"/>
                <w:sz w:val="18"/>
                <w:szCs w:val="18"/>
              </w:rPr>
            </w:pP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6D6ED1">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74</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412882">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6</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BBE23C">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E2FDED">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444</w:t>
            </w:r>
          </w:p>
        </w:tc>
      </w:tr>
      <w:tr w14:paraId="2BD47AC8">
        <w:tblPrEx>
          <w:tblCellMar>
            <w:top w:w="0" w:type="dxa"/>
            <w:left w:w="108" w:type="dxa"/>
            <w:bottom w:w="0" w:type="dxa"/>
            <w:right w:w="108" w:type="dxa"/>
          </w:tblCellMar>
        </w:tblPrEx>
        <w:trPr>
          <w:trHeight w:val="21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2272EC">
            <w:pPr>
              <w:spacing w:line="240" w:lineRule="auto"/>
              <w:jc w:val="center"/>
              <w:rPr>
                <w:rFonts w:hint="eastAsia" w:ascii="华文细黑" w:hAnsi="华文细黑" w:eastAsia="华文细黑" w:cs="Arial"/>
                <w:sz w:val="18"/>
                <w:szCs w:val="18"/>
              </w:rP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9FAD0A">
            <w:pPr>
              <w:spacing w:line="240" w:lineRule="auto"/>
              <w:jc w:val="center"/>
              <w:rPr>
                <w:rFonts w:hint="eastAsia" w:ascii="华文细黑" w:hAnsi="华文细黑" w:eastAsia="华文细黑" w:cs="Arial"/>
                <w:sz w:val="18"/>
                <w:szCs w:val="18"/>
              </w:rPr>
            </w:pP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BE224A">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82.85</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363991">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42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4B2A7E">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AA142B">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3479.7</w:t>
            </w:r>
          </w:p>
        </w:tc>
      </w:tr>
      <w:tr w14:paraId="2D056E47">
        <w:tblPrEx>
          <w:tblCellMar>
            <w:top w:w="0" w:type="dxa"/>
            <w:left w:w="108" w:type="dxa"/>
            <w:bottom w:w="0" w:type="dxa"/>
            <w:right w:w="108" w:type="dxa"/>
          </w:tblCellMar>
        </w:tblPrEx>
        <w:trPr>
          <w:trHeight w:val="19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77173C">
            <w:pPr>
              <w:spacing w:line="240" w:lineRule="auto"/>
              <w:jc w:val="center"/>
              <w:rPr>
                <w:rFonts w:hint="eastAsia" w:ascii="华文细黑" w:hAnsi="华文细黑" w:eastAsia="华文细黑" w:cs="Arial"/>
                <w:sz w:val="18"/>
                <w:szCs w:val="18"/>
              </w:rPr>
            </w:pPr>
          </w:p>
        </w:tc>
        <w:tc>
          <w:tcPr>
            <w:tcW w:w="472" w:type="pct"/>
            <w:tcBorders>
              <w:top w:val="nil"/>
              <w:left w:val="single" w:color="000000" w:sz="4" w:space="0"/>
              <w:bottom w:val="nil"/>
              <w:right w:val="single" w:color="000000" w:sz="4" w:space="0"/>
            </w:tcBorders>
            <w:shd w:val="clear" w:color="auto" w:fill="FFFFFF" w:themeFill="background1"/>
            <w:vAlign w:val="center"/>
          </w:tcPr>
          <w:p w14:paraId="20C324B4">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小计</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63C0F0">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EDB632">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50</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734B24">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16A004">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4071.4</w:t>
            </w:r>
          </w:p>
        </w:tc>
      </w:tr>
      <w:tr w14:paraId="1419B78C">
        <w:tblPrEx>
          <w:tblCellMar>
            <w:top w:w="0" w:type="dxa"/>
            <w:left w:w="108" w:type="dxa"/>
            <w:bottom w:w="0" w:type="dxa"/>
            <w:right w:w="108" w:type="dxa"/>
          </w:tblCellMar>
        </w:tblPrEx>
        <w:trPr>
          <w:trHeight w:val="202"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6475CE">
            <w:pPr>
              <w:spacing w:line="240" w:lineRule="auto"/>
              <w:jc w:val="center"/>
              <w:rPr>
                <w:rFonts w:hint="eastAsia" w:ascii="华文细黑" w:hAnsi="华文细黑" w:eastAsia="华文细黑" w:cs="Arial"/>
                <w:sz w:val="18"/>
                <w:szCs w:val="18"/>
              </w:rPr>
            </w:pPr>
          </w:p>
        </w:tc>
        <w:tc>
          <w:tcPr>
            <w:tcW w:w="472" w:type="pct"/>
            <w:tcBorders>
              <w:top w:val="single" w:color="000000" w:sz="4" w:space="0"/>
              <w:left w:val="single" w:color="000000" w:sz="4" w:space="0"/>
              <w:bottom w:val="nil"/>
              <w:right w:val="single" w:color="000000" w:sz="4" w:space="0"/>
            </w:tcBorders>
            <w:shd w:val="clear" w:color="auto" w:fill="FFFFFF" w:themeFill="background1"/>
            <w:vAlign w:val="center"/>
          </w:tcPr>
          <w:p w14:paraId="5D083BC6">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两居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E9EFE7">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95.85-101.74</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A523A4">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112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5549A9">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F78E44">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11062.77</w:t>
            </w:r>
          </w:p>
        </w:tc>
      </w:tr>
      <w:tr w14:paraId="74E19D33">
        <w:tblPrEx>
          <w:tblCellMar>
            <w:top w:w="0" w:type="dxa"/>
            <w:left w:w="108" w:type="dxa"/>
            <w:bottom w:w="0" w:type="dxa"/>
            <w:right w:w="108" w:type="dxa"/>
          </w:tblCellMar>
        </w:tblPrEx>
        <w:trPr>
          <w:trHeight w:val="15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A33E77">
            <w:pPr>
              <w:spacing w:line="240" w:lineRule="auto"/>
              <w:jc w:val="center"/>
              <w:rPr>
                <w:rFonts w:hint="eastAsia" w:ascii="华文细黑" w:hAnsi="华文细黑" w:eastAsia="华文细黑" w:cs="Arial"/>
                <w:sz w:val="18"/>
                <w:szCs w:val="18"/>
              </w:rPr>
            </w:pPr>
          </w:p>
        </w:tc>
        <w:tc>
          <w:tcPr>
            <w:tcW w:w="472" w:type="pct"/>
            <w:tcBorders>
              <w:top w:val="single" w:color="000000" w:sz="4" w:space="0"/>
              <w:left w:val="single" w:color="000000" w:sz="4" w:space="0"/>
              <w:bottom w:val="nil"/>
              <w:right w:val="single" w:color="000000" w:sz="4" w:space="0"/>
            </w:tcBorders>
            <w:shd w:val="clear" w:color="auto" w:fill="FFFFFF" w:themeFill="background1"/>
            <w:vAlign w:val="center"/>
          </w:tcPr>
          <w:p w14:paraId="46A03572">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三居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2F2491">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107.74</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9A9376">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17E5F8">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DE153D">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861.92</w:t>
            </w:r>
          </w:p>
        </w:tc>
      </w:tr>
      <w:tr w14:paraId="1E75E837">
        <w:tblPrEx>
          <w:tblCellMar>
            <w:top w:w="0" w:type="dxa"/>
            <w:left w:w="108" w:type="dxa"/>
            <w:bottom w:w="0" w:type="dxa"/>
            <w:right w:w="108" w:type="dxa"/>
          </w:tblCellMar>
        </w:tblPrEx>
        <w:trPr>
          <w:trHeight w:val="144" w:hRule="atLeast"/>
        </w:trPr>
        <w:tc>
          <w:tcPr>
            <w:tcW w:w="127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5897C7">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小计</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C376A5">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AB917A">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F8C0C5">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192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084266">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E80E35">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17326.87</w:t>
            </w:r>
          </w:p>
        </w:tc>
      </w:tr>
      <w:tr w14:paraId="78E33811">
        <w:tblPrEx>
          <w:tblCellMar>
            <w:top w:w="0" w:type="dxa"/>
            <w:left w:w="108" w:type="dxa"/>
            <w:bottom w:w="0" w:type="dxa"/>
            <w:right w:w="108" w:type="dxa"/>
          </w:tblCellMar>
        </w:tblPrEx>
        <w:trPr>
          <w:trHeight w:val="174" w:hRule="atLeast"/>
        </w:trPr>
        <w:tc>
          <w:tcPr>
            <w:tcW w:w="127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5A3B1B">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合计</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9A4C55">
            <w:pPr>
              <w:widowControl/>
              <w:adjustRightInd/>
              <w:spacing w:line="240" w:lineRule="auto"/>
              <w:jc w:val="center"/>
              <w:textAlignment w:val="auto"/>
              <w:rPr>
                <w:rFonts w:hint="eastAsia" w:ascii="华文细黑" w:hAnsi="华文细黑" w:eastAsia="华文细黑" w:cs="Arial"/>
                <w:sz w:val="18"/>
                <w:szCs w:val="18"/>
              </w:rPr>
            </w:pP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6F2454">
            <w:pPr>
              <w:widowControl/>
              <w:adjustRightInd/>
              <w:spacing w:line="240" w:lineRule="auto"/>
              <w:jc w:val="center"/>
              <w:textAlignment w:val="auto"/>
              <w:rPr>
                <w:rFonts w:hint="eastAsia" w:ascii="华文细黑" w:hAnsi="华文细黑" w:eastAsia="华文细黑" w:cs="Arial"/>
                <w:sz w:val="18"/>
                <w:szCs w:val="18"/>
              </w:rPr>
            </w:pP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D1A758">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305</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0DCC57">
            <w:pPr>
              <w:widowControl/>
              <w:adjustRightInd/>
              <w:spacing w:line="240" w:lineRule="auto"/>
              <w:jc w:val="center"/>
              <w:textAlignment w:val="auto"/>
              <w:rPr>
                <w:rFonts w:hint="eastAsia" w:ascii="华文细黑" w:hAnsi="华文细黑" w:eastAsia="华文细黑" w:cs="Arial"/>
                <w:sz w:val="18"/>
                <w:szCs w:val="18"/>
              </w:rPr>
            </w:pP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64D244">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26934.35</w:t>
            </w:r>
          </w:p>
        </w:tc>
      </w:tr>
    </w:tbl>
    <w:p w14:paraId="3FEADB50">
      <w:pPr>
        <w:overflowPunct w:val="0"/>
        <w:spacing w:before="240" w:beforeLines="100" w:line="480" w:lineRule="auto"/>
        <w:ind w:firstLine="420" w:firstLineChars="200"/>
        <w:jc w:val="both"/>
        <w:textAlignment w:val="auto"/>
        <w:rPr>
          <w:rFonts w:ascii="Arial" w:hAnsi="Arial" w:cs="Arial"/>
          <w:sz w:val="21"/>
          <w:szCs w:val="21"/>
        </w:rPr>
      </w:pPr>
      <w:r>
        <w:rPr>
          <w:rFonts w:hint="eastAsia" w:ascii="Arial" w:hAnsi="Arial" w:cs="Arial"/>
          <w:sz w:val="21"/>
          <w:szCs w:val="21"/>
        </w:rPr>
        <w:t>2.建筑结构：估价对象所属楼宇建筑结构为</w:t>
      </w:r>
      <w:r>
        <w:rPr>
          <w:rFonts w:hint="eastAsia" w:ascii="Arial" w:hAnsi="Arial" w:cs="Arial"/>
          <w:kern w:val="2"/>
          <w:sz w:val="21"/>
          <w:szCs w:val="21"/>
        </w:rPr>
        <w:t>钢筋混凝土结构</w:t>
      </w:r>
      <w:r>
        <w:rPr>
          <w:rFonts w:hint="eastAsia" w:ascii="Arial" w:hAnsi="Arial" w:cs="Arial"/>
          <w:sz w:val="21"/>
          <w:szCs w:val="21"/>
        </w:rPr>
        <w:t>。</w:t>
      </w:r>
      <w:bookmarkStart w:id="25" w:name="OLE_LINK2"/>
      <w:bookmarkStart w:id="26" w:name="OLE_LINK3"/>
    </w:p>
    <w:p w14:paraId="2FEC5EB6">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3.建筑外观：</w:t>
      </w:r>
      <w:r>
        <w:rPr>
          <w:rFonts w:hint="eastAsia" w:ascii="Arial" w:hAnsi="Arial" w:cs="Arial"/>
          <w:kern w:val="2"/>
          <w:sz w:val="21"/>
          <w:szCs w:val="21"/>
        </w:rPr>
        <w:t>估价对象为高层板楼</w:t>
      </w:r>
      <w:r>
        <w:rPr>
          <w:rFonts w:hint="eastAsia" w:ascii="Arial" w:hAnsi="Arial" w:cs="Arial"/>
          <w:sz w:val="21"/>
          <w:szCs w:val="21"/>
        </w:rPr>
        <w:t>。</w:t>
      </w:r>
    </w:p>
    <w:p w14:paraId="19FA2D02">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4.设施设备及家具家电：估价对象所在项目配套设施完备，给排水、电力、电讯、暖通等齐全；防火栓、安防系统等设备齐全；估价对象内部配备客厅</w:t>
      </w:r>
      <w:r>
        <w:rPr>
          <w:rFonts w:hint="eastAsia" w:ascii="Arial" w:hAnsi="Arial" w:cs="Arial"/>
          <w:sz w:val="21"/>
          <w:szCs w:val="21"/>
          <w:lang w:val="en-US" w:eastAsia="zh-CN"/>
        </w:rPr>
        <w:t>及</w:t>
      </w:r>
      <w:r>
        <w:rPr>
          <w:rFonts w:hint="eastAsia" w:ascii="Arial" w:hAnsi="Arial" w:cs="Arial"/>
          <w:sz w:val="21"/>
          <w:szCs w:val="21"/>
        </w:rPr>
        <w:t>卧室</w:t>
      </w:r>
      <w:r>
        <w:rPr>
          <w:rFonts w:hint="eastAsia" w:ascii="Arial" w:hAnsi="Arial" w:cs="Arial"/>
          <w:sz w:val="21"/>
          <w:szCs w:val="21"/>
          <w:lang w:eastAsia="zh-CN"/>
        </w:rPr>
        <w:t>（</w:t>
      </w:r>
      <w:r>
        <w:rPr>
          <w:rFonts w:hint="eastAsia" w:ascii="Arial" w:hAnsi="Arial" w:cs="Arial"/>
          <w:sz w:val="21"/>
          <w:szCs w:val="21"/>
          <w:lang w:val="en-US" w:eastAsia="zh-CN"/>
        </w:rPr>
        <w:t>吸顶灯、入门鞋柜、智能锁）</w:t>
      </w:r>
      <w:r>
        <w:rPr>
          <w:rFonts w:hint="eastAsia" w:ascii="Arial" w:hAnsi="Arial" w:cs="Arial"/>
          <w:sz w:val="21"/>
          <w:szCs w:val="21"/>
        </w:rPr>
        <w:t>、</w:t>
      </w:r>
      <w:r>
        <w:rPr>
          <w:rFonts w:hint="eastAsia" w:ascii="Arial" w:hAnsi="Arial" w:cs="Arial"/>
          <w:sz w:val="21"/>
          <w:szCs w:val="21"/>
          <w:lang w:val="en-US" w:eastAsia="zh-CN"/>
        </w:rPr>
        <w:t>厨房（配备整体橱柜、灶具、排烟机、洗菜盆、节水型龙头）、卫生间（配备洗面盆、盥洗镜、节水座便器、节水型淋浴喷头、电热水器、防臭地漏、洗衣机龙头、冷热水八字阀）</w:t>
      </w:r>
      <w:r>
        <w:rPr>
          <w:rFonts w:hint="eastAsia" w:ascii="Arial" w:hAnsi="Arial" w:cs="Arial"/>
          <w:sz w:val="21"/>
          <w:szCs w:val="21"/>
        </w:rPr>
        <w:t>等</w:t>
      </w:r>
      <w:commentRangeStart w:id="7"/>
      <w:r>
        <w:rPr>
          <w:rFonts w:hint="eastAsia" w:ascii="Arial" w:hAnsi="Arial" w:cs="Arial"/>
          <w:sz w:val="21"/>
          <w:szCs w:val="21"/>
        </w:rPr>
        <w:t>基本家具家电</w:t>
      </w:r>
      <w:commentRangeEnd w:id="7"/>
      <w:r>
        <w:rPr>
          <w:rStyle w:val="40"/>
        </w:rPr>
        <w:commentReference w:id="7"/>
      </w:r>
      <w:r>
        <w:rPr>
          <w:rFonts w:hint="eastAsia" w:ascii="Arial" w:hAnsi="Arial" w:cs="Arial"/>
          <w:sz w:val="21"/>
          <w:szCs w:val="21"/>
        </w:rPr>
        <w:t>。估价对象作为保障性租赁住房（住宅型）出租使用。</w:t>
      </w:r>
    </w:p>
    <w:p w14:paraId="2D9D64BE">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5.装饰装修：根据《估价委托书》及估价人员实地查勘，估价对象均为</w:t>
      </w:r>
      <w:r>
        <w:rPr>
          <w:rFonts w:hint="eastAsia" w:ascii="Arial" w:hAnsi="Arial" w:cs="Arial"/>
          <w:sz w:val="21"/>
          <w:szCs w:val="21"/>
          <w:lang w:eastAsia="zh-CN"/>
        </w:rPr>
        <w:t>中档装修</w:t>
      </w:r>
      <w:r>
        <w:rPr>
          <w:rFonts w:hint="eastAsia" w:ascii="Arial" w:hAnsi="Arial" w:cs="Arial"/>
          <w:sz w:val="21"/>
          <w:szCs w:val="21"/>
        </w:rPr>
        <w:t>，外立面为涂料，公共部分首层地面贴砖，顶棚为涂料，墙面为涂料。室内地面铺设地砖，墙面为涂料，顶棚为涂料；卫生间有陶瓷洗手池、坐便器，地面铺设地砖，墙面为墙砖，顶棚为铝扣板；厨房有整体橱柜、不锈钢洗菜池，地面铺设地砖，墙面为墙砖，顶棚为铝扣板，阳台地面铺设地砖，墙面为涂料，顶棚为涂料。</w:t>
      </w:r>
    </w:p>
    <w:p w14:paraId="0A2E9DA6">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6.新旧程度：《北京市大兴区住房和城乡建设委员会 关于向燕兴公司出售我区安置房剩余房源资产的请示》[京兴建文（2026）20号]及其附件2——项目房源汇总表，</w:t>
      </w:r>
      <w:r>
        <w:rPr>
          <w:rFonts w:hint="eastAsia" w:ascii="Arial" w:hAnsi="Arial" w:cs="Arial"/>
          <w:kern w:val="2"/>
          <w:sz w:val="21"/>
          <w:szCs w:val="21"/>
        </w:rPr>
        <w:t>福兴雅苑建成于2023年3</w:t>
      </w:r>
      <w:commentRangeStart w:id="8"/>
      <w:r>
        <w:rPr>
          <w:rFonts w:hint="eastAsia" w:ascii="Arial" w:hAnsi="Arial" w:cs="Arial"/>
          <w:kern w:val="2"/>
          <w:sz w:val="21"/>
          <w:szCs w:val="21"/>
        </w:rPr>
        <w:t>月</w:t>
      </w:r>
      <w:r>
        <w:rPr>
          <w:rFonts w:hint="eastAsia" w:ascii="Arial" w:hAnsi="Arial" w:cs="Arial"/>
          <w:kern w:val="2"/>
          <w:sz w:val="21"/>
          <w:szCs w:val="21"/>
          <w:lang w:eastAsia="zh-CN"/>
        </w:rPr>
        <w:t>，</w:t>
      </w:r>
      <w:r>
        <w:rPr>
          <w:rFonts w:hint="eastAsia" w:ascii="Arial" w:hAnsi="Arial" w:cs="Arial"/>
          <w:sz w:val="21"/>
          <w:szCs w:val="21"/>
        </w:rPr>
        <w:t>观</w:t>
      </w:r>
      <w:commentRangeEnd w:id="8"/>
      <w:r>
        <w:rPr>
          <w:rStyle w:val="40"/>
        </w:rPr>
        <w:commentReference w:id="8"/>
      </w:r>
      <w:r>
        <w:rPr>
          <w:rFonts w:hint="eastAsia" w:ascii="Arial" w:hAnsi="Arial" w:cs="Arial"/>
          <w:sz w:val="21"/>
          <w:szCs w:val="21"/>
        </w:rPr>
        <w:t>察成新度较高，综合成新度为90%-100</w:t>
      </w:r>
      <w:r>
        <w:rPr>
          <w:rFonts w:ascii="Arial" w:hAnsi="Arial" w:cs="Arial"/>
          <w:sz w:val="21"/>
          <w:szCs w:val="21"/>
        </w:rPr>
        <w:t>%</w:t>
      </w:r>
      <w:r>
        <w:rPr>
          <w:rFonts w:hint="eastAsia" w:ascii="Arial" w:hAnsi="Arial" w:cs="Arial"/>
          <w:sz w:val="21"/>
          <w:szCs w:val="21"/>
        </w:rPr>
        <w:t>。</w:t>
      </w:r>
    </w:p>
    <w:p w14:paraId="3962ADDD">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7.户型设计：估价对象均为平层结构，分为五种户型，分别为开间、一居室（73.85-74.00平方米）、一居室（82.85平方米）、两居室、三居室。其中开间29套、一居室（73.85-74.00平方米）8套、一居室（82.85平方米）125套、两居室135套、三居室8套。</w:t>
      </w:r>
    </w:p>
    <w:p w14:paraId="19B4D8D8">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8</w:t>
      </w:r>
      <w:r>
        <w:rPr>
          <w:rFonts w:ascii="Arial" w:hAnsi="Arial" w:cs="Arial"/>
          <w:sz w:val="21"/>
          <w:szCs w:val="21"/>
        </w:rPr>
        <w:t>.</w:t>
      </w:r>
      <w:r>
        <w:rPr>
          <w:rFonts w:hint="eastAsia" w:ascii="Arial" w:hAnsi="Arial" w:cs="Arial"/>
          <w:sz w:val="21"/>
          <w:szCs w:val="21"/>
        </w:rPr>
        <w:t>朝向：估价对象开间均为南朝向、一居室（73.85、82.85平方米）均为南朝向、一居室（74平方米）均为南北朝向、两居室均为南北朝向、三居室均南朝向。</w:t>
      </w:r>
    </w:p>
    <w:p w14:paraId="49EF9CFA">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9.综合服务管理设施：估价对象所属小区为封闭式管理，门口设有快递柜、小区内设有垃圾分类收集点。</w:t>
      </w:r>
    </w:p>
    <w:p w14:paraId="0865F9BE">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10.水电气费执行标准：估价对象执行民水民电标准。</w:t>
      </w:r>
    </w:p>
    <w:bookmarkEnd w:id="25"/>
    <w:bookmarkEnd w:id="26"/>
    <w:p w14:paraId="4B2A961C">
      <w:pPr>
        <w:spacing w:line="480" w:lineRule="auto"/>
        <w:rPr>
          <w:rFonts w:ascii="Arial" w:hAnsi="Arial" w:cs="Arial"/>
          <w:b/>
          <w:kern w:val="2"/>
          <w:sz w:val="21"/>
          <w:szCs w:val="21"/>
        </w:rPr>
      </w:pPr>
      <w:r>
        <w:rPr>
          <w:rFonts w:hint="eastAsia" w:ascii="Arial" w:hAnsi="Arial" w:cs="Arial"/>
          <w:b/>
          <w:kern w:val="2"/>
          <w:sz w:val="21"/>
          <w:szCs w:val="21"/>
        </w:rPr>
        <w:t>（四）对价格影响的分析</w:t>
      </w:r>
    </w:p>
    <w:p w14:paraId="3BCD90D4">
      <w:pPr>
        <w:spacing w:line="480" w:lineRule="auto"/>
        <w:ind w:firstLine="420" w:firstLineChars="200"/>
        <w:rPr>
          <w:rFonts w:ascii="Arial" w:hAnsi="Arial" w:cs="Arial"/>
          <w:sz w:val="21"/>
          <w:szCs w:val="21"/>
        </w:rPr>
      </w:pPr>
      <w:r>
        <w:rPr>
          <w:rFonts w:ascii="Arial" w:hAnsi="Arial" w:cs="Arial"/>
          <w:sz w:val="21"/>
          <w:szCs w:val="21"/>
        </w:rPr>
        <w:t>估价对象作为</w:t>
      </w:r>
      <w:r>
        <w:rPr>
          <w:rFonts w:hint="eastAsia" w:ascii="Arial" w:hAnsi="Arial" w:cs="Arial"/>
          <w:sz w:val="21"/>
          <w:szCs w:val="21"/>
        </w:rPr>
        <w:t>保障性租赁住房（住宅型）</w:t>
      </w:r>
      <w:r>
        <w:rPr>
          <w:rFonts w:ascii="Arial" w:hAnsi="Arial" w:cs="Arial"/>
          <w:sz w:val="21"/>
          <w:szCs w:val="21"/>
        </w:rPr>
        <w:t>使用，通用性相对较好，能完全满足大部分</w:t>
      </w:r>
      <w:r>
        <w:rPr>
          <w:rFonts w:hint="eastAsia" w:ascii="Arial" w:hAnsi="Arial" w:cs="Arial"/>
          <w:sz w:val="21"/>
          <w:szCs w:val="21"/>
        </w:rPr>
        <w:t>承</w:t>
      </w:r>
      <w:r>
        <w:rPr>
          <w:rFonts w:ascii="Arial" w:hAnsi="Arial" w:cs="Arial"/>
          <w:sz w:val="21"/>
          <w:szCs w:val="21"/>
        </w:rPr>
        <w:t>租者的需求，因此</w:t>
      </w:r>
      <w:r>
        <w:rPr>
          <w:rFonts w:hint="eastAsia" w:ascii="Arial" w:hAnsi="Arial" w:cs="Arial"/>
          <w:sz w:val="21"/>
          <w:szCs w:val="21"/>
        </w:rPr>
        <w:t>不会</w:t>
      </w:r>
      <w:r>
        <w:rPr>
          <w:rFonts w:ascii="Arial" w:hAnsi="Arial" w:cs="Arial"/>
          <w:sz w:val="21"/>
          <w:szCs w:val="21"/>
        </w:rPr>
        <w:t>影响其租金价格水平。</w:t>
      </w:r>
    </w:p>
    <w:p w14:paraId="5839FAFE">
      <w:pPr>
        <w:spacing w:line="480" w:lineRule="auto"/>
        <w:rPr>
          <w:rFonts w:ascii="Arial" w:hAnsi="Arial" w:cs="Arial"/>
          <w:b/>
          <w:kern w:val="2"/>
          <w:sz w:val="21"/>
          <w:szCs w:val="21"/>
        </w:rPr>
      </w:pPr>
      <w:r>
        <w:rPr>
          <w:rFonts w:hint="eastAsia" w:ascii="Arial" w:hAnsi="Arial" w:cs="Arial"/>
          <w:b/>
          <w:kern w:val="2"/>
          <w:sz w:val="21"/>
          <w:szCs w:val="21"/>
        </w:rPr>
        <w:t>（五）他项权利状况</w:t>
      </w:r>
    </w:p>
    <w:p w14:paraId="435EC448">
      <w:pPr>
        <w:spacing w:line="480" w:lineRule="auto"/>
        <w:ind w:firstLine="420" w:firstLineChars="200"/>
        <w:rPr>
          <w:rFonts w:ascii="Arial" w:hAnsi="Arial" w:cs="Arial"/>
          <w:kern w:val="2"/>
          <w:sz w:val="21"/>
          <w:szCs w:val="21"/>
        </w:rPr>
      </w:pPr>
      <w:r>
        <w:rPr>
          <w:rFonts w:hint="eastAsia" w:ascii="Arial" w:hAnsi="Arial" w:cs="Arial"/>
          <w:sz w:val="21"/>
          <w:szCs w:val="21"/>
        </w:rPr>
        <w:t>根据估价委托人提供的《北京市保障性住房收购合同》及其附件、</w:t>
      </w:r>
      <w:r>
        <w:rPr>
          <w:rFonts w:hint="eastAsia" w:ascii="Arial" w:hAnsi="Arial" w:cs="Arial"/>
          <w:sz w:val="21"/>
          <w:szCs w:val="21"/>
          <w:lang w:eastAsia="zh-CN"/>
        </w:rPr>
        <w:t>《不动产权证书》[京（2026）大不动产权第0006890、0007126、0007158号]部分</w:t>
      </w:r>
      <w:r>
        <w:rPr>
          <w:rFonts w:hint="eastAsia" w:ascii="Arial" w:hAnsi="Arial" w:cs="Arial"/>
          <w:sz w:val="21"/>
          <w:szCs w:val="21"/>
        </w:rPr>
        <w:t>及评估专业人员实地查勘，于价值时点，估价对象不存在抵押、</w:t>
      </w:r>
      <w:r>
        <w:rPr>
          <w:rFonts w:hint="eastAsia" w:ascii="Arial" w:hAnsi="Arial" w:cs="Arial"/>
          <w:kern w:val="2"/>
          <w:sz w:val="21"/>
          <w:szCs w:val="21"/>
        </w:rPr>
        <w:t>租赁、地役、查封等</w:t>
      </w:r>
      <w:r>
        <w:rPr>
          <w:rFonts w:hint="eastAsia" w:ascii="Arial" w:hAnsi="Arial" w:cs="Arial"/>
          <w:kern w:val="2"/>
          <w:sz w:val="21"/>
          <w:szCs w:val="21"/>
          <w:lang w:val="en-US" w:eastAsia="zh-CN"/>
        </w:rPr>
        <w:t>限制</w:t>
      </w:r>
      <w:r>
        <w:rPr>
          <w:rFonts w:hint="eastAsia" w:ascii="Arial" w:hAnsi="Arial" w:cs="Arial"/>
          <w:sz w:val="21"/>
          <w:szCs w:val="21"/>
        </w:rPr>
        <w:t>。</w:t>
      </w:r>
    </w:p>
    <w:p w14:paraId="259CC81D">
      <w:pPr>
        <w:overflowPunct w:val="0"/>
        <w:spacing w:line="480" w:lineRule="auto"/>
        <w:ind w:firstLine="420" w:firstLineChars="200"/>
        <w:jc w:val="both"/>
        <w:textAlignment w:val="auto"/>
        <w:rPr>
          <w:rFonts w:ascii="Arial" w:hAnsi="Arial" w:cs="Arial"/>
          <w:sz w:val="21"/>
          <w:szCs w:val="21"/>
        </w:rPr>
      </w:pPr>
    </w:p>
    <w:p w14:paraId="0AB5BEBB">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27" w:name="_Toc168225817"/>
      <w:bookmarkStart w:id="28" w:name="_Toc155267090"/>
      <w:r>
        <w:rPr>
          <w:rFonts w:eastAsia="宋体"/>
          <w:kern w:val="2"/>
          <w:sz w:val="21"/>
          <w:szCs w:val="21"/>
        </w:rPr>
        <w:t>五</w:t>
      </w:r>
      <w:bookmarkEnd w:id="27"/>
      <w:r>
        <w:rPr>
          <w:rFonts w:eastAsia="宋体"/>
          <w:kern w:val="2"/>
          <w:sz w:val="21"/>
          <w:szCs w:val="21"/>
        </w:rPr>
        <w:t>、价值时点</w:t>
      </w:r>
      <w:bookmarkEnd w:id="28"/>
    </w:p>
    <w:p w14:paraId="7962B644">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2026年4月7日</w:t>
      </w:r>
      <w:r>
        <w:rPr>
          <w:rFonts w:ascii="Arial" w:hAnsi="Arial" w:cs="Arial"/>
          <w:sz w:val="21"/>
          <w:szCs w:val="21"/>
        </w:rPr>
        <w:t>（</w:t>
      </w:r>
      <w:r>
        <w:rPr>
          <w:rFonts w:hint="eastAsia" w:ascii="Arial" w:hAnsi="Arial" w:cs="Arial"/>
          <w:sz w:val="21"/>
          <w:szCs w:val="21"/>
        </w:rPr>
        <w:t>根据《估价委托书》确定</w:t>
      </w:r>
      <w:r>
        <w:rPr>
          <w:rFonts w:ascii="Arial" w:hAnsi="Arial" w:cs="Arial"/>
          <w:sz w:val="21"/>
          <w:szCs w:val="21"/>
        </w:rPr>
        <w:t>）</w:t>
      </w:r>
    </w:p>
    <w:p w14:paraId="5AF74098">
      <w:pPr>
        <w:wordWrap w:val="0"/>
        <w:overflowPunct w:val="0"/>
        <w:spacing w:line="480" w:lineRule="auto"/>
        <w:ind w:firstLine="420" w:firstLineChars="200"/>
        <w:jc w:val="both"/>
        <w:textAlignment w:val="auto"/>
        <w:rPr>
          <w:rFonts w:ascii="Arial" w:hAnsi="Arial" w:cs="Arial"/>
          <w:sz w:val="21"/>
          <w:szCs w:val="21"/>
        </w:rPr>
      </w:pPr>
    </w:p>
    <w:p w14:paraId="5A75E4A7">
      <w:pPr>
        <w:pStyle w:val="3"/>
        <w:numPr>
          <w:ilvl w:val="0"/>
          <w:numId w:val="0"/>
        </w:numPr>
        <w:overflowPunct w:val="0"/>
        <w:spacing w:line="480" w:lineRule="auto"/>
        <w:ind w:left="358" w:hanging="358" w:hangingChars="170"/>
        <w:jc w:val="both"/>
        <w:textAlignment w:val="auto"/>
        <w:rPr>
          <w:rFonts w:eastAsia="宋体"/>
          <w:kern w:val="2"/>
          <w:sz w:val="21"/>
          <w:szCs w:val="21"/>
        </w:rPr>
      </w:pPr>
      <w:bookmarkStart w:id="29" w:name="_Toc168225818"/>
      <w:bookmarkStart w:id="30" w:name="_Toc155267091"/>
      <w:r>
        <w:rPr>
          <w:rFonts w:eastAsia="宋体"/>
          <w:kern w:val="2"/>
          <w:sz w:val="21"/>
          <w:szCs w:val="21"/>
        </w:rPr>
        <w:t>六</w:t>
      </w:r>
      <w:bookmarkEnd w:id="29"/>
      <w:r>
        <w:rPr>
          <w:rFonts w:eastAsia="宋体"/>
          <w:kern w:val="2"/>
          <w:sz w:val="21"/>
          <w:szCs w:val="21"/>
        </w:rPr>
        <w:t>、价值类型</w:t>
      </w:r>
      <w:bookmarkEnd w:id="30"/>
    </w:p>
    <w:p w14:paraId="77D1C7E9">
      <w:pPr>
        <w:spacing w:line="480" w:lineRule="auto"/>
        <w:rPr>
          <w:rFonts w:ascii="Arial" w:hAnsi="Arial" w:cs="Arial"/>
          <w:b/>
          <w:kern w:val="2"/>
          <w:sz w:val="21"/>
          <w:szCs w:val="21"/>
        </w:rPr>
      </w:pPr>
      <w:r>
        <w:rPr>
          <w:rFonts w:hint="eastAsia" w:ascii="Arial" w:hAnsi="Arial" w:cs="Arial"/>
          <w:b/>
          <w:kern w:val="2"/>
          <w:sz w:val="21"/>
          <w:szCs w:val="21"/>
        </w:rPr>
        <w:t>（一）价值类型</w:t>
      </w:r>
    </w:p>
    <w:p w14:paraId="45EF2F67">
      <w:pPr>
        <w:overflowPunct w:val="0"/>
        <w:spacing w:line="480" w:lineRule="auto"/>
        <w:ind w:firstLine="420" w:firstLineChars="200"/>
        <w:jc w:val="both"/>
        <w:rPr>
          <w:rFonts w:ascii="Arial" w:hAnsi="Arial" w:cs="Arial"/>
          <w:sz w:val="21"/>
          <w:szCs w:val="21"/>
        </w:rPr>
      </w:pPr>
      <w:r>
        <w:rPr>
          <w:rFonts w:hint="eastAsia" w:ascii="Arial" w:hAnsi="Arial" w:cs="Arial"/>
          <w:sz w:val="21"/>
          <w:szCs w:val="21"/>
        </w:rPr>
        <w:t>根据房地产评估的技术规程和本次估价目的，本次估价采用的是市场价值标准。市场租赁住房租金是指市场租赁住房于价值时点在公开市场上的平均租金，</w:t>
      </w:r>
      <w:r>
        <w:rPr>
          <w:rFonts w:hint="eastAsia" w:ascii="Arial" w:hAnsi="Arial" w:cs="Arial"/>
          <w:sz w:val="21"/>
          <w:szCs w:val="21"/>
          <w:lang w:eastAsia="zh-CN"/>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r>
        <w:rPr>
          <w:rFonts w:hint="eastAsia" w:ascii="Arial" w:hAnsi="Arial" w:cs="Arial"/>
          <w:sz w:val="21"/>
          <w:szCs w:val="21"/>
        </w:rPr>
        <w:t>。</w:t>
      </w:r>
      <w:r>
        <w:rPr>
          <w:rFonts w:ascii="Arial" w:hAnsi="Arial" w:cs="Arial"/>
          <w:sz w:val="21"/>
          <w:szCs w:val="21"/>
        </w:rPr>
        <w:t xml:space="preserve"> </w:t>
      </w:r>
    </w:p>
    <w:p w14:paraId="03FA62B4">
      <w:pPr>
        <w:spacing w:line="480" w:lineRule="auto"/>
        <w:rPr>
          <w:rFonts w:ascii="Arial" w:hAnsi="Arial" w:cs="Arial"/>
          <w:b/>
          <w:kern w:val="2"/>
          <w:sz w:val="21"/>
          <w:szCs w:val="21"/>
        </w:rPr>
      </w:pPr>
      <w:r>
        <w:rPr>
          <w:rFonts w:hint="eastAsia" w:ascii="Arial" w:hAnsi="Arial" w:cs="Arial"/>
          <w:b/>
          <w:kern w:val="2"/>
          <w:sz w:val="21"/>
          <w:szCs w:val="21"/>
        </w:rPr>
        <w:t>（二）设定条件</w:t>
      </w:r>
    </w:p>
    <w:p w14:paraId="37A95687">
      <w:pPr>
        <w:spacing w:line="480" w:lineRule="auto"/>
        <w:ind w:firstLine="420" w:firstLineChars="200"/>
        <w:rPr>
          <w:rFonts w:ascii="Arial" w:hAnsi="Arial" w:cs="Arial"/>
          <w:sz w:val="21"/>
          <w:szCs w:val="21"/>
        </w:rPr>
      </w:pPr>
      <w:r>
        <w:rPr>
          <w:rFonts w:ascii="Arial" w:hAnsi="Arial" w:cs="Arial"/>
          <w:sz w:val="21"/>
          <w:szCs w:val="21"/>
        </w:rPr>
        <w:t>估价结果中的房地产租金价格是指估价对象</w:t>
      </w:r>
      <w:r>
        <w:rPr>
          <w:rFonts w:hint="eastAsia" w:ascii="Arial" w:hAnsi="Arial" w:cs="Arial"/>
          <w:sz w:val="21"/>
          <w:szCs w:val="21"/>
        </w:rPr>
        <w:t>房地产于价值时点2026年4月7日，</w:t>
      </w:r>
      <w:r>
        <w:rPr>
          <w:rFonts w:ascii="Arial" w:hAnsi="Arial" w:cs="Arial"/>
          <w:sz w:val="21"/>
          <w:szCs w:val="21"/>
        </w:rPr>
        <w:t>估价对象在规划利用条件及下述设定条件下</w:t>
      </w:r>
      <w:r>
        <w:rPr>
          <w:rFonts w:hint="eastAsia" w:ascii="Arial" w:hAnsi="Arial" w:cs="Arial"/>
          <w:sz w:val="21"/>
          <w:szCs w:val="21"/>
        </w:rPr>
        <w:t>项目同地段、同品质住宅（住宅型）房地产</w:t>
      </w:r>
      <w:r>
        <w:rPr>
          <w:rFonts w:ascii="Arial" w:hAnsi="Arial" w:cs="Arial"/>
          <w:sz w:val="21"/>
          <w:szCs w:val="21"/>
        </w:rPr>
        <w:t>的市场租金价格：</w:t>
      </w:r>
    </w:p>
    <w:p w14:paraId="7669494A">
      <w:pPr>
        <w:spacing w:line="480" w:lineRule="auto"/>
        <w:ind w:firstLine="420" w:firstLineChars="200"/>
        <w:rPr>
          <w:rFonts w:ascii="Arial" w:hAnsi="Arial" w:cs="Arial"/>
          <w:sz w:val="21"/>
          <w:szCs w:val="21"/>
        </w:rPr>
      </w:pPr>
      <w:r>
        <w:rPr>
          <w:rFonts w:ascii="Arial" w:hAnsi="Arial" w:cs="Arial"/>
          <w:sz w:val="21"/>
          <w:szCs w:val="21"/>
        </w:rPr>
        <w:t>租金估价结果</w:t>
      </w:r>
      <w:r>
        <w:rPr>
          <w:rFonts w:hint="eastAsia" w:ascii="Arial" w:hAnsi="Arial" w:cs="Arial"/>
          <w:sz w:val="21"/>
          <w:szCs w:val="21"/>
          <w:lang w:eastAsia="zh-CN"/>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r>
        <w:rPr>
          <w:rFonts w:hint="eastAsia" w:ascii="Arial" w:hAnsi="Arial" w:cs="Arial"/>
          <w:sz w:val="21"/>
          <w:szCs w:val="21"/>
        </w:rPr>
        <w:t>。</w:t>
      </w:r>
    </w:p>
    <w:p w14:paraId="402D8A54">
      <w:pPr>
        <w:spacing w:line="480" w:lineRule="auto"/>
        <w:ind w:firstLine="420" w:firstLineChars="200"/>
        <w:rPr>
          <w:rFonts w:ascii="Arial" w:hAnsi="Arial" w:cs="Arial"/>
          <w:sz w:val="21"/>
          <w:szCs w:val="21"/>
        </w:rPr>
      </w:pPr>
    </w:p>
    <w:p w14:paraId="2E208877">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31" w:name="_Toc168225819"/>
      <w:bookmarkStart w:id="32" w:name="_Toc155267092"/>
      <w:r>
        <w:rPr>
          <w:rFonts w:eastAsia="宋体"/>
          <w:kern w:val="2"/>
          <w:sz w:val="21"/>
          <w:szCs w:val="21"/>
        </w:rPr>
        <w:t>七、估价原则</w:t>
      </w:r>
      <w:bookmarkEnd w:id="31"/>
      <w:bookmarkEnd w:id="32"/>
    </w:p>
    <w:p w14:paraId="31200FCD">
      <w:pPr>
        <w:wordWrap w:val="0"/>
        <w:overflowPunct w:val="0"/>
        <w:spacing w:line="480" w:lineRule="auto"/>
        <w:ind w:firstLine="424" w:firstLineChars="202"/>
        <w:jc w:val="both"/>
        <w:textAlignment w:val="auto"/>
        <w:rPr>
          <w:rFonts w:ascii="Arial" w:hAnsi="Arial" w:cs="Arial"/>
          <w:sz w:val="21"/>
          <w:szCs w:val="21"/>
        </w:rPr>
      </w:pPr>
      <w:r>
        <w:rPr>
          <w:rFonts w:ascii="Arial" w:hAnsi="Arial" w:cs="Arial"/>
          <w:sz w:val="21"/>
          <w:szCs w:val="21"/>
        </w:rPr>
        <w:t xml:space="preserve">我们在本次估价时遵循了以下原则： </w:t>
      </w:r>
    </w:p>
    <w:p w14:paraId="360B0BC2">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（一）独立、客观、公正原则</w:t>
      </w:r>
    </w:p>
    <w:p w14:paraId="60CED49C">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独立、客观、公正原则要求</w:t>
      </w:r>
      <w:r>
        <w:rPr>
          <w:rFonts w:hint="eastAsia" w:ascii="Arial" w:hAnsi="Arial" w:cs="Arial"/>
          <w:sz w:val="21"/>
          <w:szCs w:val="21"/>
        </w:rPr>
        <w:t>评估专业人员</w:t>
      </w:r>
      <w:r>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79BF5B48">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（二）</w:t>
      </w:r>
      <w:r>
        <w:rPr>
          <w:rFonts w:hint="eastAsia" w:ascii="Arial" w:hAnsi="Arial" w:cs="Arial"/>
          <w:b/>
          <w:sz w:val="21"/>
          <w:szCs w:val="21"/>
        </w:rPr>
        <w:t>合法原则</w:t>
      </w:r>
    </w:p>
    <w:p w14:paraId="3D1DC79A">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相关批复、房地产权属证书和有关证件为依据；在合法使用方面，应以城市规划、土地用途管制等为依据；在合法处分方面，应以法律、法规或合同等允许的处分方式为依据；在其他方面，如评估出的价格必须符合国家的价格政策。</w:t>
      </w:r>
    </w:p>
    <w:p w14:paraId="3A7F2EE5">
      <w:pPr>
        <w:wordWrap w:val="0"/>
        <w:overflowPunct w:val="0"/>
        <w:spacing w:line="480" w:lineRule="auto"/>
        <w:ind w:firstLine="420" w:firstLineChars="200"/>
        <w:jc w:val="both"/>
        <w:textAlignment w:val="auto"/>
        <w:rPr>
          <w:rFonts w:ascii="Arial" w:hAnsi="Arial" w:cs="Arial"/>
          <w:b/>
          <w:sz w:val="21"/>
          <w:szCs w:val="21"/>
        </w:rPr>
      </w:pPr>
      <w:r>
        <w:rPr>
          <w:rFonts w:hint="eastAsia" w:ascii="Arial" w:hAnsi="Arial" w:cs="Arial"/>
          <w:sz w:val="21"/>
          <w:szCs w:val="21"/>
        </w:rPr>
        <w:t>估价对象已取得</w:t>
      </w:r>
      <w:r>
        <w:rPr>
          <w:rFonts w:hint="eastAsia" w:ascii="Arial" w:hAnsi="Arial" w:cs="Arial"/>
          <w:sz w:val="21"/>
          <w:szCs w:val="21"/>
          <w:lang w:eastAsia="zh-CN"/>
        </w:rPr>
        <w:t>《不动产权证书》[京（2026）大不动产权第0006890、0007126、0007158号]</w:t>
      </w:r>
      <w:r>
        <w:rPr>
          <w:rFonts w:hint="eastAsia" w:ascii="Arial" w:hAnsi="Arial" w:cs="Arial"/>
          <w:kern w:val="2"/>
          <w:sz w:val="21"/>
          <w:szCs w:val="21"/>
        </w:rPr>
        <w:t>，产权合法，使用合法。</w:t>
      </w:r>
    </w:p>
    <w:p w14:paraId="3C36D9C3">
      <w:pPr>
        <w:wordWrap w:val="0"/>
        <w:overflowPunct w:val="0"/>
        <w:spacing w:line="480" w:lineRule="auto"/>
        <w:jc w:val="both"/>
        <w:textAlignment w:val="auto"/>
        <w:rPr>
          <w:rFonts w:ascii="Arial" w:hAnsi="Arial" w:cs="Arial"/>
          <w:b/>
          <w:sz w:val="21"/>
          <w:szCs w:val="21"/>
        </w:rPr>
      </w:pPr>
      <w:r>
        <w:rPr>
          <w:rFonts w:hint="eastAsia" w:ascii="Arial" w:hAnsi="Arial" w:cs="Arial"/>
          <w:b/>
          <w:sz w:val="21"/>
          <w:szCs w:val="21"/>
        </w:rPr>
        <w:t>（三）</w:t>
      </w:r>
      <w:r>
        <w:rPr>
          <w:rFonts w:ascii="Arial" w:hAnsi="Arial" w:cs="Arial"/>
          <w:b/>
          <w:sz w:val="21"/>
          <w:szCs w:val="21"/>
        </w:rPr>
        <w:t>最高最佳利用原则</w:t>
      </w:r>
    </w:p>
    <w:p w14:paraId="1F4CEE20">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655804C2">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hint="eastAsia" w:ascii="Arial" w:hAnsi="Arial" w:cs="Arial"/>
          <w:b/>
          <w:sz w:val="21"/>
          <w:szCs w:val="21"/>
        </w:rPr>
        <w:t>四</w:t>
      </w:r>
      <w:r>
        <w:rPr>
          <w:rFonts w:ascii="Arial" w:hAnsi="Arial" w:cs="Arial"/>
          <w:b/>
          <w:sz w:val="21"/>
          <w:szCs w:val="21"/>
        </w:rPr>
        <w:t>）替代原则</w:t>
      </w:r>
    </w:p>
    <w:p w14:paraId="7CBB7D16">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3FBAA370">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761CCFA2">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hint="eastAsia" w:ascii="Arial" w:hAnsi="Arial" w:cs="Arial"/>
          <w:b/>
          <w:sz w:val="21"/>
          <w:szCs w:val="21"/>
        </w:rPr>
        <w:t>五</w:t>
      </w:r>
      <w:r>
        <w:rPr>
          <w:rFonts w:ascii="Arial" w:hAnsi="Arial" w:cs="Arial"/>
          <w:b/>
          <w:sz w:val="21"/>
          <w:szCs w:val="21"/>
        </w:rPr>
        <w:t>）价值时点原则</w:t>
      </w:r>
    </w:p>
    <w:p w14:paraId="4A5672C9">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717E6973">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19A05837">
      <w:pPr>
        <w:wordWrap w:val="0"/>
        <w:overflowPunct w:val="0"/>
        <w:spacing w:line="480" w:lineRule="auto"/>
        <w:jc w:val="both"/>
        <w:textAlignment w:val="auto"/>
        <w:rPr>
          <w:rFonts w:ascii="Arial" w:hAnsi="Arial" w:cs="Arial"/>
          <w:b/>
          <w:sz w:val="21"/>
          <w:szCs w:val="21"/>
        </w:rPr>
      </w:pPr>
      <w:r>
        <w:rPr>
          <w:rFonts w:hint="eastAsia" w:ascii="Arial" w:hAnsi="Arial" w:cs="Arial"/>
          <w:b/>
          <w:sz w:val="21"/>
          <w:szCs w:val="21"/>
        </w:rPr>
        <w:t>（六）一贯性原则</w:t>
      </w:r>
    </w:p>
    <w:p w14:paraId="38765B7C">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在不同时间为了同一估价目的对同一或同类房地产再次或多次进行估价时，应采用相同的估价方法或对待方式。</w:t>
      </w:r>
    </w:p>
    <w:p w14:paraId="2FA06490">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33" w:name="_Toc168225820"/>
      <w:bookmarkStart w:id="34" w:name="_Toc155267093"/>
      <w:r>
        <w:rPr>
          <w:rFonts w:eastAsia="宋体"/>
          <w:kern w:val="2"/>
          <w:sz w:val="21"/>
          <w:szCs w:val="21"/>
        </w:rPr>
        <w:t>八、</w:t>
      </w:r>
      <w:commentRangeStart w:id="9"/>
      <w:r>
        <w:rPr>
          <w:rFonts w:eastAsia="宋体"/>
          <w:kern w:val="2"/>
          <w:sz w:val="21"/>
          <w:szCs w:val="21"/>
        </w:rPr>
        <w:t>估价</w:t>
      </w:r>
      <w:bookmarkEnd w:id="33"/>
      <w:r>
        <w:rPr>
          <w:rFonts w:eastAsia="宋体"/>
          <w:kern w:val="2"/>
          <w:sz w:val="21"/>
          <w:szCs w:val="21"/>
        </w:rPr>
        <w:t>依据</w:t>
      </w:r>
      <w:commentRangeEnd w:id="9"/>
      <w:r>
        <w:rPr>
          <w:rStyle w:val="40"/>
          <w:rFonts w:ascii="Times New Roman" w:hAnsi="Times New Roman" w:eastAsia="宋体" w:cs="Times New Roman"/>
          <w:b w:val="0"/>
          <w:bCs w:val="0"/>
        </w:rPr>
        <w:commentReference w:id="9"/>
      </w:r>
      <w:bookmarkEnd w:id="34"/>
    </w:p>
    <w:p w14:paraId="373EAADA">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（一）有关的法律、法规</w:t>
      </w:r>
    </w:p>
    <w:p w14:paraId="7A2D2C0F">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 《中华人民共和国土地管理法》（2019年8月26日第十三届全国人民代表大会常务委员会第十二次会议第三次修正通过，自2020年1月1日起施行）</w:t>
      </w:r>
    </w:p>
    <w:p w14:paraId="32002480">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2.《中华人民共和国资产评估法》（2016年7月2日第十二届全国人民代表大会常务委员会第二十一次会议通过 2016年3月16日中华人民共和国主席令第46号公布 自2016年12月1日起施行）</w:t>
      </w:r>
    </w:p>
    <w:p w14:paraId="4A850F73">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3.《中华人民共和国城镇国有土地使用权出让和转让暂行条例》（1</w:t>
      </w:r>
      <w:r>
        <w:rPr>
          <w:rFonts w:ascii="Arial" w:hAnsi="Arial" w:cs="Arial"/>
          <w:sz w:val="21"/>
          <w:szCs w:val="21"/>
        </w:rPr>
        <w:t>990</w:t>
      </w:r>
      <w:r>
        <w:rPr>
          <w:rFonts w:hint="eastAsia" w:ascii="Arial" w:hAnsi="Arial" w:cs="Arial"/>
          <w:sz w:val="21"/>
          <w:szCs w:val="21"/>
        </w:rPr>
        <w:t>年5月1</w:t>
      </w:r>
      <w:r>
        <w:rPr>
          <w:rFonts w:ascii="Arial" w:hAnsi="Arial" w:cs="Arial"/>
          <w:sz w:val="21"/>
          <w:szCs w:val="21"/>
        </w:rPr>
        <w:t>9</w:t>
      </w:r>
      <w:r>
        <w:rPr>
          <w:rFonts w:hint="eastAsia" w:ascii="Arial" w:hAnsi="Arial" w:cs="Arial"/>
          <w:sz w:val="21"/>
          <w:szCs w:val="21"/>
        </w:rPr>
        <w:t>日中华人民共和国国务院令第5</w:t>
      </w:r>
      <w:r>
        <w:rPr>
          <w:rFonts w:ascii="Arial" w:hAnsi="Arial" w:cs="Arial"/>
          <w:sz w:val="21"/>
          <w:szCs w:val="21"/>
        </w:rPr>
        <w:t>5</w:t>
      </w:r>
      <w:r>
        <w:rPr>
          <w:rFonts w:hint="eastAsia" w:ascii="Arial" w:hAnsi="Arial" w:cs="Arial"/>
          <w:sz w:val="21"/>
          <w:szCs w:val="21"/>
        </w:rPr>
        <w:t>号发布　根据2</w:t>
      </w:r>
      <w:r>
        <w:rPr>
          <w:rFonts w:ascii="Arial" w:hAnsi="Arial" w:cs="Arial"/>
          <w:sz w:val="21"/>
          <w:szCs w:val="21"/>
        </w:rPr>
        <w:t>020</w:t>
      </w:r>
      <w:r>
        <w:rPr>
          <w:rFonts w:hint="eastAsia" w:ascii="Arial" w:hAnsi="Arial" w:cs="Arial"/>
          <w:sz w:val="21"/>
          <w:szCs w:val="21"/>
        </w:rPr>
        <w:t>年1</w:t>
      </w:r>
      <w:r>
        <w:rPr>
          <w:rFonts w:ascii="Arial" w:hAnsi="Arial" w:cs="Arial"/>
          <w:sz w:val="21"/>
          <w:szCs w:val="21"/>
        </w:rPr>
        <w:t>1</w:t>
      </w:r>
      <w:r>
        <w:rPr>
          <w:rFonts w:hint="eastAsia" w:ascii="Arial" w:hAnsi="Arial" w:cs="Arial"/>
          <w:sz w:val="21"/>
          <w:szCs w:val="21"/>
        </w:rPr>
        <w:t>月2</w:t>
      </w:r>
      <w:r>
        <w:rPr>
          <w:rFonts w:ascii="Arial" w:hAnsi="Arial" w:cs="Arial"/>
          <w:sz w:val="21"/>
          <w:szCs w:val="21"/>
        </w:rPr>
        <w:t>9</w:t>
      </w:r>
      <w:r>
        <w:rPr>
          <w:rFonts w:hint="eastAsia" w:ascii="Arial" w:hAnsi="Arial" w:cs="Arial"/>
          <w:sz w:val="21"/>
          <w:szCs w:val="21"/>
        </w:rPr>
        <w:t>日《国务院关于修改和废止部分行政法规的决定》修订）</w:t>
      </w:r>
    </w:p>
    <w:p w14:paraId="6DAE9D85">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4.《中华人民共和国民法典》（2020年5月28日第十三届全国人大三次会议表决通过，自2021年1月1日起施行）</w:t>
      </w:r>
    </w:p>
    <w:p w14:paraId="5EDDE2FD">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5.《中华人民共和国城市房地产管理法》（2019年8月26日第十三届全国人大常委会第十二次会议通过第三次修正，自2020年1月1日起施行）</w:t>
      </w:r>
    </w:p>
    <w:p w14:paraId="0159DE81">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6</w:t>
      </w:r>
      <w:r>
        <w:rPr>
          <w:rFonts w:ascii="Arial" w:hAnsi="Arial" w:cs="Arial"/>
          <w:sz w:val="21"/>
          <w:szCs w:val="21"/>
        </w:rPr>
        <w:t>.</w:t>
      </w:r>
      <w:r>
        <w:rPr>
          <w:rFonts w:hint="eastAsia" w:ascii="Arial" w:hAnsi="Arial" w:cs="Arial"/>
          <w:sz w:val="21"/>
          <w:szCs w:val="21"/>
        </w:rPr>
        <w:t>《关于完善住房租赁有关税收政策的公告》（财务部 税务总局 住房城乡建设部公告2</w:t>
      </w:r>
      <w:r>
        <w:rPr>
          <w:rFonts w:ascii="Arial" w:hAnsi="Arial" w:cs="Arial"/>
          <w:sz w:val="21"/>
          <w:szCs w:val="21"/>
        </w:rPr>
        <w:t>021</w:t>
      </w:r>
      <w:r>
        <w:rPr>
          <w:rFonts w:hint="eastAsia" w:ascii="Arial" w:hAnsi="Arial" w:cs="Arial"/>
          <w:sz w:val="21"/>
          <w:szCs w:val="21"/>
        </w:rPr>
        <w:t>年第2</w:t>
      </w:r>
      <w:r>
        <w:rPr>
          <w:rFonts w:ascii="Arial" w:hAnsi="Arial" w:cs="Arial"/>
          <w:sz w:val="21"/>
          <w:szCs w:val="21"/>
        </w:rPr>
        <w:t>4</w:t>
      </w:r>
      <w:r>
        <w:rPr>
          <w:rFonts w:hint="eastAsia" w:ascii="Arial" w:hAnsi="Arial" w:cs="Arial"/>
          <w:sz w:val="21"/>
          <w:szCs w:val="21"/>
        </w:rPr>
        <w:t>号）</w:t>
      </w:r>
    </w:p>
    <w:p w14:paraId="6FB99F20">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7</w:t>
      </w:r>
      <w:r>
        <w:rPr>
          <w:rFonts w:ascii="Arial" w:hAnsi="Arial" w:cs="Arial"/>
          <w:sz w:val="21"/>
          <w:szCs w:val="21"/>
        </w:rPr>
        <w:t>.</w:t>
      </w:r>
      <w:r>
        <w:rPr>
          <w:rFonts w:hint="eastAsia"/>
        </w:rPr>
        <w:t xml:space="preserve"> 《</w:t>
      </w:r>
      <w:r>
        <w:rPr>
          <w:rFonts w:hint="eastAsia" w:ascii="Arial" w:hAnsi="Arial" w:cs="Arial"/>
          <w:sz w:val="21"/>
          <w:szCs w:val="21"/>
        </w:rPr>
        <w:t>国务院办公厅关于加快发展保障性租赁住房的意见</w:t>
      </w:r>
      <w:r>
        <w:rPr>
          <w:rFonts w:hint="eastAsia"/>
        </w:rPr>
        <w:t>》</w:t>
      </w:r>
      <w:r>
        <w:rPr>
          <w:rFonts w:hint="eastAsia" w:ascii="Arial" w:hAnsi="Arial" w:cs="Arial"/>
          <w:sz w:val="21"/>
          <w:szCs w:val="21"/>
        </w:rPr>
        <w:t>（国办发〔2021〕22号）</w:t>
      </w:r>
    </w:p>
    <w:p w14:paraId="3F1A8B88">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8</w:t>
      </w:r>
      <w:r>
        <w:rPr>
          <w:rFonts w:ascii="Arial" w:hAnsi="Arial" w:cs="Arial"/>
          <w:sz w:val="21"/>
          <w:szCs w:val="21"/>
        </w:rPr>
        <w:t>.</w:t>
      </w:r>
      <w:r>
        <w:rPr>
          <w:rFonts w:hint="eastAsia"/>
        </w:rPr>
        <w:t xml:space="preserve"> </w:t>
      </w:r>
      <w:r>
        <w:rPr>
          <w:rFonts w:hint="eastAsia" w:ascii="Arial" w:hAnsi="Arial" w:cs="Arial"/>
          <w:sz w:val="21"/>
          <w:szCs w:val="21"/>
        </w:rPr>
        <w:t>《北京市住房和城乡建设委员会等四部门关于进一步规范本市新供住宅项目配建公租房、保障性租赁住房工作的通知》（京建发〔2021〕389号）</w:t>
      </w:r>
    </w:p>
    <w:p w14:paraId="7867BDFD">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9</w:t>
      </w:r>
      <w:r>
        <w:rPr>
          <w:rFonts w:ascii="Arial" w:hAnsi="Arial" w:cs="Arial"/>
          <w:sz w:val="21"/>
          <w:szCs w:val="21"/>
        </w:rPr>
        <w:t>.</w:t>
      </w:r>
      <w:r>
        <w:rPr>
          <w:rFonts w:hint="eastAsia" w:ascii="Arial" w:hAnsi="Arial" w:cs="Arial"/>
          <w:sz w:val="21"/>
          <w:szCs w:val="21"/>
        </w:rPr>
        <w:t xml:space="preserve"> 《北京市人民政府办公厅印发〈北京市关于加快发展保障性租赁住房的实施方案〉的通知》（京政办发〔2022〕9号）</w:t>
      </w:r>
    </w:p>
    <w:p w14:paraId="3EF08E18">
      <w:pPr>
        <w:wordWrap w:val="0"/>
        <w:overflowPunct w:val="0"/>
        <w:spacing w:line="480" w:lineRule="auto"/>
        <w:jc w:val="both"/>
        <w:textAlignment w:val="auto"/>
        <w:rPr>
          <w:rFonts w:hint="eastAsia" w:ascii="Arial" w:hAnsi="Arial" w:cs="Arial"/>
          <w:sz w:val="21"/>
          <w:szCs w:val="21"/>
        </w:rPr>
      </w:pPr>
      <w:r>
        <w:rPr>
          <w:rFonts w:ascii="Arial" w:hAnsi="Arial" w:cs="Arial"/>
          <w:sz w:val="21"/>
          <w:szCs w:val="21"/>
        </w:rPr>
        <w:t>10.</w:t>
      </w:r>
      <w:r>
        <w:rPr>
          <w:rFonts w:hint="eastAsia" w:ascii="Arial" w:hAnsi="Arial" w:cs="Arial"/>
          <w:sz w:val="21"/>
          <w:szCs w:val="21"/>
        </w:rPr>
        <w:t>《北京市住房和城乡建设委员会 北京市发展和改革委员会 北京市规划和自然资源委员会关于印发2022年全市首批保障性住房开竣工项目建设计划的通知》（京建发[2022]121号）</w:t>
      </w:r>
    </w:p>
    <w:p w14:paraId="6512E983">
      <w:pPr>
        <w:wordWrap w:val="0"/>
        <w:overflowPunct w:val="0"/>
        <w:spacing w:line="480" w:lineRule="auto"/>
        <w:jc w:val="both"/>
        <w:textAlignment w:val="auto"/>
        <w:rPr>
          <w:rFonts w:hint="eastAsia" w:ascii="Arial" w:hAnsi="Arial" w:eastAsia="宋体" w:cs="Arial"/>
          <w:sz w:val="21"/>
          <w:szCs w:val="21"/>
          <w:lang w:eastAsia="zh-CN"/>
        </w:rPr>
      </w:pPr>
      <w:r>
        <w:rPr>
          <w:rFonts w:hint="eastAsia" w:ascii="Arial" w:hAnsi="Arial" w:cs="Arial"/>
          <w:sz w:val="21"/>
          <w:szCs w:val="21"/>
          <w:lang w:val="en-US" w:eastAsia="zh-CN"/>
        </w:rPr>
        <w:t>11.</w:t>
      </w:r>
      <w:r>
        <w:rPr>
          <w:rFonts w:hint="eastAsia" w:ascii="Arial" w:hAnsi="Arial" w:cs="Arial"/>
          <w:sz w:val="21"/>
          <w:szCs w:val="21"/>
        </w:rPr>
        <w:t>《住房租赁条例》</w:t>
      </w:r>
      <w:r>
        <w:rPr>
          <w:rFonts w:hint="eastAsia" w:ascii="Arial" w:hAnsi="Arial" w:cs="Arial"/>
          <w:sz w:val="21"/>
          <w:szCs w:val="21"/>
          <w:lang w:eastAsia="zh-CN"/>
        </w:rPr>
        <w:t>（</w:t>
      </w:r>
      <w:r>
        <w:rPr>
          <w:rFonts w:hint="eastAsia" w:ascii="Arial" w:hAnsi="Arial" w:cs="Arial"/>
          <w:sz w:val="21"/>
          <w:szCs w:val="21"/>
        </w:rPr>
        <w:t>国务院令第812号</w:t>
      </w:r>
      <w:r>
        <w:rPr>
          <w:rFonts w:hint="eastAsia" w:ascii="Arial" w:hAnsi="Arial" w:cs="Arial"/>
          <w:sz w:val="21"/>
          <w:szCs w:val="21"/>
          <w:lang w:eastAsia="zh-CN"/>
        </w:rPr>
        <w:t>）</w:t>
      </w:r>
    </w:p>
    <w:p w14:paraId="2D87F9E0">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w:t>
      </w:r>
      <w:r>
        <w:rPr>
          <w:rFonts w:hint="eastAsia" w:ascii="Arial" w:hAnsi="Arial" w:cs="Arial"/>
          <w:sz w:val="21"/>
          <w:szCs w:val="21"/>
          <w:lang w:val="en-US" w:eastAsia="zh-CN"/>
        </w:rPr>
        <w:t>2</w:t>
      </w:r>
      <w:r>
        <w:rPr>
          <w:rFonts w:hint="eastAsia" w:ascii="Arial" w:hAnsi="Arial" w:cs="Arial"/>
          <w:sz w:val="21"/>
          <w:szCs w:val="21"/>
        </w:rPr>
        <w:t>.《北京市保障性租赁住房建设导则（试行）》（京建发〔2022〕105号）</w:t>
      </w:r>
    </w:p>
    <w:p w14:paraId="5489C0F8">
      <w:pPr>
        <w:wordWrap w:val="0"/>
        <w:overflowPunct w:val="0"/>
        <w:spacing w:line="480" w:lineRule="auto"/>
        <w:jc w:val="both"/>
        <w:textAlignment w:val="auto"/>
        <w:rPr>
          <w:rFonts w:ascii="Arial" w:hAnsi="Arial" w:cs="Arial"/>
          <w:sz w:val="21"/>
          <w:szCs w:val="21"/>
        </w:rPr>
      </w:pPr>
      <w:r>
        <w:rPr>
          <w:rFonts w:ascii="Arial" w:hAnsi="Arial" w:cs="Arial"/>
          <w:b/>
          <w:sz w:val="21"/>
          <w:szCs w:val="21"/>
        </w:rPr>
        <w:t>（</w:t>
      </w:r>
      <w:r>
        <w:rPr>
          <w:rFonts w:hint="eastAsia" w:ascii="Arial" w:hAnsi="Arial" w:cs="Arial"/>
          <w:b/>
          <w:sz w:val="21"/>
          <w:szCs w:val="21"/>
        </w:rPr>
        <w:t>二</w:t>
      </w:r>
      <w:r>
        <w:rPr>
          <w:rFonts w:ascii="Arial" w:hAnsi="Arial" w:cs="Arial"/>
          <w:b/>
          <w:sz w:val="21"/>
          <w:szCs w:val="21"/>
        </w:rPr>
        <w:t>）</w:t>
      </w:r>
      <w:r>
        <w:rPr>
          <w:rFonts w:hint="eastAsia" w:ascii="Arial" w:hAnsi="Arial" w:cs="Arial"/>
          <w:b/>
          <w:sz w:val="21"/>
          <w:szCs w:val="21"/>
        </w:rPr>
        <w:t>技术标准</w:t>
      </w:r>
    </w:p>
    <w:p w14:paraId="43BCC595">
      <w:pPr>
        <w:numPr>
          <w:ilvl w:val="0"/>
          <w:numId w:val="6"/>
        </w:numPr>
        <w:wordWrap w:val="0"/>
        <w:overflowPunct w:val="0"/>
        <w:spacing w:line="480" w:lineRule="auto"/>
        <w:ind w:left="0" w:firstLine="0"/>
        <w:jc w:val="both"/>
        <w:textAlignment w:val="auto"/>
        <w:rPr>
          <w:rFonts w:ascii="Arial" w:hAnsi="Arial" w:cs="Arial"/>
          <w:sz w:val="21"/>
          <w:szCs w:val="21"/>
        </w:rPr>
      </w:pPr>
      <w:r>
        <w:rPr>
          <w:rFonts w:ascii="Arial" w:hAnsi="Arial" w:cs="Arial"/>
          <w:sz w:val="21"/>
          <w:szCs w:val="21"/>
        </w:rPr>
        <w:t>《房地产估价规范》[GB/T</w:t>
      </w:r>
      <w:r>
        <w:rPr>
          <w:rFonts w:hint="eastAsia" w:ascii="Arial" w:hAnsi="Arial" w:cs="Arial"/>
          <w:sz w:val="21"/>
          <w:szCs w:val="21"/>
        </w:rPr>
        <w:t xml:space="preserve"> </w:t>
      </w:r>
      <w:r>
        <w:rPr>
          <w:rFonts w:ascii="Arial" w:hAnsi="Arial" w:cs="Arial"/>
          <w:sz w:val="21"/>
          <w:szCs w:val="21"/>
        </w:rPr>
        <w:t>50291-2015]</w:t>
      </w:r>
    </w:p>
    <w:p w14:paraId="3BF4B6A7">
      <w:pPr>
        <w:numPr>
          <w:ilvl w:val="0"/>
          <w:numId w:val="6"/>
        </w:numPr>
        <w:wordWrap w:val="0"/>
        <w:overflowPunct w:val="0"/>
        <w:spacing w:line="480" w:lineRule="auto"/>
        <w:ind w:left="0" w:firstLine="0"/>
        <w:jc w:val="both"/>
        <w:textAlignment w:val="auto"/>
        <w:rPr>
          <w:rFonts w:ascii="Arial" w:hAnsi="Arial" w:cs="Arial"/>
          <w:sz w:val="21"/>
          <w:szCs w:val="21"/>
        </w:rPr>
      </w:pPr>
      <w:r>
        <w:rPr>
          <w:rFonts w:hint="eastAsia" w:ascii="Arial" w:hAnsi="Arial" w:cs="Arial"/>
          <w:sz w:val="21"/>
          <w:szCs w:val="21"/>
        </w:rPr>
        <w:t>《</w:t>
      </w:r>
      <w:r>
        <w:rPr>
          <w:rFonts w:ascii="Arial" w:hAnsi="Arial" w:cs="Arial"/>
          <w:sz w:val="21"/>
          <w:szCs w:val="21"/>
        </w:rPr>
        <w:t>房地产估价基本术语标</w:t>
      </w:r>
      <w:r>
        <w:rPr>
          <w:rFonts w:hint="eastAsia" w:ascii="Arial" w:hAnsi="Arial" w:cs="Arial"/>
          <w:sz w:val="21"/>
          <w:szCs w:val="21"/>
        </w:rPr>
        <w:t>准》</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50899-2013]</w:t>
      </w:r>
    </w:p>
    <w:p w14:paraId="360FF01F">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hint="eastAsia" w:ascii="Arial" w:hAnsi="Arial" w:cs="Arial"/>
          <w:b/>
          <w:sz w:val="21"/>
          <w:szCs w:val="21"/>
        </w:rPr>
        <w:t>三</w:t>
      </w:r>
      <w:r>
        <w:rPr>
          <w:rFonts w:ascii="Arial" w:hAnsi="Arial" w:cs="Arial"/>
          <w:b/>
          <w:sz w:val="21"/>
          <w:szCs w:val="21"/>
        </w:rPr>
        <w:t>）估价委托人提供的资料</w:t>
      </w:r>
    </w:p>
    <w:p w14:paraId="1C7BABBB">
      <w:pPr>
        <w:numPr>
          <w:ilvl w:val="0"/>
          <w:numId w:val="7"/>
        </w:numPr>
        <w:overflowPunct w:val="0"/>
        <w:spacing w:line="480" w:lineRule="auto"/>
        <w:ind w:left="0" w:firstLine="0"/>
        <w:jc w:val="both"/>
        <w:textAlignment w:val="auto"/>
        <w:rPr>
          <w:rFonts w:ascii="Arial" w:hAnsi="Arial" w:cs="Arial"/>
          <w:sz w:val="21"/>
          <w:szCs w:val="21"/>
        </w:rPr>
      </w:pPr>
      <w:r>
        <w:rPr>
          <w:rFonts w:hint="eastAsia" w:ascii="Arial" w:hAnsi="Arial" w:cs="Arial"/>
          <w:sz w:val="21"/>
          <w:szCs w:val="21"/>
        </w:rPr>
        <w:t>《估价委托书》</w:t>
      </w:r>
    </w:p>
    <w:p w14:paraId="4F77EFF0">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《北京市大兴区住房和城乡建设委员会 关于向燕兴公司出售我区安置房剩余房源资产的请示》[京兴建文（2026）20号]及其附件复印件</w:t>
      </w:r>
    </w:p>
    <w:p w14:paraId="473C9D35">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《北京市燕兴保障性住房建设投资有限公司 关于保留原房屋产权性质的请示》[燕兴建投文（2026）08号]复印件</w:t>
      </w:r>
    </w:p>
    <w:p w14:paraId="7B67DDFB">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《北京市规划和自然资源委员会 大兴分局关于燕兴保障房公司保留原房屋产权性质有关意见的报告》[京规自兴文（2026）91号]复印件</w:t>
      </w:r>
    </w:p>
    <w:p w14:paraId="5ABBDD51">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《北京市保障性住房收购合同》及其附件复印件</w:t>
      </w:r>
    </w:p>
    <w:p w14:paraId="7426656F">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lang w:eastAsia="zh-CN"/>
        </w:rPr>
        <w:t>《不动产权证书》[京（2026）大不动产权第0006890、0007126、0007158号]部分</w:t>
      </w:r>
      <w:r>
        <w:rPr>
          <w:rFonts w:hint="eastAsia" w:ascii="Arial" w:hAnsi="Arial" w:cs="Arial"/>
          <w:sz w:val="21"/>
          <w:szCs w:val="21"/>
        </w:rPr>
        <w:t>复印件</w:t>
      </w:r>
    </w:p>
    <w:p w14:paraId="000E3A94">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估价委托人《营业执照（副本）》复印件</w:t>
      </w:r>
    </w:p>
    <w:p w14:paraId="3CE9FEEE">
      <w:pPr>
        <w:wordWrap w:val="0"/>
        <w:overflowPunct w:val="0"/>
        <w:spacing w:line="480" w:lineRule="auto"/>
        <w:jc w:val="both"/>
        <w:textAlignment w:val="auto"/>
        <w:rPr>
          <w:rFonts w:ascii="Arial" w:hAnsi="Arial" w:cs="Arial"/>
          <w:b/>
          <w:sz w:val="21"/>
          <w:szCs w:val="21"/>
        </w:rPr>
      </w:pPr>
      <w:r>
        <w:rPr>
          <w:rFonts w:ascii="Arial" w:hAnsi="Arial" w:cs="Arial"/>
          <w:b/>
          <w:sz w:val="21"/>
          <w:szCs w:val="21"/>
        </w:rPr>
        <w:t>（四）评估专业人员实地查勘的有关资料</w:t>
      </w:r>
    </w:p>
    <w:p w14:paraId="77E5CF05">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（五）</w:t>
      </w:r>
      <w:r>
        <w:rPr>
          <w:rFonts w:hint="eastAsia" w:ascii="Arial" w:hAnsi="Arial" w:cs="Arial"/>
          <w:b/>
          <w:sz w:val="21"/>
          <w:szCs w:val="21"/>
        </w:rPr>
        <w:t>房地产</w:t>
      </w:r>
      <w:r>
        <w:rPr>
          <w:rFonts w:ascii="Arial" w:hAnsi="Arial" w:cs="Arial"/>
          <w:b/>
          <w:sz w:val="21"/>
          <w:szCs w:val="21"/>
        </w:rPr>
        <w:t>估价机构资质证书</w:t>
      </w:r>
    </w:p>
    <w:p w14:paraId="4643E322">
      <w:pPr>
        <w:wordWrap w:val="0"/>
        <w:overflowPunct w:val="0"/>
        <w:spacing w:line="360" w:lineRule="auto"/>
        <w:ind w:firstLine="420" w:firstLineChars="200"/>
        <w:jc w:val="both"/>
        <w:textAlignment w:val="auto"/>
        <w:rPr>
          <w:rFonts w:ascii="Arial" w:hAnsi="Arial" w:cs="Arial"/>
          <w:sz w:val="21"/>
          <w:szCs w:val="21"/>
        </w:rPr>
      </w:pPr>
      <w:bookmarkStart w:id="35" w:name="_Toc168225821"/>
    </w:p>
    <w:p w14:paraId="356D73FB">
      <w:pPr>
        <w:pStyle w:val="3"/>
        <w:numPr>
          <w:ilvl w:val="0"/>
          <w:numId w:val="8"/>
        </w:numPr>
        <w:wordWrap w:val="0"/>
        <w:overflowPunct w:val="0"/>
        <w:spacing w:line="480" w:lineRule="auto"/>
        <w:ind w:left="358" w:hanging="358"/>
        <w:jc w:val="both"/>
        <w:textAlignment w:val="auto"/>
        <w:rPr>
          <w:rFonts w:eastAsia="宋体"/>
          <w:kern w:val="2"/>
          <w:sz w:val="21"/>
          <w:szCs w:val="21"/>
        </w:rPr>
      </w:pPr>
      <w:bookmarkStart w:id="36" w:name="_Toc155267094"/>
      <w:r>
        <w:rPr>
          <w:rFonts w:eastAsia="宋体"/>
          <w:kern w:val="2"/>
          <w:sz w:val="21"/>
          <w:szCs w:val="21"/>
        </w:rPr>
        <w:t>估价方法</w:t>
      </w:r>
      <w:bookmarkEnd w:id="35"/>
      <w:bookmarkEnd w:id="36"/>
    </w:p>
    <w:p w14:paraId="43073BDA">
      <w:pPr>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由于本次评估是</w:t>
      </w:r>
      <w:r>
        <w:rPr>
          <w:rFonts w:hint="eastAsia" w:ascii="Arial" w:hAnsi="Arial" w:cs="Arial"/>
          <w:sz w:val="21"/>
          <w:szCs w:val="21"/>
        </w:rPr>
        <w:t>为估价委托人合理确定保障性租赁住房项目租金提供参考依据</w:t>
      </w:r>
      <w:r>
        <w:rPr>
          <w:rFonts w:ascii="Arial" w:hAnsi="Arial" w:cs="Arial"/>
          <w:sz w:val="21"/>
          <w:szCs w:val="21"/>
        </w:rPr>
        <w:t>，因此我们在认真分析研究估价对象的相关资料，并通过对邻近地区同类物业调查的基础上，根据《房地产估价规范》</w:t>
      </w:r>
      <w:r>
        <w:rPr>
          <w:rFonts w:hint="eastAsia" w:ascii="Arial" w:hAnsi="Arial" w:cs="Arial"/>
          <w:sz w:val="21"/>
          <w:szCs w:val="21"/>
        </w:rPr>
        <w:t>（</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50291-2015</w:t>
      </w:r>
      <w:r>
        <w:rPr>
          <w:rFonts w:hint="eastAsia" w:ascii="Arial" w:hAnsi="Arial" w:cs="Arial"/>
          <w:sz w:val="21"/>
          <w:szCs w:val="21"/>
        </w:rPr>
        <w:t>）</w:t>
      </w:r>
      <w:r>
        <w:rPr>
          <w:rFonts w:ascii="Arial" w:hAnsi="Arial" w:cs="Arial"/>
          <w:sz w:val="21"/>
          <w:szCs w:val="21"/>
        </w:rPr>
        <w:t>的估价程序，选用</w:t>
      </w:r>
      <w:r>
        <w:rPr>
          <w:rFonts w:hint="eastAsia" w:ascii="Arial" w:hAnsi="Arial" w:cs="Arial"/>
          <w:sz w:val="21"/>
          <w:szCs w:val="21"/>
        </w:rPr>
        <w:t>比较法</w:t>
      </w:r>
      <w:r>
        <w:rPr>
          <w:rFonts w:ascii="Arial" w:hAnsi="Arial" w:cs="Arial"/>
          <w:sz w:val="21"/>
          <w:szCs w:val="21"/>
        </w:rPr>
        <w:t>为主方法进行估价</w:t>
      </w:r>
      <w:r>
        <w:rPr>
          <w:rFonts w:hint="eastAsia" w:ascii="Arial" w:hAnsi="Arial" w:cs="Arial"/>
          <w:sz w:val="21"/>
          <w:szCs w:val="21"/>
        </w:rPr>
        <w:t>，进而确定</w:t>
      </w:r>
      <w:r>
        <w:rPr>
          <w:rFonts w:hint="eastAsia" w:ascii="Arial" w:hAnsi="Arial"/>
          <w:sz w:val="21"/>
          <w:szCs w:val="21"/>
        </w:rPr>
        <w:t>估价对象</w:t>
      </w:r>
      <w:r>
        <w:rPr>
          <w:rFonts w:hint="eastAsia" w:ascii="Arial" w:hAnsi="Arial" w:cs="Arial"/>
          <w:sz w:val="21"/>
          <w:szCs w:val="21"/>
        </w:rPr>
        <w:t>市场租金价格水平。</w:t>
      </w:r>
    </w:p>
    <w:p w14:paraId="078FE19B">
      <w:pPr>
        <w:pStyle w:val="60"/>
        <w:wordWrap w:val="0"/>
        <w:overflowPunct w:val="0"/>
        <w:autoSpaceDE w:val="0"/>
        <w:autoSpaceDN w:val="0"/>
        <w:spacing w:line="480" w:lineRule="auto"/>
        <w:ind w:right="140"/>
        <w:jc w:val="both"/>
        <w:textAlignment w:val="auto"/>
        <w:rPr>
          <w:rFonts w:ascii="Arial" w:hAnsi="Arial" w:cs="Arial"/>
          <w:b/>
          <w:sz w:val="21"/>
          <w:szCs w:val="21"/>
        </w:rPr>
      </w:pPr>
      <w:r>
        <w:rPr>
          <w:rFonts w:hint="eastAsia" w:ascii="Arial" w:hAnsi="Arial" w:cs="Arial"/>
          <w:b/>
          <w:sz w:val="21"/>
          <w:szCs w:val="21"/>
        </w:rPr>
        <w:t>（一）估价思路</w:t>
      </w:r>
      <w:r>
        <w:rPr>
          <w:rFonts w:ascii="Arial" w:hAnsi="Arial" w:cs="Arial"/>
          <w:b/>
          <w:sz w:val="21"/>
          <w:szCs w:val="21"/>
        </w:rPr>
        <w:t xml:space="preserve"> </w:t>
      </w:r>
    </w:p>
    <w:p w14:paraId="35CEAEC2">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本次选用比较法对估价对象的市场租金水平进行测算，具体测算思路如下：</w:t>
      </w:r>
    </w:p>
    <w:p w14:paraId="55130BD6">
      <w:pPr>
        <w:pStyle w:val="60"/>
        <w:wordWrap w:val="0"/>
        <w:overflowPunct w:val="0"/>
        <w:autoSpaceDE w:val="0"/>
        <w:autoSpaceDN w:val="0"/>
        <w:snapToGrid w:val="0"/>
        <w:spacing w:line="480" w:lineRule="auto"/>
        <w:ind w:firstLine="420" w:firstLineChars="200"/>
        <w:jc w:val="both"/>
        <w:textAlignment w:val="auto"/>
        <w:rPr>
          <w:rFonts w:ascii="Arial" w:hAnsi="Arial" w:cs="Arial"/>
          <w:sz w:val="21"/>
          <w:szCs w:val="21"/>
        </w:rPr>
      </w:pPr>
      <w:r>
        <w:rPr>
          <w:rFonts w:ascii="Arial" w:hAnsi="Arial" w:cs="Arial"/>
          <w:sz w:val="21"/>
          <w:szCs w:val="21"/>
        </w:rPr>
        <w:t>1.</w:t>
      </w:r>
      <w:r>
        <w:rPr>
          <w:rFonts w:hint="eastAsia" w:ascii="Arial" w:hAnsi="Arial" w:cs="Arial"/>
          <w:sz w:val="21"/>
          <w:szCs w:val="21"/>
        </w:rPr>
        <w:t>首先，根据估价委托人提供的</w:t>
      </w:r>
      <w:r>
        <w:rPr>
          <w:rFonts w:hint="eastAsia" w:ascii="Arial" w:hAnsi="Arial" w:cs="Arial"/>
          <w:kern w:val="2"/>
          <w:sz w:val="21"/>
        </w:rPr>
        <w:t>《</w:t>
      </w:r>
      <w:r>
        <w:rPr>
          <w:rFonts w:hint="eastAsia" w:ascii="Arial" w:hAnsi="Arial" w:cs="Arial"/>
          <w:kern w:val="2"/>
          <w:sz w:val="21"/>
          <w:szCs w:val="21"/>
        </w:rPr>
        <w:t>估价委托书</w:t>
      </w:r>
      <w:r>
        <w:rPr>
          <w:rFonts w:hint="eastAsia" w:ascii="Arial" w:hAnsi="Arial" w:cs="Arial"/>
          <w:kern w:val="2"/>
          <w:sz w:val="21"/>
        </w:rPr>
        <w:t>》、</w:t>
      </w:r>
      <w:r>
        <w:rPr>
          <w:rFonts w:hint="eastAsia" w:ascii="Arial" w:hAnsi="Arial" w:cs="Arial"/>
          <w:sz w:val="21"/>
          <w:szCs w:val="21"/>
        </w:rPr>
        <w:t>《北京市保障性住房收购合同》及其附件，本次评估的标准房设定如下，标准房是指参照特定保障性租赁住房项目的建筑类型、结构、户型（含面积）、装饰装修、设施设备、家具家电、楼层、朝向等指标进行分类，分别设定的具有代表性的房屋。标准房设定时，其结构、装饰装修、设施设备、家具家电按照众数设定，楼层、朝向按保障性租赁住房项目中最优条件确定：</w:t>
      </w:r>
    </w:p>
    <w:tbl>
      <w:tblPr>
        <w:tblStyle w:val="33"/>
        <w:tblW w:w="9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556"/>
        <w:gridCol w:w="1625"/>
        <w:gridCol w:w="1693"/>
        <w:gridCol w:w="1557"/>
        <w:gridCol w:w="1491"/>
        <w:gridCol w:w="1491"/>
      </w:tblGrid>
      <w:tr w14:paraId="673A5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56B9F5E5">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w:t>
            </w:r>
          </w:p>
        </w:tc>
        <w:tc>
          <w:tcPr>
            <w:tcW w:w="1625" w:type="dxa"/>
          </w:tcPr>
          <w:p w14:paraId="371B3446">
            <w:pPr>
              <w:snapToGrid w:val="0"/>
              <w:spacing w:line="240" w:lineRule="exact"/>
              <w:jc w:val="center"/>
              <w:rPr>
                <w:rFonts w:ascii="Arial" w:hAnsi="Arial" w:eastAsia="华文细黑" w:cs="Arial"/>
                <w:sz w:val="18"/>
                <w:szCs w:val="18"/>
              </w:rPr>
            </w:pPr>
            <w:r>
              <w:rPr>
                <w:rFonts w:ascii="Arial" w:hAnsi="Arial" w:eastAsia="华文细黑" w:cs="Arial"/>
                <w:sz w:val="18"/>
                <w:szCs w:val="18"/>
              </w:rPr>
              <w:t>户型</w:t>
            </w:r>
          </w:p>
        </w:tc>
        <w:tc>
          <w:tcPr>
            <w:tcW w:w="1693" w:type="dxa"/>
          </w:tcPr>
          <w:p w14:paraId="29B1325B">
            <w:pPr>
              <w:snapToGrid w:val="0"/>
              <w:spacing w:line="240" w:lineRule="exact"/>
              <w:jc w:val="center"/>
              <w:rPr>
                <w:rFonts w:ascii="Arial" w:hAnsi="Arial" w:eastAsia="华文细黑" w:cs="Arial"/>
                <w:sz w:val="18"/>
                <w:szCs w:val="18"/>
              </w:rPr>
            </w:pPr>
            <w:r>
              <w:rPr>
                <w:rFonts w:ascii="Arial" w:hAnsi="Arial" w:eastAsia="华文细黑" w:cs="Arial"/>
                <w:sz w:val="18"/>
                <w:szCs w:val="18"/>
              </w:rPr>
              <w:t>建筑面积（㎡）</w:t>
            </w:r>
          </w:p>
        </w:tc>
        <w:tc>
          <w:tcPr>
            <w:tcW w:w="1557" w:type="dxa"/>
          </w:tcPr>
          <w:p w14:paraId="0DE58722">
            <w:pPr>
              <w:snapToGrid w:val="0"/>
              <w:spacing w:line="240" w:lineRule="exact"/>
              <w:jc w:val="center"/>
              <w:rPr>
                <w:rFonts w:ascii="Arial" w:hAnsi="Arial" w:eastAsia="华文细黑" w:cs="Arial"/>
                <w:sz w:val="18"/>
                <w:szCs w:val="18"/>
              </w:rPr>
            </w:pPr>
            <w:r>
              <w:rPr>
                <w:rFonts w:ascii="Arial" w:hAnsi="Arial" w:eastAsia="华文细黑" w:cs="Arial"/>
                <w:sz w:val="18"/>
                <w:szCs w:val="18"/>
              </w:rPr>
              <w:t>朝向</w:t>
            </w:r>
          </w:p>
        </w:tc>
        <w:tc>
          <w:tcPr>
            <w:tcW w:w="1491" w:type="dxa"/>
          </w:tcPr>
          <w:p w14:paraId="397DCE10">
            <w:pPr>
              <w:snapToGrid w:val="0"/>
              <w:spacing w:line="240" w:lineRule="exact"/>
              <w:jc w:val="center"/>
              <w:rPr>
                <w:rFonts w:ascii="Arial" w:hAnsi="Arial" w:eastAsia="华文细黑" w:cs="Arial"/>
                <w:sz w:val="18"/>
                <w:szCs w:val="18"/>
              </w:rPr>
            </w:pPr>
            <w:r>
              <w:rPr>
                <w:rFonts w:ascii="Arial" w:hAnsi="Arial" w:eastAsia="华文细黑" w:cs="Arial"/>
                <w:sz w:val="18"/>
                <w:szCs w:val="18"/>
              </w:rPr>
              <w:t>楼层</w:t>
            </w:r>
          </w:p>
        </w:tc>
        <w:tc>
          <w:tcPr>
            <w:tcW w:w="1491" w:type="dxa"/>
          </w:tcPr>
          <w:p w14:paraId="2A5703D2">
            <w:pPr>
              <w:snapToGrid w:val="0"/>
              <w:spacing w:line="240" w:lineRule="exact"/>
              <w:jc w:val="center"/>
              <w:rPr>
                <w:rFonts w:ascii="Arial" w:hAnsi="Arial" w:eastAsia="华文细黑" w:cs="Arial"/>
                <w:sz w:val="18"/>
                <w:szCs w:val="18"/>
              </w:rPr>
            </w:pPr>
            <w:r>
              <w:rPr>
                <w:rFonts w:ascii="Arial" w:hAnsi="Arial" w:eastAsia="华文细黑" w:cs="Arial"/>
                <w:sz w:val="18"/>
                <w:szCs w:val="18"/>
              </w:rPr>
              <w:t>装修</w:t>
            </w:r>
          </w:p>
        </w:tc>
      </w:tr>
      <w:tr w14:paraId="22C5A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44536604">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标准房1</w:t>
            </w:r>
          </w:p>
        </w:tc>
        <w:tc>
          <w:tcPr>
            <w:tcW w:w="1625" w:type="dxa"/>
          </w:tcPr>
          <w:p w14:paraId="4E7D8F9A">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开  间</w:t>
            </w:r>
          </w:p>
        </w:tc>
        <w:tc>
          <w:tcPr>
            <w:tcW w:w="1693" w:type="dxa"/>
          </w:tcPr>
          <w:p w14:paraId="41FAF338">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60.49</w:t>
            </w:r>
          </w:p>
        </w:tc>
        <w:tc>
          <w:tcPr>
            <w:tcW w:w="1557" w:type="dxa"/>
          </w:tcPr>
          <w:p w14:paraId="535170E0">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w:t>
            </w:r>
          </w:p>
        </w:tc>
        <w:tc>
          <w:tcPr>
            <w:tcW w:w="1491" w:type="dxa"/>
          </w:tcPr>
          <w:p w14:paraId="766430CA">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7CB0B967">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中档装修</w:t>
            </w:r>
          </w:p>
        </w:tc>
      </w:tr>
      <w:tr w14:paraId="293F6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1399B5E4">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标准房2</w:t>
            </w:r>
          </w:p>
        </w:tc>
        <w:tc>
          <w:tcPr>
            <w:tcW w:w="1625" w:type="dxa"/>
          </w:tcPr>
          <w:p w14:paraId="0AE3A587">
            <w:pPr>
              <w:snapToGrid w:val="0"/>
              <w:spacing w:line="240" w:lineRule="exact"/>
              <w:jc w:val="center"/>
              <w:rPr>
                <w:rFonts w:ascii="Arial" w:hAnsi="Arial" w:eastAsia="华文细黑" w:cs="Arial"/>
                <w:sz w:val="18"/>
                <w:szCs w:val="18"/>
              </w:rPr>
            </w:pPr>
            <w:r>
              <w:rPr>
                <w:rFonts w:ascii="Arial" w:hAnsi="Arial" w:eastAsia="华文细黑" w:cs="Arial"/>
                <w:sz w:val="18"/>
                <w:szCs w:val="18"/>
              </w:rPr>
              <w:t>一居室</w:t>
            </w:r>
          </w:p>
        </w:tc>
        <w:tc>
          <w:tcPr>
            <w:tcW w:w="1693" w:type="dxa"/>
          </w:tcPr>
          <w:p w14:paraId="5A51DA46">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74.00</w:t>
            </w:r>
          </w:p>
        </w:tc>
        <w:tc>
          <w:tcPr>
            <w:tcW w:w="1557" w:type="dxa"/>
          </w:tcPr>
          <w:p w14:paraId="112F8C0B">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681C48F3">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20279302">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中档装修</w:t>
            </w:r>
          </w:p>
        </w:tc>
      </w:tr>
      <w:tr w14:paraId="02C0F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00BD43B0">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标准房3</w:t>
            </w:r>
          </w:p>
        </w:tc>
        <w:tc>
          <w:tcPr>
            <w:tcW w:w="1625" w:type="dxa"/>
          </w:tcPr>
          <w:p w14:paraId="77DA616B">
            <w:pPr>
              <w:snapToGrid w:val="0"/>
              <w:spacing w:line="240" w:lineRule="exact"/>
              <w:jc w:val="center"/>
              <w:rPr>
                <w:rFonts w:ascii="Arial" w:hAnsi="Arial" w:eastAsia="华文细黑" w:cs="Arial"/>
                <w:sz w:val="18"/>
                <w:szCs w:val="18"/>
              </w:rPr>
            </w:pPr>
            <w:r>
              <w:rPr>
                <w:rFonts w:ascii="Arial" w:hAnsi="Arial" w:eastAsia="华文细黑" w:cs="Arial"/>
                <w:sz w:val="18"/>
                <w:szCs w:val="18"/>
              </w:rPr>
              <w:t>一居室</w:t>
            </w:r>
          </w:p>
        </w:tc>
        <w:tc>
          <w:tcPr>
            <w:tcW w:w="1693" w:type="dxa"/>
          </w:tcPr>
          <w:p w14:paraId="0FD845B4">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82.85</w:t>
            </w:r>
          </w:p>
        </w:tc>
        <w:tc>
          <w:tcPr>
            <w:tcW w:w="1557" w:type="dxa"/>
          </w:tcPr>
          <w:p w14:paraId="76F6C4C2">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w:t>
            </w:r>
          </w:p>
        </w:tc>
        <w:tc>
          <w:tcPr>
            <w:tcW w:w="1491" w:type="dxa"/>
          </w:tcPr>
          <w:p w14:paraId="73E7336B">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07AC9446">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中档装修</w:t>
            </w:r>
          </w:p>
        </w:tc>
      </w:tr>
      <w:tr w14:paraId="5100A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90" w:hRule="atLeast"/>
          <w:jc w:val="center"/>
        </w:trPr>
        <w:tc>
          <w:tcPr>
            <w:tcW w:w="1556" w:type="dxa"/>
          </w:tcPr>
          <w:p w14:paraId="3F46BC8A">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w:t>
            </w:r>
            <w:r>
              <w:rPr>
                <w:rFonts w:hint="eastAsia" w:ascii="Arial" w:hAnsi="Arial" w:eastAsia="华文细黑" w:cs="Arial"/>
                <w:sz w:val="18"/>
                <w:szCs w:val="18"/>
              </w:rPr>
              <w:t>4</w:t>
            </w:r>
          </w:p>
        </w:tc>
        <w:tc>
          <w:tcPr>
            <w:tcW w:w="1625" w:type="dxa"/>
          </w:tcPr>
          <w:p w14:paraId="17BBD939">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两居室</w:t>
            </w:r>
          </w:p>
        </w:tc>
        <w:tc>
          <w:tcPr>
            <w:tcW w:w="1693" w:type="dxa"/>
          </w:tcPr>
          <w:p w14:paraId="1C891715">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99.64</w:t>
            </w:r>
          </w:p>
        </w:tc>
        <w:tc>
          <w:tcPr>
            <w:tcW w:w="1557" w:type="dxa"/>
          </w:tcPr>
          <w:p w14:paraId="52473D05">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11FCD218">
            <w:pPr>
              <w:snapToGrid w:val="0"/>
              <w:spacing w:line="240" w:lineRule="exact"/>
              <w:jc w:val="center"/>
              <w:rPr>
                <w:rFonts w:hint="eastAsia" w:ascii="华文细黑" w:hAnsi="华文细黑" w:eastAsia="华文细黑" w:cs="Arial"/>
                <w:sz w:val="18"/>
                <w:szCs w:val="18"/>
              </w:rPr>
            </w:pPr>
            <w:r>
              <w:rPr>
                <w:rFonts w:hint="eastAsia" w:ascii="华文细黑" w:hAnsi="华文细黑" w:eastAsia="华文细黑" w:cs="Arial"/>
                <w:sz w:val="18"/>
                <w:szCs w:val="18"/>
              </w:rPr>
              <w:t>高楼层</w:t>
            </w:r>
          </w:p>
        </w:tc>
        <w:tc>
          <w:tcPr>
            <w:tcW w:w="1491" w:type="dxa"/>
          </w:tcPr>
          <w:p w14:paraId="2B149E10">
            <w:pPr>
              <w:snapToGrid w:val="0"/>
              <w:spacing w:line="240" w:lineRule="exact"/>
              <w:jc w:val="center"/>
              <w:rPr>
                <w:rFonts w:hint="eastAsia" w:ascii="华文细黑" w:hAnsi="华文细黑" w:eastAsia="华文细黑" w:cs="Arial"/>
                <w:sz w:val="18"/>
                <w:szCs w:val="18"/>
                <w:lang w:eastAsia="zh-CN"/>
              </w:rPr>
            </w:pPr>
            <w:r>
              <w:rPr>
                <w:rFonts w:hint="eastAsia" w:ascii="华文细黑" w:hAnsi="华文细黑" w:eastAsia="华文细黑" w:cs="Arial"/>
                <w:sz w:val="18"/>
                <w:szCs w:val="18"/>
                <w:lang w:eastAsia="zh-CN"/>
              </w:rPr>
              <w:t>中档装修</w:t>
            </w:r>
          </w:p>
        </w:tc>
      </w:tr>
      <w:tr w14:paraId="2833A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2010D2A7">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w:t>
            </w:r>
            <w:r>
              <w:rPr>
                <w:rFonts w:hint="eastAsia" w:ascii="Arial" w:hAnsi="Arial" w:eastAsia="华文细黑" w:cs="Arial"/>
                <w:sz w:val="18"/>
                <w:szCs w:val="18"/>
              </w:rPr>
              <w:t>5</w:t>
            </w:r>
          </w:p>
        </w:tc>
        <w:tc>
          <w:tcPr>
            <w:tcW w:w="1625" w:type="dxa"/>
          </w:tcPr>
          <w:p w14:paraId="406E1FDE">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三</w:t>
            </w:r>
            <w:r>
              <w:rPr>
                <w:rFonts w:ascii="Arial" w:hAnsi="Arial" w:eastAsia="华文细黑" w:cs="Arial"/>
                <w:sz w:val="18"/>
                <w:szCs w:val="18"/>
              </w:rPr>
              <w:t>居室</w:t>
            </w:r>
          </w:p>
        </w:tc>
        <w:tc>
          <w:tcPr>
            <w:tcW w:w="1693" w:type="dxa"/>
          </w:tcPr>
          <w:p w14:paraId="5BC96143">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107.74</w:t>
            </w:r>
          </w:p>
        </w:tc>
        <w:tc>
          <w:tcPr>
            <w:tcW w:w="1557" w:type="dxa"/>
          </w:tcPr>
          <w:p w14:paraId="57A52A78">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w:t>
            </w:r>
          </w:p>
        </w:tc>
        <w:tc>
          <w:tcPr>
            <w:tcW w:w="1491" w:type="dxa"/>
          </w:tcPr>
          <w:p w14:paraId="765B2358">
            <w:pPr>
              <w:snapToGrid w:val="0"/>
              <w:spacing w:line="240" w:lineRule="exact"/>
              <w:jc w:val="center"/>
              <w:rPr>
                <w:rFonts w:hint="eastAsia" w:ascii="华文细黑" w:hAnsi="华文细黑" w:eastAsia="华文细黑" w:cs="Arial"/>
                <w:sz w:val="18"/>
                <w:szCs w:val="18"/>
              </w:rPr>
            </w:pPr>
            <w:r>
              <w:rPr>
                <w:rFonts w:hint="eastAsia" w:ascii="华文细黑" w:hAnsi="华文细黑" w:eastAsia="华文细黑" w:cs="Arial"/>
                <w:sz w:val="18"/>
                <w:szCs w:val="18"/>
              </w:rPr>
              <w:t>高楼层</w:t>
            </w:r>
          </w:p>
        </w:tc>
        <w:tc>
          <w:tcPr>
            <w:tcW w:w="1491" w:type="dxa"/>
          </w:tcPr>
          <w:p w14:paraId="2167DA6F">
            <w:pPr>
              <w:snapToGrid w:val="0"/>
              <w:spacing w:line="240" w:lineRule="exact"/>
              <w:jc w:val="center"/>
              <w:rPr>
                <w:rFonts w:hint="eastAsia" w:ascii="华文细黑" w:hAnsi="华文细黑" w:eastAsia="华文细黑" w:cs="Arial"/>
                <w:sz w:val="18"/>
                <w:szCs w:val="18"/>
                <w:lang w:eastAsia="zh-CN"/>
              </w:rPr>
            </w:pPr>
            <w:r>
              <w:rPr>
                <w:rFonts w:hint="eastAsia" w:ascii="华文细黑" w:hAnsi="华文细黑" w:eastAsia="华文细黑" w:cs="Arial"/>
                <w:sz w:val="18"/>
                <w:szCs w:val="18"/>
                <w:lang w:eastAsia="zh-CN"/>
              </w:rPr>
              <w:t>中档装修</w:t>
            </w:r>
          </w:p>
        </w:tc>
      </w:tr>
    </w:tbl>
    <w:p w14:paraId="612918E0">
      <w:pPr>
        <w:pStyle w:val="60"/>
        <w:wordWrap w:val="0"/>
        <w:overflowPunct w:val="0"/>
        <w:autoSpaceDE w:val="0"/>
        <w:autoSpaceDN w:val="0"/>
        <w:spacing w:before="120" w:beforeLines="50" w:line="480" w:lineRule="auto"/>
        <w:ind w:firstLine="420" w:firstLineChars="200"/>
        <w:jc w:val="both"/>
        <w:textAlignment w:val="auto"/>
        <w:rPr>
          <w:rFonts w:ascii="Arial" w:hAnsi="Arial" w:cs="Arial"/>
          <w:sz w:val="21"/>
          <w:szCs w:val="21"/>
        </w:rPr>
      </w:pPr>
      <w:r>
        <w:rPr>
          <w:rFonts w:ascii="Arial" w:hAnsi="Arial" w:cs="Arial"/>
          <w:sz w:val="21"/>
          <w:szCs w:val="21"/>
        </w:rPr>
        <w:t>2.在估价对象周边区域选取适当数量</w:t>
      </w:r>
      <w:r>
        <w:rPr>
          <w:rFonts w:hint="eastAsia" w:ascii="Arial" w:hAnsi="Arial" w:cs="Arial"/>
          <w:sz w:val="21"/>
          <w:szCs w:val="21"/>
        </w:rPr>
        <w:t>住宅项目</w:t>
      </w:r>
      <w:r>
        <w:rPr>
          <w:rFonts w:ascii="Arial" w:hAnsi="Arial" w:cs="Arial"/>
          <w:sz w:val="21"/>
          <w:szCs w:val="21"/>
        </w:rPr>
        <w:t>，结合估价机构市场调查，选取可比小区。</w:t>
      </w:r>
    </w:p>
    <w:p w14:paraId="00AC46E2">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ascii="Arial" w:hAnsi="Arial" w:cs="Arial"/>
          <w:sz w:val="21"/>
          <w:szCs w:val="21"/>
        </w:rPr>
        <w:t>3.将所选可比小区与评估对象标准房进行比较，进行区位状况调整和实物状况调整，计算各可比实例比准租金，得到</w:t>
      </w:r>
      <w:r>
        <w:rPr>
          <w:rFonts w:hint="eastAsia" w:ascii="Arial" w:hAnsi="Arial" w:cs="Arial"/>
          <w:sz w:val="21"/>
          <w:szCs w:val="21"/>
        </w:rPr>
        <w:t>估价对象标准房</w:t>
      </w:r>
      <w:r>
        <w:rPr>
          <w:rFonts w:ascii="Arial" w:hAnsi="Arial" w:cs="Arial"/>
          <w:sz w:val="21"/>
          <w:szCs w:val="21"/>
        </w:rPr>
        <w:t>租金水平。</w:t>
      </w:r>
    </w:p>
    <w:p w14:paraId="6C280917">
      <w:pPr>
        <w:pStyle w:val="60"/>
        <w:wordWrap w:val="0"/>
        <w:overflowPunct w:val="0"/>
        <w:autoSpaceDE w:val="0"/>
        <w:autoSpaceDN w:val="0"/>
        <w:spacing w:line="480" w:lineRule="auto"/>
        <w:jc w:val="both"/>
        <w:textAlignment w:val="auto"/>
        <w:rPr>
          <w:rFonts w:ascii="Arial" w:hAnsi="Arial" w:cs="Arial"/>
          <w:b/>
          <w:sz w:val="21"/>
          <w:szCs w:val="21"/>
        </w:rPr>
      </w:pPr>
      <w:r>
        <w:rPr>
          <w:rFonts w:hint="eastAsia" w:ascii="Arial" w:hAnsi="Arial" w:cs="Arial"/>
          <w:b/>
          <w:sz w:val="21"/>
          <w:szCs w:val="21"/>
        </w:rPr>
        <w:t>（二）估价方法</w:t>
      </w:r>
      <w:r>
        <w:rPr>
          <w:rFonts w:ascii="Arial" w:hAnsi="Arial" w:cs="Arial"/>
          <w:b/>
          <w:sz w:val="21"/>
          <w:szCs w:val="21"/>
        </w:rPr>
        <w:t xml:space="preserve"> </w:t>
      </w:r>
    </w:p>
    <w:p w14:paraId="56F1B203">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ascii="Arial" w:hAnsi="Arial" w:cs="Arial"/>
          <w:sz w:val="21"/>
          <w:szCs w:val="21"/>
        </w:rPr>
        <w:t>比较法，是在求取估价对象房地产</w:t>
      </w:r>
      <w:r>
        <w:rPr>
          <w:rFonts w:hint="eastAsia" w:ascii="Arial" w:hAnsi="Arial" w:cs="Arial"/>
          <w:sz w:val="21"/>
          <w:szCs w:val="21"/>
        </w:rPr>
        <w:t>市场租金水平</w:t>
      </w:r>
      <w:r>
        <w:rPr>
          <w:rFonts w:ascii="Arial" w:hAnsi="Arial" w:cs="Arial"/>
          <w:sz w:val="21"/>
          <w:szCs w:val="21"/>
        </w:rPr>
        <w:t>时，根据替代原则，将估价对象与在较近时期内已发生交易的类似房地产</w:t>
      </w:r>
      <w:r>
        <w:rPr>
          <w:rFonts w:hint="eastAsia" w:ascii="Arial" w:hAnsi="Arial" w:cs="Arial"/>
          <w:sz w:val="21"/>
          <w:szCs w:val="21"/>
        </w:rPr>
        <w:t>租赁</w:t>
      </w:r>
      <w:r>
        <w:rPr>
          <w:rFonts w:ascii="Arial" w:hAnsi="Arial" w:cs="Arial"/>
          <w:sz w:val="21"/>
          <w:szCs w:val="21"/>
        </w:rPr>
        <w:t>交易实例进行对照比较，并依据后者已知的价格，参照该房地产的交易情况、期日、区域及实物状况的差别，修正得出估价对象房地产</w:t>
      </w:r>
      <w:r>
        <w:rPr>
          <w:rFonts w:hint="eastAsia" w:ascii="Arial" w:hAnsi="Arial" w:cs="Arial"/>
          <w:sz w:val="21"/>
          <w:szCs w:val="21"/>
        </w:rPr>
        <w:t>市场租金水平</w:t>
      </w:r>
      <w:r>
        <w:rPr>
          <w:rFonts w:ascii="Arial" w:hAnsi="Arial" w:cs="Arial"/>
          <w:sz w:val="21"/>
          <w:szCs w:val="21"/>
        </w:rPr>
        <w:t>的方法。本次估价采用比较法思路评估租金价格水平。</w:t>
      </w:r>
    </w:p>
    <w:p w14:paraId="11470FCF">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w:t>
      </w:r>
      <w:r>
        <w:rPr>
          <w:rFonts w:ascii="Arial" w:hAnsi="Arial" w:cs="Arial"/>
          <w:sz w:val="21"/>
          <w:szCs w:val="21"/>
        </w:rPr>
        <w:t>采用</w:t>
      </w:r>
      <w:r>
        <w:rPr>
          <w:rFonts w:hint="eastAsia" w:ascii="Arial" w:hAnsi="Arial" w:cs="Arial"/>
          <w:sz w:val="21"/>
          <w:szCs w:val="21"/>
        </w:rPr>
        <w:t>比较法</w:t>
      </w:r>
      <w:r>
        <w:rPr>
          <w:rFonts w:ascii="Arial" w:hAnsi="Arial" w:cs="Arial"/>
          <w:sz w:val="21"/>
          <w:szCs w:val="21"/>
        </w:rPr>
        <w:t>的理由</w:t>
      </w:r>
      <w:r>
        <w:rPr>
          <w:rFonts w:hint="eastAsia" w:ascii="Arial" w:hAnsi="Arial" w:cs="Arial"/>
          <w:sz w:val="21"/>
          <w:szCs w:val="21"/>
        </w:rPr>
        <w:t>：</w:t>
      </w:r>
    </w:p>
    <w:p w14:paraId="6E362F32">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w:t>
      </w:r>
      <w:r>
        <w:rPr>
          <w:rFonts w:hint="eastAsia" w:ascii="Arial" w:hAnsi="Arial" w:cs="Arial"/>
          <w:sz w:val="21"/>
          <w:szCs w:val="21"/>
        </w:rPr>
        <w:t>住宅</w:t>
      </w:r>
      <w:r>
        <w:rPr>
          <w:rFonts w:ascii="Arial" w:hAnsi="Arial" w:cs="Arial"/>
          <w:sz w:val="21"/>
          <w:szCs w:val="21"/>
        </w:rPr>
        <w:t>出租的公开信息，可通过因素修正得出估价对象所在区域</w:t>
      </w:r>
      <w:r>
        <w:rPr>
          <w:rFonts w:hint="eastAsia" w:ascii="Arial" w:hAnsi="Arial" w:cs="Arial"/>
          <w:sz w:val="21"/>
          <w:szCs w:val="21"/>
        </w:rPr>
        <w:t>住宅</w:t>
      </w:r>
      <w:r>
        <w:rPr>
          <w:rFonts w:ascii="Arial" w:hAnsi="Arial" w:cs="Arial"/>
          <w:sz w:val="21"/>
          <w:szCs w:val="21"/>
        </w:rPr>
        <w:t>租赁价格水平</w:t>
      </w:r>
      <w:r>
        <w:rPr>
          <w:rFonts w:hint="eastAsia" w:ascii="Arial" w:hAnsi="Arial" w:cs="Arial"/>
          <w:sz w:val="21"/>
          <w:szCs w:val="21"/>
        </w:rPr>
        <w:t>。</w:t>
      </w:r>
      <w:r>
        <w:rPr>
          <w:rFonts w:ascii="Arial" w:hAnsi="Arial" w:cs="Arial"/>
          <w:sz w:val="21"/>
          <w:szCs w:val="21"/>
        </w:rPr>
        <w:t>同时</w:t>
      </w:r>
      <w:r>
        <w:rPr>
          <w:rFonts w:hint="eastAsia" w:ascii="Arial" w:hAnsi="Arial" w:cs="Arial"/>
          <w:sz w:val="21"/>
          <w:szCs w:val="21"/>
        </w:rPr>
        <w:t>，</w:t>
      </w:r>
      <w:r>
        <w:rPr>
          <w:rFonts w:ascii="Arial" w:hAnsi="Arial" w:cs="Arial"/>
          <w:sz w:val="21"/>
          <w:szCs w:val="21"/>
        </w:rPr>
        <w:t>通过区域因素修正得出估价对象相邻或相似区域</w:t>
      </w:r>
      <w:r>
        <w:rPr>
          <w:rFonts w:hint="eastAsia" w:ascii="Arial" w:hAnsi="Arial" w:cs="Arial"/>
          <w:sz w:val="21"/>
          <w:szCs w:val="21"/>
        </w:rPr>
        <w:t>住宅</w:t>
      </w:r>
      <w:r>
        <w:rPr>
          <w:rFonts w:ascii="Arial" w:hAnsi="Arial" w:cs="Arial"/>
          <w:sz w:val="21"/>
          <w:szCs w:val="21"/>
        </w:rPr>
        <w:t>租赁价格水平</w:t>
      </w:r>
      <w:r>
        <w:rPr>
          <w:rFonts w:hint="eastAsia" w:ascii="Arial" w:hAnsi="Arial" w:cs="Arial"/>
          <w:sz w:val="21"/>
          <w:szCs w:val="21"/>
        </w:rPr>
        <w:t>。</w:t>
      </w:r>
    </w:p>
    <w:p w14:paraId="2FBD7771">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不采用成本法、假设开发法、收益法的理由</w:t>
      </w:r>
      <w:r>
        <w:rPr>
          <w:rFonts w:hint="eastAsia" w:ascii="Arial" w:hAnsi="Arial" w:cs="Arial"/>
          <w:sz w:val="21"/>
          <w:szCs w:val="21"/>
        </w:rPr>
        <w:t>：</w:t>
      </w:r>
    </w:p>
    <w:p w14:paraId="129C01A5">
      <w:pPr>
        <w:pStyle w:val="60"/>
        <w:wordWrap w:val="0"/>
        <w:overflowPunct w:val="0"/>
        <w:autoSpaceDE w:val="0"/>
        <w:autoSpaceDN w:val="0"/>
        <w:spacing w:line="480" w:lineRule="auto"/>
        <w:ind w:firstLine="420"/>
        <w:jc w:val="both"/>
        <w:textAlignment w:val="auto"/>
        <w:rPr>
          <w:rFonts w:ascii="Arial" w:hAnsi="Arial" w:cs="Arial"/>
          <w:sz w:val="21"/>
          <w:szCs w:val="21"/>
        </w:rPr>
      </w:pPr>
      <w:r>
        <w:rPr>
          <w:rFonts w:hint="eastAsia" w:hAnsi="宋体" w:cs="Arial"/>
          <w:sz w:val="21"/>
          <w:szCs w:val="21"/>
        </w:rPr>
        <w:t>（1）估价对象适用比较法，且已优先采用比较法进行评估，故不再采用成本法进行测算。</w:t>
      </w:r>
    </w:p>
    <w:p w14:paraId="05F7D762">
      <w:pPr>
        <w:pStyle w:val="60"/>
        <w:wordWrap w:val="0"/>
        <w:overflowPunct w:val="0"/>
        <w:autoSpaceDE w:val="0"/>
        <w:autoSpaceDN w:val="0"/>
        <w:spacing w:line="480" w:lineRule="auto"/>
        <w:ind w:firstLine="420"/>
        <w:jc w:val="both"/>
        <w:textAlignment w:val="auto"/>
        <w:rPr>
          <w:rFonts w:hint="eastAsia" w:hAnsi="宋体" w:cs="Arial"/>
          <w:sz w:val="21"/>
          <w:szCs w:val="21"/>
        </w:rPr>
      </w:pPr>
      <w:r>
        <w:rPr>
          <w:rFonts w:hint="eastAsia" w:hAnsi="宋体" w:cs="Arial"/>
          <w:sz w:val="21"/>
          <w:szCs w:val="21"/>
        </w:rPr>
        <w:t>（2）假设开发法可评估房地产市场价值，但不适于租赁价格的评估。</w:t>
      </w:r>
    </w:p>
    <w:p w14:paraId="100E862C">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hint="eastAsia" w:hAnsi="宋体" w:cs="Arial"/>
          <w:sz w:val="21"/>
          <w:szCs w:val="21"/>
        </w:rPr>
        <w:t>（3）</w:t>
      </w:r>
      <w:r>
        <w:rPr>
          <w:rFonts w:ascii="Arial" w:hAnsi="Arial" w:cs="Arial"/>
          <w:sz w:val="21"/>
          <w:szCs w:val="21"/>
        </w:rPr>
        <w:t>收益法适用于有现实收益或潜在收益的土地或房地产估价。估价对象用途</w:t>
      </w:r>
      <w:r>
        <w:rPr>
          <w:rFonts w:hint="eastAsia" w:ascii="Arial" w:hAnsi="Arial" w:cs="Arial"/>
          <w:kern w:val="2"/>
          <w:sz w:val="21"/>
          <w:szCs w:val="21"/>
        </w:rPr>
        <w:t>设定为保障性租赁住房</w:t>
      </w:r>
      <w:r>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Pr>
          <w:rFonts w:hint="eastAsia" w:ascii="Arial" w:hAnsi="Arial" w:cs="Arial"/>
          <w:sz w:val="21"/>
          <w:szCs w:val="21"/>
        </w:rPr>
        <w:t>公寓</w:t>
      </w:r>
      <w:r>
        <w:rPr>
          <w:rFonts w:ascii="Arial" w:hAnsi="Arial" w:cs="Arial"/>
          <w:sz w:val="21"/>
          <w:szCs w:val="21"/>
        </w:rPr>
        <w:t>业态租售比差距较大，采用房屋交易价格测算出的房屋租金不能反映正常的市场租金水平，故未采用收益法</w:t>
      </w:r>
      <w:r>
        <w:rPr>
          <w:rFonts w:hint="eastAsia" w:ascii="Arial" w:hAnsi="Arial" w:cs="Arial"/>
          <w:sz w:val="21"/>
          <w:szCs w:val="21"/>
        </w:rPr>
        <w:t>。</w:t>
      </w:r>
      <w:r>
        <w:rPr>
          <w:rFonts w:ascii="Arial" w:hAnsi="Arial" w:cs="Arial"/>
          <w:sz w:val="21"/>
          <w:szCs w:val="21"/>
        </w:rPr>
        <w:t xml:space="preserve"> </w:t>
      </w:r>
    </w:p>
    <w:p w14:paraId="183E08F9">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37" w:name="_Toc168225822"/>
      <w:bookmarkStart w:id="38" w:name="_Toc155267095"/>
      <w:r>
        <w:rPr>
          <w:rFonts w:eastAsia="宋体"/>
          <w:kern w:val="2"/>
          <w:sz w:val="21"/>
          <w:szCs w:val="21"/>
        </w:rPr>
        <w:t>十、估价结果</w:t>
      </w:r>
      <w:bookmarkEnd w:id="37"/>
      <w:bookmarkEnd w:id="38"/>
    </w:p>
    <w:p w14:paraId="1EEAFAC5">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评估专业人员根据估价的目的，</w:t>
      </w:r>
      <w:r>
        <w:rPr>
          <w:rFonts w:hint="eastAsia" w:ascii="Arial" w:hAnsi="Arial" w:cs="Arial"/>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hint="eastAsia" w:ascii="Arial" w:hAnsi="Arial" w:cs="Arial"/>
          <w:sz w:val="21"/>
          <w:szCs w:val="21"/>
        </w:rPr>
        <w:t>租赁</w:t>
      </w:r>
      <w:r>
        <w:rPr>
          <w:rFonts w:ascii="Arial" w:hAnsi="Arial" w:cs="Arial"/>
          <w:sz w:val="21"/>
          <w:szCs w:val="21"/>
        </w:rPr>
        <w:t>价格的因素，</w:t>
      </w:r>
      <w:r>
        <w:rPr>
          <w:rFonts w:hint="eastAsia" w:ascii="Arial" w:hAnsi="Arial" w:cs="Arial"/>
          <w:sz w:val="21"/>
          <w:szCs w:val="21"/>
        </w:rPr>
        <w:t>最终</w:t>
      </w:r>
      <w:r>
        <w:rPr>
          <w:rFonts w:ascii="Arial" w:hAnsi="Arial" w:cs="Arial"/>
          <w:sz w:val="21"/>
          <w:szCs w:val="21"/>
        </w:rPr>
        <w:t>确定</w:t>
      </w:r>
      <w:r>
        <w:rPr>
          <w:rFonts w:hint="eastAsia" w:ascii="Arial" w:hAnsi="Arial" w:cs="Arial"/>
          <w:sz w:val="21"/>
          <w:szCs w:val="21"/>
        </w:rPr>
        <w:t xml:space="preserve">（福兴雅苑）保障性租赁住房（住宅型）项目于价值时点2026年4月7日同地段、同品质市场租赁住房租金为： </w:t>
      </w:r>
    </w:p>
    <w:p w14:paraId="37A327E4">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开  间（60.36-60.49</w:t>
      </w:r>
      <w:r>
        <w:rPr>
          <w:rFonts w:ascii="Arial" w:hAnsi="Arial" w:cs="Arial"/>
          <w:b/>
          <w:bCs/>
          <w:sz w:val="21"/>
          <w:szCs w:val="21"/>
        </w:rPr>
        <w:t>平方米）</w:t>
      </w:r>
      <w:r>
        <w:rPr>
          <w:rFonts w:hint="eastAsia" w:ascii="Arial" w:hAnsi="Arial" w:cs="Arial"/>
          <w:b/>
          <w:bCs/>
          <w:sz w:val="21"/>
          <w:szCs w:val="21"/>
        </w:rPr>
        <w:t>：46.38元/平方米·月</w:t>
      </w:r>
    </w:p>
    <w:p w14:paraId="093E24E2">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一居室（73.85-74.00</w:t>
      </w:r>
      <w:r>
        <w:rPr>
          <w:rFonts w:ascii="Arial" w:hAnsi="Arial" w:cs="Arial"/>
          <w:b/>
          <w:bCs/>
          <w:sz w:val="21"/>
          <w:szCs w:val="21"/>
        </w:rPr>
        <w:t>平方米）</w:t>
      </w:r>
      <w:r>
        <w:rPr>
          <w:rFonts w:hint="eastAsia" w:ascii="Arial" w:hAnsi="Arial" w:cs="Arial"/>
          <w:b/>
          <w:bCs/>
          <w:sz w:val="21"/>
          <w:szCs w:val="21"/>
        </w:rPr>
        <w:t>：50.25元/平方米·月</w:t>
      </w:r>
    </w:p>
    <w:p w14:paraId="3019976B">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一居室（82.25</w:t>
      </w:r>
      <w:r>
        <w:rPr>
          <w:rFonts w:ascii="Arial" w:hAnsi="Arial" w:cs="Arial"/>
          <w:b/>
          <w:bCs/>
          <w:sz w:val="21"/>
          <w:szCs w:val="21"/>
        </w:rPr>
        <w:t>平方米）</w:t>
      </w:r>
      <w:r>
        <w:rPr>
          <w:rFonts w:hint="eastAsia" w:ascii="Arial" w:hAnsi="Arial" w:cs="Arial"/>
          <w:b/>
          <w:bCs/>
          <w:sz w:val="21"/>
          <w:szCs w:val="21"/>
        </w:rPr>
        <w:t>：44.95元/平方米·月</w:t>
      </w:r>
    </w:p>
    <w:p w14:paraId="60D2A8E1">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两居室（95.85-101.74</w:t>
      </w:r>
      <w:r>
        <w:rPr>
          <w:rFonts w:ascii="Arial" w:hAnsi="Arial" w:cs="Arial"/>
          <w:b/>
          <w:bCs/>
          <w:sz w:val="21"/>
          <w:szCs w:val="21"/>
        </w:rPr>
        <w:t>平方米）</w:t>
      </w:r>
      <w:r>
        <w:rPr>
          <w:rFonts w:hint="eastAsia" w:ascii="Arial" w:hAnsi="Arial" w:cs="Arial"/>
          <w:b/>
          <w:bCs/>
          <w:sz w:val="21"/>
          <w:szCs w:val="21"/>
        </w:rPr>
        <w:t>：40.02元/平方米·月</w:t>
      </w:r>
    </w:p>
    <w:p w14:paraId="0CA5A4BF">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三居室（107.74</w:t>
      </w:r>
      <w:r>
        <w:rPr>
          <w:rFonts w:ascii="Arial" w:hAnsi="Arial" w:cs="Arial"/>
          <w:b/>
          <w:bCs/>
          <w:sz w:val="21"/>
          <w:szCs w:val="21"/>
        </w:rPr>
        <w:t>平方米</w:t>
      </w:r>
      <w:r>
        <w:rPr>
          <w:rFonts w:hint="eastAsia" w:ascii="Arial" w:hAnsi="Arial" w:cs="Arial"/>
          <w:b/>
          <w:bCs/>
          <w:sz w:val="21"/>
          <w:szCs w:val="21"/>
        </w:rPr>
        <w:t>）：38.25元/平方米·月</w:t>
      </w:r>
    </w:p>
    <w:p w14:paraId="49ADE12B">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综合租金：42.32元/平方米·月</w:t>
      </w:r>
    </w:p>
    <w:p w14:paraId="2EA407CA">
      <w:pPr>
        <w:overflowPunct w:val="0"/>
        <w:spacing w:line="480" w:lineRule="auto"/>
        <w:ind w:firstLine="360" w:firstLineChars="200"/>
        <w:jc w:val="both"/>
        <w:textAlignment w:val="auto"/>
        <w:rPr>
          <w:rFonts w:ascii="Arial" w:hAnsi="Arial" w:cs="Arial"/>
          <w:sz w:val="18"/>
          <w:szCs w:val="18"/>
        </w:rPr>
      </w:pPr>
      <w:r>
        <w:rPr>
          <w:rFonts w:ascii="Arial" w:hAnsi="Arial" w:cs="Arial"/>
          <w:sz w:val="18"/>
          <w:szCs w:val="18"/>
        </w:rPr>
        <w:t>注：1、</w:t>
      </w:r>
      <w:r>
        <w:rPr>
          <w:rFonts w:hint="eastAsia" w:ascii="Arial" w:hAnsi="Arial" w:cs="Arial"/>
          <w:sz w:val="18"/>
          <w:szCs w:val="18"/>
        </w:rPr>
        <w:t>评估的详细结果、过程及有关说明，详见《估价结果报告》、《估价技术报告》。</w:t>
      </w:r>
    </w:p>
    <w:p w14:paraId="65CB89B3">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w:t>
      </w:r>
      <w:r>
        <w:rPr>
          <w:rFonts w:hint="eastAsia" w:ascii="Arial" w:hAnsi="Arial" w:cs="Arial"/>
          <w:sz w:val="18"/>
          <w:szCs w:val="18"/>
        </w:rPr>
        <w:t>2</w:t>
      </w:r>
      <w:r>
        <w:rPr>
          <w:rFonts w:ascii="Arial" w:hAnsi="Arial" w:cs="Arial"/>
          <w:sz w:val="18"/>
          <w:szCs w:val="18"/>
        </w:rPr>
        <w:t>、</w:t>
      </w:r>
      <w:r>
        <w:rPr>
          <w:rFonts w:hint="eastAsia" w:ascii="Arial" w:hAnsi="Arial" w:cs="Arial"/>
          <w:sz w:val="18"/>
          <w:szCs w:val="18"/>
        </w:rPr>
        <w:t>市场租赁住房租金是指市场租赁住房于价值时点在公开市场上的平均租金，</w:t>
      </w:r>
      <w:r>
        <w:rPr>
          <w:rFonts w:hint="eastAsia" w:ascii="Arial" w:hAnsi="Arial" w:cs="Arial"/>
          <w:sz w:val="18"/>
          <w:szCs w:val="18"/>
          <w:lang w:eastAsia="zh-CN"/>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r>
        <w:rPr>
          <w:rFonts w:hint="eastAsia" w:ascii="Arial" w:hAnsi="Arial" w:cs="Arial"/>
          <w:sz w:val="18"/>
          <w:szCs w:val="18"/>
        </w:rPr>
        <w:t>。</w:t>
      </w:r>
    </w:p>
    <w:p w14:paraId="4C6E9682">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w:t>
      </w:r>
    </w:p>
    <w:p w14:paraId="4990C414">
      <w:pPr>
        <w:pStyle w:val="3"/>
        <w:numPr>
          <w:ilvl w:val="0"/>
          <w:numId w:val="0"/>
        </w:numPr>
        <w:overflowPunct w:val="0"/>
        <w:spacing w:line="480" w:lineRule="auto"/>
        <w:jc w:val="both"/>
        <w:textAlignment w:val="auto"/>
        <w:rPr>
          <w:rFonts w:eastAsia="宋体"/>
          <w:kern w:val="2"/>
          <w:sz w:val="21"/>
          <w:szCs w:val="21"/>
        </w:rPr>
      </w:pPr>
      <w:bookmarkStart w:id="39" w:name="_Toc168225824"/>
      <w:bookmarkStart w:id="40" w:name="_Toc155267096"/>
      <w:r>
        <w:rPr>
          <w:rFonts w:eastAsia="宋体"/>
          <w:kern w:val="2"/>
          <w:sz w:val="21"/>
          <w:szCs w:val="21"/>
        </w:rPr>
        <w:br w:type="page"/>
      </w:r>
      <w:r>
        <w:rPr>
          <w:rFonts w:eastAsia="宋体"/>
          <w:kern w:val="2"/>
          <w:sz w:val="21"/>
          <w:szCs w:val="21"/>
        </w:rPr>
        <w:t>十</w:t>
      </w:r>
      <w:bookmarkEnd w:id="39"/>
      <w:r>
        <w:rPr>
          <w:rFonts w:eastAsia="宋体"/>
          <w:kern w:val="2"/>
          <w:sz w:val="21"/>
          <w:szCs w:val="21"/>
        </w:rPr>
        <w:t>一、参与本次估价工作的</w:t>
      </w:r>
      <w:r>
        <w:rPr>
          <w:rFonts w:hint="eastAsia" w:eastAsia="宋体"/>
          <w:kern w:val="2"/>
          <w:sz w:val="21"/>
          <w:szCs w:val="21"/>
        </w:rPr>
        <w:t>评估专业</w:t>
      </w:r>
      <w:r>
        <w:rPr>
          <w:rFonts w:eastAsia="宋体"/>
          <w:kern w:val="2"/>
          <w:sz w:val="21"/>
          <w:szCs w:val="21"/>
        </w:rPr>
        <w:t>人员</w:t>
      </w:r>
      <w:bookmarkEnd w:id="40"/>
    </w:p>
    <w:tbl>
      <w:tblPr>
        <w:tblStyle w:val="33"/>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85" w:type="dxa"/>
          <w:left w:w="28" w:type="dxa"/>
          <w:bottom w:w="85" w:type="dxa"/>
          <w:right w:w="28" w:type="dxa"/>
        </w:tblCellMar>
      </w:tblPr>
      <w:tblGrid>
        <w:gridCol w:w="1746"/>
        <w:gridCol w:w="2197"/>
        <w:gridCol w:w="2774"/>
        <w:gridCol w:w="2582"/>
      </w:tblGrid>
      <w:tr w14:paraId="2C0A1817">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9299" w:type="dxa"/>
            <w:gridSpan w:val="4"/>
            <w:tcBorders>
              <w:bottom w:val="single" w:color="404040" w:sz="2" w:space="0"/>
            </w:tcBorders>
            <w:vAlign w:val="center"/>
          </w:tcPr>
          <w:p w14:paraId="51BF1EB6">
            <w:pPr>
              <w:tabs>
                <w:tab w:val="left" w:pos="5160"/>
              </w:tabs>
              <w:overflowPunct w:val="0"/>
              <w:spacing w:line="240" w:lineRule="auto"/>
              <w:rPr>
                <w:rFonts w:ascii="Arial" w:hAnsi="Arial" w:cs="Arial"/>
                <w:b/>
                <w:sz w:val="21"/>
                <w:szCs w:val="21"/>
              </w:rPr>
            </w:pPr>
            <w:r>
              <w:rPr>
                <w:rFonts w:ascii="Arial" w:hAnsi="Arial" w:cs="Arial"/>
                <w:b/>
                <w:kern w:val="2"/>
                <w:sz w:val="21"/>
                <w:szCs w:val="21"/>
              </w:rPr>
              <w:t>注册房地产估价师</w:t>
            </w:r>
          </w:p>
        </w:tc>
      </w:tr>
      <w:tr w14:paraId="3134A42E">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1746" w:type="dxa"/>
            <w:vAlign w:val="center"/>
          </w:tcPr>
          <w:p w14:paraId="1A4AFA62">
            <w:pPr>
              <w:tabs>
                <w:tab w:val="left" w:pos="5160"/>
              </w:tabs>
              <w:overflowPunct w:val="0"/>
              <w:spacing w:line="240" w:lineRule="auto"/>
              <w:rPr>
                <w:rFonts w:ascii="Arial" w:hAnsi="Arial" w:cs="Arial"/>
                <w:sz w:val="21"/>
                <w:szCs w:val="21"/>
              </w:rPr>
            </w:pPr>
            <w:r>
              <w:rPr>
                <w:rFonts w:ascii="Arial" w:hAnsi="Arial" w:cs="Arial"/>
                <w:sz w:val="21"/>
                <w:szCs w:val="21"/>
              </w:rPr>
              <w:t>姓</w:t>
            </w:r>
            <w:r>
              <w:rPr>
                <w:rFonts w:hint="eastAsia" w:ascii="Arial" w:hAnsi="Arial" w:cs="Arial"/>
                <w:sz w:val="21"/>
                <w:szCs w:val="21"/>
              </w:rPr>
              <w:t xml:space="preserve">  </w:t>
            </w:r>
            <w:r>
              <w:rPr>
                <w:rFonts w:ascii="Arial" w:hAnsi="Arial" w:cs="Arial"/>
                <w:sz w:val="21"/>
                <w:szCs w:val="21"/>
              </w:rPr>
              <w:t>名</w:t>
            </w:r>
          </w:p>
        </w:tc>
        <w:tc>
          <w:tcPr>
            <w:tcW w:w="2197" w:type="dxa"/>
            <w:vAlign w:val="center"/>
          </w:tcPr>
          <w:p w14:paraId="497434C7">
            <w:pPr>
              <w:tabs>
                <w:tab w:val="left" w:pos="5160"/>
              </w:tabs>
              <w:overflowPunct w:val="0"/>
              <w:spacing w:line="240" w:lineRule="auto"/>
              <w:rPr>
                <w:rFonts w:ascii="Arial" w:hAnsi="Arial" w:cs="Arial"/>
                <w:sz w:val="21"/>
                <w:szCs w:val="21"/>
              </w:rPr>
            </w:pPr>
            <w:r>
              <w:rPr>
                <w:rFonts w:ascii="Arial" w:hAnsi="Arial" w:cs="Arial"/>
                <w:sz w:val="21"/>
                <w:szCs w:val="21"/>
              </w:rPr>
              <w:t>注册号</w:t>
            </w:r>
          </w:p>
        </w:tc>
        <w:tc>
          <w:tcPr>
            <w:tcW w:w="2774" w:type="dxa"/>
            <w:vAlign w:val="center"/>
          </w:tcPr>
          <w:p w14:paraId="0A199275">
            <w:pPr>
              <w:tabs>
                <w:tab w:val="left" w:pos="5160"/>
              </w:tabs>
              <w:overflowPunct w:val="0"/>
              <w:spacing w:line="240" w:lineRule="auto"/>
              <w:rPr>
                <w:rFonts w:ascii="Arial" w:hAnsi="Arial" w:cs="Arial"/>
                <w:sz w:val="21"/>
                <w:szCs w:val="21"/>
              </w:rPr>
            </w:pPr>
            <w:r>
              <w:rPr>
                <w:rFonts w:ascii="Arial" w:hAnsi="Arial" w:cs="Arial"/>
                <w:sz w:val="21"/>
                <w:szCs w:val="21"/>
              </w:rPr>
              <w:t>签名</w:t>
            </w:r>
          </w:p>
        </w:tc>
        <w:tc>
          <w:tcPr>
            <w:tcW w:w="2582" w:type="dxa"/>
            <w:vAlign w:val="center"/>
          </w:tcPr>
          <w:p w14:paraId="12145604">
            <w:pPr>
              <w:tabs>
                <w:tab w:val="left" w:pos="5160"/>
              </w:tabs>
              <w:overflowPunct w:val="0"/>
              <w:spacing w:line="240" w:lineRule="auto"/>
              <w:rPr>
                <w:rFonts w:ascii="Arial" w:hAnsi="Arial" w:cs="Arial"/>
                <w:sz w:val="21"/>
                <w:szCs w:val="21"/>
              </w:rPr>
            </w:pPr>
            <w:r>
              <w:rPr>
                <w:rFonts w:ascii="Arial" w:hAnsi="Arial" w:cs="Arial"/>
                <w:sz w:val="21"/>
                <w:szCs w:val="21"/>
              </w:rPr>
              <w:t>签名日期</w:t>
            </w:r>
          </w:p>
        </w:tc>
      </w:tr>
      <w:tr w14:paraId="2B696ED0">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1134" w:hRule="exact"/>
          <w:jc w:val="center"/>
        </w:trPr>
        <w:tc>
          <w:tcPr>
            <w:tcW w:w="1746" w:type="dxa"/>
            <w:vAlign w:val="center"/>
          </w:tcPr>
          <w:p w14:paraId="4B8B528D">
            <w:pPr>
              <w:tabs>
                <w:tab w:val="left" w:pos="5160"/>
              </w:tabs>
              <w:overflowPunct w:val="0"/>
              <w:spacing w:line="240" w:lineRule="auto"/>
              <w:rPr>
                <w:rFonts w:ascii="Arial" w:hAnsi="Arial" w:cs="Arial"/>
                <w:sz w:val="21"/>
                <w:szCs w:val="21"/>
              </w:rPr>
            </w:pPr>
            <w:r>
              <w:rPr>
                <w:rFonts w:hint="eastAsia" w:ascii="Arial" w:hAnsi="Arial" w:cs="Arial"/>
                <w:sz w:val="21"/>
                <w:szCs w:val="21"/>
              </w:rPr>
              <w:t>常  畅</w:t>
            </w:r>
          </w:p>
        </w:tc>
        <w:tc>
          <w:tcPr>
            <w:tcW w:w="2197" w:type="dxa"/>
            <w:vAlign w:val="center"/>
          </w:tcPr>
          <w:p w14:paraId="3AEABCE5">
            <w:pPr>
              <w:tabs>
                <w:tab w:val="left" w:pos="5160"/>
              </w:tabs>
              <w:overflowPunct w:val="0"/>
              <w:spacing w:line="240" w:lineRule="auto"/>
              <w:rPr>
                <w:rFonts w:ascii="Arial" w:hAnsi="Arial" w:cs="Arial"/>
                <w:sz w:val="21"/>
                <w:szCs w:val="21"/>
              </w:rPr>
            </w:pPr>
            <w:r>
              <w:rPr>
                <w:rFonts w:hint="eastAsia" w:ascii="Arial" w:hAnsi="Arial" w:eastAsia="方正黑体简体"/>
                <w:sz w:val="21"/>
                <w:szCs w:val="21"/>
              </w:rPr>
              <w:t>1120250061</w:t>
            </w:r>
          </w:p>
        </w:tc>
        <w:tc>
          <w:tcPr>
            <w:tcW w:w="2774" w:type="dxa"/>
            <w:vAlign w:val="center"/>
          </w:tcPr>
          <w:p w14:paraId="5A5D7694">
            <w:pPr>
              <w:tabs>
                <w:tab w:val="left" w:pos="5160"/>
              </w:tabs>
              <w:overflowPunct w:val="0"/>
              <w:spacing w:line="240" w:lineRule="auto"/>
              <w:rPr>
                <w:rFonts w:ascii="Arial" w:hAnsi="Arial" w:cs="Arial"/>
                <w:sz w:val="21"/>
                <w:szCs w:val="21"/>
              </w:rPr>
            </w:pPr>
          </w:p>
        </w:tc>
        <w:tc>
          <w:tcPr>
            <w:tcW w:w="2582" w:type="dxa"/>
            <w:vAlign w:val="center"/>
          </w:tcPr>
          <w:p w14:paraId="4E9B005A">
            <w:pPr>
              <w:tabs>
                <w:tab w:val="left" w:pos="5160"/>
              </w:tabs>
              <w:wordWrap w:val="0"/>
              <w:overflowPunct w:val="0"/>
              <w:spacing w:line="240" w:lineRule="auto"/>
              <w:ind w:firstLine="420" w:firstLineChars="200"/>
              <w:jc w:val="right"/>
              <w:rPr>
                <w:rFonts w:ascii="Arial" w:hAnsi="Arial" w:cs="Arial"/>
                <w:sz w:val="21"/>
                <w:szCs w:val="21"/>
              </w:rPr>
            </w:pPr>
            <w:r>
              <w:rPr>
                <w:rFonts w:ascii="Arial" w:hAnsi="Arial" w:cs="Arial"/>
                <w:sz w:val="21"/>
                <w:szCs w:val="21"/>
              </w:rPr>
              <w:t>年</w:t>
            </w:r>
            <w:r>
              <w:rPr>
                <w:rFonts w:hint="eastAsia" w:ascii="Arial" w:hAnsi="Arial" w:cs="Arial"/>
                <w:sz w:val="21"/>
                <w:szCs w:val="21"/>
              </w:rPr>
              <w:t xml:space="preserve">    </w:t>
            </w:r>
            <w:r>
              <w:rPr>
                <w:rFonts w:ascii="Arial" w:hAnsi="Arial" w:cs="Arial"/>
                <w:sz w:val="21"/>
                <w:szCs w:val="21"/>
              </w:rPr>
              <w:t>月</w:t>
            </w:r>
            <w:r>
              <w:rPr>
                <w:rFonts w:hint="eastAsia" w:ascii="Arial" w:hAnsi="Arial" w:cs="Arial"/>
                <w:sz w:val="21"/>
                <w:szCs w:val="21"/>
              </w:rPr>
              <w:t xml:space="preserve">    </w:t>
            </w:r>
            <w:r>
              <w:rPr>
                <w:rFonts w:ascii="Arial" w:hAnsi="Arial" w:cs="Arial"/>
                <w:sz w:val="21"/>
                <w:szCs w:val="21"/>
              </w:rPr>
              <w:t>日</w:t>
            </w:r>
          </w:p>
        </w:tc>
      </w:tr>
      <w:tr w14:paraId="24F85B87">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1134" w:hRule="exact"/>
          <w:jc w:val="center"/>
        </w:trPr>
        <w:tc>
          <w:tcPr>
            <w:tcW w:w="1746" w:type="dxa"/>
            <w:vAlign w:val="center"/>
          </w:tcPr>
          <w:p w14:paraId="06CCED8B">
            <w:pPr>
              <w:tabs>
                <w:tab w:val="left" w:pos="5160"/>
              </w:tabs>
              <w:overflowPunct w:val="0"/>
              <w:spacing w:line="240" w:lineRule="auto"/>
              <w:rPr>
                <w:rFonts w:ascii="Arial" w:hAnsi="Arial" w:cs="Arial"/>
                <w:sz w:val="21"/>
                <w:szCs w:val="21"/>
              </w:rPr>
            </w:pPr>
            <w:r>
              <w:rPr>
                <w:rFonts w:hint="eastAsia" w:ascii="Arial" w:hAnsi="Arial" w:cs="Arial"/>
                <w:sz w:val="21"/>
                <w:szCs w:val="21"/>
              </w:rPr>
              <w:t>许皓源</w:t>
            </w:r>
          </w:p>
        </w:tc>
        <w:tc>
          <w:tcPr>
            <w:tcW w:w="2197" w:type="dxa"/>
            <w:vAlign w:val="center"/>
          </w:tcPr>
          <w:p w14:paraId="7EC1A803">
            <w:pPr>
              <w:tabs>
                <w:tab w:val="left" w:pos="5160"/>
              </w:tabs>
              <w:overflowPunct w:val="0"/>
              <w:spacing w:line="240" w:lineRule="auto"/>
              <w:rPr>
                <w:rFonts w:ascii="Arial" w:hAnsi="Arial" w:cs="Arial"/>
                <w:sz w:val="21"/>
                <w:szCs w:val="21"/>
              </w:rPr>
            </w:pPr>
            <w:r>
              <w:rPr>
                <w:rFonts w:ascii="Arial" w:hAnsi="Arial" w:eastAsia="方正黑体简体"/>
                <w:sz w:val="21"/>
                <w:szCs w:val="21"/>
              </w:rPr>
              <w:t>1119980019</w:t>
            </w:r>
          </w:p>
        </w:tc>
        <w:tc>
          <w:tcPr>
            <w:tcW w:w="2774" w:type="dxa"/>
            <w:vAlign w:val="center"/>
          </w:tcPr>
          <w:p w14:paraId="665775F8">
            <w:pPr>
              <w:tabs>
                <w:tab w:val="left" w:pos="5160"/>
              </w:tabs>
              <w:overflowPunct w:val="0"/>
              <w:spacing w:line="240" w:lineRule="auto"/>
              <w:rPr>
                <w:rFonts w:ascii="Arial" w:hAnsi="Arial" w:cs="Arial"/>
                <w:sz w:val="21"/>
                <w:szCs w:val="21"/>
              </w:rPr>
            </w:pPr>
          </w:p>
        </w:tc>
        <w:tc>
          <w:tcPr>
            <w:tcW w:w="2582" w:type="dxa"/>
            <w:vAlign w:val="center"/>
          </w:tcPr>
          <w:p w14:paraId="4455A71A">
            <w:pPr>
              <w:tabs>
                <w:tab w:val="left" w:pos="5160"/>
              </w:tabs>
              <w:wordWrap w:val="0"/>
              <w:overflowPunct w:val="0"/>
              <w:spacing w:line="240" w:lineRule="auto"/>
              <w:ind w:firstLine="420" w:firstLineChars="200"/>
              <w:jc w:val="right"/>
              <w:rPr>
                <w:rFonts w:ascii="Arial" w:hAnsi="Arial" w:cs="Arial"/>
                <w:sz w:val="21"/>
                <w:szCs w:val="21"/>
              </w:rPr>
            </w:pPr>
            <w:r>
              <w:rPr>
                <w:rFonts w:ascii="Arial" w:hAnsi="Arial" w:cs="Arial"/>
                <w:sz w:val="21"/>
                <w:szCs w:val="21"/>
              </w:rPr>
              <w:t>年</w:t>
            </w:r>
            <w:r>
              <w:rPr>
                <w:rFonts w:hint="eastAsia" w:ascii="Arial" w:hAnsi="Arial" w:cs="Arial"/>
                <w:sz w:val="21"/>
                <w:szCs w:val="21"/>
              </w:rPr>
              <w:t xml:space="preserve">    </w:t>
            </w:r>
            <w:r>
              <w:rPr>
                <w:rFonts w:ascii="Arial" w:hAnsi="Arial" w:cs="Arial"/>
                <w:sz w:val="21"/>
                <w:szCs w:val="21"/>
              </w:rPr>
              <w:t>月</w:t>
            </w:r>
            <w:r>
              <w:rPr>
                <w:rFonts w:hint="eastAsia" w:ascii="Arial" w:hAnsi="Arial" w:cs="Arial"/>
                <w:sz w:val="21"/>
                <w:szCs w:val="21"/>
              </w:rPr>
              <w:t xml:space="preserve">    </w:t>
            </w:r>
            <w:r>
              <w:rPr>
                <w:rFonts w:ascii="Arial" w:hAnsi="Arial" w:cs="Arial"/>
                <w:sz w:val="21"/>
                <w:szCs w:val="21"/>
              </w:rPr>
              <w:t>日</w:t>
            </w:r>
          </w:p>
        </w:tc>
      </w:tr>
      <w:tr w14:paraId="209F68BB">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9299" w:type="dxa"/>
            <w:gridSpan w:val="4"/>
            <w:vAlign w:val="center"/>
          </w:tcPr>
          <w:p w14:paraId="66DBFDAB">
            <w:pPr>
              <w:tabs>
                <w:tab w:val="left" w:pos="5160"/>
              </w:tabs>
              <w:overflowPunct w:val="0"/>
              <w:spacing w:line="240" w:lineRule="auto"/>
              <w:rPr>
                <w:rFonts w:ascii="Arial" w:hAnsi="Arial" w:cs="Arial"/>
                <w:b/>
                <w:kern w:val="2"/>
                <w:sz w:val="21"/>
                <w:szCs w:val="21"/>
              </w:rPr>
            </w:pPr>
            <w:r>
              <w:rPr>
                <w:rFonts w:hint="eastAsia" w:ascii="Arial" w:hAnsi="Arial" w:cs="Arial"/>
                <w:b/>
                <w:kern w:val="2"/>
                <w:sz w:val="21"/>
                <w:szCs w:val="21"/>
              </w:rPr>
              <w:t>其他评估专业</w:t>
            </w:r>
            <w:r>
              <w:rPr>
                <w:rFonts w:ascii="Arial" w:hAnsi="Arial" w:cs="Arial"/>
                <w:b/>
                <w:kern w:val="2"/>
                <w:sz w:val="21"/>
                <w:szCs w:val="21"/>
              </w:rPr>
              <w:t>人员</w:t>
            </w:r>
            <w:r>
              <w:rPr>
                <w:rFonts w:hint="eastAsia" w:ascii="Arial" w:hAnsi="Arial" w:cs="Arial"/>
                <w:b/>
                <w:kern w:val="2"/>
                <w:sz w:val="21"/>
                <w:szCs w:val="21"/>
              </w:rPr>
              <w:t xml:space="preserve"> </w:t>
            </w:r>
          </w:p>
        </w:tc>
      </w:tr>
      <w:tr w14:paraId="1D903A6A">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1746" w:type="dxa"/>
            <w:vAlign w:val="center"/>
          </w:tcPr>
          <w:p w14:paraId="1E819F15">
            <w:pPr>
              <w:tabs>
                <w:tab w:val="left" w:pos="5160"/>
              </w:tabs>
              <w:overflowPunct w:val="0"/>
              <w:spacing w:line="240" w:lineRule="auto"/>
              <w:rPr>
                <w:rFonts w:ascii="Arial" w:hAnsi="Arial" w:cs="Arial"/>
                <w:sz w:val="21"/>
                <w:szCs w:val="21"/>
              </w:rPr>
            </w:pPr>
            <w:r>
              <w:rPr>
                <w:rFonts w:ascii="Arial" w:hAnsi="Arial" w:cs="Arial"/>
                <w:sz w:val="21"/>
                <w:szCs w:val="21"/>
              </w:rPr>
              <w:t>姓</w:t>
            </w:r>
            <w:r>
              <w:rPr>
                <w:rFonts w:hint="eastAsia" w:ascii="Arial" w:hAnsi="Arial" w:cs="Arial"/>
                <w:sz w:val="21"/>
                <w:szCs w:val="21"/>
              </w:rPr>
              <w:t xml:space="preserve">  </w:t>
            </w:r>
            <w:r>
              <w:rPr>
                <w:rFonts w:ascii="Arial" w:hAnsi="Arial" w:cs="Arial"/>
                <w:sz w:val="21"/>
                <w:szCs w:val="21"/>
              </w:rPr>
              <w:t>名</w:t>
            </w:r>
          </w:p>
        </w:tc>
        <w:tc>
          <w:tcPr>
            <w:tcW w:w="2197" w:type="dxa"/>
            <w:vAlign w:val="center"/>
          </w:tcPr>
          <w:p w14:paraId="6DC0B79A">
            <w:pPr>
              <w:tabs>
                <w:tab w:val="left" w:pos="5160"/>
              </w:tabs>
              <w:overflowPunct w:val="0"/>
              <w:spacing w:line="240" w:lineRule="auto"/>
              <w:rPr>
                <w:rFonts w:ascii="Arial" w:hAnsi="Arial" w:cs="Arial"/>
                <w:sz w:val="21"/>
                <w:szCs w:val="21"/>
              </w:rPr>
            </w:pPr>
            <w:r>
              <w:rPr>
                <w:rFonts w:ascii="Arial" w:hAnsi="Arial" w:cs="Arial"/>
                <w:kern w:val="2"/>
                <w:sz w:val="21"/>
                <w:szCs w:val="21"/>
              </w:rPr>
              <w:t>相关资格或职称</w:t>
            </w:r>
          </w:p>
        </w:tc>
        <w:tc>
          <w:tcPr>
            <w:tcW w:w="2774" w:type="dxa"/>
            <w:vAlign w:val="center"/>
          </w:tcPr>
          <w:p w14:paraId="15507A05">
            <w:pPr>
              <w:tabs>
                <w:tab w:val="left" w:pos="5160"/>
              </w:tabs>
              <w:overflowPunct w:val="0"/>
              <w:spacing w:line="240" w:lineRule="auto"/>
              <w:rPr>
                <w:rFonts w:ascii="Arial" w:hAnsi="Arial" w:cs="Arial"/>
                <w:sz w:val="21"/>
                <w:szCs w:val="21"/>
              </w:rPr>
            </w:pPr>
            <w:r>
              <w:rPr>
                <w:rFonts w:ascii="Arial" w:hAnsi="Arial" w:cs="Arial"/>
                <w:sz w:val="21"/>
                <w:szCs w:val="21"/>
              </w:rPr>
              <w:t>签名</w:t>
            </w:r>
          </w:p>
        </w:tc>
        <w:tc>
          <w:tcPr>
            <w:tcW w:w="2582" w:type="dxa"/>
            <w:vAlign w:val="center"/>
          </w:tcPr>
          <w:p w14:paraId="4B65DB05">
            <w:pPr>
              <w:tabs>
                <w:tab w:val="left" w:pos="5160"/>
              </w:tabs>
              <w:overflowPunct w:val="0"/>
              <w:spacing w:line="240" w:lineRule="auto"/>
              <w:rPr>
                <w:rFonts w:ascii="Arial" w:hAnsi="Arial" w:cs="Arial"/>
                <w:sz w:val="21"/>
                <w:szCs w:val="21"/>
              </w:rPr>
            </w:pPr>
            <w:r>
              <w:rPr>
                <w:rFonts w:ascii="Arial" w:hAnsi="Arial" w:cs="Arial"/>
                <w:sz w:val="21"/>
                <w:szCs w:val="21"/>
              </w:rPr>
              <w:t>签名日期</w:t>
            </w:r>
          </w:p>
        </w:tc>
      </w:tr>
      <w:tr w14:paraId="6A88E95C">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1134" w:hRule="exact"/>
          <w:jc w:val="center"/>
        </w:trPr>
        <w:tc>
          <w:tcPr>
            <w:tcW w:w="1746" w:type="dxa"/>
            <w:vAlign w:val="center"/>
          </w:tcPr>
          <w:p w14:paraId="411DC80E">
            <w:pPr>
              <w:tabs>
                <w:tab w:val="left" w:pos="5160"/>
              </w:tabs>
              <w:overflowPunct w:val="0"/>
              <w:spacing w:line="240" w:lineRule="auto"/>
              <w:rPr>
                <w:rFonts w:ascii="Arial" w:hAnsi="Arial" w:cs="Arial"/>
                <w:sz w:val="21"/>
                <w:szCs w:val="21"/>
              </w:rPr>
            </w:pPr>
            <w:r>
              <w:rPr>
                <w:rFonts w:hint="eastAsia" w:ascii="Arial" w:hAnsi="Arial" w:cs="Arial"/>
                <w:sz w:val="21"/>
                <w:szCs w:val="21"/>
              </w:rPr>
              <w:t>——</w:t>
            </w:r>
          </w:p>
        </w:tc>
        <w:tc>
          <w:tcPr>
            <w:tcW w:w="2197" w:type="dxa"/>
            <w:vAlign w:val="center"/>
          </w:tcPr>
          <w:p w14:paraId="2E9088DE">
            <w:pPr>
              <w:tabs>
                <w:tab w:val="left" w:pos="5160"/>
              </w:tabs>
              <w:overflowPunct w:val="0"/>
              <w:spacing w:line="240" w:lineRule="auto"/>
              <w:rPr>
                <w:rFonts w:ascii="Arial" w:hAnsi="Arial" w:cs="Arial"/>
                <w:sz w:val="21"/>
                <w:szCs w:val="21"/>
              </w:rPr>
            </w:pPr>
            <w:r>
              <w:rPr>
                <w:rFonts w:hint="eastAsia" w:ascii="Arial" w:hAnsi="Arial" w:cs="Arial"/>
                <w:sz w:val="21"/>
                <w:szCs w:val="21"/>
              </w:rPr>
              <w:t>——</w:t>
            </w:r>
          </w:p>
        </w:tc>
        <w:tc>
          <w:tcPr>
            <w:tcW w:w="2774" w:type="dxa"/>
            <w:vAlign w:val="center"/>
          </w:tcPr>
          <w:p w14:paraId="79DF86EF">
            <w:pPr>
              <w:tabs>
                <w:tab w:val="left" w:pos="5160"/>
              </w:tabs>
              <w:overflowPunct w:val="0"/>
              <w:spacing w:line="240" w:lineRule="auto"/>
              <w:rPr>
                <w:rFonts w:ascii="Arial" w:hAnsi="Arial" w:cs="Arial"/>
                <w:sz w:val="21"/>
                <w:szCs w:val="21"/>
              </w:rPr>
            </w:pPr>
          </w:p>
        </w:tc>
        <w:tc>
          <w:tcPr>
            <w:tcW w:w="2582" w:type="dxa"/>
            <w:vAlign w:val="center"/>
          </w:tcPr>
          <w:p w14:paraId="0F487A4F">
            <w:pPr>
              <w:tabs>
                <w:tab w:val="left" w:pos="5160"/>
              </w:tabs>
              <w:wordWrap w:val="0"/>
              <w:overflowPunct w:val="0"/>
              <w:spacing w:line="240" w:lineRule="auto"/>
              <w:ind w:firstLine="420" w:firstLineChars="200"/>
              <w:jc w:val="right"/>
              <w:rPr>
                <w:rFonts w:ascii="Arial" w:hAnsi="Arial" w:cs="Arial"/>
                <w:sz w:val="21"/>
                <w:szCs w:val="21"/>
              </w:rPr>
            </w:pPr>
            <w:r>
              <w:rPr>
                <w:rFonts w:ascii="Arial" w:hAnsi="Arial" w:cs="Arial"/>
                <w:sz w:val="21"/>
                <w:szCs w:val="21"/>
              </w:rPr>
              <w:t>年</w:t>
            </w:r>
            <w:r>
              <w:rPr>
                <w:rFonts w:hint="eastAsia" w:ascii="Arial" w:hAnsi="Arial" w:cs="Arial"/>
                <w:sz w:val="21"/>
                <w:szCs w:val="21"/>
              </w:rPr>
              <w:t xml:space="preserve">    </w:t>
            </w:r>
            <w:r>
              <w:rPr>
                <w:rFonts w:ascii="Arial" w:hAnsi="Arial" w:cs="Arial"/>
                <w:sz w:val="21"/>
                <w:szCs w:val="21"/>
              </w:rPr>
              <w:t>月</w:t>
            </w:r>
            <w:r>
              <w:rPr>
                <w:rFonts w:hint="eastAsia" w:ascii="Arial" w:hAnsi="Arial" w:cs="Arial"/>
                <w:sz w:val="21"/>
                <w:szCs w:val="21"/>
              </w:rPr>
              <w:t xml:space="preserve">    </w:t>
            </w:r>
            <w:r>
              <w:rPr>
                <w:rFonts w:ascii="Arial" w:hAnsi="Arial" w:cs="Arial"/>
                <w:sz w:val="21"/>
                <w:szCs w:val="21"/>
              </w:rPr>
              <w:t>日</w:t>
            </w:r>
          </w:p>
        </w:tc>
      </w:tr>
    </w:tbl>
    <w:p w14:paraId="216D6543">
      <w:pPr>
        <w:overflowPunct w:val="0"/>
        <w:spacing w:line="480" w:lineRule="auto"/>
        <w:jc w:val="both"/>
        <w:textAlignment w:val="auto"/>
        <w:rPr>
          <w:rFonts w:ascii="Arial" w:hAnsi="Arial" w:cs="Arial"/>
          <w:kern w:val="2"/>
          <w:sz w:val="21"/>
          <w:szCs w:val="21"/>
        </w:rPr>
      </w:pPr>
    </w:p>
    <w:p w14:paraId="7CD271F6">
      <w:pPr>
        <w:pStyle w:val="3"/>
        <w:numPr>
          <w:ilvl w:val="0"/>
          <w:numId w:val="0"/>
        </w:numPr>
        <w:overflowPunct w:val="0"/>
        <w:spacing w:line="480" w:lineRule="auto"/>
        <w:jc w:val="both"/>
        <w:textAlignment w:val="auto"/>
        <w:rPr>
          <w:rFonts w:eastAsia="宋体"/>
          <w:kern w:val="2"/>
          <w:sz w:val="21"/>
          <w:szCs w:val="21"/>
        </w:rPr>
      </w:pPr>
      <w:bookmarkStart w:id="41" w:name="_Toc155267097"/>
      <w:r>
        <w:rPr>
          <w:rFonts w:eastAsia="宋体"/>
          <w:kern w:val="2"/>
          <w:sz w:val="21"/>
          <w:szCs w:val="21"/>
        </w:rPr>
        <w:t>十二、实地查勘期</w:t>
      </w:r>
      <w:bookmarkEnd w:id="41"/>
    </w:p>
    <w:p w14:paraId="306AD42B">
      <w:pPr>
        <w:overflowPunct w:val="0"/>
        <w:spacing w:line="480" w:lineRule="auto"/>
        <w:ind w:firstLine="420" w:firstLineChars="200"/>
        <w:jc w:val="both"/>
        <w:textAlignment w:val="auto"/>
        <w:rPr>
          <w:rFonts w:ascii="Arial" w:hAnsi="Arial" w:cs="Arial"/>
          <w:sz w:val="21"/>
          <w:szCs w:val="21"/>
        </w:rPr>
      </w:pPr>
      <w:commentRangeStart w:id="10"/>
      <w:r>
        <w:rPr>
          <w:rFonts w:ascii="Arial" w:hAnsi="Arial" w:cs="Arial"/>
          <w:sz w:val="21"/>
          <w:szCs w:val="21"/>
        </w:rPr>
        <w:t>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4</w:t>
      </w:r>
      <w:r>
        <w:rPr>
          <w:rFonts w:ascii="Arial" w:hAnsi="Arial" w:cs="Arial"/>
          <w:sz w:val="21"/>
          <w:szCs w:val="21"/>
        </w:rPr>
        <w:t>月</w:t>
      </w:r>
      <w:r>
        <w:rPr>
          <w:rFonts w:hint="eastAsia" w:ascii="Arial" w:hAnsi="Arial" w:cs="Arial"/>
          <w:sz w:val="21"/>
          <w:szCs w:val="21"/>
        </w:rPr>
        <w:t>7</w:t>
      </w:r>
      <w:r>
        <w:rPr>
          <w:rFonts w:ascii="Arial" w:hAnsi="Arial" w:cs="Arial"/>
          <w:sz w:val="21"/>
          <w:szCs w:val="21"/>
        </w:rPr>
        <w:t>日</w:t>
      </w:r>
      <w:commentRangeEnd w:id="10"/>
      <w:r>
        <w:rPr>
          <w:rStyle w:val="40"/>
        </w:rPr>
        <w:commentReference w:id="10"/>
      </w:r>
    </w:p>
    <w:p w14:paraId="0D5A3B62">
      <w:pPr>
        <w:overflowPunct w:val="0"/>
        <w:spacing w:line="480" w:lineRule="auto"/>
        <w:jc w:val="both"/>
        <w:textAlignment w:val="auto"/>
        <w:rPr>
          <w:rFonts w:ascii="Arial" w:hAnsi="Arial" w:cs="Arial"/>
          <w:kern w:val="2"/>
          <w:sz w:val="21"/>
          <w:szCs w:val="21"/>
        </w:rPr>
      </w:pPr>
    </w:p>
    <w:p w14:paraId="59A4D632">
      <w:pPr>
        <w:pStyle w:val="3"/>
        <w:numPr>
          <w:ilvl w:val="0"/>
          <w:numId w:val="0"/>
        </w:numPr>
        <w:overflowPunct w:val="0"/>
        <w:spacing w:line="480" w:lineRule="auto"/>
        <w:jc w:val="both"/>
        <w:textAlignment w:val="auto"/>
        <w:rPr>
          <w:rFonts w:eastAsia="宋体"/>
          <w:kern w:val="2"/>
          <w:sz w:val="21"/>
          <w:szCs w:val="21"/>
        </w:rPr>
      </w:pPr>
      <w:bookmarkStart w:id="42" w:name="_Toc168225825"/>
      <w:bookmarkStart w:id="43" w:name="_Toc155267098"/>
      <w:r>
        <w:rPr>
          <w:rFonts w:eastAsia="宋体"/>
          <w:kern w:val="2"/>
          <w:sz w:val="21"/>
          <w:szCs w:val="21"/>
        </w:rPr>
        <w:t>十三、估价作业期</w:t>
      </w:r>
      <w:bookmarkEnd w:id="42"/>
      <w:bookmarkEnd w:id="43"/>
      <w:r>
        <w:rPr>
          <w:rFonts w:hint="eastAsia" w:eastAsia="宋体"/>
          <w:kern w:val="2"/>
          <w:sz w:val="21"/>
          <w:szCs w:val="21"/>
        </w:rPr>
        <w:t xml:space="preserve">  </w:t>
      </w:r>
    </w:p>
    <w:p w14:paraId="23BA33D4">
      <w:pPr>
        <w:overflowPunct w:val="0"/>
        <w:spacing w:line="480" w:lineRule="auto"/>
        <w:ind w:firstLine="420" w:firstLineChars="200"/>
        <w:jc w:val="both"/>
        <w:textAlignment w:val="auto"/>
        <w:rPr>
          <w:rFonts w:ascii="Arial" w:hAnsi="Arial" w:cs="Arial"/>
          <w:sz w:val="21"/>
          <w:szCs w:val="21"/>
        </w:rPr>
      </w:pPr>
      <w:commentRangeStart w:id="11"/>
      <w:r>
        <w:rPr>
          <w:rFonts w:ascii="Arial" w:hAnsi="Arial" w:cs="Arial"/>
          <w:sz w:val="21"/>
          <w:szCs w:val="21"/>
        </w:rPr>
        <w:t>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4</w:t>
      </w:r>
      <w:r>
        <w:rPr>
          <w:rFonts w:ascii="Arial" w:hAnsi="Arial" w:cs="Arial"/>
          <w:sz w:val="21"/>
          <w:szCs w:val="21"/>
        </w:rPr>
        <w:t>月</w:t>
      </w:r>
      <w:r>
        <w:rPr>
          <w:rFonts w:hint="eastAsia" w:ascii="Arial" w:hAnsi="Arial" w:cs="Arial"/>
          <w:sz w:val="21"/>
          <w:szCs w:val="21"/>
        </w:rPr>
        <w:t>7</w:t>
      </w:r>
      <w:r>
        <w:rPr>
          <w:rFonts w:ascii="Arial" w:hAnsi="Arial" w:cs="Arial"/>
          <w:sz w:val="21"/>
          <w:szCs w:val="21"/>
        </w:rPr>
        <w:t>日</w:t>
      </w:r>
      <w:commentRangeEnd w:id="11"/>
      <w:r>
        <w:rPr>
          <w:rStyle w:val="40"/>
        </w:rPr>
        <w:commentReference w:id="11"/>
      </w:r>
      <w:r>
        <w:rPr>
          <w:rFonts w:ascii="Arial" w:hAnsi="Arial" w:cs="Arial"/>
          <w:sz w:val="21"/>
          <w:szCs w:val="21"/>
        </w:rPr>
        <w:t>至202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4</w:t>
      </w:r>
      <w:r>
        <w:rPr>
          <w:rFonts w:ascii="Arial" w:hAnsi="Arial" w:cs="Arial"/>
          <w:sz w:val="21"/>
          <w:szCs w:val="21"/>
        </w:rPr>
        <w:t>月</w:t>
      </w:r>
      <w:r>
        <w:rPr>
          <w:rFonts w:hint="eastAsia" w:ascii="Arial" w:hAnsi="Arial" w:cs="Arial"/>
          <w:sz w:val="21"/>
          <w:szCs w:val="21"/>
        </w:rPr>
        <w:t>16</w:t>
      </w:r>
      <w:r>
        <w:rPr>
          <w:rFonts w:ascii="Arial" w:hAnsi="Arial" w:cs="Arial"/>
          <w:sz w:val="21"/>
          <w:szCs w:val="21"/>
        </w:rPr>
        <w:t>日</w:t>
      </w:r>
    </w:p>
    <w:p w14:paraId="39630290">
      <w:pPr>
        <w:overflowPunct w:val="0"/>
        <w:spacing w:line="480" w:lineRule="auto"/>
        <w:jc w:val="both"/>
        <w:textAlignment w:val="auto"/>
        <w:outlineLvl w:val="0"/>
        <w:rPr>
          <w:rFonts w:ascii="Arial" w:hAnsi="Arial" w:cs="Arial"/>
          <w:b/>
          <w:kern w:val="2"/>
          <w:sz w:val="21"/>
          <w:szCs w:val="21"/>
        </w:rPr>
        <w:sectPr>
          <w:headerReference r:id="rId21" w:type="first"/>
          <w:headerReference r:id="rId19" w:type="default"/>
          <w:footerReference r:id="rId22" w:type="default"/>
          <w:headerReference r:id="rId20" w:type="even"/>
          <w:footerReference r:id="rId23" w:type="even"/>
          <w:pgSz w:w="11907" w:h="16840"/>
          <w:pgMar w:top="1843" w:right="1134" w:bottom="1134" w:left="1134" w:header="1134" w:footer="907" w:gutter="340"/>
          <w:cols w:space="720" w:num="1"/>
          <w:docGrid w:linePitch="326" w:charSpace="0"/>
        </w:sectPr>
      </w:pPr>
    </w:p>
    <w:p w14:paraId="26663125">
      <w:pPr>
        <w:pStyle w:val="2"/>
        <w:spacing w:line="480" w:lineRule="auto"/>
        <w:jc w:val="center"/>
        <w:rPr>
          <w:rFonts w:eastAsia="方正黑体简体"/>
          <w:b w:val="0"/>
          <w:kern w:val="2"/>
          <w:sz w:val="32"/>
          <w:szCs w:val="32"/>
        </w:rPr>
      </w:pPr>
      <w:bookmarkStart w:id="44" w:name="_Toc525655431"/>
      <w:bookmarkStart w:id="45" w:name="_Toc155267099"/>
      <w:r>
        <w:rPr>
          <w:rFonts w:hint="eastAsia" w:eastAsia="方正黑体简体"/>
          <w:b w:val="0"/>
          <w:kern w:val="2"/>
          <w:sz w:val="32"/>
          <w:szCs w:val="32"/>
        </w:rPr>
        <w:t>估价技术报告</w:t>
      </w:r>
      <w:bookmarkEnd w:id="44"/>
      <w:bookmarkEnd w:id="45"/>
    </w:p>
    <w:p w14:paraId="39782252">
      <w:pPr>
        <w:pStyle w:val="3"/>
        <w:numPr>
          <w:ilvl w:val="0"/>
          <w:numId w:val="0"/>
        </w:numPr>
        <w:spacing w:line="480" w:lineRule="auto"/>
        <w:ind w:left="358" w:hanging="358" w:hangingChars="170"/>
        <w:jc w:val="both"/>
        <w:rPr>
          <w:rFonts w:eastAsia="宋体"/>
          <w:kern w:val="2"/>
          <w:sz w:val="21"/>
          <w:szCs w:val="21"/>
        </w:rPr>
      </w:pPr>
      <w:bookmarkStart w:id="46" w:name="_Toc525655432"/>
      <w:bookmarkStart w:id="47" w:name="_Toc155267100"/>
      <w:r>
        <w:rPr>
          <w:rFonts w:eastAsia="宋体"/>
          <w:kern w:val="2"/>
          <w:sz w:val="21"/>
          <w:szCs w:val="21"/>
        </w:rPr>
        <w:t>一、估价对象描述与分析</w:t>
      </w:r>
      <w:bookmarkEnd w:id="46"/>
      <w:bookmarkEnd w:id="47"/>
    </w:p>
    <w:p w14:paraId="50C98160">
      <w:pPr>
        <w:pStyle w:val="3"/>
        <w:numPr>
          <w:ilvl w:val="0"/>
          <w:numId w:val="0"/>
        </w:numPr>
        <w:spacing w:line="480" w:lineRule="auto"/>
        <w:ind w:left="360" w:hanging="361" w:hangingChars="171"/>
        <w:jc w:val="both"/>
        <w:rPr>
          <w:rFonts w:eastAsia="宋体"/>
          <w:kern w:val="2"/>
          <w:sz w:val="21"/>
          <w:szCs w:val="21"/>
        </w:rPr>
      </w:pPr>
      <w:bookmarkStart w:id="48" w:name="_Toc155267101"/>
      <w:bookmarkStart w:id="49" w:name="_Toc525655433"/>
      <w:r>
        <w:rPr>
          <w:rFonts w:eastAsia="宋体"/>
          <w:kern w:val="2"/>
          <w:sz w:val="21"/>
          <w:szCs w:val="21"/>
        </w:rPr>
        <w:t>（</w:t>
      </w:r>
      <w:r>
        <w:rPr>
          <w:rFonts w:hint="eastAsia" w:eastAsia="宋体"/>
          <w:kern w:val="2"/>
          <w:sz w:val="21"/>
          <w:szCs w:val="21"/>
        </w:rPr>
        <w:t>一</w:t>
      </w:r>
      <w:r>
        <w:rPr>
          <w:rFonts w:eastAsia="宋体"/>
          <w:kern w:val="2"/>
          <w:sz w:val="21"/>
          <w:szCs w:val="21"/>
        </w:rPr>
        <w:t>）区位状况分析</w:t>
      </w:r>
      <w:bookmarkEnd w:id="48"/>
      <w:bookmarkEnd w:id="49"/>
    </w:p>
    <w:p w14:paraId="5D7514B1">
      <w:pPr>
        <w:spacing w:line="480" w:lineRule="auto"/>
        <w:ind w:firstLine="420" w:firstLineChars="200"/>
        <w:jc w:val="both"/>
        <w:rPr>
          <w:rFonts w:ascii="Arial" w:hAnsi="Arial" w:cs="Arial"/>
          <w:kern w:val="2"/>
          <w:sz w:val="21"/>
          <w:szCs w:val="21"/>
        </w:rPr>
      </w:pPr>
      <w:r>
        <w:rPr>
          <w:rFonts w:ascii="Arial" w:hAnsi="Arial" w:cs="Arial"/>
          <w:sz w:val="21"/>
          <w:szCs w:val="21"/>
        </w:rPr>
        <w:t>1.位置状况</w:t>
      </w:r>
      <w:r>
        <w:rPr>
          <w:rFonts w:hint="eastAsia" w:ascii="Arial" w:hAnsi="Arial" w:cs="Arial"/>
          <w:sz w:val="21"/>
          <w:szCs w:val="21"/>
        </w:rPr>
        <w:t xml:space="preserve">  </w:t>
      </w:r>
      <w:r>
        <w:rPr>
          <w:rFonts w:hint="eastAsia" w:ascii="Arial" w:hAnsi="Arial" w:cs="Arial"/>
          <w:kern w:val="2"/>
          <w:sz w:val="21"/>
          <w:szCs w:val="21"/>
        </w:rPr>
        <w:t xml:space="preserve">  </w:t>
      </w:r>
    </w:p>
    <w:p w14:paraId="6FA7BBD1">
      <w:pPr>
        <w:spacing w:line="480" w:lineRule="auto"/>
        <w:ind w:firstLine="420" w:firstLineChars="200"/>
        <w:jc w:val="both"/>
        <w:rPr>
          <w:rFonts w:ascii="Arial" w:hAnsi="Arial" w:cs="Arial"/>
          <w:kern w:val="2"/>
          <w:sz w:val="21"/>
          <w:szCs w:val="21"/>
        </w:rPr>
      </w:pPr>
      <w:r>
        <w:rPr>
          <w:rFonts w:ascii="Arial" w:hAnsi="Arial" w:cs="Arial"/>
          <w:kern w:val="2"/>
          <w:sz w:val="21"/>
          <w:szCs w:val="21"/>
        </w:rPr>
        <w:t>估价对象</w:t>
      </w:r>
      <w:r>
        <w:rPr>
          <w:rFonts w:hint="eastAsia" w:ascii="Arial" w:hAnsi="Arial" w:cs="Arial"/>
          <w:kern w:val="2"/>
          <w:sz w:val="21"/>
          <w:szCs w:val="21"/>
        </w:rPr>
        <w:t>位于大兴区林校路街道饮马井街1、2号院，距离地铁4号线大兴火车站站1公里，距离京开高速海子角收费站500米，距离</w:t>
      </w:r>
      <w:r>
        <w:rPr>
          <w:rFonts w:hint="eastAsia" w:ascii="Arial" w:hAnsi="Arial" w:cs="Arial"/>
          <w:kern w:val="2"/>
          <w:sz w:val="21"/>
          <w:szCs w:val="21"/>
          <w:lang w:val="en-US" w:eastAsia="zh-CN"/>
        </w:rPr>
        <w:t>区</w:t>
      </w:r>
      <w:r>
        <w:rPr>
          <w:rFonts w:hint="eastAsia" w:ascii="Arial" w:hAnsi="Arial" w:cs="Arial"/>
          <w:kern w:val="2"/>
          <w:sz w:val="21"/>
          <w:szCs w:val="21"/>
        </w:rPr>
        <w:t>政府办公区800米，距离念坛国际金融商务区1公里，距离生物医药产业基地1.5公里，</w:t>
      </w:r>
      <w:r>
        <w:rPr>
          <w:rFonts w:ascii="Arial" w:hAnsi="Arial" w:cs="Arial"/>
          <w:kern w:val="2"/>
          <w:sz w:val="21"/>
          <w:szCs w:val="21"/>
        </w:rPr>
        <w:t>地理位置状况</w:t>
      </w:r>
      <w:r>
        <w:rPr>
          <w:rFonts w:hint="eastAsia" w:ascii="Arial" w:hAnsi="Arial" w:cs="Arial"/>
          <w:kern w:val="2"/>
          <w:sz w:val="21"/>
          <w:szCs w:val="21"/>
        </w:rPr>
        <w:t>较好</w:t>
      </w:r>
      <w:r>
        <w:rPr>
          <w:rFonts w:ascii="Arial" w:hAnsi="Arial" w:cs="Arial"/>
          <w:kern w:val="2"/>
          <w:sz w:val="21"/>
          <w:szCs w:val="21"/>
        </w:rPr>
        <w:t>。</w:t>
      </w:r>
    </w:p>
    <w:p w14:paraId="10DD21E3">
      <w:pPr>
        <w:spacing w:line="480" w:lineRule="auto"/>
        <w:ind w:firstLine="420" w:firstLineChars="200"/>
        <w:jc w:val="both"/>
        <w:rPr>
          <w:rFonts w:ascii="Arial" w:hAnsi="Arial" w:cs="Arial"/>
          <w:sz w:val="21"/>
          <w:szCs w:val="21"/>
        </w:rPr>
      </w:pPr>
      <w:r>
        <w:rPr>
          <w:rFonts w:ascii="Arial" w:hAnsi="Arial" w:cs="Arial"/>
          <w:sz w:val="21"/>
          <w:szCs w:val="21"/>
        </w:rPr>
        <w:t>2.居住社区成熟度</w:t>
      </w:r>
    </w:p>
    <w:p w14:paraId="0E69B6BE">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估价对象周边2公里内有车站中里小区、海悦公馆、海子角小区、物资局小区、义和庄东里、锦华园小区、兴水家园、漪景园、埝坛华庭等居住项目，居住小区规模适中，入住率较好，综合评价居住社区成熟度较好。</w:t>
      </w:r>
    </w:p>
    <w:p w14:paraId="0894501F">
      <w:pPr>
        <w:spacing w:line="480" w:lineRule="auto"/>
        <w:ind w:firstLine="420" w:firstLineChars="200"/>
        <w:jc w:val="both"/>
        <w:rPr>
          <w:rFonts w:ascii="Arial" w:hAnsi="Arial" w:cs="Arial"/>
          <w:sz w:val="21"/>
          <w:szCs w:val="21"/>
        </w:rPr>
      </w:pPr>
      <w:r>
        <w:rPr>
          <w:rFonts w:ascii="Arial" w:hAnsi="Arial" w:cs="Arial"/>
          <w:sz w:val="21"/>
          <w:szCs w:val="21"/>
        </w:rPr>
        <w:t>3.</w:t>
      </w:r>
      <w:r>
        <w:rPr>
          <w:rFonts w:hint="eastAsia" w:ascii="Arial" w:hAnsi="Arial" w:cs="Arial"/>
          <w:sz w:val="21"/>
          <w:szCs w:val="21"/>
        </w:rPr>
        <w:t>交</w:t>
      </w:r>
      <w:r>
        <w:rPr>
          <w:rFonts w:ascii="Arial" w:hAnsi="Arial" w:cs="Arial"/>
          <w:sz w:val="21"/>
          <w:szCs w:val="21"/>
        </w:rPr>
        <w:t>通状况</w:t>
      </w:r>
    </w:p>
    <w:p w14:paraId="3CD27879">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估价对象紧邻城市主干道——林校路，周边路网较密集；2公里范围内有轨道交通站点（地铁4号线黄村火车站），周边1公里内有827路、829路、840路、兴11路、兴21路、兴52路等公交线路途径并设立站点，综合评价交通便捷度较好。</w:t>
      </w:r>
    </w:p>
    <w:p w14:paraId="7164912C">
      <w:pPr>
        <w:spacing w:line="480" w:lineRule="auto"/>
        <w:ind w:firstLine="420" w:firstLineChars="200"/>
        <w:jc w:val="both"/>
        <w:rPr>
          <w:rFonts w:ascii="Arial" w:hAnsi="Arial" w:cs="Arial"/>
          <w:sz w:val="21"/>
          <w:szCs w:val="21"/>
        </w:rPr>
      </w:pPr>
      <w:r>
        <w:rPr>
          <w:rFonts w:hint="eastAsia" w:ascii="Arial" w:hAnsi="Arial" w:cs="Arial"/>
          <w:sz w:val="21"/>
          <w:szCs w:val="21"/>
        </w:rPr>
        <w:t>4.</w:t>
      </w:r>
      <w:r>
        <w:rPr>
          <w:rFonts w:ascii="Arial" w:hAnsi="Arial" w:cs="Arial"/>
          <w:sz w:val="21"/>
          <w:szCs w:val="21"/>
        </w:rPr>
        <w:t>环境状况</w:t>
      </w:r>
    </w:p>
    <w:p w14:paraId="3A222F4F">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估价对象周边2公里有念坛公园、兴良路公园、永定公园、小龙河等自然景观，有中央文化和旅游管理干部学院、国家林业和草原局管理干部学院等人文环境、综合评价自然与人文环境较好</w:t>
      </w:r>
      <w:r>
        <w:rPr>
          <w:rFonts w:hint="eastAsia" w:ascii="Arial" w:hAnsi="Arial" w:cs="Arial"/>
          <w:sz w:val="21"/>
          <w:szCs w:val="21"/>
        </w:rPr>
        <w:t>。</w:t>
      </w:r>
    </w:p>
    <w:p w14:paraId="4C7DB9F2">
      <w:pPr>
        <w:spacing w:line="480" w:lineRule="auto"/>
        <w:ind w:firstLine="420" w:firstLineChars="200"/>
        <w:jc w:val="both"/>
        <w:rPr>
          <w:rFonts w:ascii="Arial" w:hAnsi="Arial" w:cs="Arial"/>
          <w:i/>
          <w:sz w:val="21"/>
          <w:szCs w:val="21"/>
        </w:rPr>
      </w:pPr>
      <w:r>
        <w:rPr>
          <w:rFonts w:hint="eastAsia" w:ascii="Arial" w:hAnsi="Arial" w:cs="Arial"/>
          <w:sz w:val="21"/>
          <w:szCs w:val="21"/>
        </w:rPr>
        <w:t>5.</w:t>
      </w:r>
      <w:r>
        <w:rPr>
          <w:rFonts w:ascii="Arial" w:hAnsi="Arial" w:cs="Arial"/>
          <w:sz w:val="21"/>
          <w:szCs w:val="21"/>
        </w:rPr>
        <w:t>外部配套设施状况</w:t>
      </w:r>
    </w:p>
    <w:p w14:paraId="0E53675D">
      <w:pPr>
        <w:spacing w:line="480" w:lineRule="auto"/>
        <w:ind w:firstLine="420" w:firstLineChars="200"/>
        <w:jc w:val="both"/>
        <w:rPr>
          <w:rFonts w:ascii="Arial" w:hAnsi="Arial" w:cs="Arial"/>
          <w:sz w:val="21"/>
          <w:szCs w:val="21"/>
        </w:rPr>
      </w:pPr>
      <w:r>
        <w:rPr>
          <w:rFonts w:hint="eastAsia" w:ascii="Arial" w:hAnsi="Arial" w:cs="Arial"/>
          <w:kern w:val="2"/>
          <w:sz w:val="21"/>
          <w:szCs w:val="21"/>
        </w:rPr>
        <w:t>估价对象</w:t>
      </w:r>
      <w:r>
        <w:rPr>
          <w:rFonts w:ascii="Arial" w:hAnsi="Arial" w:cs="Arial"/>
          <w:sz w:val="21"/>
          <w:szCs w:val="21"/>
        </w:rPr>
        <w:t>所处区域目前已拥有完善的基础设施配套保障，区内大部分区域基础设施配套目前可达到</w:t>
      </w:r>
      <w:r>
        <w:rPr>
          <w:rFonts w:hint="eastAsia" w:ascii="Arial" w:hAnsi="Arial" w:cs="Arial"/>
          <w:sz w:val="21"/>
          <w:szCs w:val="21"/>
        </w:rPr>
        <w:t>“七通”</w:t>
      </w:r>
      <w:r>
        <w:rPr>
          <w:rFonts w:ascii="Arial" w:hAnsi="Arial" w:cs="Arial"/>
          <w:sz w:val="21"/>
          <w:szCs w:val="21"/>
        </w:rPr>
        <w:t>（通路、通电、通讯、供水、排水</w:t>
      </w:r>
      <w:r>
        <w:rPr>
          <w:rFonts w:hint="eastAsia" w:ascii="Arial" w:hAnsi="Arial" w:cs="Arial"/>
          <w:sz w:val="21"/>
          <w:szCs w:val="21"/>
        </w:rPr>
        <w:t>、通暖、通燃气</w:t>
      </w:r>
      <w:r>
        <w:rPr>
          <w:rFonts w:ascii="Arial" w:hAnsi="Arial" w:cs="Arial"/>
          <w:sz w:val="21"/>
          <w:szCs w:val="21"/>
        </w:rPr>
        <w:t>）条件，且保证程度高。</w:t>
      </w:r>
    </w:p>
    <w:p w14:paraId="30B10439">
      <w:pPr>
        <w:spacing w:line="480" w:lineRule="auto"/>
        <w:ind w:firstLine="420" w:firstLineChars="200"/>
        <w:jc w:val="both"/>
        <w:rPr>
          <w:rFonts w:ascii="Arial" w:hAnsi="Arial" w:cs="Arial"/>
          <w:kern w:val="2"/>
          <w:sz w:val="21"/>
          <w:szCs w:val="21"/>
        </w:rPr>
      </w:pPr>
      <w:bookmarkStart w:id="50" w:name="_Toc525655434"/>
      <w:r>
        <w:rPr>
          <w:rFonts w:hint="eastAsia" w:ascii="Arial" w:hAnsi="Arial" w:cs="Arial"/>
          <w:kern w:val="2"/>
          <w:sz w:val="21"/>
          <w:szCs w:val="21"/>
        </w:rPr>
        <w:t>估价对象所在区域</w:t>
      </w:r>
      <w:commentRangeStart w:id="12"/>
      <w:r>
        <w:rPr>
          <w:rFonts w:hint="eastAsia" w:ascii="Arial" w:hAnsi="Arial" w:cs="Arial"/>
          <w:kern w:val="2"/>
          <w:sz w:val="21"/>
          <w:szCs w:val="21"/>
        </w:rPr>
        <w:t>周边2公里范围</w:t>
      </w:r>
      <w:commentRangeEnd w:id="12"/>
      <w:r>
        <w:rPr>
          <w:rStyle w:val="40"/>
        </w:rPr>
        <w:commentReference w:id="12"/>
      </w:r>
      <w:r>
        <w:rPr>
          <w:rFonts w:hint="eastAsia" w:ascii="Arial" w:hAnsi="Arial" w:cs="Arial"/>
          <w:kern w:val="2"/>
          <w:sz w:val="21"/>
          <w:szCs w:val="21"/>
        </w:rPr>
        <w:t>内有大兴星城商厦、大兴大悦春风里等商业场所；有北京市大兴区永华实验学校、</w:t>
      </w:r>
      <w:r>
        <w:rPr>
          <w:rFonts w:hint="eastAsia" w:ascii="Arial" w:hAnsi="Arial" w:cs="Arial"/>
          <w:kern w:val="2"/>
          <w:sz w:val="21"/>
          <w:szCs w:val="21"/>
          <w:lang w:eastAsia="zh-CN"/>
        </w:rPr>
        <w:t>北京市</w:t>
      </w:r>
      <w:r>
        <w:rPr>
          <w:rFonts w:hint="eastAsia" w:ascii="Arial" w:hAnsi="Arial" w:cs="Arial"/>
          <w:kern w:val="2"/>
          <w:sz w:val="21"/>
          <w:szCs w:val="21"/>
        </w:rPr>
        <w:t>大兴区第一中学、北京市大兴区第八小学、泰禾幼儿园（大兴园区）等教育机构，有北京市大兴区心康医院、北京市大兴区人民医院等医疗机构；有华夏银行、北京银行等金融网点，公共配套设施状况较好。</w:t>
      </w:r>
    </w:p>
    <w:p w14:paraId="11FBC358">
      <w:pPr>
        <w:spacing w:line="480" w:lineRule="auto"/>
        <w:ind w:firstLine="420" w:firstLineChars="200"/>
        <w:jc w:val="both"/>
        <w:rPr>
          <w:rFonts w:ascii="Arial" w:hAnsi="Arial" w:cs="Arial"/>
          <w:sz w:val="21"/>
          <w:szCs w:val="21"/>
        </w:rPr>
      </w:pPr>
      <w:r>
        <w:rPr>
          <w:rFonts w:hint="eastAsia" w:ascii="Arial" w:hAnsi="Arial" w:cs="Arial"/>
          <w:sz w:val="21"/>
          <w:szCs w:val="21"/>
        </w:rPr>
        <w:t>6.总体评价</w:t>
      </w:r>
    </w:p>
    <w:bookmarkEnd w:id="50"/>
    <w:p w14:paraId="0281C922">
      <w:pPr>
        <w:spacing w:line="480" w:lineRule="auto"/>
        <w:ind w:firstLine="420" w:firstLineChars="200"/>
        <w:jc w:val="both"/>
        <w:rPr>
          <w:rFonts w:ascii="Arial" w:hAnsi="Arial" w:cs="Arial"/>
          <w:kern w:val="2"/>
          <w:sz w:val="21"/>
          <w:szCs w:val="21"/>
        </w:rPr>
      </w:pPr>
      <w:r>
        <w:rPr>
          <w:rFonts w:hint="eastAsia" w:ascii="Arial" w:hAnsi="Arial" w:cs="Arial"/>
          <w:sz w:val="21"/>
          <w:szCs w:val="21"/>
        </w:rPr>
        <w:t>估价对象地理位置状况</w:t>
      </w:r>
      <w:r>
        <w:rPr>
          <w:rFonts w:hint="eastAsia" w:ascii="Arial" w:hAnsi="Arial" w:cs="Arial"/>
          <w:kern w:val="2"/>
          <w:sz w:val="21"/>
          <w:szCs w:val="21"/>
        </w:rPr>
        <w:t>较好</w:t>
      </w:r>
      <w:r>
        <w:rPr>
          <w:rFonts w:hint="eastAsia" w:ascii="Arial" w:hAnsi="Arial" w:cs="Arial"/>
          <w:sz w:val="21"/>
          <w:szCs w:val="21"/>
        </w:rPr>
        <w:t>，居住社区成熟度</w:t>
      </w:r>
      <w:r>
        <w:rPr>
          <w:rFonts w:hint="eastAsia" w:ascii="Arial" w:hAnsi="Arial" w:cs="Arial"/>
          <w:kern w:val="2"/>
          <w:sz w:val="21"/>
          <w:szCs w:val="21"/>
        </w:rPr>
        <w:t>较好</w:t>
      </w:r>
      <w:r>
        <w:rPr>
          <w:rFonts w:hint="eastAsia" w:ascii="Arial" w:hAnsi="Arial" w:cs="Arial"/>
          <w:sz w:val="21"/>
          <w:szCs w:val="21"/>
        </w:rPr>
        <w:t>，交通便捷度</w:t>
      </w:r>
      <w:r>
        <w:rPr>
          <w:rFonts w:hint="eastAsia" w:ascii="Arial" w:hAnsi="Arial" w:cs="Arial"/>
          <w:kern w:val="2"/>
          <w:sz w:val="21"/>
          <w:szCs w:val="21"/>
        </w:rPr>
        <w:t>较好</w:t>
      </w:r>
      <w:r>
        <w:rPr>
          <w:rFonts w:hint="eastAsia" w:ascii="Arial" w:hAnsi="Arial" w:cs="Arial"/>
          <w:sz w:val="21"/>
          <w:szCs w:val="21"/>
        </w:rPr>
        <w:t>，环境状况</w:t>
      </w:r>
      <w:r>
        <w:rPr>
          <w:rFonts w:hint="eastAsia" w:ascii="Arial" w:hAnsi="Arial" w:cs="Arial"/>
          <w:kern w:val="2"/>
          <w:sz w:val="21"/>
          <w:szCs w:val="21"/>
        </w:rPr>
        <w:t>较好</w:t>
      </w:r>
      <w:r>
        <w:rPr>
          <w:rFonts w:ascii="Arial" w:hAnsi="Arial" w:cs="Arial"/>
          <w:sz w:val="21"/>
          <w:szCs w:val="21"/>
        </w:rPr>
        <w:t>，区内大部分区域基础设施配套目前可达到</w:t>
      </w:r>
      <w:r>
        <w:rPr>
          <w:rFonts w:hint="eastAsia" w:ascii="Arial" w:hAnsi="Arial" w:cs="Arial"/>
          <w:sz w:val="21"/>
          <w:szCs w:val="21"/>
        </w:rPr>
        <w:t>“七</w:t>
      </w:r>
      <w:r>
        <w:rPr>
          <w:rFonts w:ascii="Arial" w:hAnsi="Arial" w:cs="Arial"/>
          <w:sz w:val="21"/>
          <w:szCs w:val="21"/>
        </w:rPr>
        <w:t>通</w:t>
      </w:r>
      <w:r>
        <w:rPr>
          <w:rFonts w:hint="eastAsia" w:ascii="Arial" w:hAnsi="Arial" w:cs="Arial"/>
          <w:sz w:val="21"/>
          <w:szCs w:val="21"/>
        </w:rPr>
        <w:t>”，公共配套设施状况</w:t>
      </w:r>
      <w:r>
        <w:rPr>
          <w:rFonts w:hint="eastAsia" w:ascii="Arial" w:hAnsi="Arial" w:cs="Arial"/>
          <w:kern w:val="2"/>
          <w:sz w:val="21"/>
          <w:szCs w:val="21"/>
        </w:rPr>
        <w:t>较好</w:t>
      </w:r>
      <w:r>
        <w:rPr>
          <w:rFonts w:hint="eastAsia" w:ascii="Arial" w:hAnsi="Arial" w:cs="Arial"/>
          <w:sz w:val="21"/>
          <w:szCs w:val="21"/>
        </w:rPr>
        <w:t>。</w:t>
      </w:r>
      <w:r>
        <w:rPr>
          <w:rFonts w:ascii="Arial" w:hAnsi="Arial" w:cs="Arial"/>
          <w:sz w:val="21"/>
          <w:szCs w:val="21"/>
        </w:rPr>
        <w:t>区域规划</w:t>
      </w:r>
      <w:r>
        <w:rPr>
          <w:rFonts w:hint="eastAsia" w:ascii="Arial" w:hAnsi="Arial" w:cs="Arial"/>
          <w:sz w:val="21"/>
          <w:szCs w:val="21"/>
        </w:rPr>
        <w:t>无特殊限制</w:t>
      </w:r>
      <w:r>
        <w:rPr>
          <w:rFonts w:ascii="Arial" w:hAnsi="Arial" w:cs="Arial"/>
          <w:sz w:val="21"/>
          <w:szCs w:val="21"/>
        </w:rPr>
        <w:t>。总体评价影响估价对象的</w:t>
      </w:r>
      <w:r>
        <w:rPr>
          <w:rFonts w:hint="eastAsia" w:ascii="Arial" w:hAnsi="Arial" w:cs="Arial"/>
          <w:sz w:val="21"/>
          <w:szCs w:val="21"/>
        </w:rPr>
        <w:t>区位条件</w:t>
      </w:r>
      <w:r>
        <w:rPr>
          <w:rFonts w:hint="eastAsia" w:ascii="Arial" w:hAnsi="Arial" w:cs="Arial"/>
          <w:kern w:val="2"/>
          <w:sz w:val="21"/>
          <w:szCs w:val="21"/>
        </w:rPr>
        <w:t>较好</w:t>
      </w:r>
      <w:r>
        <w:rPr>
          <w:rFonts w:hint="eastAsia" w:ascii="Arial" w:hAnsi="Arial" w:cs="Arial"/>
          <w:sz w:val="21"/>
          <w:szCs w:val="21"/>
        </w:rPr>
        <w:t>。</w:t>
      </w:r>
    </w:p>
    <w:p w14:paraId="480DDFBD">
      <w:pPr>
        <w:pStyle w:val="3"/>
        <w:numPr>
          <w:ilvl w:val="0"/>
          <w:numId w:val="0"/>
        </w:numPr>
        <w:spacing w:line="480" w:lineRule="auto"/>
        <w:ind w:left="360" w:hanging="361" w:hangingChars="171"/>
        <w:jc w:val="both"/>
        <w:rPr>
          <w:rFonts w:eastAsia="宋体"/>
          <w:kern w:val="2"/>
          <w:sz w:val="21"/>
          <w:szCs w:val="21"/>
        </w:rPr>
      </w:pPr>
      <w:bookmarkStart w:id="51" w:name="_Toc525655435"/>
      <w:bookmarkStart w:id="52" w:name="_Toc155267102"/>
      <w:r>
        <w:rPr>
          <w:rFonts w:eastAsia="宋体"/>
          <w:kern w:val="2"/>
          <w:sz w:val="21"/>
          <w:szCs w:val="21"/>
        </w:rPr>
        <w:t>（</w:t>
      </w:r>
      <w:r>
        <w:rPr>
          <w:rFonts w:hint="eastAsia" w:eastAsia="宋体"/>
          <w:kern w:val="2"/>
          <w:sz w:val="21"/>
          <w:szCs w:val="21"/>
        </w:rPr>
        <w:t>二</w:t>
      </w:r>
      <w:r>
        <w:rPr>
          <w:rFonts w:eastAsia="宋体"/>
          <w:kern w:val="2"/>
          <w:sz w:val="21"/>
          <w:szCs w:val="21"/>
        </w:rPr>
        <w:t>）实物状况分析</w:t>
      </w:r>
      <w:bookmarkEnd w:id="51"/>
      <w:bookmarkEnd w:id="52"/>
    </w:p>
    <w:p w14:paraId="574D2CF4">
      <w:pPr>
        <w:spacing w:line="480" w:lineRule="auto"/>
        <w:ind w:firstLine="420" w:firstLineChars="200"/>
        <w:jc w:val="both"/>
        <w:rPr>
          <w:rFonts w:ascii="Arial" w:hAnsi="Arial" w:cs="Arial"/>
          <w:sz w:val="21"/>
          <w:szCs w:val="21"/>
        </w:rPr>
      </w:pPr>
      <w:r>
        <w:rPr>
          <w:rFonts w:ascii="Arial" w:hAnsi="Arial" w:cs="Arial"/>
          <w:sz w:val="21"/>
          <w:szCs w:val="21"/>
        </w:rPr>
        <w:t>1.土地实物状况</w:t>
      </w:r>
    </w:p>
    <w:p w14:paraId="46C26E92">
      <w:pPr>
        <w:wordWrap w:val="0"/>
        <w:overflowPunct w:val="0"/>
        <w:spacing w:line="480" w:lineRule="auto"/>
        <w:ind w:firstLine="420" w:firstLineChars="200"/>
        <w:jc w:val="both"/>
        <w:textAlignment w:val="auto"/>
        <w:rPr>
          <w:rFonts w:ascii="Arial" w:hAnsi="Arial" w:cs="Arial"/>
          <w:kern w:val="2"/>
          <w:sz w:val="21"/>
          <w:szCs w:val="21"/>
          <w:highlight w:val="yellow"/>
        </w:rPr>
      </w:pPr>
      <w:r>
        <w:rPr>
          <w:rFonts w:hint="eastAsia" w:ascii="Arial" w:hAnsi="Arial" w:cs="Arial"/>
          <w:kern w:val="2"/>
          <w:sz w:val="21"/>
          <w:szCs w:val="21"/>
        </w:rPr>
        <w:t>（1）</w:t>
      </w:r>
      <w:r>
        <w:rPr>
          <w:rFonts w:hint="eastAsia" w:ascii="Arial" w:hAnsi="Arial" w:cs="Arial"/>
          <w:sz w:val="21"/>
          <w:szCs w:val="21"/>
        </w:rPr>
        <w:t>根据</w:t>
      </w:r>
      <w:r>
        <w:rPr>
          <w:rFonts w:hint="eastAsia" w:ascii="Arial" w:hAnsi="Arial" w:cs="Arial"/>
          <w:sz w:val="21"/>
          <w:szCs w:val="21"/>
          <w:lang w:eastAsia="zh-CN"/>
        </w:rPr>
        <w:t>《不动产权证书》[京（2026）大不动产权第0006890、0007126、0007158号]部分</w:t>
      </w:r>
      <w:r>
        <w:rPr>
          <w:rFonts w:hint="eastAsia" w:ascii="Arial" w:hAnsi="Arial" w:cs="Arial"/>
          <w:sz w:val="21"/>
          <w:szCs w:val="21"/>
        </w:rPr>
        <w:t>，估价对象为北京市大兴区饮马井街1号院2号楼11层1单元1102号等305套（福兴雅苑）保障性租赁住房（住宅型），总建筑</w:t>
      </w:r>
      <w:r>
        <w:rPr>
          <w:rFonts w:hint="eastAsia" w:ascii="Arial" w:hAnsi="Arial" w:cs="Arial"/>
          <w:kern w:val="2"/>
          <w:sz w:val="21"/>
          <w:szCs w:val="21"/>
        </w:rPr>
        <w:t>面积26934.35平方米，权利人为北京市燕兴保障性住房建设投资有限公司，共有情况为单独所有，权利类型为国有建设用地使用权/房屋所有权，权利性质为划拨/按经济适用住房管理，用途为城镇住宅用地/住房，共有宗地面积58606.06平方米，所属宗地现状四至为东至饮马井街，南至饮马井西街，西至林校路，北至林校南路。</w:t>
      </w:r>
    </w:p>
    <w:p w14:paraId="2C18C064">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估价对象所属项目用地呈</w:t>
      </w:r>
      <w:r>
        <w:rPr>
          <w:rFonts w:hint="eastAsia" w:ascii="Arial" w:hAnsi="Arial" w:cs="Arial"/>
          <w:sz w:val="21"/>
          <w:szCs w:val="21"/>
        </w:rPr>
        <w:t>较</w:t>
      </w:r>
      <w:r>
        <w:rPr>
          <w:rFonts w:ascii="Arial" w:hAnsi="Arial" w:cs="Arial"/>
          <w:sz w:val="21"/>
          <w:szCs w:val="21"/>
        </w:rPr>
        <w:t>规则形状，</w:t>
      </w:r>
      <w:r>
        <w:rPr>
          <w:rFonts w:hint="eastAsia" w:ascii="Arial" w:hAnsi="Arial" w:cs="Arial"/>
          <w:sz w:val="21"/>
          <w:szCs w:val="21"/>
        </w:rPr>
        <w:t>对利用无不良影响，</w:t>
      </w:r>
      <w:r>
        <w:rPr>
          <w:rFonts w:ascii="Arial" w:hAnsi="Arial" w:cs="Arial"/>
          <w:sz w:val="21"/>
          <w:szCs w:val="21"/>
        </w:rPr>
        <w:t>场地</w:t>
      </w:r>
      <w:r>
        <w:rPr>
          <w:rFonts w:hint="eastAsia" w:ascii="Arial" w:hAnsi="Arial" w:cs="Arial"/>
          <w:sz w:val="21"/>
          <w:szCs w:val="21"/>
        </w:rPr>
        <w:t>呈</w:t>
      </w:r>
      <w:r>
        <w:rPr>
          <w:rFonts w:ascii="Arial" w:hAnsi="Arial" w:cs="Arial"/>
          <w:sz w:val="21"/>
          <w:szCs w:val="21"/>
        </w:rPr>
        <w:t>较平坦地势</w:t>
      </w:r>
      <w:r>
        <w:rPr>
          <w:rFonts w:hint="eastAsia" w:ascii="Arial" w:hAnsi="Arial" w:cs="Arial"/>
          <w:sz w:val="21"/>
          <w:szCs w:val="21"/>
        </w:rPr>
        <w:t>，工程地质条件良好，无不良地质现象</w:t>
      </w:r>
      <w:r>
        <w:rPr>
          <w:rFonts w:ascii="Arial" w:hAnsi="Arial" w:cs="Arial"/>
          <w:sz w:val="21"/>
          <w:szCs w:val="21"/>
        </w:rPr>
        <w:t>。</w:t>
      </w:r>
      <w:r>
        <w:rPr>
          <w:rFonts w:hint="eastAsia" w:ascii="Arial" w:hAnsi="Arial" w:cs="Arial"/>
          <w:sz w:val="21"/>
          <w:szCs w:val="21"/>
        </w:rPr>
        <w:t>估价对象现状已完成开发建设，土地利用程度高。</w:t>
      </w:r>
    </w:p>
    <w:p w14:paraId="4C997EA4">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（3）开发程度</w:t>
      </w:r>
      <w:r>
        <w:rPr>
          <w:rFonts w:ascii="Arial" w:hAnsi="Arial" w:cs="Arial"/>
          <w:sz w:val="21"/>
          <w:szCs w:val="21"/>
        </w:rPr>
        <w:t>：</w:t>
      </w:r>
    </w:p>
    <w:p w14:paraId="379C29E7">
      <w:pPr>
        <w:overflowPunct w:val="0"/>
        <w:spacing w:line="480" w:lineRule="auto"/>
        <w:ind w:firstLine="420" w:firstLineChars="20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hint="eastAsia" w:ascii="Arial" w:hAnsi="Arial" w:cs="Arial"/>
          <w:kern w:val="2"/>
          <w:sz w:val="21"/>
          <w:szCs w:val="21"/>
        </w:rPr>
        <w:t>“七通”</w:t>
      </w:r>
      <w:r>
        <w:rPr>
          <w:rFonts w:ascii="Arial" w:hAnsi="Arial" w:cs="Arial"/>
          <w:kern w:val="2"/>
          <w:sz w:val="21"/>
          <w:szCs w:val="21"/>
        </w:rPr>
        <w:t>（即通路、通电、通讯</w:t>
      </w:r>
      <w:r>
        <w:rPr>
          <w:rFonts w:hint="eastAsia" w:ascii="Arial" w:hAnsi="Arial" w:cs="Arial"/>
          <w:kern w:val="2"/>
          <w:sz w:val="21"/>
          <w:szCs w:val="21"/>
        </w:rPr>
        <w:t>、</w:t>
      </w:r>
      <w:r>
        <w:rPr>
          <w:rFonts w:ascii="Arial" w:hAnsi="Arial" w:cs="Arial"/>
          <w:kern w:val="2"/>
          <w:sz w:val="21"/>
          <w:szCs w:val="21"/>
        </w:rPr>
        <w:t>通上水、通下水、通燃气、通热力），且保证程度高。</w:t>
      </w:r>
    </w:p>
    <w:p w14:paraId="7D0051F7">
      <w:pPr>
        <w:overflowPunct w:val="0"/>
        <w:spacing w:line="480" w:lineRule="auto"/>
        <w:ind w:firstLine="420" w:firstLineChars="200"/>
        <w:jc w:val="both"/>
        <w:textAlignment w:val="auto"/>
        <w:rPr>
          <w:rFonts w:ascii="Arial" w:hAnsi="Arial" w:cs="Arial"/>
          <w:sz w:val="21"/>
          <w:szCs w:val="21"/>
        </w:rPr>
      </w:pPr>
      <w:r>
        <w:rPr>
          <w:rFonts w:hint="eastAsia" w:ascii="Arial" w:hAnsi="Arial" w:cs="Arial"/>
          <w:kern w:val="2"/>
          <w:sz w:val="21"/>
          <w:szCs w:val="21"/>
        </w:rPr>
        <w:t>综上所述，</w:t>
      </w:r>
      <w:r>
        <w:rPr>
          <w:rFonts w:ascii="Arial" w:hAnsi="Arial" w:cs="Arial"/>
          <w:kern w:val="2"/>
          <w:sz w:val="21"/>
          <w:szCs w:val="21"/>
        </w:rPr>
        <w:t>估价对象</w:t>
      </w:r>
      <w:r>
        <w:rPr>
          <w:rFonts w:hint="eastAsia" w:ascii="Arial" w:hAnsi="Arial" w:cs="Arial"/>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hint="eastAsia" w:ascii="Arial" w:hAnsi="Arial" w:cs="Arial"/>
          <w:sz w:val="21"/>
          <w:szCs w:val="21"/>
        </w:rPr>
        <w:t>。</w:t>
      </w:r>
    </w:p>
    <w:p w14:paraId="105562C6">
      <w:pPr>
        <w:spacing w:line="480" w:lineRule="auto"/>
        <w:ind w:firstLine="420" w:firstLineChars="200"/>
        <w:jc w:val="both"/>
        <w:rPr>
          <w:rFonts w:ascii="Arial" w:hAnsi="Arial" w:cs="Arial"/>
          <w:sz w:val="21"/>
          <w:szCs w:val="21"/>
        </w:rPr>
      </w:pPr>
      <w:r>
        <w:rPr>
          <w:rFonts w:ascii="Arial" w:hAnsi="Arial" w:cs="Arial"/>
          <w:sz w:val="21"/>
          <w:szCs w:val="21"/>
        </w:rPr>
        <w:t>2.建筑物实物状况</w:t>
      </w:r>
    </w:p>
    <w:p w14:paraId="36BB0B17">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（1）建设规模：估价对象所属福兴雅苑</w:t>
      </w:r>
      <w:r>
        <w:rPr>
          <w:rFonts w:ascii="Arial" w:hAnsi="Arial" w:cs="Arial"/>
          <w:sz w:val="21"/>
          <w:szCs w:val="21"/>
        </w:rPr>
        <w:t>项目</w:t>
      </w:r>
      <w:r>
        <w:rPr>
          <w:rFonts w:hint="eastAsia" w:ascii="Arial" w:hAnsi="Arial" w:cs="Arial"/>
          <w:sz w:val="21"/>
          <w:szCs w:val="21"/>
        </w:rPr>
        <w:t>，位于大兴区林校路街道饮马井街1、2号院，距离地铁4号线大兴火车站站1公里，距离京开高速海子角收费站500米，距离政府办公区800米，距离念坛国际金融商务区1公里，距离生物医药产业基地1.5公里。收购房屋套数305套，总建筑</w:t>
      </w:r>
      <w:r>
        <w:rPr>
          <w:rFonts w:hint="eastAsia" w:ascii="Arial" w:hAnsi="Arial" w:cs="Arial"/>
          <w:kern w:val="2"/>
          <w:sz w:val="21"/>
          <w:szCs w:val="21"/>
        </w:rPr>
        <w:t>面积26934.35平方米，</w:t>
      </w:r>
      <w:r>
        <w:rPr>
          <w:rFonts w:hint="eastAsia" w:ascii="Arial" w:hAnsi="Arial" w:cs="Arial"/>
          <w:sz w:val="21"/>
          <w:szCs w:val="21"/>
        </w:rPr>
        <w:t>其中，开间7套（户型面积区间60.36至60.49平方米），均为南朝向；一居室8套（户型面积区间73.85至74.00平方米），南朝向2套、南北朝向6套；一居室125套（户型面积82.85平方米），均为南朝向；两居室135套（户型面积区间95.85至101.74平方米），均为南北朝向；三居室8套（户型面积107.74平方米），房屋状态为</w:t>
      </w:r>
      <w:r>
        <w:rPr>
          <w:rFonts w:hint="eastAsia" w:ascii="Arial" w:hAnsi="Arial" w:cs="Arial"/>
          <w:sz w:val="21"/>
          <w:szCs w:val="21"/>
          <w:lang w:eastAsia="zh-CN"/>
        </w:rPr>
        <w:t>中档装修</w:t>
      </w:r>
      <w:r>
        <w:rPr>
          <w:rFonts w:hint="eastAsia" w:ascii="Arial" w:hAnsi="Arial" w:cs="Arial"/>
          <w:sz w:val="21"/>
          <w:szCs w:val="21"/>
        </w:rPr>
        <w:t>。估价对象具体情况如下：</w:t>
      </w:r>
    </w:p>
    <w:p w14:paraId="40A53DEF">
      <w:pPr>
        <w:overflowPunct w:val="0"/>
        <w:spacing w:after="120" w:afterLines="50" w:line="240" w:lineRule="auto"/>
        <w:jc w:val="center"/>
        <w:textAlignment w:val="auto"/>
        <w:rPr>
          <w:rFonts w:ascii="Arial" w:hAnsi="Arial" w:cs="Arial"/>
          <w:b/>
          <w:bCs/>
          <w:sz w:val="21"/>
          <w:szCs w:val="21"/>
        </w:rPr>
      </w:pPr>
      <w:r>
        <w:rPr>
          <w:rFonts w:hint="eastAsia" w:ascii="Arial" w:hAnsi="Arial" w:cs="Arial"/>
          <w:b/>
          <w:bCs/>
          <w:sz w:val="21"/>
          <w:szCs w:val="21"/>
        </w:rPr>
        <w:t>估价对象明细表</w:t>
      </w:r>
    </w:p>
    <w:tbl>
      <w:tblPr>
        <w:tblStyle w:val="33"/>
        <w:tblW w:w="4994" w:type="pct"/>
        <w:tblInd w:w="0" w:type="dxa"/>
        <w:shd w:val="clear" w:color="auto" w:fill="FFFFFF" w:themeFill="background1"/>
        <w:tblLayout w:type="autofit"/>
        <w:tblCellMar>
          <w:top w:w="0" w:type="dxa"/>
          <w:left w:w="108" w:type="dxa"/>
          <w:bottom w:w="0" w:type="dxa"/>
          <w:right w:w="108" w:type="dxa"/>
        </w:tblCellMar>
      </w:tblPr>
      <w:tblGrid>
        <w:gridCol w:w="2423"/>
        <w:gridCol w:w="898"/>
        <w:gridCol w:w="1811"/>
        <w:gridCol w:w="1350"/>
        <w:gridCol w:w="1040"/>
        <w:gridCol w:w="1982"/>
      </w:tblGrid>
      <w:tr w14:paraId="62299E52">
        <w:tblPrEx>
          <w:shd w:val="clear" w:color="auto" w:fill="FFFFFF" w:themeFill="background1"/>
          <w:tblCellMar>
            <w:top w:w="0" w:type="dxa"/>
            <w:left w:w="108" w:type="dxa"/>
            <w:bottom w:w="0" w:type="dxa"/>
            <w:right w:w="108" w:type="dxa"/>
          </w:tblCellMar>
        </w:tblPrEx>
        <w:trPr>
          <w:trHeight w:val="264" w:hRule="atLeast"/>
        </w:trPr>
        <w:tc>
          <w:tcPr>
            <w:tcW w:w="127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45C5BB">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位置及楼号</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BF4A7B">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户型</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994FB0">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面积（平方米）</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92E849">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套数（套）</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E5E7B9">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朝向</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F78EB0">
            <w:pPr>
              <w:widowControl/>
              <w:adjustRightInd/>
              <w:spacing w:line="240" w:lineRule="auto"/>
              <w:jc w:val="center"/>
              <w:textAlignment w:val="auto"/>
              <w:rPr>
                <w:rFonts w:hint="eastAsia" w:ascii="华文细黑" w:hAnsi="华文细黑" w:eastAsia="华文细黑" w:cs="Arial"/>
                <w:b/>
                <w:bCs/>
                <w:sz w:val="18"/>
                <w:szCs w:val="18"/>
              </w:rPr>
            </w:pPr>
            <w:r>
              <w:rPr>
                <w:rFonts w:hint="eastAsia" w:ascii="华文细黑" w:hAnsi="华文细黑" w:eastAsia="华文细黑" w:cs="Arial"/>
                <w:b/>
                <w:bCs/>
                <w:sz w:val="18"/>
                <w:szCs w:val="18"/>
              </w:rPr>
              <w:t>总建筑面积（平方米）</w:t>
            </w:r>
          </w:p>
        </w:tc>
      </w:tr>
      <w:tr w14:paraId="1333A801">
        <w:tblPrEx>
          <w:tblCellMar>
            <w:top w:w="0" w:type="dxa"/>
            <w:left w:w="108" w:type="dxa"/>
            <w:bottom w:w="0" w:type="dxa"/>
            <w:right w:w="108" w:type="dxa"/>
          </w:tblCellMar>
        </w:tblPrEx>
        <w:trPr>
          <w:trHeight w:val="174" w:hRule="atLeast"/>
        </w:trPr>
        <w:tc>
          <w:tcPr>
            <w:tcW w:w="1274"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ABAC51">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饮马井街1号院2、5、9、10、11、12、13、15号楼</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1FE9B48">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开间</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97FCBB">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60.36-60.49</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C7A180">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7</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8B5FDF">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E9ECF0">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423.17</w:t>
            </w:r>
          </w:p>
        </w:tc>
      </w:tr>
      <w:tr w14:paraId="014FD49B">
        <w:tblPrEx>
          <w:tblCellMar>
            <w:top w:w="0" w:type="dxa"/>
            <w:left w:w="108" w:type="dxa"/>
            <w:bottom w:w="0" w:type="dxa"/>
            <w:right w:w="108" w:type="dxa"/>
          </w:tblCellMar>
        </w:tblPrEx>
        <w:trPr>
          <w:trHeight w:val="17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C0E8BC">
            <w:pPr>
              <w:spacing w:line="240" w:lineRule="auto"/>
              <w:jc w:val="center"/>
              <w:rPr>
                <w:rFonts w:hint="eastAsia" w:ascii="华文细黑" w:hAnsi="华文细黑" w:eastAsia="华文细黑" w:cs="Arial"/>
                <w:sz w:val="18"/>
                <w:szCs w:val="18"/>
              </w:rPr>
            </w:pP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6AD3AE1">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一居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B8A7A0">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82.85</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036F75">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83</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D7962B">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A8F871">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6876.55</w:t>
            </w:r>
          </w:p>
        </w:tc>
      </w:tr>
      <w:tr w14:paraId="0287EB1F">
        <w:tblPrEx>
          <w:tblCellMar>
            <w:top w:w="0" w:type="dxa"/>
            <w:left w:w="108" w:type="dxa"/>
            <w:bottom w:w="0" w:type="dxa"/>
            <w:right w:w="108" w:type="dxa"/>
          </w:tblCellMar>
        </w:tblPrEx>
        <w:trPr>
          <w:trHeight w:val="90"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9BF1B5">
            <w:pPr>
              <w:spacing w:line="240" w:lineRule="auto"/>
              <w:jc w:val="center"/>
              <w:rPr>
                <w:rFonts w:hint="eastAsia" w:ascii="华文细黑" w:hAnsi="华文细黑" w:eastAsia="华文细黑" w:cs="Arial"/>
                <w:sz w:val="18"/>
                <w:szCs w:val="18"/>
              </w:rPr>
            </w:pP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949DD2">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两居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776A6A">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99.63-101.3</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3A385B">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23</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90B859">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FD1E80">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2307.76</w:t>
            </w:r>
          </w:p>
        </w:tc>
      </w:tr>
      <w:tr w14:paraId="7363CE21">
        <w:tblPrEx>
          <w:tblCellMar>
            <w:top w:w="0" w:type="dxa"/>
            <w:left w:w="108" w:type="dxa"/>
            <w:bottom w:w="0" w:type="dxa"/>
            <w:right w:w="108" w:type="dxa"/>
          </w:tblCellMar>
        </w:tblPrEx>
        <w:trPr>
          <w:trHeight w:val="194" w:hRule="atLeast"/>
        </w:trPr>
        <w:tc>
          <w:tcPr>
            <w:tcW w:w="1274" w:type="pct"/>
            <w:tcBorders>
              <w:top w:val="nil"/>
              <w:left w:val="single" w:color="000000" w:sz="4" w:space="0"/>
              <w:bottom w:val="nil"/>
              <w:right w:val="single" w:color="000000" w:sz="4" w:space="0"/>
            </w:tcBorders>
            <w:shd w:val="clear" w:color="auto" w:fill="FFFFFF" w:themeFill="background1"/>
            <w:vAlign w:val="center"/>
          </w:tcPr>
          <w:p w14:paraId="3353B6D7">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小计</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9A20E3">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EC7996">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013027">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113</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A13F01">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FAE659">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9607.48</w:t>
            </w:r>
          </w:p>
        </w:tc>
      </w:tr>
      <w:tr w14:paraId="773F7E8A">
        <w:tblPrEx>
          <w:tblCellMar>
            <w:top w:w="0" w:type="dxa"/>
            <w:left w:w="108" w:type="dxa"/>
            <w:bottom w:w="0" w:type="dxa"/>
            <w:right w:w="108" w:type="dxa"/>
          </w:tblCellMar>
        </w:tblPrEx>
        <w:trPr>
          <w:trHeight w:val="94" w:hRule="atLeast"/>
        </w:trPr>
        <w:tc>
          <w:tcPr>
            <w:tcW w:w="1274"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E7B41C">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饮马井街2号院2、3、5、6、7号楼</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F57436">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开间</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77ED86">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60.49</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DFE01B">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22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A54F04">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D512D0">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1330.78</w:t>
            </w:r>
          </w:p>
        </w:tc>
      </w:tr>
      <w:tr w14:paraId="2FD04AE7">
        <w:tblPrEx>
          <w:tblCellMar>
            <w:top w:w="0" w:type="dxa"/>
            <w:left w:w="108" w:type="dxa"/>
            <w:bottom w:w="0" w:type="dxa"/>
            <w:right w:w="108" w:type="dxa"/>
          </w:tblCellMar>
        </w:tblPrEx>
        <w:trPr>
          <w:trHeight w:val="14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E67130">
            <w:pPr>
              <w:spacing w:line="240" w:lineRule="auto"/>
              <w:jc w:val="center"/>
              <w:rPr>
                <w:rFonts w:hint="eastAsia" w:ascii="华文细黑" w:hAnsi="华文细黑" w:eastAsia="华文细黑" w:cs="Arial"/>
                <w:sz w:val="18"/>
                <w:szCs w:val="18"/>
              </w:rPr>
            </w:pPr>
          </w:p>
        </w:tc>
        <w:tc>
          <w:tcPr>
            <w:tcW w:w="472"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911E6B">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一居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48E2DB">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73.85</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33F2A7">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F0DDB0">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758DDD">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147.7</w:t>
            </w:r>
          </w:p>
        </w:tc>
      </w:tr>
      <w:tr w14:paraId="123D7295">
        <w:tblPrEx>
          <w:tblCellMar>
            <w:top w:w="0" w:type="dxa"/>
            <w:left w:w="108" w:type="dxa"/>
            <w:bottom w:w="0" w:type="dxa"/>
            <w:right w:w="108" w:type="dxa"/>
          </w:tblCellMar>
        </w:tblPrEx>
        <w:trPr>
          <w:trHeight w:val="15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D63DCF">
            <w:pPr>
              <w:spacing w:line="240" w:lineRule="auto"/>
              <w:jc w:val="center"/>
              <w:rPr>
                <w:rFonts w:hint="eastAsia" w:ascii="华文细黑" w:hAnsi="华文细黑" w:eastAsia="华文细黑" w:cs="Arial"/>
                <w:sz w:val="18"/>
                <w:szCs w:val="18"/>
              </w:rP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0E0964">
            <w:pPr>
              <w:spacing w:line="240" w:lineRule="auto"/>
              <w:jc w:val="center"/>
              <w:rPr>
                <w:rFonts w:hint="eastAsia" w:ascii="华文细黑" w:hAnsi="华文细黑" w:eastAsia="华文细黑" w:cs="Arial"/>
                <w:sz w:val="18"/>
                <w:szCs w:val="18"/>
              </w:rPr>
            </w:pP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8AF6FA">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74</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31B0C3">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6</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56D772">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940980">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444</w:t>
            </w:r>
          </w:p>
        </w:tc>
      </w:tr>
      <w:tr w14:paraId="17C4157A">
        <w:tblPrEx>
          <w:tblCellMar>
            <w:top w:w="0" w:type="dxa"/>
            <w:left w:w="108" w:type="dxa"/>
            <w:bottom w:w="0" w:type="dxa"/>
            <w:right w:w="108" w:type="dxa"/>
          </w:tblCellMar>
        </w:tblPrEx>
        <w:trPr>
          <w:trHeight w:val="21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617400">
            <w:pPr>
              <w:spacing w:line="240" w:lineRule="auto"/>
              <w:jc w:val="center"/>
              <w:rPr>
                <w:rFonts w:hint="eastAsia" w:ascii="华文细黑" w:hAnsi="华文细黑" w:eastAsia="华文细黑" w:cs="Arial"/>
                <w:sz w:val="18"/>
                <w:szCs w:val="18"/>
              </w:rPr>
            </w:pPr>
          </w:p>
        </w:tc>
        <w:tc>
          <w:tcPr>
            <w:tcW w:w="472"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AC14D7">
            <w:pPr>
              <w:spacing w:line="240" w:lineRule="auto"/>
              <w:jc w:val="center"/>
              <w:rPr>
                <w:rFonts w:hint="eastAsia" w:ascii="华文细黑" w:hAnsi="华文细黑" w:eastAsia="华文细黑" w:cs="Arial"/>
                <w:sz w:val="18"/>
                <w:szCs w:val="18"/>
              </w:rPr>
            </w:pP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A86B13">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82.85</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20921F">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42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92570C">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225282">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3479.7</w:t>
            </w:r>
          </w:p>
        </w:tc>
      </w:tr>
      <w:tr w14:paraId="0C4682A6">
        <w:tblPrEx>
          <w:tblCellMar>
            <w:top w:w="0" w:type="dxa"/>
            <w:left w:w="108" w:type="dxa"/>
            <w:bottom w:w="0" w:type="dxa"/>
            <w:right w:w="108" w:type="dxa"/>
          </w:tblCellMar>
        </w:tblPrEx>
        <w:trPr>
          <w:trHeight w:val="19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78B166">
            <w:pPr>
              <w:spacing w:line="240" w:lineRule="auto"/>
              <w:jc w:val="center"/>
              <w:rPr>
                <w:rFonts w:hint="eastAsia" w:ascii="华文细黑" w:hAnsi="华文细黑" w:eastAsia="华文细黑" w:cs="Arial"/>
                <w:sz w:val="18"/>
                <w:szCs w:val="18"/>
              </w:rPr>
            </w:pPr>
          </w:p>
        </w:tc>
        <w:tc>
          <w:tcPr>
            <w:tcW w:w="472" w:type="pct"/>
            <w:tcBorders>
              <w:top w:val="nil"/>
              <w:left w:val="single" w:color="000000" w:sz="4" w:space="0"/>
              <w:bottom w:val="nil"/>
              <w:right w:val="single" w:color="000000" w:sz="4" w:space="0"/>
            </w:tcBorders>
            <w:shd w:val="clear" w:color="auto" w:fill="FFFFFF" w:themeFill="background1"/>
            <w:vAlign w:val="center"/>
          </w:tcPr>
          <w:p w14:paraId="293A8C38">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小计</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2204FA">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25D359">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50</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29BFB9">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ACCD22">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4071.4</w:t>
            </w:r>
          </w:p>
        </w:tc>
      </w:tr>
      <w:tr w14:paraId="4E75845B">
        <w:tblPrEx>
          <w:tblCellMar>
            <w:top w:w="0" w:type="dxa"/>
            <w:left w:w="108" w:type="dxa"/>
            <w:bottom w:w="0" w:type="dxa"/>
            <w:right w:w="108" w:type="dxa"/>
          </w:tblCellMar>
        </w:tblPrEx>
        <w:trPr>
          <w:trHeight w:val="202"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0EBFFF">
            <w:pPr>
              <w:spacing w:line="240" w:lineRule="auto"/>
              <w:jc w:val="center"/>
              <w:rPr>
                <w:rFonts w:hint="eastAsia" w:ascii="华文细黑" w:hAnsi="华文细黑" w:eastAsia="华文细黑" w:cs="Arial"/>
                <w:sz w:val="18"/>
                <w:szCs w:val="18"/>
              </w:rPr>
            </w:pPr>
          </w:p>
        </w:tc>
        <w:tc>
          <w:tcPr>
            <w:tcW w:w="472" w:type="pct"/>
            <w:tcBorders>
              <w:top w:val="single" w:color="000000" w:sz="4" w:space="0"/>
              <w:left w:val="single" w:color="000000" w:sz="4" w:space="0"/>
              <w:bottom w:val="nil"/>
              <w:right w:val="single" w:color="000000" w:sz="4" w:space="0"/>
            </w:tcBorders>
            <w:shd w:val="clear" w:color="auto" w:fill="FFFFFF" w:themeFill="background1"/>
            <w:vAlign w:val="center"/>
          </w:tcPr>
          <w:p w14:paraId="38E85B20">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两居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FCAB06">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95.85-101.74</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39DB33">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112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9AFB16">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9F4060">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11062.77</w:t>
            </w:r>
          </w:p>
        </w:tc>
      </w:tr>
      <w:tr w14:paraId="1DCEC794">
        <w:tblPrEx>
          <w:tblCellMar>
            <w:top w:w="0" w:type="dxa"/>
            <w:left w:w="108" w:type="dxa"/>
            <w:bottom w:w="0" w:type="dxa"/>
            <w:right w:w="108" w:type="dxa"/>
          </w:tblCellMar>
        </w:tblPrEx>
        <w:trPr>
          <w:trHeight w:val="154" w:hRule="atLeast"/>
        </w:trPr>
        <w:tc>
          <w:tcPr>
            <w:tcW w:w="127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637CF7">
            <w:pPr>
              <w:spacing w:line="240" w:lineRule="auto"/>
              <w:jc w:val="center"/>
              <w:rPr>
                <w:rFonts w:hint="eastAsia" w:ascii="华文细黑" w:hAnsi="华文细黑" w:eastAsia="华文细黑" w:cs="Arial"/>
                <w:sz w:val="18"/>
                <w:szCs w:val="18"/>
              </w:rPr>
            </w:pPr>
          </w:p>
        </w:tc>
        <w:tc>
          <w:tcPr>
            <w:tcW w:w="472" w:type="pct"/>
            <w:tcBorders>
              <w:top w:val="single" w:color="000000" w:sz="4" w:space="0"/>
              <w:left w:val="single" w:color="000000" w:sz="4" w:space="0"/>
              <w:bottom w:val="nil"/>
              <w:right w:val="single" w:color="000000" w:sz="4" w:space="0"/>
            </w:tcBorders>
            <w:shd w:val="clear" w:color="auto" w:fill="FFFFFF" w:themeFill="background1"/>
            <w:vAlign w:val="center"/>
          </w:tcPr>
          <w:p w14:paraId="3CBDC468">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三居</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2497DB">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107.74</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E290BD">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D776E1">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南</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F875DE">
            <w:pPr>
              <w:widowControl/>
              <w:spacing w:line="240" w:lineRule="auto"/>
              <w:jc w:val="center"/>
              <w:textAlignment w:val="center"/>
              <w:rPr>
                <w:rFonts w:hint="eastAsia" w:ascii="华文细黑" w:hAnsi="华文细黑" w:eastAsia="华文细黑" w:cs="Arial"/>
                <w:sz w:val="18"/>
                <w:szCs w:val="18"/>
              </w:rPr>
            </w:pPr>
            <w:r>
              <w:rPr>
                <w:rFonts w:hint="eastAsia" w:ascii="华文细黑" w:hAnsi="华文细黑" w:eastAsia="华文细黑" w:cs="Arial"/>
                <w:sz w:val="18"/>
                <w:szCs w:val="18"/>
              </w:rPr>
              <w:t>861.92</w:t>
            </w:r>
          </w:p>
        </w:tc>
      </w:tr>
      <w:tr w14:paraId="2686B7D5">
        <w:tblPrEx>
          <w:tblCellMar>
            <w:top w:w="0" w:type="dxa"/>
            <w:left w:w="108" w:type="dxa"/>
            <w:bottom w:w="0" w:type="dxa"/>
            <w:right w:w="108" w:type="dxa"/>
          </w:tblCellMar>
        </w:tblPrEx>
        <w:trPr>
          <w:trHeight w:val="144" w:hRule="atLeast"/>
        </w:trPr>
        <w:tc>
          <w:tcPr>
            <w:tcW w:w="127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CB2B0B">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小计</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3F1A44">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DF714D">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0A8591">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192</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B2E96A">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w:t>
            </w: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B143E7">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17326.87</w:t>
            </w:r>
          </w:p>
        </w:tc>
      </w:tr>
      <w:tr w14:paraId="4556B8BE">
        <w:tblPrEx>
          <w:tblCellMar>
            <w:top w:w="0" w:type="dxa"/>
            <w:left w:w="108" w:type="dxa"/>
            <w:bottom w:w="0" w:type="dxa"/>
            <w:right w:w="108" w:type="dxa"/>
          </w:tblCellMar>
        </w:tblPrEx>
        <w:trPr>
          <w:trHeight w:val="174" w:hRule="atLeast"/>
        </w:trPr>
        <w:tc>
          <w:tcPr>
            <w:tcW w:w="127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4721BA">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合计</w:t>
            </w:r>
          </w:p>
        </w:tc>
        <w:tc>
          <w:tcPr>
            <w:tcW w:w="47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E58AA6">
            <w:pPr>
              <w:widowControl/>
              <w:adjustRightInd/>
              <w:spacing w:line="240" w:lineRule="auto"/>
              <w:jc w:val="center"/>
              <w:textAlignment w:val="auto"/>
              <w:rPr>
                <w:rFonts w:hint="eastAsia" w:ascii="华文细黑" w:hAnsi="华文细黑" w:eastAsia="华文细黑" w:cs="Arial"/>
                <w:sz w:val="18"/>
                <w:szCs w:val="18"/>
              </w:rPr>
            </w:pPr>
          </w:p>
        </w:tc>
        <w:tc>
          <w:tcPr>
            <w:tcW w:w="95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04F757">
            <w:pPr>
              <w:widowControl/>
              <w:adjustRightInd/>
              <w:spacing w:line="240" w:lineRule="auto"/>
              <w:jc w:val="center"/>
              <w:textAlignment w:val="auto"/>
              <w:rPr>
                <w:rFonts w:hint="eastAsia" w:ascii="华文细黑" w:hAnsi="华文细黑" w:eastAsia="华文细黑" w:cs="Arial"/>
                <w:sz w:val="18"/>
                <w:szCs w:val="18"/>
              </w:rPr>
            </w:pPr>
          </w:p>
        </w:tc>
        <w:tc>
          <w:tcPr>
            <w:tcW w:w="71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91BA2B">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305</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9FDD4F">
            <w:pPr>
              <w:widowControl/>
              <w:adjustRightInd/>
              <w:spacing w:line="240" w:lineRule="auto"/>
              <w:jc w:val="center"/>
              <w:textAlignment w:val="auto"/>
              <w:rPr>
                <w:rFonts w:hint="eastAsia" w:ascii="华文细黑" w:hAnsi="华文细黑" w:eastAsia="华文细黑" w:cs="Arial"/>
                <w:sz w:val="18"/>
                <w:szCs w:val="18"/>
              </w:rPr>
            </w:pPr>
          </w:p>
        </w:tc>
        <w:tc>
          <w:tcPr>
            <w:tcW w:w="1042"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FA09CC">
            <w:pPr>
              <w:widowControl/>
              <w:adjustRightInd/>
              <w:spacing w:line="240" w:lineRule="auto"/>
              <w:jc w:val="center"/>
              <w:textAlignment w:val="auto"/>
              <w:rPr>
                <w:rFonts w:hint="eastAsia" w:ascii="华文细黑" w:hAnsi="华文细黑" w:eastAsia="华文细黑" w:cs="Arial"/>
                <w:sz w:val="18"/>
                <w:szCs w:val="18"/>
              </w:rPr>
            </w:pPr>
            <w:r>
              <w:rPr>
                <w:rFonts w:hint="eastAsia" w:ascii="华文细黑" w:hAnsi="华文细黑" w:eastAsia="华文细黑" w:cs="Arial"/>
                <w:sz w:val="18"/>
                <w:szCs w:val="18"/>
              </w:rPr>
              <w:t>26934.35</w:t>
            </w:r>
          </w:p>
        </w:tc>
      </w:tr>
    </w:tbl>
    <w:p w14:paraId="2AFA1E80">
      <w:pPr>
        <w:overflowPunct w:val="0"/>
        <w:spacing w:before="240" w:beforeLines="100" w:line="480" w:lineRule="auto"/>
        <w:ind w:firstLine="420" w:firstLineChars="200"/>
        <w:jc w:val="both"/>
        <w:textAlignment w:val="auto"/>
        <w:rPr>
          <w:rFonts w:ascii="Arial" w:hAnsi="Arial" w:cs="Arial"/>
          <w:sz w:val="21"/>
          <w:szCs w:val="21"/>
        </w:rPr>
      </w:pPr>
      <w:r>
        <w:rPr>
          <w:rFonts w:hint="eastAsia" w:ascii="Arial" w:hAnsi="Arial" w:cs="Arial"/>
          <w:sz w:val="21"/>
          <w:szCs w:val="21"/>
        </w:rPr>
        <w:t>（2）建筑结构：估价对象所属楼宇建筑结构为</w:t>
      </w:r>
      <w:r>
        <w:rPr>
          <w:rFonts w:hint="eastAsia" w:ascii="Arial" w:hAnsi="Arial" w:cs="Arial"/>
          <w:kern w:val="2"/>
          <w:sz w:val="21"/>
          <w:szCs w:val="21"/>
        </w:rPr>
        <w:t>钢筋混凝土结构</w:t>
      </w:r>
      <w:r>
        <w:rPr>
          <w:rFonts w:hint="eastAsia" w:ascii="Arial" w:hAnsi="Arial" w:cs="Arial"/>
          <w:sz w:val="21"/>
          <w:szCs w:val="21"/>
        </w:rPr>
        <w:t>。</w:t>
      </w:r>
    </w:p>
    <w:p w14:paraId="5870E74B">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（3）建筑外观：</w:t>
      </w:r>
      <w:r>
        <w:rPr>
          <w:rFonts w:hint="eastAsia" w:ascii="Arial" w:hAnsi="Arial" w:cs="Arial"/>
          <w:kern w:val="2"/>
          <w:sz w:val="21"/>
          <w:szCs w:val="21"/>
        </w:rPr>
        <w:t>估价对象为高层板楼</w:t>
      </w:r>
      <w:r>
        <w:rPr>
          <w:rFonts w:hint="eastAsia" w:ascii="Arial" w:hAnsi="Arial" w:cs="Arial"/>
          <w:sz w:val="21"/>
          <w:szCs w:val="21"/>
        </w:rPr>
        <w:t>。</w:t>
      </w:r>
    </w:p>
    <w:p w14:paraId="7E661D6E">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（4）设施设备及家具家电：估价对象所在项目配套设施完备，给排水、电力、电讯、暖通等齐全；防火栓、安防系统等设备齐全；估价对象内部配备客厅</w:t>
      </w:r>
      <w:r>
        <w:rPr>
          <w:rFonts w:hint="eastAsia" w:ascii="Arial" w:hAnsi="Arial" w:cs="Arial"/>
          <w:sz w:val="21"/>
          <w:szCs w:val="21"/>
          <w:lang w:val="en-US" w:eastAsia="zh-CN"/>
        </w:rPr>
        <w:t>及</w:t>
      </w:r>
      <w:r>
        <w:rPr>
          <w:rFonts w:hint="eastAsia" w:ascii="Arial" w:hAnsi="Arial" w:cs="Arial"/>
          <w:sz w:val="21"/>
          <w:szCs w:val="21"/>
        </w:rPr>
        <w:t>卧室</w:t>
      </w:r>
      <w:r>
        <w:rPr>
          <w:rFonts w:hint="eastAsia" w:ascii="Arial" w:hAnsi="Arial" w:cs="Arial"/>
          <w:sz w:val="21"/>
          <w:szCs w:val="21"/>
          <w:lang w:eastAsia="zh-CN"/>
        </w:rPr>
        <w:t>（</w:t>
      </w:r>
      <w:r>
        <w:rPr>
          <w:rFonts w:hint="eastAsia" w:ascii="Arial" w:hAnsi="Arial" w:cs="Arial"/>
          <w:sz w:val="21"/>
          <w:szCs w:val="21"/>
          <w:lang w:val="en-US" w:eastAsia="zh-CN"/>
        </w:rPr>
        <w:t>吸顶灯、入门鞋柜、智能锁）</w:t>
      </w:r>
      <w:r>
        <w:rPr>
          <w:rFonts w:hint="eastAsia" w:ascii="Arial" w:hAnsi="Arial" w:cs="Arial"/>
          <w:sz w:val="21"/>
          <w:szCs w:val="21"/>
        </w:rPr>
        <w:t>、</w:t>
      </w:r>
      <w:r>
        <w:rPr>
          <w:rFonts w:hint="eastAsia" w:ascii="Arial" w:hAnsi="Arial" w:cs="Arial"/>
          <w:sz w:val="21"/>
          <w:szCs w:val="21"/>
          <w:lang w:val="en-US" w:eastAsia="zh-CN"/>
        </w:rPr>
        <w:t>厨房（配备整体橱柜、灶具、排烟机、洗菜盆、节水型龙头）、卫生间（配备洗面盆、盥洗镜、节水座便器、节水型淋浴喷头、电热水器、防臭地漏、洗衣机龙头、冷热水八字阀）</w:t>
      </w:r>
      <w:r>
        <w:rPr>
          <w:rFonts w:hint="eastAsia" w:ascii="Arial" w:hAnsi="Arial" w:cs="Arial"/>
          <w:sz w:val="21"/>
          <w:szCs w:val="21"/>
        </w:rPr>
        <w:t>等</w:t>
      </w:r>
      <w:commentRangeStart w:id="13"/>
      <w:r>
        <w:rPr>
          <w:rFonts w:hint="eastAsia" w:ascii="Arial" w:hAnsi="Arial" w:cs="Arial"/>
          <w:sz w:val="21"/>
          <w:szCs w:val="21"/>
        </w:rPr>
        <w:t>基本家具家电</w:t>
      </w:r>
      <w:commentRangeEnd w:id="13"/>
      <w:r>
        <w:rPr>
          <w:rStyle w:val="40"/>
        </w:rPr>
        <w:commentReference w:id="13"/>
      </w:r>
      <w:r>
        <w:rPr>
          <w:rFonts w:hint="eastAsia" w:ascii="Arial" w:hAnsi="Arial" w:cs="Arial"/>
          <w:sz w:val="21"/>
          <w:szCs w:val="21"/>
        </w:rPr>
        <w:t>。估价对象作为保障性租赁住房（住宅型）出租使用。</w:t>
      </w:r>
    </w:p>
    <w:p w14:paraId="2E840876">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（5）装饰装修：根据《估价委托书》及估价人员实地查勘，估价对象均为</w:t>
      </w:r>
      <w:r>
        <w:rPr>
          <w:rFonts w:hint="eastAsia" w:ascii="Arial" w:hAnsi="Arial" w:cs="Arial"/>
          <w:sz w:val="21"/>
          <w:szCs w:val="21"/>
          <w:lang w:eastAsia="zh-CN"/>
        </w:rPr>
        <w:t>中档装修</w:t>
      </w:r>
      <w:r>
        <w:rPr>
          <w:rFonts w:hint="eastAsia" w:ascii="Arial" w:hAnsi="Arial" w:cs="Arial"/>
          <w:sz w:val="21"/>
          <w:szCs w:val="21"/>
        </w:rPr>
        <w:t>，外立面为涂料，公共部分首层地面贴砖，顶棚为涂料，墙面为涂料。室内地面铺设地砖，墙面为涂料，顶棚为涂料；卫生间有陶瓷洗手池、坐便器，地面铺设地砖，墙面为墙砖，顶棚为铝扣板；厨房有整体橱柜、不锈钢洗菜池，地面铺设地砖，墙面为墙砖，顶棚为铝扣板，阳台地面铺设地砖，墙面为涂料，顶棚为涂料。</w:t>
      </w:r>
    </w:p>
    <w:p w14:paraId="1A456851">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（6）新旧程度：《北京市大兴区住房和城乡建设委员会 关于向燕兴公司出售我区安置房剩余房源资产的请示》[京兴建文（2026）20号]及其附件2——项目房源汇总表，</w:t>
      </w:r>
      <w:r>
        <w:rPr>
          <w:rFonts w:hint="eastAsia" w:ascii="Arial" w:hAnsi="Arial" w:cs="Arial"/>
          <w:kern w:val="2"/>
          <w:sz w:val="21"/>
          <w:szCs w:val="21"/>
        </w:rPr>
        <w:t>福兴雅苑建成于2023年3月</w:t>
      </w:r>
      <w:r>
        <w:rPr>
          <w:rFonts w:hint="eastAsia" w:ascii="Arial" w:hAnsi="Arial" w:cs="Arial"/>
          <w:sz w:val="21"/>
          <w:szCs w:val="21"/>
        </w:rPr>
        <w:t>观察成新度较高，综合成新度为90%-100</w:t>
      </w:r>
      <w:r>
        <w:rPr>
          <w:rFonts w:ascii="Arial" w:hAnsi="Arial" w:cs="Arial"/>
          <w:sz w:val="21"/>
          <w:szCs w:val="21"/>
        </w:rPr>
        <w:t>%</w:t>
      </w:r>
      <w:r>
        <w:rPr>
          <w:rFonts w:hint="eastAsia" w:ascii="Arial" w:hAnsi="Arial" w:cs="Arial"/>
          <w:sz w:val="21"/>
          <w:szCs w:val="21"/>
        </w:rPr>
        <w:t>。</w:t>
      </w:r>
    </w:p>
    <w:p w14:paraId="73BFAFE8">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7）户型设计：估价对象均为平层结构，分为五种户型，分别为开间、一居室（73.85-74.00平方米）、一居室（82.85平方米）、两居室、三居室。其中开间29套、一居室（73.85-74.00平方米）8套、一居室（82.85平方米）125套、两居室135套、三居室8套。</w:t>
      </w:r>
    </w:p>
    <w:p w14:paraId="1BCC583C">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（8）朝向：估价对象开间均为南朝向、一居室（73.85、82.85平方米）均为南朝向、一居室（74平方米）均为南北朝向、两居室均为南北朝向、三居室均南朝向。</w:t>
      </w:r>
    </w:p>
    <w:p w14:paraId="0961C081">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（9）综合服务管理设施：估价对象所属小区为封闭式管理，门口设有快递柜、小区内设有垃圾分类收集点。</w:t>
      </w:r>
    </w:p>
    <w:p w14:paraId="0622CC04">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（10）水电气费执行标准：估价对象执行民水民电标准。</w:t>
      </w:r>
    </w:p>
    <w:p w14:paraId="7FF95CF0">
      <w:pPr>
        <w:spacing w:line="480" w:lineRule="auto"/>
        <w:ind w:firstLine="420" w:firstLineChars="200"/>
        <w:rPr>
          <w:rFonts w:ascii="Arial" w:hAnsi="Arial" w:cs="Arial"/>
          <w:sz w:val="21"/>
          <w:szCs w:val="21"/>
        </w:rPr>
      </w:pPr>
      <w:r>
        <w:rPr>
          <w:rFonts w:hint="eastAsia" w:ascii="Arial" w:hAnsi="Arial" w:cs="Arial"/>
          <w:sz w:val="21"/>
          <w:szCs w:val="21"/>
        </w:rPr>
        <w:t>3</w:t>
      </w:r>
      <w:r>
        <w:rPr>
          <w:rFonts w:ascii="Arial" w:hAnsi="Arial" w:cs="Arial"/>
          <w:sz w:val="21"/>
          <w:szCs w:val="21"/>
        </w:rPr>
        <w:t>.</w:t>
      </w:r>
      <w:r>
        <w:rPr>
          <w:rFonts w:hint="eastAsia" w:ascii="Arial" w:hAnsi="Arial" w:cs="Arial"/>
          <w:sz w:val="21"/>
          <w:szCs w:val="21"/>
        </w:rPr>
        <w:t>对价格影响的分析</w:t>
      </w:r>
    </w:p>
    <w:p w14:paraId="1C6F58D4">
      <w:pPr>
        <w:spacing w:line="480" w:lineRule="auto"/>
        <w:ind w:firstLine="420" w:firstLineChars="200"/>
        <w:rPr>
          <w:rFonts w:ascii="Arial" w:hAnsi="Arial" w:cs="Arial"/>
          <w:sz w:val="21"/>
          <w:szCs w:val="21"/>
        </w:rPr>
      </w:pPr>
      <w:r>
        <w:rPr>
          <w:rFonts w:ascii="Arial" w:hAnsi="Arial" w:cs="Arial"/>
          <w:sz w:val="21"/>
          <w:szCs w:val="21"/>
        </w:rPr>
        <w:t>估价对象作为</w:t>
      </w:r>
      <w:r>
        <w:rPr>
          <w:rFonts w:hint="eastAsia" w:ascii="Arial" w:hAnsi="Arial" w:cs="Arial"/>
          <w:kern w:val="2"/>
          <w:sz w:val="21"/>
          <w:szCs w:val="21"/>
        </w:rPr>
        <w:t>保障性租赁住房（住宅型）</w:t>
      </w:r>
      <w:r>
        <w:rPr>
          <w:rFonts w:ascii="Arial" w:hAnsi="Arial" w:cs="Arial"/>
          <w:sz w:val="21"/>
          <w:szCs w:val="21"/>
        </w:rPr>
        <w:t>使用，通用性相对较好，能完全满足大部分</w:t>
      </w:r>
      <w:r>
        <w:rPr>
          <w:rFonts w:hint="eastAsia" w:ascii="Arial" w:hAnsi="Arial" w:cs="Arial"/>
          <w:sz w:val="21"/>
          <w:szCs w:val="21"/>
        </w:rPr>
        <w:t>承</w:t>
      </w:r>
      <w:r>
        <w:rPr>
          <w:rFonts w:ascii="Arial" w:hAnsi="Arial" w:cs="Arial"/>
          <w:sz w:val="21"/>
          <w:szCs w:val="21"/>
        </w:rPr>
        <w:t>租者的需求，</w:t>
      </w:r>
      <w:r>
        <w:rPr>
          <w:rFonts w:hint="eastAsia" w:ascii="Arial" w:hAnsi="Arial" w:cs="Arial"/>
          <w:sz w:val="21"/>
          <w:szCs w:val="21"/>
          <w:lang w:val="en-US" w:eastAsia="zh-CN"/>
        </w:rPr>
        <w:t>不</w:t>
      </w:r>
      <w:commentRangeStart w:id="14"/>
      <w:r>
        <w:rPr>
          <w:rFonts w:ascii="Arial" w:hAnsi="Arial" w:cs="Arial"/>
          <w:sz w:val="21"/>
          <w:szCs w:val="21"/>
        </w:rPr>
        <w:t>影响其租金价格水平</w:t>
      </w:r>
      <w:commentRangeEnd w:id="14"/>
      <w:r>
        <w:rPr>
          <w:rStyle w:val="40"/>
        </w:rPr>
        <w:commentReference w:id="14"/>
      </w:r>
      <w:r>
        <w:rPr>
          <w:rFonts w:ascii="Arial" w:hAnsi="Arial" w:cs="Arial"/>
          <w:sz w:val="21"/>
          <w:szCs w:val="21"/>
        </w:rPr>
        <w:t>。</w:t>
      </w:r>
    </w:p>
    <w:p w14:paraId="76AF7762">
      <w:pPr>
        <w:pStyle w:val="3"/>
        <w:numPr>
          <w:ilvl w:val="0"/>
          <w:numId w:val="0"/>
        </w:numPr>
        <w:spacing w:line="480" w:lineRule="auto"/>
        <w:ind w:left="360" w:hanging="361" w:hangingChars="171"/>
        <w:jc w:val="both"/>
        <w:rPr>
          <w:rFonts w:eastAsia="宋体"/>
          <w:kern w:val="2"/>
          <w:sz w:val="21"/>
          <w:szCs w:val="21"/>
        </w:rPr>
      </w:pPr>
      <w:bookmarkStart w:id="53" w:name="_Toc525655436"/>
      <w:bookmarkStart w:id="54" w:name="_Toc155267103"/>
      <w:r>
        <w:rPr>
          <w:rFonts w:eastAsia="宋体"/>
          <w:kern w:val="2"/>
          <w:sz w:val="21"/>
          <w:szCs w:val="21"/>
        </w:rPr>
        <w:t>（</w:t>
      </w:r>
      <w:r>
        <w:rPr>
          <w:rFonts w:hint="eastAsia" w:eastAsia="宋体"/>
          <w:kern w:val="2"/>
          <w:sz w:val="21"/>
          <w:szCs w:val="21"/>
        </w:rPr>
        <w:t>三</w:t>
      </w:r>
      <w:r>
        <w:rPr>
          <w:rFonts w:eastAsia="宋体"/>
          <w:kern w:val="2"/>
          <w:sz w:val="21"/>
          <w:szCs w:val="21"/>
        </w:rPr>
        <w:t>）权益状况分析</w:t>
      </w:r>
      <w:bookmarkEnd w:id="53"/>
      <w:bookmarkEnd w:id="54"/>
    </w:p>
    <w:p w14:paraId="4483D78C">
      <w:pPr>
        <w:spacing w:line="480" w:lineRule="auto"/>
        <w:ind w:firstLine="420" w:firstLineChars="200"/>
        <w:rPr>
          <w:rFonts w:ascii="Arial" w:hAnsi="Arial" w:cs="Arial"/>
          <w:kern w:val="2"/>
          <w:sz w:val="21"/>
          <w:szCs w:val="21"/>
        </w:rPr>
      </w:pPr>
      <w:bookmarkStart w:id="55" w:name="_Toc525655437"/>
      <w:r>
        <w:rPr>
          <w:rFonts w:hint="eastAsia" w:ascii="Arial" w:hAnsi="Arial" w:cs="Arial"/>
          <w:sz w:val="21"/>
          <w:szCs w:val="21"/>
        </w:rPr>
        <w:t>根据估价委托人提供的《北京市保障性住房收购合同》及其附件、</w:t>
      </w:r>
      <w:r>
        <w:rPr>
          <w:rFonts w:hint="eastAsia" w:ascii="Arial" w:hAnsi="Arial" w:cs="Arial"/>
          <w:sz w:val="21"/>
          <w:szCs w:val="21"/>
          <w:lang w:eastAsia="zh-CN"/>
        </w:rPr>
        <w:t>《不动产权证书》[京（2026）大不动产权第0006890、0007126、0007158号]部分</w:t>
      </w:r>
      <w:r>
        <w:rPr>
          <w:rFonts w:hint="eastAsia" w:ascii="Arial" w:hAnsi="Arial" w:cs="Arial"/>
          <w:sz w:val="21"/>
          <w:szCs w:val="21"/>
        </w:rPr>
        <w:t>及评估专业人员实地查勘，于价值时点，估价对象不存在抵押、</w:t>
      </w:r>
      <w:r>
        <w:rPr>
          <w:rFonts w:hint="eastAsia" w:ascii="Arial" w:hAnsi="Arial" w:cs="Arial"/>
          <w:kern w:val="2"/>
          <w:sz w:val="21"/>
          <w:szCs w:val="21"/>
        </w:rPr>
        <w:t>租赁、地役、查封等</w:t>
      </w:r>
      <w:r>
        <w:rPr>
          <w:rFonts w:hint="eastAsia" w:ascii="Arial" w:hAnsi="Arial" w:cs="Arial"/>
          <w:kern w:val="2"/>
          <w:sz w:val="21"/>
          <w:szCs w:val="21"/>
          <w:lang w:val="en-US" w:eastAsia="zh-CN"/>
        </w:rPr>
        <w:t>限制</w:t>
      </w:r>
      <w:r>
        <w:rPr>
          <w:rFonts w:hint="eastAsia" w:ascii="Arial" w:hAnsi="Arial" w:cs="Arial"/>
          <w:kern w:val="2"/>
          <w:sz w:val="21"/>
          <w:szCs w:val="21"/>
        </w:rPr>
        <w:t>。</w:t>
      </w:r>
      <w:bookmarkStart w:id="56" w:name="_Toc155267104"/>
    </w:p>
    <w:p w14:paraId="10F0F3E6">
      <w:pPr>
        <w:spacing w:line="480" w:lineRule="auto"/>
        <w:ind w:firstLine="420" w:firstLineChars="200"/>
        <w:rPr>
          <w:rFonts w:ascii="Arial" w:hAnsi="Arial" w:cs="Arial"/>
          <w:kern w:val="2"/>
          <w:sz w:val="21"/>
          <w:szCs w:val="21"/>
        </w:rPr>
      </w:pPr>
    </w:p>
    <w:p w14:paraId="06C97076">
      <w:pPr>
        <w:pStyle w:val="3"/>
        <w:numPr>
          <w:ilvl w:val="0"/>
          <w:numId w:val="0"/>
        </w:numPr>
        <w:spacing w:line="480" w:lineRule="auto"/>
        <w:ind w:left="358" w:hanging="358" w:hangingChars="170"/>
        <w:jc w:val="both"/>
        <w:rPr>
          <w:rFonts w:eastAsia="宋体"/>
          <w:kern w:val="2"/>
          <w:sz w:val="21"/>
          <w:szCs w:val="21"/>
        </w:rPr>
      </w:pPr>
      <w:r>
        <w:rPr>
          <w:rFonts w:eastAsia="宋体"/>
          <w:kern w:val="2"/>
          <w:sz w:val="21"/>
          <w:szCs w:val="21"/>
        </w:rPr>
        <w:t>二、市场背景描述与分析</w:t>
      </w:r>
      <w:bookmarkEnd w:id="55"/>
      <w:bookmarkEnd w:id="56"/>
    </w:p>
    <w:p w14:paraId="78EC114A">
      <w:pPr>
        <w:overflowPunct w:val="0"/>
        <w:spacing w:line="480" w:lineRule="auto"/>
        <w:ind w:right="205"/>
        <w:jc w:val="both"/>
        <w:textAlignment w:val="auto"/>
        <w:rPr>
          <w:rFonts w:ascii="Arial" w:hAnsi="Arial"/>
          <w:b/>
          <w:bCs/>
          <w:sz w:val="21"/>
          <w:szCs w:val="21"/>
        </w:rPr>
      </w:pPr>
      <w:bookmarkStart w:id="57" w:name="_Toc525655438"/>
      <w:r>
        <w:rPr>
          <w:rFonts w:hint="eastAsia" w:ascii="Arial" w:hAnsi="Arial"/>
          <w:b/>
          <w:bCs/>
          <w:sz w:val="21"/>
          <w:szCs w:val="21"/>
        </w:rPr>
        <w:t>（一）类似房地产市场状况</w:t>
      </w:r>
    </w:p>
    <w:p w14:paraId="13604D74">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1.宏观环境</w:t>
      </w:r>
    </w:p>
    <w:p w14:paraId="7088217F">
      <w:pPr>
        <w:widowControl/>
        <w:adjustRightInd/>
        <w:spacing w:line="480" w:lineRule="auto"/>
        <w:ind w:firstLine="525" w:firstLineChars="250"/>
        <w:jc w:val="both"/>
        <w:textAlignment w:val="auto"/>
        <w:rPr>
          <w:rFonts w:ascii="Arial" w:hAnsi="Arial"/>
          <w:color w:val="000000"/>
          <w:sz w:val="21"/>
          <w:szCs w:val="21"/>
        </w:rPr>
      </w:pPr>
      <w:bookmarkStart w:id="58" w:name="OLE_LINK33"/>
      <w:bookmarkStart w:id="59" w:name="OLE_LINK34"/>
      <w:r>
        <w:rPr>
          <w:rFonts w:hint="eastAsia" w:ascii="Arial" w:hAnsi="Arial"/>
          <w:color w:val="000000"/>
          <w:sz w:val="21"/>
          <w:szCs w:val="21"/>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14:paraId="3179F47B">
      <w:pPr>
        <w:widowControl/>
        <w:adjustRightInd/>
        <w:spacing w:line="480" w:lineRule="auto"/>
        <w:ind w:firstLine="525" w:firstLineChars="250"/>
        <w:jc w:val="both"/>
        <w:textAlignment w:val="auto"/>
        <w:rPr>
          <w:rFonts w:ascii="Arial" w:hAnsi="Arial"/>
          <w:color w:val="000000"/>
          <w:sz w:val="21"/>
          <w:szCs w:val="21"/>
        </w:rPr>
      </w:pPr>
      <w:r>
        <w:rPr>
          <w:rFonts w:ascii="Arial" w:hAnsi="Arial"/>
          <w:sz w:val="21"/>
          <w:szCs w:val="21"/>
        </w:rPr>
        <w:t>截至2024年年末，北京市常住人口为2183.2万人，从年龄构成看，0-14岁常住人口261.2万人，占全市常住人口的比重为12.0%；15-59岁常住人口1408.0万人，占64.5%；60岁及以上常住人口514.0万人，占23.5%</w:t>
      </w:r>
      <w:r>
        <w:rPr>
          <w:rFonts w:hint="eastAsia" w:ascii="Arial" w:hAnsi="Arial"/>
          <w:color w:val="000000"/>
          <w:sz w:val="21"/>
          <w:szCs w:val="21"/>
        </w:rPr>
        <w:t>。</w:t>
      </w:r>
    </w:p>
    <w:p w14:paraId="2EA4E987">
      <w:pPr>
        <w:overflowPunct w:val="0"/>
        <w:spacing w:line="240" w:lineRule="auto"/>
        <w:jc w:val="center"/>
        <w:rPr>
          <w:rFonts w:ascii="Arial" w:hAnsi="Arial" w:eastAsia="方正黑体简体"/>
          <w:bCs/>
          <w:color w:val="000000"/>
          <w:szCs w:val="24"/>
        </w:rPr>
      </w:pPr>
      <w:r>
        <w:rPr>
          <w:rFonts w:ascii="Arial" w:hAnsi="Arial" w:eastAsia="方正黑体简体"/>
          <w:bCs/>
          <w:color w:val="000000"/>
          <w:szCs w:val="24"/>
        </w:rPr>
        <w:t>20</w:t>
      </w:r>
      <w:r>
        <w:rPr>
          <w:rFonts w:hint="eastAsia" w:ascii="Arial" w:hAnsi="Arial" w:eastAsia="方正黑体简体"/>
          <w:bCs/>
          <w:color w:val="000000"/>
          <w:szCs w:val="24"/>
        </w:rPr>
        <w:t>20</w:t>
      </w:r>
      <w:r>
        <w:rPr>
          <w:rFonts w:ascii="Arial" w:hAnsi="Arial" w:eastAsia="方正黑体简体"/>
          <w:bCs/>
          <w:color w:val="000000"/>
          <w:szCs w:val="24"/>
        </w:rPr>
        <w:t>-202</w:t>
      </w:r>
      <w:r>
        <w:rPr>
          <w:rFonts w:hint="eastAsia" w:ascii="Arial" w:hAnsi="Arial" w:eastAsia="方正黑体简体"/>
          <w:bCs/>
          <w:color w:val="000000"/>
          <w:szCs w:val="24"/>
        </w:rPr>
        <w:t>4年常住人口增量及增长速度</w:t>
      </w:r>
    </w:p>
    <w:p w14:paraId="079FA787">
      <w:pPr>
        <w:widowControl/>
        <w:adjustRightInd/>
        <w:spacing w:line="480" w:lineRule="auto"/>
        <w:jc w:val="center"/>
        <w:textAlignment w:val="auto"/>
        <w:rPr>
          <w:rFonts w:ascii="Arial" w:hAnsi="Arial"/>
          <w:color w:val="000000"/>
          <w:sz w:val="21"/>
          <w:szCs w:val="21"/>
        </w:rPr>
      </w:pPr>
      <w:r>
        <w:rPr>
          <w:rFonts w:ascii="Arial" w:hAnsi="Arial" w:eastAsia="仿宋" w:cs="Arial"/>
          <w:sz w:val="28"/>
          <w:szCs w:val="28"/>
        </w:rPr>
        <w:drawing>
          <wp:inline distT="0" distB="0" distL="114300" distR="114300">
            <wp:extent cx="5905500" cy="2171700"/>
            <wp:effectExtent l="4445" t="4445" r="18415" b="18415"/>
            <wp:docPr id="45" name="图表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bookmarkEnd w:id="58"/>
    <w:bookmarkEnd w:id="59"/>
    <w:p w14:paraId="12EAA476">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根据北京市统计局地区生产总值统一核算结果，2025年全年，北京市实现地区生产总值52073.4亿元，按不变价格计算，比上年增长5.4%。分产业看，第一产业实现增加值109.2亿元，下降0.7%；第二产业实现增加值7187.4亿元，增长3.5%；第三产业实现增加值44776.9亿元，增长5.8%。</w:t>
      </w:r>
    </w:p>
    <w:p w14:paraId="4EB4021B">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北京市固定资产投资（不含农户）比上年增长5.5%。其中，反映企业生产能力扩大的设备购置投资增长66.0%，占固定资产投资的比重为32.3%，同比提高11.7个百分点，新一代信息技术、集成电路领域相关项目是主要带动力量。分领域看，基础设施投资下降1.6%，房地产开发投资下降15.5%。分产业看，第一产业投资增长6.3%；第二产业投资增长4.3%；第三产业投资增长5.6%，其中，信息传输、软件和信息技术服务业，科学研究和技术服务业投资分别增长83.0%和8.5%；“投资于人”稳步推进，教育、文化体育和娱乐业投资分别增长30.7%和30.1%。高技术产业投资保持活跃，增长40.1%，其中高技术服务业投资增长64.9%，互联网企业算力设备更新等领域加大投入。</w:t>
      </w:r>
    </w:p>
    <w:p w14:paraId="6AC1AB56">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2025年末，北京市房屋施工面积10307.8万平方米，比上年末下降8.9%，其中，住宅施工面积5149.6万平方米，下降9.1%。全年商品房销售面积1041.0万平方米，下降6.9%，其中，住宅销售面积724.0万平方米，下降7.9%。</w:t>
      </w:r>
    </w:p>
    <w:p w14:paraId="22D6E0CE">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2025年，北京市房地产开发企业房屋新开工面积1156.6万平方米，同比下降10.1%。其中，住宅新开工面积727.8万平方米，下降4.5%；办公楼35.1万平方米，下降40.2%；商业营业用房58万平方米，下降11.2%。</w:t>
      </w:r>
    </w:p>
    <w:p w14:paraId="287AFB28">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北京市房屋竣工面积1464.8万平方米，同比下降11.4%。其中，住宅竣工面积746.7万平方米，下降18.2%；办公楼53.4万平方米，下降35%；商业营业用房123.8万平方米，增长98.3%。</w:t>
      </w:r>
    </w:p>
    <w:p w14:paraId="1101E97A">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总的来看，2025年北京市坚持稳中求进工作总基调，完整准确全面贯彻新发展理念，落实落细稳经济系列政策措施，积极应对各类风险挑战，全市经济保持平稳运行，生产需求稳中向好，就业物价保持稳定，居民收入稳步增加，新质生产力培育壮大，高质量发展取得积极成效，实现“十四五”圆满收官。</w:t>
      </w:r>
    </w:p>
    <w:p w14:paraId="1166ACCA">
      <w:pPr>
        <w:widowControl/>
        <w:overflowPunct w:val="0"/>
        <w:adjustRightInd/>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w:t>
      </w:r>
      <w:r>
        <w:rPr>
          <w:rFonts w:hint="eastAsia" w:ascii="Arial" w:hAnsi="Arial"/>
          <w:color w:val="000000"/>
          <w:sz w:val="21"/>
          <w:szCs w:val="21"/>
        </w:rPr>
        <w:t>土地市场</w:t>
      </w:r>
    </w:p>
    <w:p w14:paraId="2AFF6F17">
      <w:pPr>
        <w:widowControl/>
        <w:overflowPunct w:val="0"/>
        <w:adjustRightInd/>
        <w:spacing w:line="480" w:lineRule="auto"/>
        <w:ind w:firstLine="420" w:firstLineChars="200"/>
        <w:jc w:val="both"/>
        <w:textAlignment w:val="auto"/>
        <w:rPr>
          <w:rFonts w:ascii="Arial" w:hAnsi="Arial"/>
          <w:color w:val="000000"/>
          <w:sz w:val="21"/>
          <w:szCs w:val="21"/>
        </w:rPr>
      </w:pPr>
      <w:r>
        <w:rPr>
          <w:rFonts w:hint="eastAsia" w:ascii="Arial" w:hAnsi="Arial"/>
          <w:color w:val="000000"/>
          <w:sz w:val="21"/>
          <w:szCs w:val="21"/>
        </w:rPr>
        <w:t>（1）土地供求情况</w:t>
      </w:r>
    </w:p>
    <w:p w14:paraId="2455978E">
      <w:pPr>
        <w:widowControl/>
        <w:adjustRightInd/>
        <w:spacing w:line="480" w:lineRule="auto"/>
        <w:ind w:firstLine="525" w:firstLineChars="250"/>
        <w:jc w:val="both"/>
        <w:textAlignment w:val="auto"/>
        <w:rPr>
          <w:rFonts w:ascii="Arial" w:hAnsi="Arial"/>
          <w:color w:val="000000"/>
          <w:sz w:val="21"/>
          <w:szCs w:val="21"/>
        </w:rPr>
      </w:pPr>
      <w:r>
        <w:rPr>
          <w:rFonts w:ascii="Arial" w:hAnsi="Arial"/>
          <w:color w:val="000000"/>
          <w:sz w:val="21"/>
          <w:szCs w:val="21"/>
        </w:rPr>
        <w:t>202</w:t>
      </w:r>
      <w:r>
        <w:rPr>
          <w:rFonts w:hint="eastAsia" w:ascii="Arial" w:hAnsi="Arial"/>
          <w:color w:val="000000"/>
          <w:sz w:val="21"/>
          <w:szCs w:val="21"/>
        </w:rPr>
        <w:t>5</w:t>
      </w:r>
      <w:r>
        <w:rPr>
          <w:rFonts w:ascii="Arial" w:hAnsi="Arial"/>
          <w:color w:val="000000"/>
          <w:sz w:val="21"/>
          <w:szCs w:val="21"/>
        </w:rPr>
        <w:t>年北京商品住宅用地</w:t>
      </w:r>
      <w:r>
        <w:rPr>
          <w:rFonts w:hint="eastAsia" w:ascii="Arial" w:hAnsi="Arial"/>
          <w:color w:val="000000"/>
          <w:sz w:val="21"/>
          <w:szCs w:val="21"/>
        </w:rPr>
        <w:t>供应减量提质，核心区优质地块供应力度明显加大，</w:t>
      </w:r>
      <w:r>
        <w:rPr>
          <w:rFonts w:ascii="Arial" w:hAnsi="Arial"/>
          <w:color w:val="000000"/>
          <w:sz w:val="21"/>
          <w:szCs w:val="21"/>
        </w:rPr>
        <w:t>共推出</w:t>
      </w:r>
      <w:r>
        <w:rPr>
          <w:rFonts w:hint="eastAsia" w:ascii="Arial" w:hAnsi="Arial"/>
          <w:color w:val="000000"/>
          <w:sz w:val="21"/>
          <w:szCs w:val="21"/>
        </w:rPr>
        <w:t>36</w:t>
      </w:r>
      <w:r>
        <w:rPr>
          <w:rFonts w:ascii="Arial" w:hAnsi="Arial"/>
          <w:color w:val="000000"/>
          <w:sz w:val="21"/>
          <w:szCs w:val="21"/>
        </w:rPr>
        <w:t>宗住宅用地，累计供应规划建面</w:t>
      </w:r>
      <w:r>
        <w:rPr>
          <w:rFonts w:hint="eastAsia" w:ascii="Arial" w:hAnsi="Arial"/>
          <w:color w:val="000000"/>
          <w:sz w:val="21"/>
          <w:szCs w:val="21"/>
        </w:rPr>
        <w:t>306.95</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，同比</w:t>
      </w:r>
      <w:r>
        <w:rPr>
          <w:rFonts w:hint="eastAsia" w:ascii="Arial" w:hAnsi="Arial"/>
          <w:color w:val="000000"/>
          <w:sz w:val="21"/>
          <w:szCs w:val="21"/>
        </w:rPr>
        <w:t>下降37.6</w:t>
      </w:r>
      <w:r>
        <w:rPr>
          <w:rFonts w:ascii="Arial" w:hAnsi="Arial"/>
          <w:color w:val="000000"/>
          <w:sz w:val="21"/>
          <w:szCs w:val="21"/>
        </w:rPr>
        <w:t>%</w:t>
      </w:r>
      <w:r>
        <w:rPr>
          <w:rFonts w:hint="eastAsia" w:ascii="Arial" w:hAnsi="Arial"/>
          <w:color w:val="000000"/>
          <w:sz w:val="21"/>
          <w:szCs w:val="21"/>
        </w:rPr>
        <w:t>。</w:t>
      </w:r>
      <w:r>
        <w:rPr>
          <w:rFonts w:ascii="Arial" w:hAnsi="Arial"/>
          <w:color w:val="000000"/>
          <w:sz w:val="21"/>
          <w:szCs w:val="21"/>
        </w:rPr>
        <w:t>202</w:t>
      </w:r>
      <w:r>
        <w:rPr>
          <w:rFonts w:hint="eastAsia" w:ascii="Arial" w:hAnsi="Arial"/>
          <w:color w:val="000000"/>
          <w:sz w:val="21"/>
          <w:szCs w:val="21"/>
        </w:rPr>
        <w:t>5</w:t>
      </w:r>
      <w:r>
        <w:rPr>
          <w:rFonts w:ascii="Arial" w:hAnsi="Arial"/>
          <w:color w:val="000000"/>
          <w:sz w:val="21"/>
          <w:szCs w:val="21"/>
        </w:rPr>
        <w:t>年北京商品住宅用地</w:t>
      </w:r>
      <w:r>
        <w:rPr>
          <w:rFonts w:hint="eastAsia" w:ascii="Arial" w:hAnsi="Arial"/>
          <w:color w:val="000000"/>
          <w:sz w:val="21"/>
          <w:szCs w:val="21"/>
        </w:rPr>
        <w:t>共</w:t>
      </w:r>
      <w:r>
        <w:rPr>
          <w:rFonts w:ascii="Arial" w:hAnsi="Arial"/>
          <w:color w:val="000000"/>
          <w:sz w:val="21"/>
          <w:szCs w:val="21"/>
        </w:rPr>
        <w:t>成交</w:t>
      </w:r>
      <w:r>
        <w:rPr>
          <w:rFonts w:hint="eastAsia" w:ascii="Arial" w:hAnsi="Arial"/>
          <w:color w:val="000000"/>
          <w:sz w:val="21"/>
          <w:szCs w:val="21"/>
        </w:rPr>
        <w:t>40</w:t>
      </w:r>
      <w:r>
        <w:rPr>
          <w:rFonts w:ascii="Arial" w:hAnsi="Arial"/>
          <w:color w:val="000000"/>
          <w:sz w:val="21"/>
          <w:szCs w:val="21"/>
        </w:rPr>
        <w:t>宗，成交规划建面</w:t>
      </w:r>
      <w:r>
        <w:rPr>
          <w:rFonts w:hint="eastAsia" w:ascii="Arial" w:hAnsi="Arial"/>
          <w:color w:val="000000"/>
          <w:sz w:val="21"/>
          <w:szCs w:val="21"/>
        </w:rPr>
        <w:t>359.07</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，同比下降</w:t>
      </w:r>
      <w:r>
        <w:rPr>
          <w:rFonts w:hint="eastAsia" w:ascii="Arial" w:hAnsi="Arial"/>
          <w:color w:val="000000"/>
          <w:sz w:val="21"/>
          <w:szCs w:val="21"/>
        </w:rPr>
        <w:t>23.7</w:t>
      </w:r>
      <w:r>
        <w:rPr>
          <w:rFonts w:ascii="Arial" w:hAnsi="Arial"/>
          <w:color w:val="000000"/>
          <w:sz w:val="21"/>
          <w:szCs w:val="21"/>
        </w:rPr>
        <w:t>%</w:t>
      </w:r>
      <w:r>
        <w:rPr>
          <w:rFonts w:hint="eastAsia" w:ascii="Arial" w:hAnsi="Arial"/>
          <w:color w:val="000000"/>
          <w:sz w:val="21"/>
          <w:szCs w:val="21"/>
        </w:rPr>
        <w:t>。土地成交价款合计1427.42亿元，同比下降8.2%。成交的40宗住宅用地中，50%地块位于主城六区，其中海淀区共出让7宗住宅用地，累计成交金额超448亿元。</w:t>
      </w:r>
    </w:p>
    <w:p w14:paraId="02A3E008">
      <w:pPr>
        <w:overflowPunct w:val="0"/>
        <w:spacing w:line="360" w:lineRule="auto"/>
        <w:jc w:val="center"/>
        <w:rPr>
          <w:rFonts w:ascii="Arial" w:hAnsi="Arial" w:eastAsia="仿宋_GB2312"/>
          <w:b/>
          <w:bCs/>
          <w:color w:val="000000"/>
          <w:szCs w:val="24"/>
        </w:rPr>
      </w:pPr>
      <w:r>
        <w:drawing>
          <wp:inline distT="0" distB="0" distL="114300" distR="114300">
            <wp:extent cx="5182235" cy="2476500"/>
            <wp:effectExtent l="4445" t="4445" r="10160" b="18415"/>
            <wp:docPr id="38" name="图表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3D64448">
      <w:pPr>
        <w:widowControl/>
        <w:overflowPunct w:val="0"/>
        <w:adjustRightInd/>
        <w:spacing w:line="480" w:lineRule="auto"/>
        <w:ind w:firstLine="420" w:firstLineChars="200"/>
        <w:jc w:val="both"/>
        <w:textAlignment w:val="auto"/>
        <w:rPr>
          <w:rFonts w:ascii="Arial" w:hAnsi="Arial"/>
          <w:sz w:val="21"/>
          <w:szCs w:val="21"/>
        </w:rPr>
      </w:pPr>
      <w:r>
        <w:rPr>
          <w:rFonts w:hint="eastAsia" w:ascii="Arial" w:hAnsi="Arial"/>
          <w:sz w:val="21"/>
          <w:szCs w:val="21"/>
        </w:rPr>
        <w:t>（2）土地成交情况</w:t>
      </w:r>
    </w:p>
    <w:p w14:paraId="2E0672E6">
      <w:pPr>
        <w:widowControl/>
        <w:adjustRightInd/>
        <w:spacing w:line="480" w:lineRule="auto"/>
        <w:ind w:firstLine="525" w:firstLineChars="250"/>
        <w:jc w:val="both"/>
        <w:textAlignment w:val="auto"/>
        <w:rPr>
          <w:rFonts w:ascii="Arial" w:hAnsi="Arial"/>
          <w:color w:val="000000"/>
          <w:sz w:val="21"/>
          <w:szCs w:val="21"/>
        </w:rPr>
      </w:pPr>
      <w:r>
        <w:rPr>
          <w:rFonts w:ascii="Arial" w:hAnsi="Arial"/>
          <w:color w:val="000000"/>
          <w:sz w:val="21"/>
          <w:szCs w:val="21"/>
        </w:rPr>
        <w:t>2025年，北京市商品住宅用地</w:t>
      </w:r>
      <w:r>
        <w:rPr>
          <w:rFonts w:hint="eastAsia" w:ascii="Arial" w:hAnsi="Arial"/>
          <w:color w:val="000000"/>
          <w:sz w:val="21"/>
          <w:szCs w:val="21"/>
        </w:rPr>
        <w:t>主城六区</w:t>
      </w:r>
      <w:r>
        <w:rPr>
          <w:rFonts w:ascii="Arial" w:hAnsi="Arial"/>
          <w:color w:val="000000"/>
          <w:sz w:val="21"/>
          <w:szCs w:val="21"/>
        </w:rPr>
        <w:t>成交</w:t>
      </w:r>
      <w:r>
        <w:rPr>
          <w:rFonts w:hint="eastAsia" w:ascii="Arial" w:hAnsi="Arial"/>
          <w:color w:val="000000"/>
          <w:sz w:val="21"/>
          <w:szCs w:val="21"/>
        </w:rPr>
        <w:t>20</w:t>
      </w:r>
      <w:r>
        <w:rPr>
          <w:rFonts w:ascii="Arial" w:hAnsi="Arial"/>
          <w:color w:val="000000"/>
          <w:sz w:val="21"/>
          <w:szCs w:val="21"/>
        </w:rPr>
        <w:t>宗宅地，累计成交规划建面</w:t>
      </w:r>
      <w:r>
        <w:rPr>
          <w:rFonts w:hint="eastAsia" w:ascii="Arial" w:hAnsi="Arial"/>
          <w:color w:val="000000"/>
          <w:sz w:val="21"/>
          <w:szCs w:val="21"/>
        </w:rPr>
        <w:t>183.78</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，占比</w:t>
      </w:r>
      <w:r>
        <w:rPr>
          <w:rFonts w:hint="eastAsia" w:ascii="Arial" w:hAnsi="Arial"/>
          <w:color w:val="000000"/>
          <w:sz w:val="21"/>
          <w:szCs w:val="21"/>
        </w:rPr>
        <w:t>51</w:t>
      </w:r>
      <w:r>
        <w:rPr>
          <w:rFonts w:ascii="Arial" w:hAnsi="Arial"/>
          <w:color w:val="000000"/>
          <w:sz w:val="21"/>
          <w:szCs w:val="21"/>
        </w:rPr>
        <w:t>%，较上年同期</w:t>
      </w:r>
      <w:r>
        <w:rPr>
          <w:rFonts w:hint="eastAsia" w:ascii="Arial" w:hAnsi="Arial"/>
          <w:color w:val="000000"/>
          <w:sz w:val="21"/>
          <w:szCs w:val="21"/>
        </w:rPr>
        <w:t>上升4</w:t>
      </w:r>
      <w:r>
        <w:rPr>
          <w:rFonts w:ascii="Arial" w:hAnsi="Arial"/>
          <w:color w:val="000000"/>
          <w:sz w:val="21"/>
          <w:szCs w:val="21"/>
        </w:rPr>
        <w:t>个百分点</w:t>
      </w:r>
      <w:r>
        <w:rPr>
          <w:rFonts w:hint="eastAsia" w:ascii="Arial" w:hAnsi="Arial"/>
          <w:color w:val="000000"/>
          <w:sz w:val="21"/>
          <w:szCs w:val="21"/>
        </w:rPr>
        <w:t>；其中海淀、朝阳成交规模均超59万平方米，占比分别为19%和17%</w:t>
      </w:r>
      <w:r>
        <w:rPr>
          <w:rFonts w:ascii="Arial" w:hAnsi="Arial"/>
          <w:color w:val="000000"/>
          <w:sz w:val="21"/>
          <w:szCs w:val="21"/>
        </w:rPr>
        <w:t>。近郊区</w:t>
      </w:r>
      <w:r>
        <w:rPr>
          <w:rFonts w:hint="eastAsia" w:ascii="Arial" w:hAnsi="Arial"/>
          <w:color w:val="000000"/>
          <w:sz w:val="21"/>
          <w:szCs w:val="21"/>
        </w:rPr>
        <w:t>住宅用地成交规模占比降至5成以下，累计成交169.50万平方米，</w:t>
      </w:r>
      <w:r>
        <w:rPr>
          <w:rFonts w:ascii="Arial" w:hAnsi="Arial"/>
          <w:color w:val="000000"/>
          <w:sz w:val="21"/>
          <w:szCs w:val="21"/>
        </w:rPr>
        <w:t>占比</w:t>
      </w:r>
      <w:r>
        <w:rPr>
          <w:rFonts w:hint="eastAsia" w:ascii="Arial" w:hAnsi="Arial"/>
          <w:color w:val="000000"/>
          <w:sz w:val="21"/>
          <w:szCs w:val="21"/>
        </w:rPr>
        <w:t>下降3个百分点至47</w:t>
      </w:r>
      <w:r>
        <w:rPr>
          <w:rFonts w:ascii="Arial" w:hAnsi="Arial"/>
          <w:color w:val="000000"/>
          <w:sz w:val="21"/>
          <w:szCs w:val="21"/>
        </w:rPr>
        <w:t>%，</w:t>
      </w:r>
      <w:r>
        <w:rPr>
          <w:rFonts w:hint="eastAsia" w:ascii="Arial" w:hAnsi="Arial"/>
          <w:color w:val="000000"/>
          <w:sz w:val="21"/>
          <w:szCs w:val="21"/>
        </w:rPr>
        <w:t>其中昌平、通州为主要供地区域，成交规模均超40万平方米，成交占比分别为14%、12%。远郊区供应力度进一步减弱，累计成交5.78万平方米，占比下降2个百分点至2%，延庆、怀柔各成交1宗宅地。</w:t>
      </w:r>
    </w:p>
    <w:p w14:paraId="4872ABE2">
      <w:pPr>
        <w:overflowPunct w:val="0"/>
        <w:spacing w:line="360" w:lineRule="auto"/>
        <w:jc w:val="center"/>
        <w:textAlignment w:val="auto"/>
        <w:rPr>
          <w:rFonts w:ascii="Arial" w:hAnsi="Arial" w:eastAsia="仿宋_GB2312"/>
          <w:bCs/>
          <w:color w:val="000000"/>
          <w:sz w:val="28"/>
          <w:szCs w:val="28"/>
        </w:rPr>
      </w:pPr>
      <w:r>
        <w:drawing>
          <wp:inline distT="0" distB="0" distL="114300" distR="114300">
            <wp:extent cx="5903595" cy="2995295"/>
            <wp:effectExtent l="0" t="0" r="9525" b="6985"/>
            <wp:docPr id="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pic:cNvPicPr>
                      <a:picLocks noChangeAspect="1"/>
                    </pic:cNvPicPr>
                  </pic:nvPicPr>
                  <pic:blipFill>
                    <a:blip r:embed="rId31"/>
                    <a:stretch>
                      <a:fillRect/>
                    </a:stretch>
                  </pic:blipFill>
                  <pic:spPr>
                    <a:xfrm>
                      <a:off x="0" y="0"/>
                      <a:ext cx="5903595" cy="2995295"/>
                    </a:xfrm>
                    <a:prstGeom prst="rect">
                      <a:avLst/>
                    </a:prstGeom>
                    <a:noFill/>
                    <a:ln>
                      <a:noFill/>
                    </a:ln>
                  </pic:spPr>
                </pic:pic>
              </a:graphicData>
            </a:graphic>
          </wp:inline>
        </w:drawing>
      </w:r>
    </w:p>
    <w:p w14:paraId="7238DE22">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从不同区域来看，各区域住宅用地成交规模同比均下降，主城六区成交规模同比下降16%，其中海淀、石景山、东城同比增长；近郊区成交规模同比下降28%，其中通州同比增长，其他区均同比下降；远郊区同比下降66%。</w:t>
      </w:r>
    </w:p>
    <w:p w14:paraId="0AAEA0D0">
      <w:pPr>
        <w:widowControl/>
        <w:overflowPunct w:val="0"/>
        <w:adjustRightInd/>
        <w:spacing w:line="480" w:lineRule="auto"/>
        <w:jc w:val="center"/>
        <w:textAlignment w:val="auto"/>
      </w:pPr>
      <w:r>
        <w:rPr>
          <w:rFonts w:hint="eastAsia" w:ascii="Arial" w:hAnsi="Arial" w:eastAsia="仿宋" w:cs="Arial"/>
          <w:bCs/>
          <w:color w:val="000000"/>
          <w:sz w:val="28"/>
          <w:szCs w:val="28"/>
        </w:rPr>
        <w:drawing>
          <wp:inline distT="0" distB="0" distL="114300" distR="114300">
            <wp:extent cx="4556125" cy="3647440"/>
            <wp:effectExtent l="0" t="0" r="635" b="10160"/>
            <wp:docPr id="35" name="图片 5" descr="ScreenShot_2026-01-23_113715_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ScreenShot_2026-01-23_113715_225"/>
                    <pic:cNvPicPr>
                      <a:picLocks noChangeAspect="1"/>
                    </pic:cNvPicPr>
                  </pic:nvPicPr>
                  <pic:blipFill>
                    <a:blip r:embed="rId32"/>
                    <a:stretch>
                      <a:fillRect/>
                    </a:stretch>
                  </pic:blipFill>
                  <pic:spPr>
                    <a:xfrm>
                      <a:off x="0" y="0"/>
                      <a:ext cx="4556125" cy="3647440"/>
                    </a:xfrm>
                    <a:prstGeom prst="rect">
                      <a:avLst/>
                    </a:prstGeom>
                    <a:noFill/>
                    <a:ln>
                      <a:noFill/>
                    </a:ln>
                  </pic:spPr>
                </pic:pic>
              </a:graphicData>
            </a:graphic>
          </wp:inline>
        </w:drawing>
      </w:r>
    </w:p>
    <w:p w14:paraId="685BF2BF">
      <w:pPr>
        <w:overflowPunct w:val="0"/>
        <w:spacing w:line="480" w:lineRule="auto"/>
        <w:ind w:firstLine="420" w:firstLineChars="200"/>
        <w:jc w:val="both"/>
        <w:textAlignment w:val="auto"/>
        <w:rPr>
          <w:rFonts w:ascii="Arial" w:hAnsi="Arial" w:cs="宋体"/>
          <w:sz w:val="21"/>
          <w:szCs w:val="21"/>
        </w:rPr>
      </w:pPr>
      <w:r>
        <w:rPr>
          <w:rFonts w:hint="eastAsia" w:ascii="Arial" w:hAnsi="Arial" w:cs="宋体"/>
          <w:sz w:val="21"/>
          <w:szCs w:val="21"/>
        </w:rPr>
        <w:t>（</w:t>
      </w:r>
      <w:r>
        <w:rPr>
          <w:rFonts w:hint="eastAsia" w:ascii="Arial" w:hAnsi="Arial"/>
          <w:sz w:val="21"/>
        </w:rPr>
        <w:t>3</w:t>
      </w:r>
      <w:r>
        <w:rPr>
          <w:rFonts w:hint="eastAsia" w:ascii="Arial" w:hAnsi="Arial" w:cs="宋体"/>
          <w:sz w:val="21"/>
          <w:szCs w:val="21"/>
        </w:rPr>
        <w:t>）土地成交价格</w:t>
      </w:r>
    </w:p>
    <w:p w14:paraId="2A7C8984">
      <w:pPr>
        <w:widowControl/>
        <w:overflowPunct w:val="0"/>
        <w:adjustRightInd/>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2025年，在</w:t>
      </w:r>
      <w:r>
        <w:rPr>
          <w:rFonts w:hint="eastAsia" w:ascii="Arial" w:hAnsi="Arial"/>
          <w:color w:val="000000"/>
          <w:sz w:val="21"/>
          <w:szCs w:val="21"/>
        </w:rPr>
        <w:t>主城六区优质地块成交</w:t>
      </w:r>
      <w:r>
        <w:rPr>
          <w:rFonts w:ascii="Arial" w:hAnsi="Arial"/>
          <w:color w:val="000000"/>
          <w:sz w:val="21"/>
          <w:szCs w:val="21"/>
        </w:rPr>
        <w:t>带动下，北京宅地整体成交楼面均价</w:t>
      </w:r>
      <w:r>
        <w:rPr>
          <w:rFonts w:hint="eastAsia" w:ascii="Arial" w:hAnsi="Arial"/>
          <w:color w:val="000000"/>
          <w:sz w:val="21"/>
          <w:szCs w:val="21"/>
        </w:rPr>
        <w:t>39754</w:t>
      </w:r>
      <w:r>
        <w:rPr>
          <w:rFonts w:ascii="Arial" w:hAnsi="Arial"/>
          <w:color w:val="000000"/>
          <w:sz w:val="21"/>
          <w:szCs w:val="21"/>
        </w:rPr>
        <w:t>元/</w:t>
      </w:r>
      <w:r>
        <w:rPr>
          <w:rFonts w:hint="eastAsia" w:ascii="Arial" w:hAnsi="Arial"/>
          <w:color w:val="000000"/>
          <w:sz w:val="21"/>
          <w:szCs w:val="21"/>
        </w:rPr>
        <w:t>平方米</w:t>
      </w:r>
      <w:r>
        <w:rPr>
          <w:rFonts w:ascii="Arial" w:hAnsi="Arial"/>
          <w:color w:val="000000"/>
          <w:sz w:val="21"/>
          <w:szCs w:val="21"/>
        </w:rPr>
        <w:t>，同比增长</w:t>
      </w:r>
      <w:r>
        <w:rPr>
          <w:rFonts w:hint="eastAsia" w:ascii="Arial" w:hAnsi="Arial"/>
          <w:color w:val="000000"/>
          <w:sz w:val="21"/>
          <w:szCs w:val="21"/>
        </w:rPr>
        <w:t>20.3</w:t>
      </w:r>
      <w:r>
        <w:rPr>
          <w:rFonts w:ascii="Arial" w:hAnsi="Arial"/>
          <w:color w:val="000000"/>
          <w:sz w:val="21"/>
          <w:szCs w:val="21"/>
        </w:rPr>
        <w:t>%。</w:t>
      </w:r>
      <w:r>
        <w:rPr>
          <w:rFonts w:hint="eastAsia" w:ascii="Arial" w:hAnsi="Arial"/>
          <w:color w:val="000000"/>
          <w:sz w:val="21"/>
          <w:szCs w:val="21"/>
        </w:rPr>
        <w:t>取消地价上限，叠加核心区优质地块竞争激烈，2025年宅地成交溢价率</w:t>
      </w:r>
      <w:r>
        <w:rPr>
          <w:rFonts w:ascii="Arial" w:hAnsi="Arial"/>
          <w:color w:val="000000"/>
          <w:sz w:val="21"/>
          <w:szCs w:val="21"/>
        </w:rPr>
        <w:t>溢</w:t>
      </w:r>
      <w:r>
        <w:rPr>
          <w:rFonts w:hint="eastAsia" w:ascii="Arial" w:hAnsi="Arial"/>
          <w:color w:val="000000"/>
          <w:sz w:val="21"/>
          <w:szCs w:val="21"/>
        </w:rPr>
        <w:t>升至6.6</w:t>
      </w:r>
      <w:r>
        <w:rPr>
          <w:rFonts w:ascii="Arial" w:hAnsi="Arial"/>
          <w:color w:val="000000"/>
          <w:sz w:val="21"/>
          <w:szCs w:val="21"/>
        </w:rPr>
        <w:t>%，同比提升</w:t>
      </w:r>
      <w:r>
        <w:rPr>
          <w:rFonts w:hint="eastAsia" w:ascii="Arial" w:hAnsi="Arial"/>
          <w:color w:val="000000"/>
          <w:sz w:val="21"/>
          <w:szCs w:val="21"/>
        </w:rPr>
        <w:t>3.5</w:t>
      </w:r>
      <w:r>
        <w:rPr>
          <w:rFonts w:ascii="Arial" w:hAnsi="Arial"/>
          <w:color w:val="000000"/>
          <w:sz w:val="21"/>
          <w:szCs w:val="21"/>
        </w:rPr>
        <w:t>个百分点。</w:t>
      </w:r>
      <w:r>
        <w:rPr>
          <w:rFonts w:hint="eastAsia" w:ascii="Arial" w:hAnsi="Arial"/>
          <w:color w:val="000000"/>
          <w:sz w:val="21"/>
          <w:szCs w:val="21"/>
        </w:rPr>
        <w:t>市场分化明显，成交的40宗地块中，9宗地块溢价率超10%，主要集中在海淀、朝阳、通州三区；其中朝阳太阳宫地块以39.18%溢价率居首，该地块经过超330轮现场举牌竞价成交，最终以9.42万元/平方米的楼面地价刷新朝阳纪录；海淀树村地块经过274轮竞拍成交</w:t>
      </w:r>
      <w:r>
        <w:rPr>
          <w:rFonts w:ascii="Arial" w:hAnsi="Arial"/>
          <w:color w:val="000000"/>
          <w:sz w:val="21"/>
          <w:szCs w:val="21"/>
        </w:rPr>
        <w:t>，</w:t>
      </w:r>
      <w:r>
        <w:rPr>
          <w:rFonts w:hint="eastAsia" w:ascii="Arial" w:hAnsi="Arial"/>
          <w:color w:val="000000"/>
          <w:sz w:val="21"/>
          <w:szCs w:val="21"/>
        </w:rPr>
        <w:t>成交楼面地价达10.23万元/平方米，成为北京首个楼面地价破10万元的住宅地块。而26</w:t>
      </w:r>
      <w:r>
        <w:rPr>
          <w:rFonts w:ascii="Arial" w:hAnsi="Arial"/>
          <w:color w:val="000000"/>
          <w:sz w:val="21"/>
          <w:szCs w:val="21"/>
        </w:rPr>
        <w:t>宗地块</w:t>
      </w:r>
      <w:r>
        <w:rPr>
          <w:rFonts w:hint="eastAsia" w:ascii="Arial" w:hAnsi="Arial"/>
          <w:color w:val="000000"/>
          <w:sz w:val="21"/>
          <w:szCs w:val="21"/>
        </w:rPr>
        <w:t>均</w:t>
      </w:r>
      <w:r>
        <w:rPr>
          <w:rFonts w:ascii="Arial" w:hAnsi="Arial"/>
          <w:color w:val="000000"/>
          <w:sz w:val="21"/>
          <w:szCs w:val="21"/>
        </w:rPr>
        <w:t>以底价成交</w:t>
      </w:r>
      <w:r>
        <w:rPr>
          <w:rFonts w:hint="eastAsia" w:ascii="Arial" w:hAnsi="Arial"/>
          <w:color w:val="000000"/>
          <w:sz w:val="21"/>
          <w:szCs w:val="21"/>
        </w:rPr>
        <w:t>，占比升至65%</w:t>
      </w:r>
      <w:r>
        <w:rPr>
          <w:rFonts w:ascii="Arial" w:hAnsi="Arial"/>
          <w:color w:val="000000"/>
          <w:sz w:val="21"/>
          <w:szCs w:val="21"/>
        </w:rPr>
        <w:t>。</w:t>
      </w:r>
    </w:p>
    <w:p w14:paraId="06B457A9">
      <w:pPr>
        <w:spacing w:line="480" w:lineRule="auto"/>
        <w:jc w:val="center"/>
      </w:pPr>
      <w:r>
        <w:drawing>
          <wp:inline distT="0" distB="0" distL="114300" distR="114300">
            <wp:extent cx="5272405" cy="2600960"/>
            <wp:effectExtent l="0" t="0" r="635" b="508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33"/>
                    <a:stretch>
                      <a:fillRect/>
                    </a:stretch>
                  </pic:blipFill>
                  <pic:spPr>
                    <a:xfrm>
                      <a:off x="0" y="0"/>
                      <a:ext cx="5272405" cy="2600960"/>
                    </a:xfrm>
                    <a:prstGeom prst="rect">
                      <a:avLst/>
                    </a:prstGeom>
                    <a:noFill/>
                    <a:ln>
                      <a:noFill/>
                    </a:ln>
                  </pic:spPr>
                </pic:pic>
              </a:graphicData>
            </a:graphic>
          </wp:inline>
        </w:drawing>
      </w:r>
    </w:p>
    <w:p w14:paraId="4F93A58B">
      <w:pPr>
        <w:spacing w:line="360" w:lineRule="auto"/>
        <w:ind w:firstLine="420" w:firstLineChars="200"/>
        <w:jc w:val="both"/>
        <w:outlineLvl w:val="0"/>
        <w:rPr>
          <w:rFonts w:ascii="Arial" w:hAnsi="Arial"/>
          <w:color w:val="000000"/>
          <w:sz w:val="21"/>
          <w:szCs w:val="21"/>
        </w:rPr>
      </w:pPr>
      <w:r>
        <w:rPr>
          <w:rFonts w:hint="eastAsia" w:ascii="Arial" w:hAnsi="Arial"/>
          <w:color w:val="000000"/>
          <w:sz w:val="21"/>
          <w:szCs w:val="21"/>
        </w:rPr>
        <w:t>分区域来看，主城六区成交楼面地价均价相对较高，东城区成交楼面地价均价超8万元/平方米，海淀区成交楼面地价均价超6万元/平方米；近郊区成交楼面地价多介于2-3万/平方米之间，其中通州区、顺义区地价相对较高，超2.8万/平方米，房山区成交楼面地价较低，为15336元/平方米。从同比变化来看，丰台区、石景山区、房山区成交楼面地价同比下跌，其他区域成交楼面地价同比上涨，其中海淀区、朝阳区成交楼面地价均同比上涨28%。</w:t>
      </w:r>
    </w:p>
    <w:p w14:paraId="6E429358">
      <w:pPr>
        <w:spacing w:line="360" w:lineRule="auto"/>
        <w:jc w:val="center"/>
        <w:outlineLvl w:val="0"/>
        <w:rPr>
          <w:rFonts w:ascii="Arial" w:hAnsi="Arial"/>
          <w:color w:val="000000"/>
          <w:sz w:val="21"/>
          <w:szCs w:val="21"/>
        </w:rPr>
      </w:pPr>
      <w:r>
        <w:drawing>
          <wp:inline distT="0" distB="0" distL="114300" distR="114300">
            <wp:extent cx="5276215" cy="2885440"/>
            <wp:effectExtent l="0" t="0" r="12065" b="1016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34"/>
                    <a:stretch>
                      <a:fillRect/>
                    </a:stretch>
                  </pic:blipFill>
                  <pic:spPr>
                    <a:xfrm>
                      <a:off x="0" y="0"/>
                      <a:ext cx="5276215" cy="2885440"/>
                    </a:xfrm>
                    <a:prstGeom prst="rect">
                      <a:avLst/>
                    </a:prstGeom>
                    <a:noFill/>
                    <a:ln>
                      <a:noFill/>
                    </a:ln>
                  </pic:spPr>
                </pic:pic>
              </a:graphicData>
            </a:graphic>
          </wp:inline>
        </w:drawing>
      </w:r>
    </w:p>
    <w:p w14:paraId="0B1B8C9C">
      <w:pPr>
        <w:spacing w:line="360" w:lineRule="auto"/>
        <w:ind w:firstLine="420" w:firstLineChars="200"/>
        <w:jc w:val="both"/>
        <w:outlineLvl w:val="0"/>
        <w:rPr>
          <w:rFonts w:ascii="Arial" w:hAnsi="Arial"/>
          <w:color w:val="000000"/>
          <w:sz w:val="21"/>
          <w:szCs w:val="21"/>
        </w:rPr>
      </w:pPr>
      <w:r>
        <w:rPr>
          <w:rFonts w:hint="eastAsia" w:ascii="Arial" w:hAnsi="Arial"/>
          <w:color w:val="000000"/>
          <w:sz w:val="21"/>
          <w:szCs w:val="21"/>
        </w:rPr>
        <w:t>溢价率方面，海淀区、朝阳区土地质素高，整体溢价率较高；通州区热点地块竞争较为激烈，但地块延续分化；东城区祈年大街地块溢价率4%，其他区域地块均底价成交。</w:t>
      </w:r>
    </w:p>
    <w:p w14:paraId="3AEDF70B">
      <w:pPr>
        <w:spacing w:line="360" w:lineRule="auto"/>
        <w:jc w:val="center"/>
        <w:outlineLvl w:val="0"/>
        <w:rPr>
          <w:rFonts w:ascii="Arial" w:hAnsi="Arial"/>
          <w:color w:val="000000"/>
          <w:sz w:val="21"/>
          <w:szCs w:val="21"/>
        </w:rPr>
      </w:pPr>
      <w:r>
        <w:drawing>
          <wp:inline distT="0" distB="0" distL="114300" distR="114300">
            <wp:extent cx="4666615" cy="2599690"/>
            <wp:effectExtent l="0" t="0" r="12065" b="6350"/>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35"/>
                    <a:stretch>
                      <a:fillRect/>
                    </a:stretch>
                  </pic:blipFill>
                  <pic:spPr>
                    <a:xfrm>
                      <a:off x="0" y="0"/>
                      <a:ext cx="4666615" cy="2599690"/>
                    </a:xfrm>
                    <a:prstGeom prst="rect">
                      <a:avLst/>
                    </a:prstGeom>
                    <a:noFill/>
                    <a:ln>
                      <a:noFill/>
                    </a:ln>
                  </pic:spPr>
                </pic:pic>
              </a:graphicData>
            </a:graphic>
          </wp:inline>
        </w:drawing>
      </w:r>
    </w:p>
    <w:p w14:paraId="562B2794">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3新建.商品房住宅市场</w:t>
      </w:r>
    </w:p>
    <w:p w14:paraId="509A36A6">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（1）新建商品住宅供给状况</w:t>
      </w:r>
    </w:p>
    <w:p w14:paraId="472F6EFF">
      <w:pPr>
        <w:spacing w:line="360" w:lineRule="auto"/>
        <w:ind w:firstLine="420" w:firstLineChars="200"/>
        <w:jc w:val="both"/>
        <w:outlineLvl w:val="0"/>
        <w:rPr>
          <w:rFonts w:ascii="Arial" w:hAnsi="Arial"/>
          <w:color w:val="000000"/>
          <w:sz w:val="21"/>
          <w:szCs w:val="21"/>
        </w:rPr>
      </w:pPr>
      <w:r>
        <w:rPr>
          <w:rFonts w:ascii="Arial" w:hAnsi="Arial"/>
          <w:color w:val="000000"/>
          <w:sz w:val="21"/>
          <w:szCs w:val="21"/>
        </w:rPr>
        <w:t>近几年，</w:t>
      </w:r>
      <w:r>
        <w:rPr>
          <w:rFonts w:hint="eastAsia" w:ascii="Arial" w:hAnsi="Arial"/>
          <w:color w:val="000000"/>
          <w:sz w:val="21"/>
          <w:szCs w:val="21"/>
        </w:rPr>
        <w:t>北京商品住宅用</w:t>
      </w:r>
      <w:r>
        <w:rPr>
          <w:rFonts w:ascii="Arial" w:hAnsi="Arial"/>
          <w:color w:val="000000"/>
          <w:sz w:val="21"/>
          <w:szCs w:val="21"/>
        </w:rPr>
        <w:t>地供应规模减少，导致新房供应持续下滑</w:t>
      </w:r>
      <w:r>
        <w:rPr>
          <w:rFonts w:hint="eastAsia" w:ascii="Arial" w:hAnsi="Arial"/>
          <w:color w:val="000000"/>
          <w:sz w:val="21"/>
          <w:szCs w:val="21"/>
        </w:rPr>
        <w:t>。</w:t>
      </w:r>
      <w:r>
        <w:rPr>
          <w:rFonts w:ascii="Arial" w:hAnsi="Arial"/>
          <w:color w:val="000000"/>
          <w:sz w:val="21"/>
          <w:szCs w:val="21"/>
        </w:rPr>
        <w:t>2025年北京新房供应止跌回升，但整体供应规模仍处于近年低位水平</w:t>
      </w:r>
      <w:r>
        <w:rPr>
          <w:rFonts w:hint="eastAsia" w:ascii="Arial" w:hAnsi="Arial"/>
          <w:color w:val="000000"/>
          <w:sz w:val="21"/>
          <w:szCs w:val="21"/>
        </w:rPr>
        <w:t>。</w:t>
      </w:r>
    </w:p>
    <w:p w14:paraId="01C20DAC">
      <w:pPr>
        <w:spacing w:line="360" w:lineRule="auto"/>
        <w:ind w:firstLine="420" w:firstLineChars="200"/>
        <w:jc w:val="both"/>
        <w:outlineLvl w:val="0"/>
        <w:rPr>
          <w:rFonts w:ascii="Arial" w:hAnsi="Arial"/>
          <w:color w:val="000000"/>
          <w:sz w:val="21"/>
          <w:szCs w:val="21"/>
        </w:rPr>
      </w:pPr>
      <w:r>
        <w:rPr>
          <w:rFonts w:hint="eastAsia" w:ascii="Arial" w:hAnsi="Arial"/>
          <w:color w:val="000000"/>
          <w:sz w:val="21"/>
          <w:szCs w:val="21"/>
        </w:rPr>
        <w:t>根据中指研究院数据，</w:t>
      </w:r>
      <w:r>
        <w:rPr>
          <w:rFonts w:ascii="Arial" w:hAnsi="Arial"/>
          <w:color w:val="000000"/>
          <w:sz w:val="21"/>
          <w:szCs w:val="21"/>
        </w:rPr>
        <w:t>2025年二季度以来新房取证未售库存规模持续处于中高水平，12月末库存规模约为966万平方米，较年初增长10.8%。出清周期方面， 2022年以来库存出清周期基本持续处于风险线以上；2025年北京新房库存规模增加，叠加去化速度放缓，2025年12月出清周期升至26.5个月，整体去化风险较为突出。</w:t>
      </w:r>
    </w:p>
    <w:p w14:paraId="0C933B95">
      <w:pPr>
        <w:overflowPunct w:val="0"/>
        <w:spacing w:line="480" w:lineRule="auto"/>
        <w:jc w:val="center"/>
        <w:textAlignment w:val="auto"/>
        <w:rPr>
          <w:rFonts w:ascii="Arial" w:hAnsi="Arial"/>
          <w:sz w:val="21"/>
          <w:szCs w:val="28"/>
        </w:rPr>
      </w:pPr>
      <w:r>
        <w:drawing>
          <wp:inline distT="0" distB="0" distL="114300" distR="114300">
            <wp:extent cx="5905500" cy="2139315"/>
            <wp:effectExtent l="0" t="0" r="7620" b="952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36"/>
                    <a:stretch>
                      <a:fillRect/>
                    </a:stretch>
                  </pic:blipFill>
                  <pic:spPr>
                    <a:xfrm>
                      <a:off x="0" y="0"/>
                      <a:ext cx="5905500" cy="2139315"/>
                    </a:xfrm>
                    <a:prstGeom prst="rect">
                      <a:avLst/>
                    </a:prstGeom>
                    <a:noFill/>
                    <a:ln>
                      <a:noFill/>
                    </a:ln>
                  </pic:spPr>
                </pic:pic>
              </a:graphicData>
            </a:graphic>
          </wp:inline>
        </w:drawing>
      </w:r>
    </w:p>
    <w:p w14:paraId="07616A2C">
      <w:pPr>
        <w:spacing w:line="360" w:lineRule="auto"/>
        <w:ind w:firstLine="420" w:firstLineChars="200"/>
        <w:jc w:val="both"/>
        <w:outlineLvl w:val="0"/>
        <w:rPr>
          <w:rFonts w:ascii="Arial" w:hAnsi="Arial"/>
          <w:color w:val="000000"/>
          <w:sz w:val="21"/>
          <w:szCs w:val="21"/>
        </w:rPr>
      </w:pPr>
      <w:r>
        <w:rPr>
          <w:rFonts w:hint="eastAsia" w:ascii="Arial" w:hAnsi="Arial"/>
          <w:color w:val="000000"/>
          <w:sz w:val="21"/>
          <w:szCs w:val="21"/>
        </w:rPr>
        <w:t>分区域来看，</w:t>
      </w:r>
      <w:r>
        <w:rPr>
          <w:rFonts w:ascii="Arial" w:hAnsi="Arial"/>
          <w:color w:val="000000"/>
          <w:sz w:val="21"/>
          <w:szCs w:val="21"/>
        </w:rPr>
        <w:t>截止到2025年12月末，中心城区</w:t>
      </w:r>
      <w:r>
        <w:rPr>
          <w:rFonts w:hint="eastAsia" w:ascii="Arial" w:hAnsi="Arial"/>
          <w:color w:val="000000"/>
          <w:sz w:val="21"/>
          <w:szCs w:val="21"/>
        </w:rPr>
        <w:t>（含核心区）</w:t>
      </w:r>
      <w:r>
        <w:rPr>
          <w:rFonts w:ascii="Arial" w:hAnsi="Arial"/>
          <w:color w:val="000000"/>
          <w:sz w:val="21"/>
          <w:szCs w:val="21"/>
        </w:rPr>
        <w:t>库存规模</w:t>
      </w:r>
      <w:r>
        <w:rPr>
          <w:rFonts w:hint="eastAsia" w:ascii="Arial" w:hAnsi="Arial"/>
          <w:color w:val="000000"/>
          <w:sz w:val="21"/>
          <w:szCs w:val="21"/>
        </w:rPr>
        <w:t>约</w:t>
      </w:r>
      <w:r>
        <w:rPr>
          <w:rFonts w:ascii="Arial" w:hAnsi="Arial"/>
          <w:color w:val="000000"/>
          <w:sz w:val="21"/>
          <w:szCs w:val="21"/>
        </w:rPr>
        <w:t>348万</w:t>
      </w:r>
      <w:r>
        <w:rPr>
          <w:rFonts w:hint="eastAsia" w:ascii="Arial" w:hAnsi="Arial"/>
          <w:color w:val="000000"/>
          <w:sz w:val="21"/>
          <w:szCs w:val="21"/>
        </w:rPr>
        <w:t>平方米</w:t>
      </w:r>
      <w:r>
        <w:rPr>
          <w:rFonts w:ascii="Arial" w:hAnsi="Arial"/>
          <w:color w:val="000000"/>
          <w:sz w:val="21"/>
          <w:szCs w:val="21"/>
        </w:rPr>
        <w:t>，其中丰台区、朝阳区库存规模均超11万</w:t>
      </w:r>
      <w:r>
        <w:rPr>
          <w:rFonts w:hint="eastAsia" w:ascii="Arial" w:hAnsi="Arial"/>
          <w:color w:val="000000"/>
          <w:sz w:val="21"/>
          <w:szCs w:val="21"/>
        </w:rPr>
        <w:t>平方米</w:t>
      </w:r>
      <w:r>
        <w:rPr>
          <w:rFonts w:ascii="Arial" w:hAnsi="Arial"/>
          <w:color w:val="000000"/>
          <w:sz w:val="21"/>
          <w:szCs w:val="21"/>
        </w:rPr>
        <w:t>；近郊区库存规模合计约479 万</w:t>
      </w:r>
      <w:r>
        <w:rPr>
          <w:rFonts w:hint="eastAsia" w:ascii="Arial" w:hAnsi="Arial"/>
          <w:color w:val="000000"/>
          <w:sz w:val="21"/>
          <w:szCs w:val="21"/>
        </w:rPr>
        <w:t>平方米</w:t>
      </w:r>
      <w:r>
        <w:rPr>
          <w:rFonts w:ascii="Arial" w:hAnsi="Arial"/>
          <w:color w:val="000000"/>
          <w:sz w:val="21"/>
          <w:szCs w:val="21"/>
        </w:rPr>
        <w:t>，其中通州、昌平、大兴库存规模均超100万</w:t>
      </w:r>
      <w:r>
        <w:rPr>
          <w:rFonts w:hint="eastAsia" w:ascii="Arial" w:hAnsi="Arial"/>
          <w:color w:val="000000"/>
          <w:sz w:val="21"/>
          <w:szCs w:val="21"/>
        </w:rPr>
        <w:t>平方米</w:t>
      </w:r>
      <w:r>
        <w:rPr>
          <w:rFonts w:ascii="Arial" w:hAnsi="Arial"/>
          <w:color w:val="000000"/>
          <w:sz w:val="21"/>
          <w:szCs w:val="21"/>
        </w:rPr>
        <w:t>；远郊区库存规模合计约102万</w:t>
      </w:r>
      <w:r>
        <w:rPr>
          <w:rFonts w:hint="eastAsia" w:ascii="Arial" w:hAnsi="Arial"/>
          <w:color w:val="000000"/>
          <w:sz w:val="21"/>
          <w:szCs w:val="21"/>
        </w:rPr>
        <w:t>平方米</w:t>
      </w:r>
      <w:r>
        <w:rPr>
          <w:rFonts w:ascii="Arial" w:hAnsi="Arial"/>
          <w:color w:val="000000"/>
          <w:sz w:val="21"/>
          <w:szCs w:val="21"/>
        </w:rPr>
        <w:t>，主要集中在怀柔区、密云区。海淀、延庆短期库存去化风险较低；丰台、昌平、大兴、怀柔、密云、平谷等区域库存去化风险突出。</w:t>
      </w:r>
    </w:p>
    <w:p w14:paraId="3F32D671">
      <w:pPr>
        <w:overflowPunct w:val="0"/>
        <w:spacing w:line="480" w:lineRule="auto"/>
        <w:jc w:val="center"/>
        <w:textAlignment w:val="auto"/>
        <w:rPr>
          <w:rFonts w:ascii="Arial" w:hAnsi="Arial"/>
          <w:sz w:val="21"/>
        </w:rPr>
      </w:pPr>
      <w:r>
        <w:drawing>
          <wp:inline distT="0" distB="0" distL="114300" distR="114300">
            <wp:extent cx="5906770" cy="2166620"/>
            <wp:effectExtent l="0" t="0" r="6350" b="1270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37"/>
                    <a:stretch>
                      <a:fillRect/>
                    </a:stretch>
                  </pic:blipFill>
                  <pic:spPr>
                    <a:xfrm>
                      <a:off x="0" y="0"/>
                      <a:ext cx="5906770" cy="2166620"/>
                    </a:xfrm>
                    <a:prstGeom prst="rect">
                      <a:avLst/>
                    </a:prstGeom>
                    <a:noFill/>
                    <a:ln>
                      <a:noFill/>
                    </a:ln>
                  </pic:spPr>
                </pic:pic>
              </a:graphicData>
            </a:graphic>
          </wp:inline>
        </w:drawing>
      </w:r>
    </w:p>
    <w:p w14:paraId="1C598E0A">
      <w:pPr>
        <w:overflowPunct w:val="0"/>
        <w:spacing w:line="480" w:lineRule="auto"/>
        <w:ind w:firstLine="420" w:firstLineChars="200"/>
        <w:jc w:val="both"/>
        <w:textAlignment w:val="auto"/>
        <w:rPr>
          <w:rFonts w:ascii="Arial" w:hAnsi="Arial"/>
          <w:bCs/>
          <w:sz w:val="21"/>
          <w:szCs w:val="28"/>
        </w:rPr>
      </w:pPr>
      <w:r>
        <w:rPr>
          <w:rFonts w:hint="eastAsia" w:ascii="Arial" w:hAnsi="Arial"/>
          <w:sz w:val="21"/>
          <w:szCs w:val="28"/>
        </w:rPr>
        <w:t>（2）新建商品</w:t>
      </w:r>
      <w:r>
        <w:rPr>
          <w:rFonts w:hint="eastAsia" w:ascii="Arial" w:hAnsi="Arial"/>
          <w:bCs/>
          <w:sz w:val="21"/>
          <w:szCs w:val="28"/>
        </w:rPr>
        <w:t>住宅成交情况</w:t>
      </w:r>
    </w:p>
    <w:p w14:paraId="32AAD22D">
      <w:pPr>
        <w:tabs>
          <w:tab w:val="left" w:pos="426"/>
        </w:tabs>
        <w:overflowPunct w:val="0"/>
        <w:spacing w:line="480" w:lineRule="auto"/>
        <w:ind w:firstLine="420" w:firstLineChars="200"/>
        <w:jc w:val="both"/>
        <w:textAlignment w:val="auto"/>
        <w:rPr>
          <w:rFonts w:ascii="Arial" w:hAnsi="Arial"/>
          <w:sz w:val="21"/>
        </w:rPr>
      </w:pPr>
      <w:r>
        <w:rPr>
          <w:rFonts w:hint="eastAsia" w:ascii="Arial" w:hAnsi="Arial"/>
          <w:sz w:val="21"/>
        </w:rPr>
        <w:t>1）成交量</w:t>
      </w:r>
    </w:p>
    <w:p w14:paraId="5E4DD932">
      <w:pPr>
        <w:spacing w:line="360" w:lineRule="auto"/>
        <w:ind w:firstLine="420" w:firstLineChars="200"/>
        <w:jc w:val="both"/>
        <w:outlineLvl w:val="0"/>
        <w:rPr>
          <w:rFonts w:ascii="Arial" w:hAnsi="Arial"/>
          <w:color w:val="000000"/>
          <w:sz w:val="21"/>
          <w:szCs w:val="21"/>
        </w:rPr>
      </w:pPr>
      <w:r>
        <w:rPr>
          <w:rFonts w:ascii="Arial" w:hAnsi="Arial"/>
          <w:color w:val="000000"/>
          <w:sz w:val="21"/>
          <w:szCs w:val="21"/>
        </w:rPr>
        <w:t>新</w:t>
      </w:r>
      <w:r>
        <w:rPr>
          <w:rFonts w:hint="eastAsia" w:ascii="Arial" w:hAnsi="Arial"/>
          <w:color w:val="000000"/>
          <w:sz w:val="21"/>
          <w:szCs w:val="21"/>
        </w:rPr>
        <w:t>建</w:t>
      </w:r>
      <w:r>
        <w:rPr>
          <w:rFonts w:ascii="Arial" w:hAnsi="Arial"/>
          <w:color w:val="000000"/>
          <w:sz w:val="21"/>
          <w:szCs w:val="21"/>
        </w:rPr>
        <w:t>商品住宅市场成交疲软，仍处于寻底阶段。2025年北京新建商品住宅累计成交面积502.44万</w:t>
      </w:r>
      <w:r>
        <w:rPr>
          <w:rFonts w:hint="eastAsia" w:ascii="Arial" w:hAnsi="Arial"/>
          <w:color w:val="000000"/>
          <w:sz w:val="21"/>
          <w:szCs w:val="21"/>
        </w:rPr>
        <w:t>平方米</w:t>
      </w:r>
      <w:r>
        <w:rPr>
          <w:rFonts w:ascii="Arial" w:hAnsi="Arial"/>
          <w:color w:val="000000"/>
          <w:sz w:val="21"/>
          <w:szCs w:val="21"/>
        </w:rPr>
        <w:t>，同比下降15.1%，较2021年高位下降49.4%，较近三年均值下降18.3%。</w:t>
      </w:r>
      <w:r>
        <w:rPr>
          <w:rFonts w:hint="eastAsia" w:ascii="Arial" w:hAnsi="Arial"/>
          <w:color w:val="000000"/>
          <w:sz w:val="21"/>
          <w:szCs w:val="21"/>
        </w:rPr>
        <w:t>按</w:t>
      </w:r>
      <w:r>
        <w:rPr>
          <w:rFonts w:ascii="Arial" w:hAnsi="Arial"/>
          <w:color w:val="000000"/>
          <w:sz w:val="21"/>
          <w:szCs w:val="21"/>
        </w:rPr>
        <w:t>月度</w:t>
      </w:r>
      <w:r>
        <w:rPr>
          <w:rFonts w:hint="eastAsia" w:ascii="Arial" w:hAnsi="Arial"/>
          <w:color w:val="000000"/>
          <w:sz w:val="21"/>
          <w:szCs w:val="21"/>
        </w:rPr>
        <w:t>看，</w:t>
      </w:r>
      <w:r>
        <w:rPr>
          <w:rFonts w:ascii="Arial" w:hAnsi="Arial"/>
          <w:color w:val="000000"/>
          <w:sz w:val="21"/>
          <w:szCs w:val="21"/>
        </w:rPr>
        <w:t>整体呈波浪式下滑趋势</w:t>
      </w:r>
      <w:r>
        <w:rPr>
          <w:rFonts w:hint="eastAsia" w:ascii="Arial" w:hAnsi="Arial"/>
          <w:color w:val="000000"/>
          <w:sz w:val="21"/>
          <w:szCs w:val="21"/>
        </w:rPr>
        <w:t>。</w:t>
      </w:r>
      <w:r>
        <w:rPr>
          <w:rFonts w:ascii="Arial" w:hAnsi="Arial"/>
          <w:color w:val="000000"/>
          <w:sz w:val="21"/>
          <w:szCs w:val="21"/>
        </w:rPr>
        <w:t>4</w:t>
      </w:r>
      <w:r>
        <w:rPr>
          <w:rFonts w:hint="eastAsia" w:ascii="Arial" w:hAnsi="Arial"/>
          <w:color w:val="000000"/>
          <w:sz w:val="21"/>
          <w:szCs w:val="21"/>
        </w:rPr>
        <w:t>月25日</w:t>
      </w:r>
      <w:r>
        <w:rPr>
          <w:rFonts w:ascii="Arial" w:hAnsi="Arial"/>
          <w:color w:val="000000"/>
          <w:sz w:val="21"/>
          <w:szCs w:val="21"/>
        </w:rPr>
        <w:t>政治局会议定调之后，金融部门积极跟进落实各项举措</w:t>
      </w:r>
      <w:r>
        <w:rPr>
          <w:rFonts w:hint="eastAsia" w:ascii="Arial" w:hAnsi="Arial"/>
          <w:color w:val="000000"/>
          <w:sz w:val="21"/>
          <w:szCs w:val="21"/>
        </w:rPr>
        <w:t>。</w:t>
      </w:r>
      <w:r>
        <w:rPr>
          <w:rFonts w:ascii="Arial" w:hAnsi="Arial"/>
          <w:color w:val="000000"/>
          <w:sz w:val="21"/>
          <w:szCs w:val="21"/>
        </w:rPr>
        <w:t>5月7日国常会发布降准降息等一揽子金融政策</w:t>
      </w:r>
      <w:r>
        <w:rPr>
          <w:rFonts w:hint="eastAsia" w:ascii="Arial" w:hAnsi="Arial"/>
          <w:color w:val="000000"/>
          <w:sz w:val="21"/>
          <w:szCs w:val="21"/>
        </w:rPr>
        <w:t>。</w:t>
      </w:r>
      <w:r>
        <w:rPr>
          <w:rFonts w:ascii="Arial" w:hAnsi="Arial"/>
          <w:color w:val="000000"/>
          <w:sz w:val="21"/>
          <w:szCs w:val="21"/>
        </w:rPr>
        <w:t>6月北京成交明显回升。7月，受季节性因素影响，成交环比明显下滑。8月，北京五环外解除限购同时优化公积金贷款政策，成交量环比略有增长，但新政边际效果有限</w:t>
      </w:r>
      <w:r>
        <w:rPr>
          <w:rFonts w:hint="eastAsia" w:ascii="Arial" w:hAnsi="Arial"/>
          <w:color w:val="000000"/>
          <w:sz w:val="21"/>
          <w:szCs w:val="21"/>
        </w:rPr>
        <w:t>。</w:t>
      </w:r>
      <w:r>
        <w:rPr>
          <w:rFonts w:ascii="Arial" w:hAnsi="Arial"/>
          <w:color w:val="000000"/>
          <w:sz w:val="21"/>
          <w:szCs w:val="21"/>
        </w:rPr>
        <w:t>9月， 随着“金九银十”行业旺季，成交环比上行</w:t>
      </w:r>
      <w:r>
        <w:rPr>
          <w:rFonts w:hint="eastAsia" w:ascii="Arial" w:hAnsi="Arial"/>
          <w:color w:val="000000"/>
          <w:sz w:val="21"/>
          <w:szCs w:val="21"/>
        </w:rPr>
        <w:t>。</w:t>
      </w:r>
      <w:r>
        <w:rPr>
          <w:rFonts w:ascii="Arial" w:hAnsi="Arial"/>
          <w:color w:val="000000"/>
          <w:sz w:val="21"/>
          <w:szCs w:val="21"/>
        </w:rPr>
        <w:t>10月，受国庆假期的影响，成交小幅下滑</w:t>
      </w:r>
      <w:r>
        <w:rPr>
          <w:rFonts w:hint="eastAsia" w:ascii="Arial" w:hAnsi="Arial"/>
          <w:color w:val="000000"/>
          <w:sz w:val="21"/>
          <w:szCs w:val="21"/>
        </w:rPr>
        <w:t>。</w:t>
      </w:r>
      <w:r>
        <w:rPr>
          <w:rFonts w:ascii="Arial" w:hAnsi="Arial"/>
          <w:color w:val="000000"/>
          <w:sz w:val="21"/>
          <w:szCs w:val="21"/>
        </w:rPr>
        <w:t>11月，市场观望情绪浓厚，成交环比下滑</w:t>
      </w:r>
      <w:r>
        <w:rPr>
          <w:rFonts w:hint="eastAsia" w:ascii="Arial" w:hAnsi="Arial"/>
          <w:color w:val="000000"/>
          <w:sz w:val="21"/>
          <w:szCs w:val="21"/>
        </w:rPr>
        <w:t>。</w:t>
      </w:r>
      <w:r>
        <w:rPr>
          <w:rFonts w:ascii="Arial" w:hAnsi="Arial"/>
          <w:color w:val="000000"/>
          <w:sz w:val="21"/>
          <w:szCs w:val="21"/>
        </w:rPr>
        <w:t>12月，房企年终业绩冲刺、 叠加放宽非京籍及多孩家庭购房限制等利好因素影响，市场成交回升</w:t>
      </w:r>
      <w:r>
        <w:rPr>
          <w:rFonts w:hint="eastAsia" w:ascii="Arial" w:hAnsi="Arial"/>
          <w:color w:val="000000"/>
          <w:sz w:val="21"/>
          <w:szCs w:val="21"/>
        </w:rPr>
        <w:t>。</w:t>
      </w:r>
    </w:p>
    <w:p w14:paraId="6B922CA0">
      <w:pPr>
        <w:overflowPunct w:val="0"/>
        <w:spacing w:line="480" w:lineRule="auto"/>
        <w:jc w:val="center"/>
        <w:textAlignment w:val="auto"/>
        <w:rPr>
          <w:rFonts w:ascii="Arial" w:hAnsi="Arial"/>
          <w:sz w:val="21"/>
        </w:rPr>
      </w:pPr>
      <w:r>
        <w:drawing>
          <wp:inline distT="0" distB="0" distL="114300" distR="114300">
            <wp:extent cx="5909310" cy="1527175"/>
            <wp:effectExtent l="0" t="0" r="3810" b="12065"/>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38"/>
                    <a:stretch>
                      <a:fillRect/>
                    </a:stretch>
                  </pic:blipFill>
                  <pic:spPr>
                    <a:xfrm>
                      <a:off x="0" y="0"/>
                      <a:ext cx="5909310" cy="1527175"/>
                    </a:xfrm>
                    <a:prstGeom prst="rect">
                      <a:avLst/>
                    </a:prstGeom>
                    <a:noFill/>
                    <a:ln>
                      <a:noFill/>
                    </a:ln>
                  </pic:spPr>
                </pic:pic>
              </a:graphicData>
            </a:graphic>
          </wp:inline>
        </w:drawing>
      </w:r>
    </w:p>
    <w:p w14:paraId="61C6F1AE">
      <w:pPr>
        <w:overflowPunct w:val="0"/>
        <w:spacing w:line="480" w:lineRule="auto"/>
        <w:ind w:firstLine="420" w:firstLineChars="200"/>
        <w:textAlignment w:val="auto"/>
        <w:rPr>
          <w:rFonts w:ascii="Arial" w:hAnsi="Arial"/>
          <w:sz w:val="21"/>
        </w:rPr>
      </w:pPr>
      <w:r>
        <w:rPr>
          <w:rFonts w:hint="eastAsia" w:ascii="Arial" w:hAnsi="Arial"/>
          <w:sz w:val="21"/>
        </w:rPr>
        <w:t>2）成交价格</w:t>
      </w:r>
    </w:p>
    <w:p w14:paraId="28328E48">
      <w:pPr>
        <w:overflowPunct w:val="0"/>
        <w:spacing w:line="480" w:lineRule="auto"/>
        <w:ind w:firstLine="420" w:firstLineChars="200"/>
        <w:textAlignment w:val="auto"/>
        <w:rPr>
          <w:rFonts w:ascii="Arial" w:hAnsi="Arial"/>
          <w:sz w:val="21"/>
          <w:szCs w:val="28"/>
        </w:rPr>
      </w:pPr>
      <w:r>
        <w:rPr>
          <w:rFonts w:hint="eastAsia" w:ascii="Arial" w:hAnsi="Arial"/>
          <w:sz w:val="21"/>
          <w:szCs w:val="28"/>
        </w:rPr>
        <w:t>A.成交价格</w:t>
      </w:r>
    </w:p>
    <w:p w14:paraId="3689337A">
      <w:pPr>
        <w:spacing w:line="360" w:lineRule="auto"/>
        <w:ind w:firstLine="420" w:firstLineChars="200"/>
        <w:jc w:val="both"/>
        <w:outlineLvl w:val="0"/>
        <w:rPr>
          <w:rFonts w:ascii="Arial" w:hAnsi="Arial"/>
          <w:color w:val="000000"/>
          <w:sz w:val="21"/>
          <w:szCs w:val="21"/>
        </w:rPr>
      </w:pPr>
      <w:r>
        <w:rPr>
          <w:rFonts w:ascii="Arial" w:hAnsi="Arial"/>
          <w:color w:val="000000"/>
          <w:sz w:val="21"/>
          <w:szCs w:val="21"/>
        </w:rPr>
        <w:t>2023年10月以来，北京新</w:t>
      </w:r>
      <w:r>
        <w:rPr>
          <w:rFonts w:hint="eastAsia" w:ascii="Arial" w:hAnsi="Arial"/>
          <w:color w:val="000000"/>
          <w:sz w:val="21"/>
          <w:szCs w:val="21"/>
        </w:rPr>
        <w:t>建商品房</w:t>
      </w:r>
      <w:r>
        <w:rPr>
          <w:rFonts w:ascii="Arial" w:hAnsi="Arial"/>
          <w:color w:val="000000"/>
          <w:sz w:val="21"/>
          <w:szCs w:val="21"/>
        </w:rPr>
        <w:t>房价进入下跌通道，2024年和2025年北京新房房价累计跌幅分别为5.4个百分点和2.4个百分点。 2025年新房房价跌幅较2024年出现收窄，但整体仍处于下跌区间，10月份以来新房房价跌幅出现扩大，11月北京新房房价环比下跌 0.5%。</w:t>
      </w:r>
    </w:p>
    <w:p w14:paraId="4888A88F">
      <w:pPr>
        <w:tabs>
          <w:tab w:val="left" w:pos="426"/>
        </w:tabs>
        <w:overflowPunct w:val="0"/>
        <w:spacing w:line="480" w:lineRule="auto"/>
        <w:jc w:val="center"/>
        <w:textAlignment w:val="auto"/>
      </w:pPr>
      <w:r>
        <w:drawing>
          <wp:inline distT="0" distB="0" distL="114300" distR="114300">
            <wp:extent cx="5904230" cy="3257550"/>
            <wp:effectExtent l="0" t="0" r="8890" b="3810"/>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pic:cNvPicPr>
                  </pic:nvPicPr>
                  <pic:blipFill>
                    <a:blip r:embed="rId39"/>
                    <a:stretch>
                      <a:fillRect/>
                    </a:stretch>
                  </pic:blipFill>
                  <pic:spPr>
                    <a:xfrm>
                      <a:off x="0" y="0"/>
                      <a:ext cx="5904230" cy="3257550"/>
                    </a:xfrm>
                    <a:prstGeom prst="rect">
                      <a:avLst/>
                    </a:prstGeom>
                    <a:noFill/>
                    <a:ln>
                      <a:noFill/>
                    </a:ln>
                  </pic:spPr>
                </pic:pic>
              </a:graphicData>
            </a:graphic>
          </wp:inline>
        </w:drawing>
      </w:r>
    </w:p>
    <w:p w14:paraId="3DB75C9A">
      <w:pPr>
        <w:spacing w:line="360" w:lineRule="auto"/>
        <w:ind w:firstLine="420" w:firstLineChars="200"/>
        <w:jc w:val="both"/>
        <w:outlineLvl w:val="0"/>
        <w:rPr>
          <w:rFonts w:ascii="Arial" w:hAnsi="Arial"/>
          <w:color w:val="000000"/>
          <w:sz w:val="21"/>
          <w:szCs w:val="21"/>
        </w:rPr>
      </w:pPr>
      <w:r>
        <w:rPr>
          <w:rFonts w:hint="eastAsia" w:ascii="Arial" w:hAnsi="Arial"/>
          <w:color w:val="000000"/>
          <w:sz w:val="21"/>
          <w:szCs w:val="21"/>
        </w:rPr>
        <w:t>从各面积段来看，</w:t>
      </w:r>
      <w:r>
        <w:rPr>
          <w:rFonts w:ascii="Arial" w:hAnsi="Arial"/>
          <w:color w:val="000000"/>
          <w:sz w:val="21"/>
          <w:szCs w:val="21"/>
        </w:rPr>
        <w:t>小户型价格跌幅相对较大，大户型价格相对坚挺。2025年，北京90㎡及以下面积段新房房价累计下跌3.7个百分点； 90-144平新房房价累计下跌2.9个百分点；144平以上大户型新房房价累计下跌1.3个百分点。</w:t>
      </w:r>
    </w:p>
    <w:p w14:paraId="3E6853F1">
      <w:pPr>
        <w:spacing w:line="360" w:lineRule="auto"/>
        <w:jc w:val="center"/>
        <w:outlineLvl w:val="0"/>
        <w:rPr>
          <w:rFonts w:ascii="Arial" w:hAnsi="Arial"/>
          <w:sz w:val="21"/>
          <w:szCs w:val="28"/>
        </w:rPr>
      </w:pPr>
      <w:r>
        <w:drawing>
          <wp:inline distT="0" distB="0" distL="114300" distR="114300">
            <wp:extent cx="5064125" cy="2970530"/>
            <wp:effectExtent l="0" t="0" r="10795" b="127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40"/>
                    <a:stretch>
                      <a:fillRect/>
                    </a:stretch>
                  </pic:blipFill>
                  <pic:spPr>
                    <a:xfrm>
                      <a:off x="0" y="0"/>
                      <a:ext cx="5064125" cy="2970530"/>
                    </a:xfrm>
                    <a:prstGeom prst="rect">
                      <a:avLst/>
                    </a:prstGeom>
                    <a:noFill/>
                    <a:ln>
                      <a:noFill/>
                    </a:ln>
                  </pic:spPr>
                </pic:pic>
              </a:graphicData>
            </a:graphic>
          </wp:inline>
        </w:drawing>
      </w:r>
    </w:p>
    <w:p w14:paraId="43690FC7">
      <w:pPr>
        <w:overflowPunct w:val="0"/>
        <w:spacing w:line="480" w:lineRule="auto"/>
        <w:ind w:firstLine="420" w:firstLineChars="200"/>
        <w:textAlignment w:val="auto"/>
        <w:rPr>
          <w:rFonts w:ascii="Arial" w:hAnsi="Arial"/>
          <w:sz w:val="21"/>
          <w:szCs w:val="28"/>
        </w:rPr>
      </w:pPr>
      <w:r>
        <w:rPr>
          <w:rFonts w:hint="eastAsia" w:ascii="Arial" w:hAnsi="Arial"/>
          <w:sz w:val="21"/>
          <w:szCs w:val="28"/>
        </w:rPr>
        <w:t>B.</w:t>
      </w:r>
      <w:r>
        <w:rPr>
          <w:rFonts w:hint="eastAsia"/>
        </w:rPr>
        <w:t xml:space="preserve"> </w:t>
      </w:r>
      <w:r>
        <w:rPr>
          <w:rFonts w:hint="eastAsia" w:ascii="Arial" w:hAnsi="Arial"/>
          <w:sz w:val="21"/>
          <w:szCs w:val="28"/>
        </w:rPr>
        <w:t>成交结构</w:t>
      </w:r>
    </w:p>
    <w:p w14:paraId="308F2D38">
      <w:pPr>
        <w:overflowPunct w:val="0"/>
        <w:spacing w:line="480" w:lineRule="auto"/>
        <w:ind w:firstLine="420" w:firstLineChars="200"/>
        <w:jc w:val="both"/>
        <w:textAlignment w:val="auto"/>
        <w:rPr>
          <w:rFonts w:ascii="Arial" w:hAnsi="Arial"/>
          <w:sz w:val="21"/>
          <w:szCs w:val="28"/>
        </w:rPr>
      </w:pPr>
      <w:r>
        <w:rPr>
          <w:rFonts w:ascii="Arial" w:hAnsi="Arial"/>
          <w:sz w:val="21"/>
          <w:szCs w:val="28"/>
        </w:rPr>
        <w:t>2025年，新房以改善需求为主，中高面积段、中高价位段为市场成交主力，</w:t>
      </w:r>
      <w:r>
        <w:rPr>
          <w:rFonts w:hint="eastAsia" w:ascii="Arial" w:hAnsi="Arial"/>
          <w:sz w:val="21"/>
          <w:szCs w:val="28"/>
        </w:rPr>
        <w:t>存量</w:t>
      </w:r>
      <w:r>
        <w:rPr>
          <w:rFonts w:ascii="Arial" w:hAnsi="Arial"/>
          <w:sz w:val="21"/>
          <w:szCs w:val="28"/>
        </w:rPr>
        <w:t>房对刚需客户分流明显</w:t>
      </w:r>
      <w:r>
        <w:rPr>
          <w:rFonts w:hint="eastAsia" w:ascii="Arial" w:hAnsi="Arial"/>
          <w:sz w:val="21"/>
          <w:szCs w:val="28"/>
        </w:rPr>
        <w:t>。</w:t>
      </w:r>
    </w:p>
    <w:p w14:paraId="7FC694B5">
      <w:pPr>
        <w:overflowPunct w:val="0"/>
        <w:spacing w:line="480" w:lineRule="auto"/>
        <w:ind w:firstLine="420" w:firstLineChars="200"/>
        <w:jc w:val="both"/>
        <w:textAlignment w:val="auto"/>
        <w:rPr>
          <w:rFonts w:ascii="Arial" w:hAnsi="Arial"/>
          <w:sz w:val="21"/>
          <w:szCs w:val="28"/>
        </w:rPr>
      </w:pPr>
      <w:r>
        <w:rPr>
          <w:rFonts w:ascii="Arial" w:hAnsi="Arial"/>
          <w:sz w:val="21"/>
          <w:szCs w:val="28"/>
        </w:rPr>
        <w:t>新房主力成交面积段上移，中高面积段占比大幅提升。2025年，北京商品住宅（不含保障房）中高面积成交套数占比升至71.5%，同比上升 4.2个百分点；中低面积段产品成交占比下滑4.0个百分点。细分来看，90-120平以及120-160平面积段产品成为北京商品住宅成交主力，成交套数占比分别为36.2%和27.6%。</w:t>
      </w:r>
    </w:p>
    <w:p w14:paraId="0043DC05">
      <w:pPr>
        <w:overflowPunct w:val="0"/>
        <w:spacing w:line="480" w:lineRule="auto"/>
        <w:jc w:val="center"/>
        <w:textAlignment w:val="auto"/>
      </w:pPr>
      <w:r>
        <w:drawing>
          <wp:inline distT="0" distB="0" distL="114300" distR="114300">
            <wp:extent cx="4409440" cy="3171190"/>
            <wp:effectExtent l="0" t="0" r="10160" b="13970"/>
            <wp:docPr id="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
                    <pic:cNvPicPr>
                      <a:picLocks noChangeAspect="1"/>
                    </pic:cNvPicPr>
                  </pic:nvPicPr>
                  <pic:blipFill>
                    <a:blip r:embed="rId41"/>
                    <a:stretch>
                      <a:fillRect/>
                    </a:stretch>
                  </pic:blipFill>
                  <pic:spPr>
                    <a:xfrm>
                      <a:off x="0" y="0"/>
                      <a:ext cx="4409440" cy="3171190"/>
                    </a:xfrm>
                    <a:prstGeom prst="rect">
                      <a:avLst/>
                    </a:prstGeom>
                    <a:noFill/>
                    <a:ln>
                      <a:noFill/>
                    </a:ln>
                  </pic:spPr>
                </pic:pic>
              </a:graphicData>
            </a:graphic>
          </wp:inline>
        </w:drawing>
      </w:r>
    </w:p>
    <w:p w14:paraId="465C4D76">
      <w:pPr>
        <w:overflowPunct w:val="0"/>
        <w:spacing w:line="480" w:lineRule="auto"/>
        <w:ind w:firstLine="420" w:firstLineChars="200"/>
        <w:jc w:val="both"/>
        <w:textAlignment w:val="auto"/>
        <w:rPr>
          <w:rFonts w:ascii="Arial" w:hAnsi="Arial"/>
          <w:sz w:val="21"/>
          <w:szCs w:val="28"/>
        </w:rPr>
      </w:pPr>
      <w:r>
        <w:rPr>
          <w:rFonts w:ascii="Arial" w:hAnsi="Arial"/>
          <w:sz w:val="21"/>
          <w:szCs w:val="28"/>
        </w:rPr>
        <w:t>高价位段产品占比提升，中高价位段产品占比保持平稳。2025年，在海淀、朝阳等高端项目带动下，高价位段产品成交占比提升3.6个百分点至14.4%；中高价位段产品占比保持平稳，而中低价位段产品占比进一步下滑至39.3%</w:t>
      </w:r>
      <w:r>
        <w:rPr>
          <w:rFonts w:hint="eastAsia" w:ascii="Arial" w:hAnsi="Arial"/>
          <w:sz w:val="21"/>
          <w:szCs w:val="28"/>
        </w:rPr>
        <w:t>。</w:t>
      </w:r>
    </w:p>
    <w:p w14:paraId="5E1470B3">
      <w:pPr>
        <w:overflowPunct w:val="0"/>
        <w:spacing w:line="480" w:lineRule="auto"/>
        <w:ind w:firstLine="480" w:firstLineChars="200"/>
        <w:jc w:val="center"/>
        <w:textAlignment w:val="auto"/>
        <w:rPr>
          <w:rFonts w:ascii="Arial" w:hAnsi="Arial"/>
          <w:sz w:val="21"/>
          <w:szCs w:val="28"/>
        </w:rPr>
      </w:pPr>
      <w:r>
        <w:drawing>
          <wp:inline distT="0" distB="0" distL="114300" distR="114300">
            <wp:extent cx="5180965" cy="3104515"/>
            <wp:effectExtent l="0" t="0" r="635" b="4445"/>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pic:cNvPicPr>
                  </pic:nvPicPr>
                  <pic:blipFill>
                    <a:blip r:embed="rId42"/>
                    <a:stretch>
                      <a:fillRect/>
                    </a:stretch>
                  </pic:blipFill>
                  <pic:spPr>
                    <a:xfrm>
                      <a:off x="0" y="0"/>
                      <a:ext cx="5180965" cy="3104515"/>
                    </a:xfrm>
                    <a:prstGeom prst="rect">
                      <a:avLst/>
                    </a:prstGeom>
                    <a:noFill/>
                    <a:ln>
                      <a:noFill/>
                    </a:ln>
                  </pic:spPr>
                </pic:pic>
              </a:graphicData>
            </a:graphic>
          </wp:inline>
        </w:drawing>
      </w:r>
    </w:p>
    <w:p w14:paraId="51345A2B">
      <w:pPr>
        <w:overflowPunct w:val="0"/>
        <w:spacing w:line="480" w:lineRule="auto"/>
        <w:ind w:firstLine="420" w:firstLineChars="200"/>
        <w:textAlignment w:val="auto"/>
        <w:rPr>
          <w:rFonts w:ascii="Arial" w:hAnsi="Arial"/>
          <w:sz w:val="21"/>
        </w:rPr>
      </w:pPr>
      <w:r>
        <w:rPr>
          <w:rFonts w:hint="eastAsia" w:ascii="Arial" w:hAnsi="Arial"/>
          <w:sz w:val="21"/>
        </w:rPr>
        <w:t>3）区域成交</w:t>
      </w:r>
    </w:p>
    <w:p w14:paraId="607406F9">
      <w:pPr>
        <w:overflowPunct w:val="0"/>
        <w:spacing w:line="480" w:lineRule="auto"/>
        <w:ind w:firstLine="420" w:firstLineChars="200"/>
        <w:jc w:val="both"/>
        <w:textAlignment w:val="auto"/>
        <w:rPr>
          <w:rFonts w:ascii="Arial" w:hAnsi="Arial"/>
          <w:sz w:val="21"/>
          <w:szCs w:val="28"/>
        </w:rPr>
      </w:pPr>
      <w:r>
        <w:rPr>
          <w:rFonts w:ascii="Arial" w:hAnsi="Arial"/>
          <w:sz w:val="21"/>
          <w:szCs w:val="28"/>
        </w:rPr>
        <w:t>从区域成交规模来看，2025年中心城区</w:t>
      </w:r>
      <w:r>
        <w:rPr>
          <w:rFonts w:hint="eastAsia" w:ascii="Arial" w:hAnsi="Arial"/>
          <w:sz w:val="21"/>
          <w:szCs w:val="28"/>
        </w:rPr>
        <w:t>（含核心区）</w:t>
      </w:r>
      <w:r>
        <w:rPr>
          <w:rFonts w:ascii="Arial" w:hAnsi="Arial"/>
          <w:sz w:val="21"/>
          <w:szCs w:val="28"/>
        </w:rPr>
        <w:t>成交面积同比增长8%，占比提升6.6个百分点至41.9%。其中朝阳区成交规模超62万</w:t>
      </w:r>
      <w:r>
        <w:rPr>
          <w:rFonts w:hint="eastAsia" w:ascii="Arial" w:hAnsi="Arial"/>
          <w:sz w:val="21"/>
          <w:szCs w:val="28"/>
        </w:rPr>
        <w:t>平方米</w:t>
      </w:r>
      <w:r>
        <w:rPr>
          <w:rFonts w:ascii="Arial" w:hAnsi="Arial"/>
          <w:sz w:val="21"/>
          <w:szCs w:val="28"/>
        </w:rPr>
        <w:t>，居首位；在功德寺、朱房等项目带动下，海淀区成交规模同比大幅提升；近郊六区依然为北京新房成交主力区域，但成交面积同比下降20%，占比下滑至6.8个百分点至52.2%。在中建运河玖院、朝棠揽阅、长安华曦府等热点项目带动下，通州、门头沟同比增长。</w:t>
      </w:r>
    </w:p>
    <w:p w14:paraId="5E3C791D">
      <w:pPr>
        <w:overflowPunct w:val="0"/>
        <w:spacing w:line="480" w:lineRule="auto"/>
        <w:ind w:firstLine="420" w:firstLineChars="200"/>
        <w:jc w:val="both"/>
        <w:textAlignment w:val="auto"/>
        <w:rPr>
          <w:rFonts w:ascii="Arial" w:hAnsi="Arial"/>
          <w:sz w:val="21"/>
          <w:szCs w:val="28"/>
        </w:rPr>
      </w:pPr>
      <w:r>
        <w:rPr>
          <w:rFonts w:ascii="Arial" w:hAnsi="Arial"/>
          <w:sz w:val="21"/>
          <w:szCs w:val="28"/>
        </w:rPr>
        <w:t>从区域成交</w:t>
      </w:r>
      <w:r>
        <w:rPr>
          <w:rFonts w:hint="eastAsia" w:ascii="Arial" w:hAnsi="Arial"/>
          <w:sz w:val="21"/>
          <w:szCs w:val="28"/>
        </w:rPr>
        <w:t>价</w:t>
      </w:r>
      <w:r>
        <w:rPr>
          <w:rFonts w:ascii="Arial" w:hAnsi="Arial"/>
          <w:sz w:val="21"/>
          <w:szCs w:val="28"/>
        </w:rPr>
        <w:t>来看，2025年北京中心城区</w:t>
      </w:r>
      <w:r>
        <w:rPr>
          <w:rFonts w:hint="eastAsia" w:ascii="Arial" w:hAnsi="Arial"/>
          <w:sz w:val="21"/>
          <w:szCs w:val="28"/>
        </w:rPr>
        <w:t>（含核心区）</w:t>
      </w:r>
      <w:r>
        <w:rPr>
          <w:rFonts w:ascii="Arial" w:hAnsi="Arial"/>
          <w:sz w:val="21"/>
          <w:szCs w:val="28"/>
        </w:rPr>
        <w:t>成交均价为83430元/</w:t>
      </w:r>
      <w:r>
        <w:rPr>
          <w:rFonts w:hint="eastAsia" w:ascii="Arial" w:hAnsi="Arial"/>
          <w:sz w:val="21"/>
          <w:szCs w:val="28"/>
        </w:rPr>
        <w:t>平方米</w:t>
      </w:r>
      <w:r>
        <w:rPr>
          <w:rFonts w:ascii="Arial" w:hAnsi="Arial"/>
          <w:sz w:val="21"/>
          <w:szCs w:val="28"/>
        </w:rPr>
        <w:t>，同比基本持平，其中海淀、朝阳成交均价同比上涨；近郊六区成交均价同比保持平稳，通州区同比小幅上涨1%，其他区成交均价同比下跌。</w:t>
      </w:r>
    </w:p>
    <w:p w14:paraId="50FF34A3">
      <w:pPr>
        <w:tabs>
          <w:tab w:val="left" w:pos="426"/>
        </w:tabs>
        <w:overflowPunct w:val="0"/>
        <w:spacing w:line="480" w:lineRule="auto"/>
        <w:jc w:val="center"/>
        <w:textAlignment w:val="auto"/>
      </w:pPr>
      <w:r>
        <w:drawing>
          <wp:inline distT="0" distB="0" distL="114300" distR="114300">
            <wp:extent cx="5903595" cy="1983105"/>
            <wp:effectExtent l="0" t="0" r="9525" b="13335"/>
            <wp:docPr id="25" name="图片 16"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descr="222"/>
                    <pic:cNvPicPr>
                      <a:picLocks noChangeAspect="1"/>
                    </pic:cNvPicPr>
                  </pic:nvPicPr>
                  <pic:blipFill>
                    <a:blip r:embed="rId43"/>
                    <a:stretch>
                      <a:fillRect/>
                    </a:stretch>
                  </pic:blipFill>
                  <pic:spPr>
                    <a:xfrm>
                      <a:off x="0" y="0"/>
                      <a:ext cx="5903595" cy="1983105"/>
                    </a:xfrm>
                    <a:prstGeom prst="rect">
                      <a:avLst/>
                    </a:prstGeom>
                    <a:noFill/>
                    <a:ln>
                      <a:noFill/>
                    </a:ln>
                  </pic:spPr>
                </pic:pic>
              </a:graphicData>
            </a:graphic>
          </wp:inline>
        </w:drawing>
      </w:r>
    </w:p>
    <w:p w14:paraId="699328A7">
      <w:pPr>
        <w:widowControl/>
        <w:overflowPunct w:val="0"/>
        <w:adjustRightInd/>
        <w:spacing w:line="480" w:lineRule="auto"/>
        <w:ind w:firstLine="420" w:firstLineChars="200"/>
        <w:jc w:val="both"/>
        <w:textAlignment w:val="auto"/>
        <w:rPr>
          <w:rFonts w:ascii="Arial" w:hAnsi="Arial"/>
          <w:bCs/>
          <w:sz w:val="21"/>
          <w:szCs w:val="28"/>
        </w:rPr>
      </w:pPr>
      <w:r>
        <w:rPr>
          <w:rFonts w:hint="eastAsia" w:ascii="Arial" w:hAnsi="Arial"/>
          <w:bCs/>
          <w:sz w:val="21"/>
          <w:szCs w:val="28"/>
        </w:rPr>
        <w:t>（3）存量房住宅市场</w:t>
      </w:r>
    </w:p>
    <w:p w14:paraId="4D8B8DE5">
      <w:pPr>
        <w:overflowPunct w:val="0"/>
        <w:spacing w:line="480" w:lineRule="auto"/>
        <w:ind w:firstLine="420" w:firstLineChars="200"/>
        <w:jc w:val="both"/>
        <w:textAlignment w:val="auto"/>
        <w:rPr>
          <w:rFonts w:ascii="Arial" w:hAnsi="Arial"/>
          <w:sz w:val="21"/>
        </w:rPr>
      </w:pPr>
      <w:r>
        <w:rPr>
          <w:rFonts w:hint="eastAsia" w:ascii="Arial" w:hAnsi="Arial"/>
          <w:sz w:val="21"/>
        </w:rPr>
        <w:t>1）市场运行状况</w:t>
      </w:r>
    </w:p>
    <w:p w14:paraId="7DCF745D">
      <w:pPr>
        <w:tabs>
          <w:tab w:val="left" w:pos="426"/>
        </w:tabs>
        <w:overflowPunct w:val="0"/>
        <w:spacing w:line="480" w:lineRule="auto"/>
        <w:ind w:firstLine="420" w:firstLineChars="200"/>
        <w:jc w:val="both"/>
        <w:textAlignment w:val="auto"/>
        <w:rPr>
          <w:rFonts w:ascii="Arial" w:hAnsi="Arial"/>
          <w:sz w:val="21"/>
          <w:szCs w:val="28"/>
        </w:rPr>
      </w:pPr>
      <w:r>
        <w:rPr>
          <w:rFonts w:ascii="Arial" w:hAnsi="Arial"/>
          <w:sz w:val="21"/>
          <w:szCs w:val="28"/>
        </w:rPr>
        <w:t>2025年上半年，北京</w:t>
      </w:r>
      <w:r>
        <w:rPr>
          <w:rFonts w:hint="eastAsia" w:ascii="Arial" w:hAnsi="Arial"/>
          <w:sz w:val="21"/>
          <w:szCs w:val="28"/>
        </w:rPr>
        <w:t>存量</w:t>
      </w:r>
      <w:r>
        <w:rPr>
          <w:rFonts w:ascii="Arial" w:hAnsi="Arial"/>
          <w:sz w:val="21"/>
          <w:szCs w:val="28"/>
        </w:rPr>
        <w:t>商品住宅新增挂牌持续处于较高水平；下半年新增挂牌规模回落，9月新增挂牌升至下半年高位，四季度新增挂牌持续回落。5月以来累计挂牌量持续处于高位水平，</w:t>
      </w:r>
      <w:r>
        <w:rPr>
          <w:rFonts w:hint="eastAsia" w:ascii="Arial" w:hAnsi="Arial"/>
          <w:sz w:val="21"/>
          <w:szCs w:val="28"/>
        </w:rPr>
        <w:t>存量</w:t>
      </w:r>
      <w:r>
        <w:rPr>
          <w:rFonts w:ascii="Arial" w:hAnsi="Arial"/>
          <w:sz w:val="21"/>
          <w:szCs w:val="28"/>
        </w:rPr>
        <w:t>房市场明显供大于求。截止到2025年12月，北京</w:t>
      </w:r>
      <w:r>
        <w:rPr>
          <w:rFonts w:hint="eastAsia" w:ascii="Arial" w:hAnsi="Arial"/>
          <w:sz w:val="21"/>
          <w:szCs w:val="28"/>
        </w:rPr>
        <w:t>存量</w:t>
      </w:r>
      <w:r>
        <w:rPr>
          <w:rFonts w:ascii="Arial" w:hAnsi="Arial"/>
          <w:sz w:val="21"/>
          <w:szCs w:val="28"/>
        </w:rPr>
        <w:t>商品住宅存量挂牌套数为13.69万套，较年初增加8.5%</w:t>
      </w:r>
      <w:r>
        <w:rPr>
          <w:rFonts w:hint="eastAsia" w:ascii="Arial" w:hAnsi="Arial"/>
          <w:sz w:val="21"/>
          <w:szCs w:val="28"/>
        </w:rPr>
        <w:t>。</w:t>
      </w:r>
    </w:p>
    <w:p w14:paraId="1AAFFC63">
      <w:pPr>
        <w:tabs>
          <w:tab w:val="left" w:pos="426"/>
        </w:tabs>
        <w:overflowPunct w:val="0"/>
        <w:spacing w:line="480" w:lineRule="auto"/>
        <w:jc w:val="center"/>
        <w:textAlignment w:val="auto"/>
      </w:pPr>
      <w:r>
        <w:drawing>
          <wp:inline distT="0" distB="0" distL="114300" distR="114300">
            <wp:extent cx="5400040" cy="2840355"/>
            <wp:effectExtent l="0" t="0" r="10160" b="9525"/>
            <wp:docPr id="4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pic:cNvPicPr>
                      <a:picLocks noChangeAspect="1"/>
                    </pic:cNvPicPr>
                  </pic:nvPicPr>
                  <pic:blipFill>
                    <a:blip r:embed="rId44"/>
                    <a:stretch>
                      <a:fillRect/>
                    </a:stretch>
                  </pic:blipFill>
                  <pic:spPr>
                    <a:xfrm>
                      <a:off x="0" y="0"/>
                      <a:ext cx="5400040" cy="2840355"/>
                    </a:xfrm>
                    <a:prstGeom prst="rect">
                      <a:avLst/>
                    </a:prstGeom>
                    <a:noFill/>
                    <a:ln>
                      <a:noFill/>
                    </a:ln>
                  </pic:spPr>
                </pic:pic>
              </a:graphicData>
            </a:graphic>
          </wp:inline>
        </w:drawing>
      </w:r>
    </w:p>
    <w:p w14:paraId="6C722B51">
      <w:pPr>
        <w:overflowPunct w:val="0"/>
        <w:spacing w:line="480" w:lineRule="auto"/>
        <w:ind w:firstLine="420"/>
        <w:jc w:val="both"/>
        <w:textAlignment w:val="auto"/>
        <w:rPr>
          <w:rFonts w:ascii="Arial" w:hAnsi="Arial"/>
          <w:color w:val="000000"/>
          <w:sz w:val="21"/>
        </w:rPr>
      </w:pPr>
      <w:r>
        <w:rPr>
          <w:rFonts w:ascii="Arial" w:hAnsi="Arial"/>
          <w:color w:val="000000"/>
          <w:sz w:val="21"/>
        </w:rPr>
        <w:t>2025年，北京</w:t>
      </w:r>
      <w:r>
        <w:rPr>
          <w:rFonts w:hint="eastAsia" w:ascii="Arial" w:hAnsi="Arial"/>
          <w:color w:val="000000"/>
          <w:sz w:val="21"/>
        </w:rPr>
        <w:t>存量</w:t>
      </w:r>
      <w:r>
        <w:rPr>
          <w:rFonts w:ascii="Arial" w:hAnsi="Arial"/>
          <w:color w:val="000000"/>
          <w:sz w:val="21"/>
        </w:rPr>
        <w:t>房市场成交活跃，全年</w:t>
      </w:r>
      <w:r>
        <w:rPr>
          <w:rFonts w:hint="eastAsia" w:ascii="Arial" w:hAnsi="Arial"/>
          <w:color w:val="000000"/>
          <w:sz w:val="21"/>
        </w:rPr>
        <w:t>存量</w:t>
      </w:r>
      <w:r>
        <w:rPr>
          <w:rFonts w:ascii="Arial" w:hAnsi="Arial"/>
          <w:color w:val="000000"/>
          <w:sz w:val="21"/>
        </w:rPr>
        <w:t>商品住宅累计成交17.43万套，同比微降0.8%，连续两年成交超17万套。月度来看，上半年北京</w:t>
      </w:r>
      <w:r>
        <w:rPr>
          <w:rFonts w:hint="eastAsia" w:ascii="Arial" w:hAnsi="Arial"/>
          <w:color w:val="000000"/>
          <w:sz w:val="21"/>
        </w:rPr>
        <w:t>存量</w:t>
      </w:r>
      <w:r>
        <w:rPr>
          <w:rFonts w:ascii="Arial" w:hAnsi="Arial"/>
          <w:color w:val="000000"/>
          <w:sz w:val="21"/>
        </w:rPr>
        <w:t>房市场热度较高，下半年市场热度下滑，8.8楼市新政带动9月成交量回升；四季度</w:t>
      </w:r>
      <w:r>
        <w:rPr>
          <w:rFonts w:hint="eastAsia" w:ascii="Arial" w:hAnsi="Arial"/>
          <w:color w:val="000000"/>
          <w:sz w:val="21"/>
        </w:rPr>
        <w:t>存量</w:t>
      </w:r>
      <w:r>
        <w:rPr>
          <w:rFonts w:ascii="Arial" w:hAnsi="Arial"/>
          <w:color w:val="000000"/>
          <w:sz w:val="21"/>
        </w:rPr>
        <w:t>房市场热度再次回落，12月年底</w:t>
      </w:r>
      <w:r>
        <w:rPr>
          <w:rFonts w:hint="eastAsia" w:ascii="Arial" w:hAnsi="Arial"/>
          <w:color w:val="000000"/>
          <w:sz w:val="21"/>
        </w:rPr>
        <w:t>存量</w:t>
      </w:r>
      <w:r>
        <w:rPr>
          <w:rFonts w:ascii="Arial" w:hAnsi="Arial"/>
          <w:color w:val="000000"/>
          <w:sz w:val="21"/>
        </w:rPr>
        <w:t>房成交集中释放，叠加放松限购政策带动，1</w:t>
      </w:r>
      <w:r>
        <w:rPr>
          <w:rFonts w:hint="eastAsia" w:ascii="Arial" w:hAnsi="Arial"/>
          <w:color w:val="000000"/>
          <w:sz w:val="21"/>
        </w:rPr>
        <w:t>2</w:t>
      </w:r>
      <w:r>
        <w:rPr>
          <w:rFonts w:ascii="Arial" w:hAnsi="Arial"/>
          <w:color w:val="000000"/>
          <w:sz w:val="21"/>
        </w:rPr>
        <w:t>月市场迎来“翘尾”收官，成交17200套，创下全年第二高成交量（仅次于3月小阳春的1.9万套）。</w:t>
      </w:r>
    </w:p>
    <w:p w14:paraId="72F4BBF5">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从</w:t>
      </w:r>
      <w:r>
        <w:rPr>
          <w:rFonts w:ascii="Arial" w:hAnsi="Arial"/>
          <w:color w:val="000000"/>
          <w:sz w:val="21"/>
        </w:rPr>
        <w:t>成交价格</w:t>
      </w:r>
      <w:r>
        <w:rPr>
          <w:rFonts w:hint="eastAsia" w:ascii="Arial" w:hAnsi="Arial"/>
          <w:color w:val="000000"/>
          <w:sz w:val="21"/>
        </w:rPr>
        <w:t>看，存量</w:t>
      </w:r>
      <w:r>
        <w:rPr>
          <w:rFonts w:ascii="Arial" w:hAnsi="Arial"/>
          <w:color w:val="000000"/>
          <w:sz w:val="21"/>
        </w:rPr>
        <w:t>房市场持续呈现“以价换量”特征，2025年二季度以来市场热度回落，</w:t>
      </w:r>
      <w:r>
        <w:rPr>
          <w:rFonts w:hint="eastAsia" w:ascii="Arial" w:hAnsi="Arial"/>
          <w:color w:val="000000"/>
          <w:sz w:val="21"/>
        </w:rPr>
        <w:t>存量</w:t>
      </w:r>
      <w:r>
        <w:rPr>
          <w:rFonts w:ascii="Arial" w:hAnsi="Arial"/>
          <w:color w:val="000000"/>
          <w:sz w:val="21"/>
        </w:rPr>
        <w:t>住宅价格指数持续处于下跌通道，2025年北京</w:t>
      </w:r>
      <w:r>
        <w:rPr>
          <w:rFonts w:hint="eastAsia" w:ascii="Arial" w:hAnsi="Arial"/>
          <w:color w:val="000000"/>
          <w:sz w:val="21"/>
        </w:rPr>
        <w:t>存量</w:t>
      </w:r>
      <w:r>
        <w:rPr>
          <w:rFonts w:ascii="Arial" w:hAnsi="Arial"/>
          <w:color w:val="000000"/>
          <w:sz w:val="21"/>
        </w:rPr>
        <w:t>住宅价格指数累计下跌8.5%</w:t>
      </w:r>
      <w:r>
        <w:rPr>
          <w:rFonts w:hint="eastAsia" w:ascii="Arial" w:hAnsi="Arial"/>
          <w:color w:val="000000"/>
          <w:sz w:val="21"/>
        </w:rPr>
        <w:t>。</w:t>
      </w:r>
    </w:p>
    <w:p w14:paraId="31DB97D2">
      <w:pPr>
        <w:overflowPunct w:val="0"/>
        <w:spacing w:line="480" w:lineRule="auto"/>
        <w:jc w:val="center"/>
        <w:textAlignment w:val="auto"/>
        <w:rPr>
          <w:rFonts w:ascii="Arial" w:hAnsi="Arial"/>
          <w:color w:val="000000"/>
          <w:sz w:val="21"/>
        </w:rPr>
      </w:pPr>
      <w:r>
        <w:drawing>
          <wp:inline distT="0" distB="0" distL="114300" distR="114300">
            <wp:extent cx="5908040" cy="1624330"/>
            <wp:effectExtent l="0" t="0" r="5080" b="6350"/>
            <wp:docPr id="4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8"/>
                    <pic:cNvPicPr>
                      <a:picLocks noChangeAspect="1"/>
                    </pic:cNvPicPr>
                  </pic:nvPicPr>
                  <pic:blipFill>
                    <a:blip r:embed="rId45"/>
                    <a:stretch>
                      <a:fillRect/>
                    </a:stretch>
                  </pic:blipFill>
                  <pic:spPr>
                    <a:xfrm>
                      <a:off x="0" y="0"/>
                      <a:ext cx="5908040" cy="1624330"/>
                    </a:xfrm>
                    <a:prstGeom prst="rect">
                      <a:avLst/>
                    </a:prstGeom>
                    <a:noFill/>
                    <a:ln>
                      <a:noFill/>
                    </a:ln>
                  </pic:spPr>
                </pic:pic>
              </a:graphicData>
            </a:graphic>
          </wp:inline>
        </w:drawing>
      </w:r>
    </w:p>
    <w:p w14:paraId="505C29D5">
      <w:pPr>
        <w:overflowPunct w:val="0"/>
        <w:spacing w:line="480" w:lineRule="auto"/>
        <w:ind w:firstLine="420" w:firstLineChars="200"/>
        <w:jc w:val="both"/>
        <w:textAlignment w:val="auto"/>
        <w:rPr>
          <w:rFonts w:ascii="Arial" w:hAnsi="Arial"/>
          <w:sz w:val="21"/>
        </w:rPr>
      </w:pPr>
      <w:r>
        <w:rPr>
          <w:rFonts w:hint="eastAsia" w:ascii="Arial" w:hAnsi="Arial"/>
          <w:sz w:val="21"/>
        </w:rPr>
        <w:t>2）各区县统计</w:t>
      </w:r>
    </w:p>
    <w:p w14:paraId="7ABDA259">
      <w:pPr>
        <w:overflowPunct w:val="0"/>
        <w:spacing w:line="480" w:lineRule="auto"/>
        <w:ind w:firstLine="420"/>
        <w:jc w:val="both"/>
        <w:textAlignment w:val="auto"/>
        <w:rPr>
          <w:rFonts w:ascii="Arial" w:hAnsi="Arial"/>
          <w:color w:val="000000"/>
          <w:sz w:val="21"/>
        </w:rPr>
      </w:pPr>
      <w:bookmarkStart w:id="60" w:name="OLE_LINK9"/>
      <w:bookmarkStart w:id="61" w:name="OLE_LINK8"/>
      <w:r>
        <w:rPr>
          <w:rFonts w:ascii="Arial" w:hAnsi="Arial"/>
          <w:color w:val="000000"/>
          <w:sz w:val="21"/>
        </w:rPr>
        <w:t>分区域来看，</w:t>
      </w:r>
      <w:r>
        <w:rPr>
          <w:rFonts w:hint="eastAsia" w:ascii="Arial" w:hAnsi="Arial"/>
          <w:color w:val="000000"/>
          <w:sz w:val="21"/>
        </w:rPr>
        <w:t>2025年</w:t>
      </w:r>
      <w:r>
        <w:rPr>
          <w:rFonts w:ascii="Arial" w:hAnsi="Arial"/>
          <w:color w:val="000000"/>
          <w:sz w:val="21"/>
        </w:rPr>
        <w:t>朝阳区成交量达378万平方米，居各区首位；海淀、丰台、昌平、大兴、</w:t>
      </w:r>
      <w:r>
        <w:rPr>
          <w:rFonts w:hint="eastAsia" w:ascii="Arial" w:hAnsi="Arial"/>
          <w:color w:val="000000"/>
          <w:sz w:val="21"/>
        </w:rPr>
        <w:t>通州存量</w:t>
      </w:r>
      <w:r>
        <w:rPr>
          <w:rFonts w:ascii="Arial" w:hAnsi="Arial"/>
          <w:color w:val="000000"/>
          <w:sz w:val="21"/>
        </w:rPr>
        <w:t>房市场比较活跃，成交面积均超过100万平方米；同比来看，中心城区、近郊区、远郊区</w:t>
      </w:r>
      <w:r>
        <w:rPr>
          <w:rFonts w:hint="eastAsia" w:ascii="Arial" w:hAnsi="Arial"/>
          <w:color w:val="000000"/>
          <w:sz w:val="21"/>
        </w:rPr>
        <w:t>存量</w:t>
      </w:r>
      <w:r>
        <w:rPr>
          <w:rFonts w:ascii="Arial" w:hAnsi="Arial"/>
          <w:color w:val="000000"/>
          <w:sz w:val="21"/>
        </w:rPr>
        <w:t>房成交规模均同比下降。门头沟、通州、昌平</w:t>
      </w:r>
      <w:r>
        <w:rPr>
          <w:rFonts w:hint="eastAsia" w:ascii="Arial" w:hAnsi="Arial"/>
          <w:color w:val="000000"/>
          <w:sz w:val="21"/>
        </w:rPr>
        <w:t>存量</w:t>
      </w:r>
      <w:r>
        <w:rPr>
          <w:rFonts w:ascii="Arial" w:hAnsi="Arial"/>
          <w:color w:val="000000"/>
          <w:sz w:val="21"/>
        </w:rPr>
        <w:t>房房价跌幅较大</w:t>
      </w:r>
      <w:r>
        <w:rPr>
          <w:rFonts w:hint="eastAsia" w:ascii="Arial" w:hAnsi="Arial"/>
          <w:color w:val="000000"/>
          <w:sz w:val="21"/>
        </w:rPr>
        <w:t>。</w:t>
      </w:r>
    </w:p>
    <w:p w14:paraId="580A2598">
      <w:pPr>
        <w:overflowPunct w:val="0"/>
        <w:spacing w:line="480" w:lineRule="auto"/>
        <w:jc w:val="center"/>
        <w:textAlignment w:val="auto"/>
        <w:rPr>
          <w:rFonts w:ascii="Arial" w:hAnsi="Arial"/>
          <w:color w:val="000000"/>
          <w:sz w:val="21"/>
        </w:rPr>
      </w:pPr>
      <w:r>
        <w:drawing>
          <wp:inline distT="0" distB="0" distL="114300" distR="114300">
            <wp:extent cx="5219065" cy="6021070"/>
            <wp:effectExtent l="0" t="0" r="8255" b="13970"/>
            <wp:docPr id="41" name="图片 19"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9" descr="333"/>
                    <pic:cNvPicPr>
                      <a:picLocks noChangeAspect="1"/>
                    </pic:cNvPicPr>
                  </pic:nvPicPr>
                  <pic:blipFill>
                    <a:blip r:embed="rId46"/>
                    <a:stretch>
                      <a:fillRect/>
                    </a:stretch>
                  </pic:blipFill>
                  <pic:spPr>
                    <a:xfrm>
                      <a:off x="0" y="0"/>
                      <a:ext cx="5219065" cy="6021070"/>
                    </a:xfrm>
                    <a:prstGeom prst="rect">
                      <a:avLst/>
                    </a:prstGeom>
                    <a:noFill/>
                    <a:ln>
                      <a:noFill/>
                    </a:ln>
                  </pic:spPr>
                </pic:pic>
              </a:graphicData>
            </a:graphic>
          </wp:inline>
        </w:drawing>
      </w:r>
    </w:p>
    <w:p w14:paraId="18511C67">
      <w:pPr>
        <w:overflowPunct w:val="0"/>
        <w:spacing w:line="480" w:lineRule="auto"/>
        <w:ind w:firstLine="420"/>
        <w:jc w:val="both"/>
        <w:textAlignment w:val="auto"/>
        <w:rPr>
          <w:rFonts w:ascii="Arial" w:hAnsi="Arial"/>
          <w:color w:val="000000"/>
          <w:sz w:val="21"/>
        </w:rPr>
      </w:pPr>
      <w:r>
        <w:rPr>
          <w:rFonts w:ascii="Arial" w:hAnsi="Arial"/>
          <w:color w:val="000000"/>
          <w:sz w:val="21"/>
        </w:rPr>
        <w:t>整体来看，2025年</w:t>
      </w:r>
      <w:r>
        <w:rPr>
          <w:rFonts w:hint="eastAsia" w:ascii="Arial" w:hAnsi="Arial"/>
          <w:color w:val="000000"/>
          <w:sz w:val="21"/>
        </w:rPr>
        <w:t>，</w:t>
      </w:r>
      <w:r>
        <w:rPr>
          <w:rFonts w:ascii="Arial" w:hAnsi="Arial"/>
          <w:color w:val="000000"/>
          <w:sz w:val="21"/>
        </w:rPr>
        <w:t>北京商品住宅（新建+</w:t>
      </w:r>
      <w:r>
        <w:rPr>
          <w:rFonts w:hint="eastAsia" w:ascii="Arial" w:hAnsi="Arial"/>
          <w:color w:val="000000"/>
          <w:sz w:val="21"/>
        </w:rPr>
        <w:t>存量</w:t>
      </w:r>
      <w:r>
        <w:rPr>
          <w:rFonts w:ascii="Arial" w:hAnsi="Arial"/>
          <w:color w:val="000000"/>
          <w:sz w:val="21"/>
        </w:rPr>
        <w:t>）累计成交面积为2093.97万</w:t>
      </w:r>
      <w:r>
        <w:rPr>
          <w:rFonts w:hint="eastAsia" w:ascii="Arial" w:hAnsi="Arial"/>
          <w:color w:val="000000"/>
          <w:sz w:val="21"/>
        </w:rPr>
        <w:t>平方米</w:t>
      </w:r>
      <w:r>
        <w:rPr>
          <w:rFonts w:ascii="Arial" w:hAnsi="Arial"/>
          <w:color w:val="000000"/>
          <w:sz w:val="21"/>
        </w:rPr>
        <w:t>，同比下降3.8%。2023-2025年北京住宅市场累计成交规模位于2100万平方米左右，整体成交规模保持相对平稳。但市场分化明显，2022年以来新房市场表现相对较冷，新房成交规模呈现持续减少走势；而</w:t>
      </w:r>
      <w:r>
        <w:rPr>
          <w:rFonts w:hint="eastAsia" w:ascii="Arial" w:hAnsi="Arial"/>
          <w:color w:val="000000"/>
          <w:sz w:val="21"/>
        </w:rPr>
        <w:t>存量</w:t>
      </w:r>
      <w:r>
        <w:rPr>
          <w:rFonts w:ascii="Arial" w:hAnsi="Arial"/>
          <w:color w:val="000000"/>
          <w:sz w:val="21"/>
        </w:rPr>
        <w:t>房市场活跃度较高，近两年成交套数均超17万套。</w:t>
      </w:r>
    </w:p>
    <w:p w14:paraId="7ABB4945">
      <w:pPr>
        <w:overflowPunct w:val="0"/>
        <w:spacing w:line="480" w:lineRule="auto"/>
        <w:ind w:firstLine="420"/>
        <w:jc w:val="both"/>
        <w:textAlignment w:val="auto"/>
        <w:rPr>
          <w:rFonts w:ascii="Arial" w:hAnsi="Arial"/>
          <w:color w:val="000000"/>
          <w:sz w:val="21"/>
        </w:rPr>
      </w:pPr>
      <w:r>
        <w:rPr>
          <w:rFonts w:ascii="Arial" w:hAnsi="Arial"/>
          <w:color w:val="000000"/>
          <w:sz w:val="21"/>
        </w:rPr>
        <w:t>从</w:t>
      </w:r>
      <w:r>
        <w:rPr>
          <w:rFonts w:hint="eastAsia" w:ascii="Arial" w:hAnsi="Arial"/>
          <w:color w:val="000000"/>
          <w:sz w:val="21"/>
        </w:rPr>
        <w:t>存量</w:t>
      </w:r>
      <w:r>
        <w:rPr>
          <w:rFonts w:ascii="Arial" w:hAnsi="Arial"/>
          <w:color w:val="000000"/>
          <w:sz w:val="21"/>
        </w:rPr>
        <w:t>房成交占比来看，2022年以来</w:t>
      </w:r>
      <w:r>
        <w:rPr>
          <w:rFonts w:hint="eastAsia" w:ascii="Arial" w:hAnsi="Arial"/>
          <w:color w:val="000000"/>
          <w:sz w:val="21"/>
        </w:rPr>
        <w:t>存量</w:t>
      </w:r>
      <w:r>
        <w:rPr>
          <w:rFonts w:ascii="Arial" w:hAnsi="Arial"/>
          <w:color w:val="000000"/>
          <w:sz w:val="21"/>
        </w:rPr>
        <w:t>房成交占比呈现持续上升趋势，2025年占比上升至81%，再创历史新高水平，对新房市场形成明显的分流效应。</w:t>
      </w:r>
    </w:p>
    <w:p w14:paraId="7DF6E28F">
      <w:pPr>
        <w:overflowPunct w:val="0"/>
        <w:spacing w:line="480" w:lineRule="auto"/>
        <w:jc w:val="center"/>
        <w:textAlignment w:val="auto"/>
        <w:rPr>
          <w:rFonts w:ascii="Arial" w:hAnsi="Arial"/>
          <w:color w:val="000000"/>
          <w:sz w:val="21"/>
        </w:rPr>
      </w:pPr>
      <w:r>
        <w:drawing>
          <wp:inline distT="0" distB="0" distL="114300" distR="114300">
            <wp:extent cx="4572000" cy="2743200"/>
            <wp:effectExtent l="4445" t="4445" r="10795" b="10795"/>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35E89F4">
      <w:pPr>
        <w:overflowPunct w:val="0"/>
        <w:spacing w:line="480" w:lineRule="auto"/>
        <w:ind w:firstLine="420" w:firstLineChars="200"/>
        <w:jc w:val="both"/>
        <w:textAlignment w:val="auto"/>
        <w:rPr>
          <w:rFonts w:ascii="Arial" w:hAnsi="Arial"/>
          <w:color w:val="000000"/>
          <w:sz w:val="21"/>
          <w:szCs w:val="28"/>
        </w:rPr>
      </w:pPr>
      <w:r>
        <w:rPr>
          <w:rFonts w:hint="eastAsia" w:ascii="Arial" w:hAnsi="Arial"/>
          <w:color w:val="000000"/>
          <w:sz w:val="21"/>
          <w:szCs w:val="28"/>
        </w:rPr>
        <w:t>4.产业政策</w:t>
      </w:r>
    </w:p>
    <w:p w14:paraId="5CDF0ECF">
      <w:pPr>
        <w:overflowPunct w:val="0"/>
        <w:spacing w:line="480" w:lineRule="auto"/>
        <w:ind w:firstLine="420"/>
        <w:jc w:val="both"/>
        <w:textAlignment w:val="auto"/>
        <w:rPr>
          <w:rFonts w:ascii="Arial" w:hAnsi="Arial"/>
          <w:b/>
          <w:color w:val="000000"/>
          <w:sz w:val="21"/>
        </w:rPr>
      </w:pPr>
      <w:r>
        <w:rPr>
          <w:rFonts w:hint="eastAsia" w:ascii="Arial" w:hAnsi="Arial"/>
          <w:b/>
          <w:color w:val="000000"/>
          <w:sz w:val="21"/>
        </w:rPr>
        <w:t>全国：</w:t>
      </w:r>
    </w:p>
    <w:p w14:paraId="74480BBD">
      <w:pPr>
        <w:overflowPunct w:val="0"/>
        <w:spacing w:line="480" w:lineRule="auto"/>
        <w:ind w:firstLine="420"/>
        <w:jc w:val="both"/>
        <w:textAlignment w:val="auto"/>
        <w:rPr>
          <w:rFonts w:ascii="Arial" w:hAnsi="Arial"/>
          <w:color w:val="000000"/>
          <w:sz w:val="21"/>
        </w:rPr>
      </w:pPr>
      <w:r>
        <w:rPr>
          <w:rFonts w:ascii="Arial" w:hAnsi="Arial"/>
          <w:color w:val="000000"/>
          <w:sz w:val="21"/>
        </w:rPr>
        <w:t>202</w:t>
      </w:r>
      <w:r>
        <w:rPr>
          <w:rFonts w:hint="eastAsia" w:ascii="Arial" w:hAnsi="Arial"/>
          <w:color w:val="000000"/>
          <w:sz w:val="21"/>
        </w:rPr>
        <w:t>5</w:t>
      </w:r>
      <w:r>
        <w:rPr>
          <w:rFonts w:ascii="Arial" w:hAnsi="Arial"/>
          <w:color w:val="000000"/>
          <w:sz w:val="21"/>
        </w:rPr>
        <w:t>年3月</w:t>
      </w:r>
      <w:r>
        <w:rPr>
          <w:rFonts w:hint="eastAsia" w:ascii="Arial" w:hAnsi="Arial"/>
          <w:color w:val="000000"/>
          <w:sz w:val="21"/>
        </w:rPr>
        <w:t>5</w:t>
      </w:r>
      <w:r>
        <w:rPr>
          <w:rFonts w:ascii="Arial" w:hAnsi="Arial"/>
          <w:color w:val="000000"/>
          <w:sz w:val="21"/>
        </w:rPr>
        <w:t>日全国两会召开。关于房地产的定调，政府工作报告延续了去年底中央经济工作会议基调，</w:t>
      </w:r>
      <w:r>
        <w:rPr>
          <w:rFonts w:hint="eastAsia" w:ascii="Arial" w:hAnsi="Arial"/>
          <w:color w:val="000000"/>
          <w:sz w:val="21"/>
        </w:rPr>
        <w:t>在2025年政府工作任务“有效防范化解重点领域风险,牢牢守住不发生系统性风险底线”中确立了“持续用力推动房地产市场止跌回稳”的政策目标，并从需求不断加力、供给持续调整、风险防范化解和行业长远发展四个方面给出了大段论述。</w:t>
      </w:r>
    </w:p>
    <w:p w14:paraId="0AF74B1F">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2025年4月3日，</w:t>
      </w:r>
      <w:r>
        <w:rPr>
          <w:rFonts w:ascii="Arial" w:hAnsi="Arial"/>
          <w:color w:val="000000"/>
          <w:sz w:val="21"/>
        </w:rPr>
        <w:t>财政部办公厅</w:t>
      </w:r>
      <w:r>
        <w:rPr>
          <w:rFonts w:hint="eastAsia" w:ascii="Arial" w:hAnsi="Arial"/>
          <w:color w:val="000000"/>
          <w:sz w:val="21"/>
        </w:rPr>
        <w:t>、</w:t>
      </w:r>
      <w:r>
        <w:rPr>
          <w:rFonts w:ascii="Arial" w:hAnsi="Arial"/>
          <w:color w:val="000000"/>
          <w:sz w:val="21"/>
        </w:rPr>
        <w:t>住房城乡建设部办公厅</w:t>
      </w:r>
      <w:r>
        <w:rPr>
          <w:rFonts w:hint="eastAsia" w:ascii="Arial" w:hAnsi="Arial"/>
          <w:color w:val="000000"/>
          <w:sz w:val="21"/>
        </w:rPr>
        <w:t>联合发布</w:t>
      </w:r>
      <w:r>
        <w:rPr>
          <w:rFonts w:ascii="Arial" w:hAnsi="Arial"/>
          <w:color w:val="000000"/>
          <w:sz w:val="21"/>
        </w:rPr>
        <w:t>《关于开展2025年度中央财政支持实施城市更新行动的通知》</w:t>
      </w:r>
      <w:r>
        <w:rPr>
          <w:rFonts w:hint="eastAsia" w:ascii="Arial" w:hAnsi="Arial"/>
          <w:color w:val="000000"/>
          <w:sz w:val="21"/>
        </w:rPr>
        <w:t>。《通知》提出</w:t>
      </w:r>
      <w:r>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2个方向</w:t>
      </w:r>
      <w:r>
        <w:rPr>
          <w:rFonts w:hint="eastAsia" w:ascii="Arial" w:hAnsi="Arial"/>
          <w:color w:val="000000"/>
          <w:sz w:val="21"/>
        </w:rPr>
        <w:t>。</w:t>
      </w:r>
    </w:p>
    <w:p w14:paraId="4C09A8AC">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2025年4月25日</w:t>
      </w:r>
      <w:r>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适时降准降息，保持流动性充裕。会议指出，要持续用力防范化解重点领域风险；继续实施地方政府一揽子化债政策；加力实施城市更新行动，有力有序推进城中村和危旧房改造；加快构建房地产发展新 模式，加大高品质住房供给，优化存量商品房收购政策，持续巩固房地产市场稳定态势。</w:t>
      </w:r>
    </w:p>
    <w:p w14:paraId="2998A21B">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2025年5月15日，中共中央办公厅与国务院办公厅公开发布《关于持续推进城市更新行动的意见》。《意见》</w:t>
      </w:r>
      <w:r>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5F8FB48E">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2025年6月13日</w:t>
      </w:r>
      <w:r>
        <w:rPr>
          <w:rFonts w:ascii="Arial" w:hAnsi="Arial"/>
          <w:color w:val="000000"/>
          <w:sz w:val="21"/>
        </w:rPr>
        <w:t>国务院常务会议召开，其中重点部署了房地产相关政策，核心目标是</w:t>
      </w:r>
      <w:r>
        <w:rPr>
          <w:rFonts w:hint="eastAsia" w:ascii="Arial" w:hAnsi="Arial"/>
          <w:color w:val="000000"/>
          <w:sz w:val="21"/>
        </w:rPr>
        <w:t>“</w:t>
      </w:r>
      <w:r>
        <w:rPr>
          <w:rFonts w:ascii="Arial" w:hAnsi="Arial"/>
          <w:color w:val="000000"/>
          <w:sz w:val="21"/>
        </w:rPr>
        <w:t>更大力度推动房地产市场止跌回稳</w:t>
      </w:r>
      <w:r>
        <w:rPr>
          <w:rFonts w:hint="eastAsia" w:ascii="Arial" w:hAnsi="Arial"/>
          <w:color w:val="000000"/>
          <w:sz w:val="21"/>
        </w:rPr>
        <w:t>”</w:t>
      </w:r>
      <w:r>
        <w:rPr>
          <w:rFonts w:ascii="Arial" w:hAnsi="Arial"/>
          <w:color w:val="000000"/>
          <w:sz w:val="21"/>
        </w:rPr>
        <w:t>，并围绕构建房地产发展新模式、推进</w:t>
      </w:r>
      <w:r>
        <w:rPr>
          <w:rFonts w:hint="eastAsia" w:ascii="Arial" w:hAnsi="Arial"/>
          <w:color w:val="000000"/>
          <w:sz w:val="21"/>
        </w:rPr>
        <w:t>“好房子”</w:t>
      </w:r>
      <w:r>
        <w:rPr>
          <w:rFonts w:ascii="Arial" w:hAnsi="Arial"/>
          <w:color w:val="000000"/>
          <w:sz w:val="21"/>
        </w:rPr>
        <w:t>建设、盘活存量资源等方面提出具体措施。</w:t>
      </w:r>
    </w:p>
    <w:p w14:paraId="270EA81E">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2025年7月1</w:t>
      </w:r>
      <w:r>
        <w:rPr>
          <w:rFonts w:ascii="Arial" w:hAnsi="Arial"/>
          <w:color w:val="000000"/>
          <w:sz w:val="21"/>
        </w:rPr>
        <w:t>4日至</w:t>
      </w:r>
      <w:r>
        <w:rPr>
          <w:rFonts w:hint="eastAsia" w:ascii="Arial" w:hAnsi="Arial"/>
          <w:color w:val="000000"/>
          <w:sz w:val="21"/>
        </w:rPr>
        <w:t>1</w:t>
      </w:r>
      <w:r>
        <w:rPr>
          <w:rFonts w:ascii="Arial" w:hAnsi="Arial"/>
          <w:color w:val="000000"/>
          <w:sz w:val="21"/>
        </w:rPr>
        <w:t>5日</w:t>
      </w:r>
      <w:bookmarkStart w:id="62" w:name="OLE_LINK7"/>
      <w:r>
        <w:rPr>
          <w:rFonts w:ascii="Arial" w:hAnsi="Arial"/>
          <w:color w:val="000000"/>
          <w:sz w:val="21"/>
        </w:rPr>
        <w:t>中央城市工作会议</w:t>
      </w:r>
      <w:bookmarkEnd w:id="62"/>
      <w:r>
        <w:rPr>
          <w:rFonts w:ascii="Arial" w:hAnsi="Arial"/>
          <w:color w:val="000000"/>
          <w:sz w:val="21"/>
        </w:rPr>
        <w:t>在北京举行，部署城市工作7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Pr>
          <w:rFonts w:hint="eastAsia" w:ascii="Arial" w:hAnsi="Arial"/>
          <w:color w:val="000000"/>
          <w:sz w:val="21"/>
        </w:rPr>
        <w:t>。</w:t>
      </w:r>
    </w:p>
    <w:p w14:paraId="78545C63">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2025年7月16日，国务院公布《住房租赁条例》</w:t>
      </w:r>
      <w:r>
        <w:rPr>
          <w:rFonts w:ascii="Arial" w:hAnsi="Arial"/>
          <w:color w:val="000000"/>
          <w:sz w:val="21"/>
        </w:rPr>
        <w:t>。该条例旨在规范住房租赁活动，维护住房租赁活动当事人合法权益，稳定住房租赁关系，促进住房租赁市场高质量发展，推动加快建立租购并举的住房制度</w:t>
      </w:r>
      <w:r>
        <w:rPr>
          <w:rFonts w:hint="eastAsia" w:ascii="Arial" w:hAnsi="Arial"/>
          <w:color w:val="000000"/>
          <w:sz w:val="21"/>
        </w:rPr>
        <w:t>，《条例》</w:t>
      </w:r>
      <w:r>
        <w:rPr>
          <w:rFonts w:ascii="Arial" w:hAnsi="Arial"/>
          <w:color w:val="000000"/>
          <w:sz w:val="21"/>
        </w:rPr>
        <w:t>自2025年9月15日施行。</w:t>
      </w:r>
    </w:p>
    <w:p w14:paraId="57694BD5">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2025年8月28日，《中共中央 国务院关于推动城市高质量发展的意见》公开发布，</w:t>
      </w:r>
      <w:r>
        <w:rPr>
          <w:rFonts w:ascii="Arial" w:hAnsi="Arial"/>
          <w:color w:val="000000"/>
          <w:sz w:val="21"/>
        </w:rPr>
        <w:t>在城市发展正从大规模增量扩张阶段转向存量提质增效为主的阶段，为加快城市发展方式转型提出二十三条指导意见。其中， 第五条激活城市存量资源潜力，提出：全面摸清城市房屋、设施、土地等资产资源底数；改造利用老旧厂房、低效楼宇、闲置传统商业设施等存量房屋，建立与建筑功能转换和混合利用需求相适应的规划调整机制；加强和规范存量城市基础设施资产管理，提高运行效能；优化产权归集、整合、置换和登记政策，盘活利用存量低效用地。第八条系统推进“好房子”和完整社区建设，提出：加快构建房地产发展新模式，更好满足群众刚性和多样化改善性住房需求；全链条提升住房设计、建造、维护、服务水平，大力推进安全、舒适、绿色、智慧的“好房子”建设；实施物业服务质量提升行动；稳步推进城中村和危旧房改造，支持老旧住房自主更新、原拆原建；持续推动城镇老旧小区改造；坚持人口、产业、城镇、交通一体规划，建设创新型产业社区、商务社区；加快建设完整社区，完善城市社区嵌入式服务设施，构建城市便民生活圈；科学制定实施城市更新专项规划，一体化推进城市体检和城市更新，创造宜业、宜居、宜乐、宜游的良好城市环境，促进产城融合、职住平 衡。</w:t>
      </w:r>
    </w:p>
    <w:p w14:paraId="7D8F0C9B">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w:t>
      </w:r>
      <w:r>
        <w:rPr>
          <w:rFonts w:ascii="Arial" w:hAnsi="Arial"/>
          <w:color w:val="000000"/>
          <w:sz w:val="21"/>
        </w:rPr>
        <w:t>9月11日，《国务院关于全国部分地区要素市场化配置综合改革试点实施方案的批复》发布，同意自即日起2年内开展北京城市副中心等10个要素市场化配置综合改革试点。北京城市副中心试点范围包括通州区全域，关于土地要素，提出：探索土地管理制度改革；深化产业用地市场化改革；盘活存量土地和低效建设用地；健全城乡统一的建设用地市场。</w:t>
      </w:r>
    </w:p>
    <w:p w14:paraId="73E39B87">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w:t>
      </w:r>
      <w:r>
        <w:rPr>
          <w:rFonts w:ascii="Arial" w:hAnsi="Arial"/>
          <w:color w:val="000000"/>
          <w:sz w:val="21"/>
        </w:rPr>
        <w:t>10月20日至23日，中国共产党第二十届中央委员会第四次全体会议在北京召开，会议分析了当前形势和任务，强调坚决实现全年经济社会发展目标；着力稳就业、稳企业、稳市场、稳预期，稳住经济基本盘，巩固拓展经济回升向好势头；宏观政策要持续发力、适时加力，落实好企业帮扶政策，深入实施提振消费专项行动，兜牢基层“三保”底线，积极稳妥化解地方政府债务风险。明确提出要“推动房地产高质量发展”。</w:t>
      </w:r>
    </w:p>
    <w:p w14:paraId="7DD288BE">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2025年10月28日，</w:t>
      </w:r>
      <w:r>
        <w:rPr>
          <w:rFonts w:ascii="Arial" w:hAnsi="Arial"/>
          <w:color w:val="000000"/>
          <w:sz w:val="21"/>
        </w:rPr>
        <w:t>《中共中央关于制定国民经济和社会发展第十五个五年规划的建议》全文发布，</w:t>
      </w:r>
      <w:r>
        <w:rPr>
          <w:rFonts w:hint="eastAsia" w:ascii="Arial" w:hAnsi="Arial"/>
          <w:color w:val="000000"/>
          <w:sz w:val="21"/>
        </w:rPr>
        <w:t>关于房地产</w:t>
      </w:r>
      <w:r>
        <w:rPr>
          <w:rFonts w:ascii="Arial" w:hAnsi="Arial"/>
          <w:color w:val="000000"/>
          <w:sz w:val="21"/>
        </w:rPr>
        <w:t>提出：（1）加快完善要素市场化配置体制机制：促进各类要素资源高效配置，建立健全城乡统一的建设用地市场、功能完善的资本市场、流动顺畅的劳动力市场、转化高效的技术市场，完善并购、破产、置换等政策，盘活用好低效用地、闲置房产、存量基础设施，完善工商业用地使用权续期法律法规，依法稳妥推进续期工作；（</w:t>
      </w:r>
      <w:r>
        <w:rPr>
          <w:rFonts w:hint="eastAsia" w:ascii="Arial" w:hAnsi="Arial"/>
          <w:color w:val="000000"/>
          <w:sz w:val="21"/>
        </w:rPr>
        <w:t>2</w:t>
      </w:r>
      <w:r>
        <w:rPr>
          <w:rFonts w:ascii="Arial" w:hAnsi="Arial"/>
          <w:color w:val="000000"/>
          <w:sz w:val="21"/>
        </w:rPr>
        <w:t>）优化国土空间发展格局：赋予省级政府统筹建设用地更大自主权，探索实施建设用地总量按规划期管控模式，实行统筹存量和增量综合供地；（</w:t>
      </w:r>
      <w:r>
        <w:rPr>
          <w:rFonts w:hint="eastAsia" w:ascii="Arial" w:hAnsi="Arial"/>
          <w:color w:val="000000"/>
          <w:sz w:val="21"/>
        </w:rPr>
        <w:t>3</w:t>
      </w:r>
      <w:r>
        <w:rPr>
          <w:rFonts w:ascii="Arial" w:hAnsi="Arial"/>
          <w:color w:val="000000"/>
          <w:sz w:val="21"/>
        </w:rPr>
        <w:t>）坚持城市内涵式发展，大力实施城市更新，建设创新、宜居、美丽、韧性、文明、智慧的现代化人民城市；（</w:t>
      </w:r>
      <w:r>
        <w:rPr>
          <w:rFonts w:hint="eastAsia" w:ascii="Arial" w:hAnsi="Arial"/>
          <w:color w:val="000000"/>
          <w:sz w:val="21"/>
        </w:rPr>
        <w:t>4</w:t>
      </w:r>
      <w:r>
        <w:rPr>
          <w:rFonts w:ascii="Arial" w:hAnsi="Arial"/>
          <w:color w:val="000000"/>
          <w:sz w:val="21"/>
        </w:rPr>
        <w:t>）推动房地产高质量发展：加快构建房地产发展新模式，完善商品房开发、融资、销售等基础制度；优化保障性住房供给，满足城镇工薪群体和各类困难家庭基本住房需求；因城施策增加改善性住房供给；建设安全舒适绿色智慧的“好房子”，实施房屋品质提升工程和物业服务质量提升行动；建立房屋全生命周期安全管理制度；（</w:t>
      </w:r>
      <w:r>
        <w:rPr>
          <w:rFonts w:hint="eastAsia" w:ascii="Arial" w:hAnsi="Arial"/>
          <w:color w:val="000000"/>
          <w:sz w:val="21"/>
        </w:rPr>
        <w:t>5</w:t>
      </w:r>
      <w:r>
        <w:rPr>
          <w:rFonts w:ascii="Arial" w:hAnsi="Arial"/>
          <w:color w:val="000000"/>
          <w:sz w:val="21"/>
        </w:rPr>
        <w:t>）提高防范化解重点领域风险能力，统筹推进房地产、地方政府债务、中小金融机构等风险有序化解，严防系统性风险。</w:t>
      </w:r>
    </w:p>
    <w:p w14:paraId="10D4E739">
      <w:pPr>
        <w:overflowPunct w:val="0"/>
        <w:spacing w:line="480" w:lineRule="auto"/>
        <w:ind w:firstLine="420"/>
        <w:jc w:val="both"/>
        <w:textAlignment w:val="auto"/>
        <w:rPr>
          <w:rFonts w:ascii="Arial" w:hAnsi="Arial"/>
          <w:color w:val="000000"/>
          <w:sz w:val="21"/>
        </w:rPr>
      </w:pPr>
      <w:r>
        <w:rPr>
          <w:rFonts w:ascii="Arial" w:hAnsi="Arial"/>
          <w:color w:val="000000"/>
          <w:sz w:val="21"/>
        </w:rPr>
        <w:t>202</w:t>
      </w:r>
      <w:r>
        <w:rPr>
          <w:rFonts w:hint="eastAsia" w:ascii="Arial" w:hAnsi="Arial"/>
          <w:color w:val="000000"/>
          <w:sz w:val="21"/>
        </w:rPr>
        <w:t>5</w:t>
      </w:r>
      <w:r>
        <w:rPr>
          <w:rFonts w:ascii="Arial" w:hAnsi="Arial"/>
          <w:color w:val="000000"/>
          <w:sz w:val="21"/>
        </w:rPr>
        <w:t>年12月1</w:t>
      </w:r>
      <w:r>
        <w:rPr>
          <w:rFonts w:hint="eastAsia" w:ascii="Arial" w:hAnsi="Arial"/>
          <w:color w:val="000000"/>
          <w:sz w:val="21"/>
        </w:rPr>
        <w:t>0</w:t>
      </w:r>
      <w:r>
        <w:rPr>
          <w:rFonts w:ascii="Arial" w:hAnsi="Arial"/>
          <w:color w:val="000000"/>
          <w:sz w:val="21"/>
        </w:rPr>
        <w:t>日至1</w:t>
      </w:r>
      <w:r>
        <w:rPr>
          <w:rFonts w:hint="eastAsia" w:ascii="Arial" w:hAnsi="Arial"/>
          <w:color w:val="000000"/>
          <w:sz w:val="21"/>
        </w:rPr>
        <w:t>1</w:t>
      </w:r>
      <w:r>
        <w:rPr>
          <w:rFonts w:ascii="Arial" w:hAnsi="Arial"/>
          <w:color w:val="000000"/>
          <w:sz w:val="21"/>
        </w:rPr>
        <w:t>日，202</w:t>
      </w:r>
      <w:r>
        <w:rPr>
          <w:rFonts w:hint="eastAsia" w:ascii="Arial" w:hAnsi="Arial"/>
          <w:color w:val="000000"/>
          <w:sz w:val="21"/>
        </w:rPr>
        <w:t>5</w:t>
      </w:r>
      <w:r>
        <w:rPr>
          <w:rFonts w:ascii="Arial" w:hAnsi="Arial"/>
          <w:color w:val="000000"/>
          <w:sz w:val="21"/>
        </w:rPr>
        <w:t>年中央经济工作会议举行。会议总结202</w:t>
      </w:r>
      <w:r>
        <w:rPr>
          <w:rFonts w:hint="eastAsia" w:ascii="Arial" w:hAnsi="Arial"/>
          <w:color w:val="000000"/>
          <w:sz w:val="21"/>
        </w:rPr>
        <w:t>5</w:t>
      </w:r>
      <w:r>
        <w:rPr>
          <w:rFonts w:ascii="Arial" w:hAnsi="Arial"/>
          <w:color w:val="000000"/>
          <w:sz w:val="21"/>
        </w:rPr>
        <w:t>年经济工作，</w:t>
      </w:r>
      <w:r>
        <w:rPr>
          <w:rFonts w:hint="eastAsia" w:ascii="Arial" w:hAnsi="Arial"/>
          <w:color w:val="000000"/>
          <w:sz w:val="21"/>
        </w:rPr>
        <w:t>分析当前经济形势，部署2026年经济工作</w:t>
      </w:r>
      <w:r>
        <w:rPr>
          <w:rFonts w:ascii="Arial" w:hAnsi="Arial"/>
          <w:color w:val="000000"/>
          <w:sz w:val="21"/>
        </w:rPr>
        <w:t>。会议提出</w:t>
      </w:r>
      <w:r>
        <w:rPr>
          <w:rFonts w:hint="eastAsia" w:ascii="Arial" w:hAnsi="Arial"/>
          <w:color w:val="000000"/>
          <w:sz w:val="21"/>
        </w:rPr>
        <w:t>“着力稳定房地产市场，因城施策控增量、去库存、优供给，鼓励收购存量商品房重点用于保障性住房等。深化住房公积金制度改革，有序推动‘好房子’建设。加快构建房地产发展新模式</w:t>
      </w:r>
      <w:r>
        <w:rPr>
          <w:rFonts w:ascii="Arial" w:hAnsi="Arial"/>
          <w:color w:val="000000"/>
          <w:sz w:val="21"/>
        </w:rPr>
        <w:t>。</w:t>
      </w:r>
      <w:r>
        <w:rPr>
          <w:rFonts w:hint="eastAsia" w:ascii="Arial" w:hAnsi="Arial"/>
          <w:color w:val="000000"/>
          <w:sz w:val="21"/>
        </w:rPr>
        <w:t>”</w:t>
      </w:r>
      <w:r>
        <w:rPr>
          <w:rFonts w:ascii="Arial" w:hAnsi="Arial"/>
          <w:color w:val="000000"/>
          <w:sz w:val="21"/>
        </w:rPr>
        <w:t>可以预见，房地产行业的发展潜力和空间依然巨大，中国城市房地产大规模增量扩张的时代已经结束，存量提质增效的新阶段已然开启，房地产行业的未来增长，不再局限于新建开发，而是更多来自存量资产的精细化运营、物业服务的品质升级、租赁市场的规范发展等多元赛道。</w:t>
      </w:r>
    </w:p>
    <w:p w14:paraId="52B73578">
      <w:pPr>
        <w:overflowPunct w:val="0"/>
        <w:spacing w:line="480" w:lineRule="auto"/>
        <w:ind w:firstLine="420"/>
        <w:jc w:val="both"/>
        <w:textAlignment w:val="auto"/>
        <w:rPr>
          <w:rFonts w:ascii="Arial" w:hAnsi="Arial"/>
          <w:color w:val="000000"/>
          <w:sz w:val="21"/>
        </w:rPr>
      </w:pPr>
      <w:r>
        <w:rPr>
          <w:rFonts w:ascii="Arial" w:hAnsi="Arial"/>
          <w:color w:val="000000"/>
          <w:sz w:val="21"/>
        </w:rPr>
        <w:t>202</w:t>
      </w:r>
      <w:r>
        <w:rPr>
          <w:rFonts w:hint="eastAsia" w:ascii="Arial" w:hAnsi="Arial"/>
          <w:color w:val="000000"/>
          <w:sz w:val="21"/>
        </w:rPr>
        <w:t>5</w:t>
      </w:r>
      <w:r>
        <w:rPr>
          <w:rFonts w:ascii="Arial" w:hAnsi="Arial"/>
          <w:color w:val="000000"/>
          <w:sz w:val="21"/>
        </w:rPr>
        <w:t>年12月2</w:t>
      </w:r>
      <w:r>
        <w:rPr>
          <w:rFonts w:hint="eastAsia" w:ascii="Arial" w:hAnsi="Arial"/>
          <w:color w:val="000000"/>
          <w:sz w:val="21"/>
        </w:rPr>
        <w:t>2</w:t>
      </w:r>
      <w:r>
        <w:rPr>
          <w:rFonts w:ascii="Arial" w:hAnsi="Arial"/>
          <w:color w:val="000000"/>
          <w:sz w:val="21"/>
        </w:rPr>
        <w:t>日至2</w:t>
      </w:r>
      <w:r>
        <w:rPr>
          <w:rFonts w:hint="eastAsia" w:ascii="Arial" w:hAnsi="Arial"/>
          <w:color w:val="000000"/>
          <w:sz w:val="21"/>
        </w:rPr>
        <w:t>3</w:t>
      </w:r>
      <w:r>
        <w:rPr>
          <w:rFonts w:ascii="Arial" w:hAnsi="Arial"/>
          <w:color w:val="000000"/>
          <w:sz w:val="21"/>
        </w:rPr>
        <w:t>日，全国住房城乡建设工作会议在北京召开。会议</w:t>
      </w:r>
      <w:r>
        <w:rPr>
          <w:rFonts w:hint="eastAsia" w:ascii="Arial" w:hAnsi="Arial"/>
          <w:color w:val="000000"/>
          <w:sz w:val="21"/>
        </w:rPr>
        <w:t>全面盘点2025年工作，系统总结“十四五”时期住房城乡建设事业发展成就，研究部署“十五五”时期和2026年重点任务</w:t>
      </w:r>
      <w:r>
        <w:rPr>
          <w:rFonts w:ascii="Arial" w:hAnsi="Arial"/>
          <w:color w:val="000000"/>
          <w:sz w:val="21"/>
        </w:rPr>
        <w:t>。会议强调，202</w:t>
      </w:r>
      <w:r>
        <w:rPr>
          <w:rFonts w:hint="eastAsia" w:ascii="Arial" w:hAnsi="Arial"/>
          <w:color w:val="000000"/>
          <w:sz w:val="21"/>
        </w:rPr>
        <w:t>6</w:t>
      </w:r>
      <w:r>
        <w:rPr>
          <w:rFonts w:ascii="Arial" w:hAnsi="Arial"/>
          <w:color w:val="000000"/>
          <w:sz w:val="21"/>
        </w:rPr>
        <w:t>年的工作要重点抓好</w:t>
      </w:r>
      <w:r>
        <w:rPr>
          <w:rFonts w:hint="eastAsia" w:ascii="Arial" w:hAnsi="Arial"/>
          <w:color w:val="000000"/>
          <w:sz w:val="21"/>
        </w:rPr>
        <w:t>4</w:t>
      </w:r>
      <w:r>
        <w:rPr>
          <w:rFonts w:ascii="Arial" w:hAnsi="Arial"/>
          <w:color w:val="000000"/>
          <w:sz w:val="21"/>
        </w:rPr>
        <w:t>个方面工作。一、</w:t>
      </w:r>
      <w:r>
        <w:rPr>
          <w:rFonts w:hint="eastAsia" w:ascii="Arial" w:hAnsi="Arial"/>
          <w:color w:val="000000"/>
          <w:sz w:val="21"/>
        </w:rPr>
        <w:t>推进现代化人民城市建设，重点是：高质量开展城市更新，编制实施“十五五”城市更新专项规划，抓好城市体检、更新试点，实施一批民生工程、发展工程、安全工程。</w:t>
      </w:r>
      <w:r>
        <w:rPr>
          <w:rFonts w:ascii="Arial" w:hAnsi="Arial"/>
          <w:color w:val="000000"/>
          <w:sz w:val="21"/>
        </w:rPr>
        <w:t>二、</w:t>
      </w:r>
      <w:r>
        <w:rPr>
          <w:rFonts w:hint="eastAsia" w:ascii="Arial" w:hAnsi="Arial"/>
          <w:color w:val="000000"/>
          <w:sz w:val="21"/>
        </w:rPr>
        <w:t>着力稳定房地产市场，重点是：因城施策控增量、去库存、优供给，结合城市更新、城中村改造盘活利用存量用地，推动收购存量商品房用作保障性住房、安置房、宿舍、人才房等。优化和精准实施保障性住房供应，实施房屋品质提升工程，有序推进“好房子”建设；进一步发挥房地产项目“白名单”制度作用，支持房地产企业合理融资需求</w:t>
      </w:r>
      <w:r>
        <w:rPr>
          <w:rFonts w:ascii="Arial" w:hAnsi="Arial"/>
          <w:color w:val="000000"/>
          <w:sz w:val="21"/>
        </w:rPr>
        <w:t>。三、</w:t>
      </w:r>
      <w:r>
        <w:rPr>
          <w:rFonts w:hint="eastAsia" w:ascii="Arial" w:hAnsi="Arial"/>
          <w:color w:val="000000"/>
          <w:sz w:val="21"/>
        </w:rPr>
        <w:t>加快建筑业提质升级，重点是：推动产业转型升级，大力发展智能建造、绿色建造，培育现代化建筑产业链，加快新型建材研发应用，加快培育绿色建筑新增长点；规范建筑市场秩序，深入开展房屋和市政领域工程招标投标突出问题专项整治；强化现场监督管理，扎实推动安全生产治本攻坚三年行动，建立房屋全生命周期安全管理制度</w:t>
      </w:r>
      <w:r>
        <w:rPr>
          <w:rFonts w:ascii="Arial" w:hAnsi="Arial"/>
          <w:color w:val="000000"/>
          <w:sz w:val="21"/>
        </w:rPr>
        <w:t>。四、</w:t>
      </w:r>
      <w:r>
        <w:rPr>
          <w:rFonts w:hint="eastAsia" w:ascii="Arial" w:hAnsi="Arial"/>
          <w:color w:val="000000"/>
          <w:sz w:val="21"/>
        </w:rPr>
        <w:t>夯实高质量发展基础支撑，重点是：提升法治建设水平，完善标准体系，加快推出一批工作急需的工程建设标准。加强统计分析，推动优化现行统计指标，强化统计数据分析应用</w:t>
      </w:r>
      <w:r>
        <w:rPr>
          <w:rFonts w:ascii="Arial" w:hAnsi="Arial"/>
          <w:color w:val="000000"/>
          <w:sz w:val="21"/>
        </w:rPr>
        <w:t>。</w:t>
      </w:r>
    </w:p>
    <w:p w14:paraId="598B2C89">
      <w:pPr>
        <w:overflowPunct w:val="0"/>
        <w:spacing w:line="480" w:lineRule="auto"/>
        <w:ind w:firstLine="420"/>
        <w:jc w:val="both"/>
        <w:textAlignment w:val="auto"/>
        <w:rPr>
          <w:rFonts w:ascii="Arial" w:hAnsi="Arial"/>
          <w:b/>
          <w:color w:val="000000"/>
          <w:sz w:val="21"/>
        </w:rPr>
      </w:pPr>
      <w:r>
        <w:rPr>
          <w:rFonts w:hint="eastAsia" w:ascii="Arial" w:hAnsi="Arial"/>
          <w:b/>
          <w:color w:val="000000"/>
          <w:sz w:val="21"/>
        </w:rPr>
        <w:t>北京：</w:t>
      </w:r>
    </w:p>
    <w:p w14:paraId="4B386BD8">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2025年2月12日，</w:t>
      </w:r>
      <w:r>
        <w:rPr>
          <w:rFonts w:ascii="Arial" w:hAnsi="Arial"/>
          <w:color w:val="000000"/>
          <w:sz w:val="21"/>
        </w:rPr>
        <w:t>北京市规划和自然资源委员会发布</w:t>
      </w:r>
      <w:r>
        <w:rPr>
          <w:rFonts w:hint="eastAsia" w:ascii="Arial" w:hAnsi="Arial"/>
          <w:color w:val="000000"/>
          <w:sz w:val="21"/>
        </w:rPr>
        <w:t>《关于印发〈北京市平原多点地区“好房子”规划管理相关技术要点（试行）〉的通知》，</w:t>
      </w:r>
      <w:r>
        <w:rPr>
          <w:rFonts w:ascii="Arial" w:hAnsi="Arial"/>
          <w:color w:val="000000"/>
          <w:sz w:val="21"/>
        </w:rPr>
        <w:t>旨在提升住房品质，满足多样化居住需求。主要内容包括：允许按需设置封闭或开敞阳台，面积不超过套内建筑面积的10%；鼓励在140平方米以上住宅设置挑空空间；合理利用底层架空空间作为公共活动区域；设置开敞式风雨连廊以方便居民活动；增配邻里共享公共空间，提供便民服务；允许跨城市支路空间利用以优化布局；建筑高度可局部上浮以形成错落天际线；鼓励使用高品质材料提升立面品质。这些措施适用于顺义、大兴、亦庄、昌平、房山等平原多点地区，城市副中心可参照执行</w:t>
      </w:r>
      <w:r>
        <w:rPr>
          <w:rFonts w:hint="eastAsia" w:ascii="Arial" w:hAnsi="Arial"/>
          <w:color w:val="000000"/>
          <w:sz w:val="21"/>
        </w:rPr>
        <w:t>。</w:t>
      </w:r>
    </w:p>
    <w:p w14:paraId="4E8E22C5">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w:t>
      </w:r>
      <w:r>
        <w:rPr>
          <w:rFonts w:ascii="Arial" w:hAnsi="Arial"/>
          <w:color w:val="000000"/>
          <w:sz w:val="21"/>
        </w:rPr>
        <w:t>5月9日，北京市住房和城乡建设委员会</w:t>
      </w:r>
      <w:r>
        <w:rPr>
          <w:rFonts w:hint="eastAsia" w:ascii="Arial" w:hAnsi="Arial"/>
          <w:color w:val="000000"/>
          <w:sz w:val="21"/>
        </w:rPr>
        <w:t>发布</w:t>
      </w:r>
      <w:r>
        <w:rPr>
          <w:rFonts w:ascii="Arial" w:hAnsi="Arial"/>
          <w:color w:val="000000"/>
          <w:sz w:val="21"/>
        </w:rPr>
        <w:t>《关于印发</w:t>
      </w:r>
      <w:r>
        <w:rPr>
          <w:rFonts w:hint="eastAsia" w:ascii="Arial" w:hAnsi="Arial"/>
          <w:color w:val="000000"/>
          <w:sz w:val="21"/>
        </w:rPr>
        <w:t>〈</w:t>
      </w:r>
      <w:r>
        <w:rPr>
          <w:rFonts w:ascii="Arial" w:hAnsi="Arial"/>
          <w:color w:val="000000"/>
          <w:sz w:val="21"/>
        </w:rPr>
        <w:t>2025年北京市住房发展年度计划</w:t>
      </w:r>
      <w:r>
        <w:rPr>
          <w:rFonts w:hint="eastAsia" w:ascii="Arial" w:hAnsi="Arial"/>
          <w:color w:val="000000"/>
          <w:sz w:val="21"/>
        </w:rPr>
        <w:t>〉</w:t>
      </w:r>
      <w:r>
        <w:rPr>
          <w:rFonts w:ascii="Arial" w:hAnsi="Arial"/>
          <w:color w:val="000000"/>
          <w:sz w:val="21"/>
        </w:rPr>
        <w:t>的通知》</w:t>
      </w:r>
      <w:r>
        <w:rPr>
          <w:rFonts w:hint="eastAsia" w:ascii="Arial" w:hAnsi="Arial"/>
          <w:color w:val="000000"/>
          <w:sz w:val="21"/>
        </w:rPr>
        <w:t>。《通知》</w:t>
      </w:r>
      <w:r>
        <w:rPr>
          <w:rFonts w:ascii="Arial" w:hAnsi="Arial"/>
          <w:color w:val="000000"/>
          <w:sz w:val="21"/>
        </w:rPr>
        <w:t>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3DD8CF96">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2025年7月10日，北京市人民政府发布</w:t>
      </w:r>
      <w:r>
        <w:rPr>
          <w:rFonts w:ascii="Arial" w:hAnsi="Arial"/>
          <w:color w:val="000000"/>
          <w:sz w:val="21"/>
        </w:rPr>
        <w:t>《关于印发</w:t>
      </w:r>
      <w:r>
        <w:rPr>
          <w:rFonts w:hint="eastAsia" w:ascii="Arial" w:hAnsi="Arial"/>
          <w:color w:val="000000"/>
          <w:sz w:val="21"/>
        </w:rPr>
        <w:t>〈北京市深化改革提振消费专项行动方案〉</w:t>
      </w:r>
      <w:r>
        <w:rPr>
          <w:rFonts w:ascii="Arial" w:hAnsi="Arial"/>
          <w:color w:val="000000"/>
          <w:sz w:val="21"/>
        </w:rPr>
        <w:t>的通知》，提出共计24项具体方案。其中，</w:t>
      </w:r>
      <w:r>
        <w:rPr>
          <w:rFonts w:hint="eastAsia" w:ascii="Arial" w:hAnsi="Arial"/>
          <w:color w:val="000000"/>
          <w:sz w:val="21"/>
        </w:rPr>
        <w:t>第14项“</w:t>
      </w:r>
      <w:r>
        <w:rPr>
          <w:rFonts w:ascii="Arial" w:hAnsi="Arial"/>
          <w:color w:val="000000"/>
          <w:sz w:val="21"/>
        </w:rPr>
        <w:t>优化住房消费新供给</w:t>
      </w:r>
      <w:r>
        <w:rPr>
          <w:rFonts w:hint="eastAsia" w:ascii="Arial" w:hAnsi="Arial"/>
          <w:color w:val="000000"/>
          <w:sz w:val="21"/>
        </w:rPr>
        <w:t>”</w:t>
      </w:r>
      <w:r>
        <w:rPr>
          <w:rFonts w:ascii="Arial" w:hAnsi="Arial"/>
          <w:color w:val="000000"/>
          <w:sz w:val="21"/>
        </w:rPr>
        <w:t>：优先向轨道交通站点和就业密集地区 供应住宅用地，完善</w:t>
      </w:r>
      <w:r>
        <w:rPr>
          <w:rFonts w:hint="eastAsia" w:ascii="Arial" w:hAnsi="Arial"/>
          <w:color w:val="000000"/>
          <w:sz w:val="21"/>
        </w:rPr>
        <w:t>“</w:t>
      </w:r>
      <w:r>
        <w:rPr>
          <w:rFonts w:ascii="Arial" w:hAnsi="Arial"/>
          <w:color w:val="000000"/>
          <w:sz w:val="21"/>
        </w:rPr>
        <w:t>保障+市场</w:t>
      </w:r>
      <w:r>
        <w:rPr>
          <w:rFonts w:hint="eastAsia" w:ascii="Arial" w:hAnsi="Arial"/>
          <w:color w:val="000000"/>
          <w:sz w:val="21"/>
        </w:rPr>
        <w:t>”</w:t>
      </w:r>
      <w:r>
        <w:rPr>
          <w:rFonts w:ascii="Arial" w:hAnsi="Arial"/>
          <w:color w:val="000000"/>
          <w:sz w:val="21"/>
        </w:rPr>
        <w:t>住房供应体系。进一步发挥住房公积金促进作用，支持缴存人在提取公积 金支付购房首付款的同时申请住房公积金个人住房贷款。研究制定住房公积金个人住房贷款</w:t>
      </w:r>
      <w:r>
        <w:rPr>
          <w:rFonts w:hint="eastAsia" w:ascii="Arial" w:hAnsi="Arial"/>
          <w:color w:val="000000"/>
          <w:sz w:val="21"/>
        </w:rPr>
        <w:t>“</w:t>
      </w:r>
      <w:r>
        <w:rPr>
          <w:rFonts w:ascii="Arial" w:hAnsi="Arial"/>
          <w:color w:val="000000"/>
          <w:sz w:val="21"/>
        </w:rPr>
        <w:t>带押过户</w:t>
      </w:r>
      <w:r>
        <w:rPr>
          <w:rFonts w:hint="eastAsia" w:ascii="Arial" w:hAnsi="Arial"/>
          <w:color w:val="000000"/>
          <w:sz w:val="21"/>
        </w:rPr>
        <w:t>”</w:t>
      </w:r>
      <w:r>
        <w:rPr>
          <w:rFonts w:ascii="Arial" w:hAnsi="Arial"/>
          <w:color w:val="000000"/>
          <w:sz w:val="21"/>
        </w:rPr>
        <w:t>政策，并开展相关业务。</w:t>
      </w:r>
    </w:p>
    <w:p w14:paraId="41A0762C">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2025年8月8日，</w:t>
      </w:r>
      <w:r>
        <w:rPr>
          <w:rFonts w:ascii="Arial" w:hAnsi="Arial"/>
          <w:color w:val="000000"/>
          <w:sz w:val="21"/>
        </w:rPr>
        <w:t>北京市住房和城乡建设委员会、</w:t>
      </w:r>
      <w:r>
        <w:rPr>
          <w:rFonts w:hint="eastAsia" w:ascii="Arial" w:hAnsi="Arial"/>
          <w:color w:val="000000"/>
          <w:sz w:val="21"/>
        </w:rPr>
        <w:t>北京住房公积金管理中心</w:t>
      </w:r>
      <w:r>
        <w:rPr>
          <w:rFonts w:ascii="Arial" w:hAnsi="Arial"/>
          <w:color w:val="000000"/>
          <w:sz w:val="21"/>
        </w:rPr>
        <w:t>联合发布</w:t>
      </w:r>
      <w:r>
        <w:rPr>
          <w:rFonts w:hint="eastAsia" w:ascii="Arial" w:hAnsi="Arial"/>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2025年8月9日起正式施行。</w:t>
      </w:r>
    </w:p>
    <w:p w14:paraId="43E2572B">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w:t>
      </w:r>
      <w:r>
        <w:rPr>
          <w:rFonts w:ascii="Arial" w:hAnsi="Arial"/>
          <w:color w:val="000000"/>
          <w:sz w:val="21"/>
        </w:rPr>
        <w:t>9月29日，</w:t>
      </w:r>
      <w:r>
        <w:rPr>
          <w:rFonts w:hint="eastAsia" w:ascii="Arial" w:hAnsi="Arial"/>
          <w:color w:val="000000"/>
          <w:sz w:val="21"/>
        </w:rPr>
        <w:t>《</w:t>
      </w:r>
      <w:r>
        <w:rPr>
          <w:rFonts w:ascii="Arial" w:hAnsi="Arial"/>
          <w:color w:val="000000"/>
          <w:sz w:val="21"/>
        </w:rPr>
        <w:t>北京市人民政府印发</w:t>
      </w:r>
      <w:r>
        <w:rPr>
          <w:rFonts w:hint="eastAsia" w:ascii="Arial" w:hAnsi="Arial"/>
          <w:color w:val="000000"/>
          <w:sz w:val="21"/>
        </w:rPr>
        <w:t>〈北京市居住公共服务设施配置指标〉和〈北京市居住公共服务设施配置指标实施意见〉的通知》发布</w:t>
      </w:r>
      <w:r>
        <w:rPr>
          <w:rFonts w:ascii="Arial" w:hAnsi="Arial"/>
          <w:color w:val="000000"/>
          <w:sz w:val="21"/>
        </w:rPr>
        <w:t>，对2015年印发的文件进行了全面修订</w:t>
      </w:r>
      <w:r>
        <w:rPr>
          <w:rFonts w:hint="eastAsia" w:ascii="Arial" w:hAnsi="Arial"/>
          <w:color w:val="000000"/>
          <w:sz w:val="21"/>
        </w:rPr>
        <w:t>。《通知》</w:t>
      </w:r>
      <w:r>
        <w:rPr>
          <w:rFonts w:ascii="Arial" w:hAnsi="Arial"/>
          <w:color w:val="000000"/>
          <w:sz w:val="21"/>
        </w:rPr>
        <w:t>于2025年 12月1日起实施。鼓励空间复合利用，增设综合服务设施，将文体活动、党群服务设施指标统筹使用；增设托育设施和老幼服务用房，强化“一老一小”服务功能；调整了停车指标，电动自行车原则在地上停放；增加末端物流设施、垃圾分类收集设施；增设社区级商业设施</w:t>
      </w:r>
      <w:r>
        <w:rPr>
          <w:rFonts w:hint="eastAsia" w:ascii="Arial" w:hAnsi="Arial"/>
          <w:color w:val="000000"/>
          <w:sz w:val="21"/>
        </w:rPr>
        <w:t>。</w:t>
      </w:r>
    </w:p>
    <w:p w14:paraId="5D36D6A6">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2025年12月24日，北京市住房和城乡建设委员会、中国人民银行北京市分行、北京市发展和改革委员会和北京住房公积金管理中心联合发布《关于进一步优化调整本市房地产相关政策的通知》。《通知》</w:t>
      </w:r>
      <w:r>
        <w:rPr>
          <w:rFonts w:ascii="Arial" w:hAnsi="Arial"/>
          <w:color w:val="000000"/>
          <w:sz w:val="21"/>
        </w:rPr>
        <w:t>核心内容包括放宽非京籍购房条件、支持多子女家庭购房、优化信贷及公积金政策等，自发布当日施行</w:t>
      </w:r>
      <w:r>
        <w:rPr>
          <w:rFonts w:hint="eastAsia" w:ascii="Arial" w:hAnsi="Arial"/>
          <w:color w:val="000000"/>
          <w:sz w:val="21"/>
        </w:rPr>
        <w:t>。</w:t>
      </w:r>
    </w:p>
    <w:p w14:paraId="1BD589D4">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2025年12月31日，北京市规划和自然资源委员会和北京市住房和城乡建设委员会联合发布《关于印发〈北京市城市更新范围内无手续建筑认定处理指导意见（试行）〉的通知》，该文件</w:t>
      </w:r>
      <w:r>
        <w:rPr>
          <w:rFonts w:ascii="Arial" w:hAnsi="Arial"/>
          <w:color w:val="000000"/>
          <w:sz w:val="21"/>
        </w:rPr>
        <w:t>属于《北京市城市更新条例》配套政策文件，旨在推动化解城市更新范围内部分现状建筑物因历史原因形成的无手续或手续不完善问题，激励城市更新项目实施，进一步优化城市功能布局，促进存量空间资源提质增效，加快推进城市更新项目实施</w:t>
      </w:r>
      <w:r>
        <w:rPr>
          <w:rFonts w:hint="eastAsia" w:ascii="Arial" w:hAnsi="Arial"/>
          <w:color w:val="000000"/>
          <w:sz w:val="21"/>
        </w:rPr>
        <w:t>。</w:t>
      </w:r>
    </w:p>
    <w:bookmarkEnd w:id="60"/>
    <w:bookmarkEnd w:id="61"/>
    <w:p w14:paraId="6A155697">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5.未来市场预期</w:t>
      </w:r>
    </w:p>
    <w:p w14:paraId="4FA7D11F">
      <w:pPr>
        <w:overflowPunct w:val="0"/>
        <w:spacing w:line="480" w:lineRule="auto"/>
        <w:ind w:firstLine="420"/>
        <w:jc w:val="both"/>
        <w:textAlignment w:val="auto"/>
        <w:rPr>
          <w:rFonts w:ascii="Arial" w:hAnsi="Arial"/>
          <w:color w:val="000000"/>
          <w:sz w:val="21"/>
        </w:rPr>
      </w:pPr>
      <w:r>
        <w:rPr>
          <w:rFonts w:ascii="Arial" w:hAnsi="Arial"/>
          <w:color w:val="000000"/>
          <w:sz w:val="21"/>
        </w:rPr>
        <w:t>未来北京市住宅市场预计将呈现</w:t>
      </w:r>
      <w:r>
        <w:rPr>
          <w:rFonts w:hint="eastAsia" w:ascii="Arial" w:hAnsi="Arial"/>
          <w:color w:val="000000"/>
          <w:sz w:val="21"/>
        </w:rPr>
        <w:t>“</w:t>
      </w:r>
      <w:r>
        <w:rPr>
          <w:rFonts w:ascii="Arial" w:hAnsi="Arial"/>
          <w:color w:val="000000"/>
          <w:sz w:val="21"/>
        </w:rPr>
        <w:t>整体趋稳、内部分化、渐进转型</w:t>
      </w:r>
      <w:r>
        <w:rPr>
          <w:rFonts w:hint="eastAsia" w:ascii="Arial" w:hAnsi="Arial"/>
          <w:color w:val="000000"/>
          <w:sz w:val="21"/>
        </w:rPr>
        <w:t>”</w:t>
      </w:r>
      <w:r>
        <w:rPr>
          <w:rFonts w:ascii="Arial" w:hAnsi="Arial"/>
          <w:color w:val="000000"/>
          <w:sz w:val="21"/>
        </w:rPr>
        <w:t>的演变趋势。在中央“稳定预期、缩短调整”的定调下，北京政策将继续以渐进式优化为主。一方面，限购政策预计将进一步放松（如五环内政策优化），公积金支持力度有望加大，以降低购房门槛、释放改善性需求。另一方面，供给端将持续推进“好房子”建设，通过品质提升和空间创新推动住房供给侧改革，并完善“市场+保障”的供应体系。</w:t>
      </w:r>
      <w:r>
        <w:rPr>
          <w:rFonts w:hint="eastAsia" w:ascii="Arial" w:hAnsi="Arial"/>
          <w:color w:val="000000"/>
          <w:sz w:val="21"/>
        </w:rPr>
        <w:t>同时，</w:t>
      </w:r>
      <w:r>
        <w:rPr>
          <w:rFonts w:ascii="Arial" w:hAnsi="Arial"/>
          <w:color w:val="000000"/>
          <w:sz w:val="21"/>
        </w:rPr>
        <w:t>新房与</w:t>
      </w:r>
      <w:r>
        <w:rPr>
          <w:rFonts w:hint="eastAsia" w:ascii="Arial" w:hAnsi="Arial"/>
          <w:color w:val="000000"/>
          <w:sz w:val="21"/>
        </w:rPr>
        <w:t>存量</w:t>
      </w:r>
      <w:r>
        <w:rPr>
          <w:rFonts w:ascii="Arial" w:hAnsi="Arial"/>
          <w:color w:val="000000"/>
          <w:sz w:val="21"/>
        </w:rPr>
        <w:t>房分化将持续加剧。新房市场成交规模预计在低位波动，但核心区域优质改善项目凭借稀缺资源与产品力，将继续支撑价格结构性上涨，市场重心进一步向中高面积段、高总价产品集中。</w:t>
      </w:r>
      <w:r>
        <w:rPr>
          <w:rFonts w:hint="eastAsia" w:ascii="Arial" w:hAnsi="Arial"/>
          <w:color w:val="000000"/>
          <w:sz w:val="21"/>
        </w:rPr>
        <w:t>存量</w:t>
      </w:r>
      <w:r>
        <w:rPr>
          <w:rFonts w:ascii="Arial" w:hAnsi="Arial"/>
          <w:color w:val="000000"/>
          <w:sz w:val="21"/>
        </w:rPr>
        <w:t>房市场则继续承担市场交易主体角色，但“以价换量”态势难以扭转，价格仍面临下行压力，并对新房市场形成持续分流。土地市场热度分化显著，核心区优质地块受追捧，非核心区域多以底价成交，预示着未来住房供应将进一步向“高品质、好区位”倾斜。总体而言，北京住宅市场正从规模扩张转向品质与结构优化阶段，在政策托底与市场自发性调整的双重作用下，逐步向“量稳价稳、质升区异”的新发展模式过渡</w:t>
      </w:r>
      <w:r>
        <w:rPr>
          <w:rFonts w:hint="eastAsia" w:ascii="Arial" w:hAnsi="Arial"/>
          <w:color w:val="000000"/>
          <w:sz w:val="21"/>
        </w:rPr>
        <w:t>。</w:t>
      </w:r>
    </w:p>
    <w:p w14:paraId="740E6C2C">
      <w:pPr>
        <w:spacing w:line="360" w:lineRule="auto"/>
        <w:rPr>
          <w:rFonts w:ascii="Arial" w:hAnsi="Arial"/>
          <w:b/>
          <w:kern w:val="2"/>
          <w:sz w:val="21"/>
          <w:szCs w:val="21"/>
        </w:rPr>
      </w:pPr>
      <w:r>
        <w:rPr>
          <w:rFonts w:ascii="Arial" w:hAnsi="Arial"/>
          <w:b/>
          <w:kern w:val="2"/>
          <w:sz w:val="21"/>
          <w:szCs w:val="21"/>
        </w:rPr>
        <w:t>（二）估价对象所在区域相应用途房地产市场状况</w:t>
      </w:r>
    </w:p>
    <w:p w14:paraId="6858D2FC">
      <w:pPr>
        <w:widowControl/>
        <w:overflowPunct w:val="0"/>
        <w:adjustRightInd/>
        <w:spacing w:line="480" w:lineRule="auto"/>
        <w:ind w:firstLine="420" w:firstLineChars="200"/>
        <w:jc w:val="both"/>
        <w:textAlignment w:val="auto"/>
        <w:rPr>
          <w:rFonts w:ascii="Arial" w:hAnsi="Arial"/>
          <w:sz w:val="21"/>
          <w:szCs w:val="28"/>
        </w:rPr>
      </w:pPr>
      <w:r>
        <w:rPr>
          <w:rFonts w:hint="eastAsia" w:ascii="Arial" w:hAnsi="Arial"/>
          <w:sz w:val="21"/>
          <w:szCs w:val="28"/>
        </w:rPr>
        <w:t>1.区域概况</w:t>
      </w:r>
    </w:p>
    <w:p w14:paraId="32A30941">
      <w:pPr>
        <w:snapToGrid w:val="0"/>
        <w:spacing w:line="480" w:lineRule="auto"/>
        <w:ind w:firstLine="420" w:firstLineChars="200"/>
        <w:jc w:val="both"/>
        <w:rPr>
          <w:rFonts w:ascii="Arial" w:hAnsi="Arial"/>
          <w:bCs/>
          <w:sz w:val="21"/>
          <w:szCs w:val="28"/>
        </w:rPr>
      </w:pPr>
      <w:r>
        <w:rPr>
          <w:rFonts w:hint="eastAsia" w:ascii="Arial" w:hAnsi="Arial"/>
          <w:bCs/>
          <w:sz w:val="21"/>
          <w:szCs w:val="28"/>
        </w:rPr>
        <w:t>估价对象位于北京市</w:t>
      </w:r>
      <w:r>
        <w:rPr>
          <w:rFonts w:ascii="Arial" w:hAnsi="Arial"/>
          <w:bCs/>
          <w:sz w:val="21"/>
          <w:szCs w:val="28"/>
        </w:rPr>
        <w:t>大兴区，大兴区位于北京市南部，全区南北长42.70km，东西宽45.00km，大兴区总面积1036.33平方公里，下辖黄村、西红门、旧宫、亦庄、瀛海、青云店等 14 个镇和清源、兴丰等8个街道办事处。大兴区东临通州区，南临河北省固安县、霸州市等，西与房山区隔永定河为邻，北接丰台区、朝阳区。</w:t>
      </w:r>
    </w:p>
    <w:p w14:paraId="33A6D82F">
      <w:pPr>
        <w:snapToGrid w:val="0"/>
        <w:spacing w:line="480" w:lineRule="auto"/>
        <w:ind w:firstLine="420" w:firstLineChars="200"/>
        <w:jc w:val="both"/>
        <w:rPr>
          <w:rFonts w:ascii="Arial" w:hAnsi="Arial"/>
          <w:bCs/>
          <w:sz w:val="21"/>
          <w:szCs w:val="28"/>
        </w:rPr>
      </w:pPr>
      <w:r>
        <w:rPr>
          <w:rFonts w:hint="eastAsia" w:ascii="Arial" w:hAnsi="Arial"/>
          <w:bCs/>
          <w:sz w:val="21"/>
          <w:szCs w:val="28"/>
        </w:rPr>
        <w:t>初步核算，</w:t>
      </w:r>
      <w:r>
        <w:rPr>
          <w:rFonts w:ascii="Arial" w:hAnsi="Arial"/>
          <w:bCs/>
          <w:sz w:val="21"/>
          <w:szCs w:val="28"/>
        </w:rPr>
        <w:t>202</w:t>
      </w:r>
      <w:r>
        <w:rPr>
          <w:rFonts w:hint="eastAsia" w:ascii="Arial" w:hAnsi="Arial"/>
          <w:bCs/>
          <w:sz w:val="21"/>
          <w:szCs w:val="28"/>
        </w:rPr>
        <w:t>6</w:t>
      </w:r>
      <w:r>
        <w:rPr>
          <w:rFonts w:ascii="Arial" w:hAnsi="Arial"/>
          <w:bCs/>
          <w:sz w:val="21"/>
          <w:szCs w:val="28"/>
        </w:rPr>
        <w:t>年</w:t>
      </w:r>
      <w:r>
        <w:rPr>
          <w:rFonts w:hint="eastAsia" w:ascii="Arial" w:hAnsi="Arial"/>
          <w:bCs/>
          <w:sz w:val="21"/>
          <w:szCs w:val="28"/>
        </w:rPr>
        <w:t>1-3月，大兴区实现地区生产总值（GDP）同比增长5.6%，增速保持平稳。大兴区固定资产投资（不含农户）同比增长4.2%，房地产开发投资同比下降3.1%。社会消费品零售总额同比增长4.5%，消费需求稳步释放。2026年一季度，大兴区经济运行总体平稳。在固定资产投资中，非房地产开发投资增长强劲，有效对冲了房地产投资下滑的影响，显示出投资结构持续优化。消费、财政收入和居民收入均保持稳定增长，经济发展韧性进一步增强。</w:t>
      </w:r>
    </w:p>
    <w:p w14:paraId="22C04730">
      <w:pPr>
        <w:widowControl/>
        <w:overflowPunct w:val="0"/>
        <w:adjustRightInd/>
        <w:spacing w:line="480" w:lineRule="auto"/>
        <w:ind w:firstLine="420" w:firstLineChars="200"/>
        <w:jc w:val="both"/>
        <w:textAlignment w:val="auto"/>
        <w:rPr>
          <w:rFonts w:ascii="Arial" w:hAnsi="Arial"/>
          <w:sz w:val="21"/>
          <w:szCs w:val="28"/>
        </w:rPr>
      </w:pPr>
      <w:r>
        <w:rPr>
          <w:rFonts w:hint="eastAsia" w:ascii="Arial" w:hAnsi="Arial"/>
          <w:sz w:val="21"/>
          <w:szCs w:val="28"/>
        </w:rPr>
        <w:t>2.区域</w:t>
      </w:r>
      <w:r>
        <w:rPr>
          <w:rFonts w:ascii="Arial" w:hAnsi="Arial"/>
          <w:bCs/>
          <w:sz w:val="21"/>
          <w:szCs w:val="28"/>
        </w:rPr>
        <w:t>保障性租赁住房</w:t>
      </w:r>
      <w:r>
        <w:rPr>
          <w:rFonts w:hint="eastAsia" w:ascii="Arial" w:hAnsi="Arial"/>
          <w:sz w:val="21"/>
          <w:szCs w:val="28"/>
        </w:rPr>
        <w:t>房地产市场状况</w:t>
      </w:r>
    </w:p>
    <w:p w14:paraId="4577B42F">
      <w:pPr>
        <w:widowControl/>
        <w:overflowPunct w:val="0"/>
        <w:adjustRightInd/>
        <w:spacing w:line="480" w:lineRule="auto"/>
        <w:ind w:firstLine="420" w:firstLineChars="200"/>
        <w:jc w:val="both"/>
        <w:textAlignment w:val="auto"/>
        <w:rPr>
          <w:rFonts w:ascii="Arial" w:hAnsi="Arial"/>
          <w:bCs/>
          <w:sz w:val="21"/>
          <w:szCs w:val="28"/>
          <w:highlight w:val="yellow"/>
        </w:rPr>
      </w:pPr>
      <w:r>
        <w:rPr>
          <w:rFonts w:hint="eastAsia" w:ascii="Arial" w:hAnsi="Arial"/>
          <w:bCs/>
          <w:sz w:val="21"/>
          <w:szCs w:val="28"/>
        </w:rPr>
        <w:t>大兴区的保障性租赁住房市场处于快速发展、供需两旺、规范运营的阶段，已成为区域住房供应体系和房地产市场的重要组成部分。截至2026年第一季度，大兴区已累计筹集建设保障性租赁住房项目超过20个，可提供房源约3万套（间），供应量居全市前列，项目来源包括新建、改建、存量盘活等多种形式，其中利用集体经营性建设用地建设的项目是重要特色。房源主要分布在西红门镇、瀛海镇、黄村镇、生物医药基地、临空经济区等交通便利、产业聚集的区域，实现“职住平衡”。户型主要以20-50平方米的小户型、单间公寓为主，符合青年人需求。2026年计划新增筹集保租房约6000套，多个项目正在加快建设和认定中。</w:t>
      </w:r>
    </w:p>
    <w:p w14:paraId="1C484E50">
      <w:pPr>
        <w:spacing w:line="480" w:lineRule="auto"/>
        <w:ind w:firstLine="420" w:firstLineChars="200"/>
        <w:jc w:val="both"/>
        <w:rPr>
          <w:rFonts w:ascii="Arial" w:hAnsi="Arial"/>
          <w:sz w:val="21"/>
          <w:szCs w:val="28"/>
        </w:rPr>
      </w:pPr>
      <w:r>
        <w:rPr>
          <w:rFonts w:hint="eastAsia" w:ascii="Arial" w:hAnsi="Arial"/>
          <w:sz w:val="21"/>
          <w:szCs w:val="28"/>
        </w:rPr>
        <w:t>3.区域住宅用房房地产市场状况</w:t>
      </w:r>
    </w:p>
    <w:p w14:paraId="1CF1015F">
      <w:pPr>
        <w:spacing w:line="480" w:lineRule="auto"/>
        <w:ind w:firstLine="420" w:firstLineChars="200"/>
        <w:jc w:val="both"/>
        <w:rPr>
          <w:rFonts w:ascii="Arial" w:hAnsi="Arial"/>
          <w:sz w:val="21"/>
          <w:szCs w:val="28"/>
        </w:rPr>
      </w:pPr>
      <w:r>
        <w:rPr>
          <w:rFonts w:hint="eastAsia" w:ascii="Arial" w:hAnsi="Arial" w:cs="Arial"/>
          <w:kern w:val="2"/>
          <w:sz w:val="21"/>
          <w:szCs w:val="21"/>
        </w:rPr>
        <w:t>估价对象位于北京市大兴区，估价对象周边2公里内有车站中里小区、海悦公馆、海子角小区、物资局小区、义和庄东里、锦华园小区、兴水家园、漪景园、埝坛华庭等居住项目，居住小区规模适中，入住率较好，综合评价居住社区成熟度较好。</w:t>
      </w:r>
      <w:r>
        <w:rPr>
          <w:rFonts w:hint="eastAsia" w:ascii="Arial" w:hAnsi="Arial"/>
          <w:sz w:val="21"/>
          <w:szCs w:val="28"/>
        </w:rPr>
        <w:t>据调查，估价对象周边同类型住宅租金约为35-5</w:t>
      </w:r>
      <w:r>
        <w:rPr>
          <w:rFonts w:hint="eastAsia" w:ascii="Arial" w:hAnsi="Arial"/>
          <w:sz w:val="21"/>
          <w:szCs w:val="28"/>
          <w:lang w:val="en-US" w:eastAsia="zh-CN"/>
        </w:rPr>
        <w:t>5</w:t>
      </w:r>
      <w:r>
        <w:rPr>
          <w:rFonts w:hint="eastAsia" w:ascii="Arial" w:hAnsi="Arial"/>
          <w:sz w:val="21"/>
          <w:szCs w:val="28"/>
        </w:rPr>
        <w:t>元/平方米·月。</w:t>
      </w:r>
    </w:p>
    <w:p w14:paraId="64CE56BA">
      <w:pPr>
        <w:spacing w:line="480" w:lineRule="auto"/>
        <w:ind w:firstLine="420" w:firstLineChars="200"/>
        <w:jc w:val="both"/>
        <w:rPr>
          <w:rFonts w:ascii="Arial" w:hAnsi="Arial"/>
          <w:sz w:val="21"/>
          <w:szCs w:val="28"/>
        </w:rPr>
      </w:pPr>
    </w:p>
    <w:p w14:paraId="5AE206C5">
      <w:pPr>
        <w:pStyle w:val="3"/>
        <w:numPr>
          <w:ilvl w:val="0"/>
          <w:numId w:val="0"/>
        </w:numPr>
        <w:spacing w:line="480" w:lineRule="auto"/>
        <w:ind w:left="358" w:hanging="358" w:hangingChars="170"/>
        <w:jc w:val="both"/>
        <w:rPr>
          <w:rFonts w:eastAsia="宋体"/>
          <w:kern w:val="2"/>
          <w:sz w:val="21"/>
          <w:szCs w:val="21"/>
        </w:rPr>
      </w:pPr>
      <w:bookmarkStart w:id="63" w:name="_Toc155267105"/>
      <w:r>
        <w:rPr>
          <w:rFonts w:eastAsia="宋体"/>
          <w:kern w:val="2"/>
          <w:sz w:val="21"/>
          <w:szCs w:val="21"/>
        </w:rPr>
        <w:t>三、最高最佳利用分析</w:t>
      </w:r>
      <w:bookmarkEnd w:id="57"/>
      <w:bookmarkEnd w:id="63"/>
    </w:p>
    <w:p w14:paraId="2C2A8E4E">
      <w:pPr>
        <w:pStyle w:val="60"/>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所谓最高最佳使用是指房地产估价要以房地产的最高最佳使用为前提。最高最佳使用是估价对象的一种最可能的使用</w:t>
      </w:r>
      <w:r>
        <w:rPr>
          <w:rFonts w:hint="eastAsia" w:ascii="Arial" w:hAnsi="Arial" w:cs="Arial"/>
          <w:sz w:val="21"/>
          <w:szCs w:val="21"/>
        </w:rPr>
        <w:t>,</w:t>
      </w:r>
      <w:r>
        <w:rPr>
          <w:rFonts w:ascii="Arial" w:hAnsi="Arial" w:cs="Arial"/>
          <w:sz w:val="21"/>
          <w:szCs w:val="21"/>
        </w:rPr>
        <w:t>这种最可能的使用是法律上允许、技术上可能、经济上可行，经过充分合理的论证，并能给估价对象带来最高价值的使用。它主要体现在以下几个方面</w:t>
      </w:r>
      <w:r>
        <w:rPr>
          <w:rFonts w:hint="eastAsia" w:ascii="Arial" w:hAnsi="Arial" w:cs="Arial"/>
          <w:sz w:val="21"/>
          <w:szCs w:val="21"/>
        </w:rPr>
        <w:t>:</w:t>
      </w:r>
    </w:p>
    <w:p w14:paraId="77A21EE6">
      <w:pPr>
        <w:pStyle w:val="60"/>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（一）法律上允许</w:t>
      </w:r>
    </w:p>
    <w:p w14:paraId="21885238">
      <w:pPr>
        <w:pStyle w:val="60"/>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法律上允许即不受现时使用状况的限制，而依照法律规章、规划发展方向，按照其可能的最优用途进行估价。</w:t>
      </w:r>
    </w:p>
    <w:p w14:paraId="05C70125">
      <w:pPr>
        <w:pStyle w:val="60"/>
        <w:autoSpaceDE w:val="0"/>
        <w:autoSpaceDN w:val="0"/>
        <w:spacing w:line="480" w:lineRule="auto"/>
        <w:ind w:right="140" w:firstLine="420" w:firstLineChars="200"/>
        <w:jc w:val="both"/>
        <w:textAlignment w:val="bottom"/>
        <w:rPr>
          <w:rFonts w:ascii="Arial" w:hAnsi="Arial" w:cs="Arial"/>
          <w:sz w:val="21"/>
          <w:szCs w:val="21"/>
        </w:rPr>
      </w:pPr>
      <w:bookmarkStart w:id="64" w:name="_Hlk130232101"/>
      <w:r>
        <w:rPr>
          <w:rFonts w:hint="eastAsia" w:ascii="Arial" w:hAnsi="Arial" w:cs="Arial"/>
          <w:sz w:val="21"/>
          <w:szCs w:val="21"/>
        </w:rPr>
        <w:t>根据估价对象已取得《北京市大兴区住房和城乡建设委员会 关于向燕兴公司出售我区安置房剩余房源资产的请示》[京兴建文（2026）20号]及其附件、《北京市规划和自然资源委员会 大兴分局关于燕兴保障房公司保留原房屋产权性质有关意见的报告》[京规自兴文（2026）91号]、《北京市保障性住房收购合同》及其附件、</w:t>
      </w:r>
      <w:r>
        <w:rPr>
          <w:rFonts w:hint="eastAsia" w:ascii="Arial" w:hAnsi="Arial" w:cs="Arial"/>
          <w:sz w:val="21"/>
          <w:szCs w:val="21"/>
          <w:lang w:eastAsia="zh-CN"/>
        </w:rPr>
        <w:t>《不动产权证书》[京（2026）大不动产权第0006890、0007126、0007158号]部分</w:t>
      </w:r>
      <w:r>
        <w:rPr>
          <w:rFonts w:hint="eastAsia" w:ascii="Arial" w:hAnsi="Arial" w:cs="Arial"/>
          <w:sz w:val="21"/>
          <w:szCs w:val="21"/>
        </w:rPr>
        <w:t>，估价对象为</w:t>
      </w:r>
      <w:r>
        <w:rPr>
          <w:rFonts w:hint="eastAsia" w:ascii="Arial" w:hAnsi="Arial" w:cs="Arial"/>
          <w:kern w:val="2"/>
          <w:sz w:val="21"/>
          <w:szCs w:val="21"/>
        </w:rPr>
        <w:t>保障性租赁住房（住宅型）</w:t>
      </w:r>
      <w:r>
        <w:rPr>
          <w:rFonts w:hint="eastAsia" w:ascii="Arial" w:hAnsi="Arial" w:cs="Arial"/>
          <w:sz w:val="21"/>
          <w:szCs w:val="21"/>
        </w:rPr>
        <w:t>，法律上允许。</w:t>
      </w:r>
      <w:bookmarkEnd w:id="64"/>
    </w:p>
    <w:p w14:paraId="3E8390E7">
      <w:pPr>
        <w:pStyle w:val="60"/>
        <w:autoSpaceDE w:val="0"/>
        <w:autoSpaceDN w:val="0"/>
        <w:spacing w:line="480" w:lineRule="auto"/>
        <w:ind w:right="142"/>
        <w:jc w:val="both"/>
        <w:textAlignment w:val="bottom"/>
        <w:rPr>
          <w:rFonts w:ascii="Arial" w:hAnsi="Arial" w:cs="Arial"/>
          <w:b/>
          <w:sz w:val="21"/>
          <w:szCs w:val="21"/>
        </w:rPr>
      </w:pPr>
      <w:r>
        <w:rPr>
          <w:rFonts w:ascii="Arial" w:hAnsi="Arial" w:cs="Arial"/>
          <w:b/>
          <w:sz w:val="21"/>
          <w:szCs w:val="21"/>
        </w:rPr>
        <w:t>（二）技术上可能</w:t>
      </w:r>
    </w:p>
    <w:p w14:paraId="585ACB0D">
      <w:pPr>
        <w:pStyle w:val="60"/>
        <w:autoSpaceDE w:val="0"/>
        <w:autoSpaceDN w:val="0"/>
        <w:spacing w:line="480" w:lineRule="auto"/>
        <w:ind w:right="142" w:firstLine="420" w:firstLineChars="200"/>
        <w:jc w:val="both"/>
        <w:textAlignment w:val="bottom"/>
        <w:rPr>
          <w:rFonts w:ascii="Arial" w:hAnsi="Arial" w:cs="Arial"/>
          <w:sz w:val="21"/>
          <w:szCs w:val="21"/>
        </w:rPr>
      </w:pPr>
      <w:r>
        <w:rPr>
          <w:rFonts w:hint="eastAsia" w:ascii="Arial" w:hAnsi="Arial" w:cs="Arial"/>
          <w:sz w:val="21"/>
          <w:szCs w:val="21"/>
        </w:rPr>
        <w:t>技术上可能</w:t>
      </w:r>
      <w:r>
        <w:rPr>
          <w:rFonts w:ascii="Arial" w:hAnsi="Arial" w:cs="Arial"/>
          <w:sz w:val="21"/>
          <w:szCs w:val="21"/>
        </w:rPr>
        <w:t>即不能把技术上无法做到的使用当作最高最佳使用，要按照房屋建筑工程方面的技术要求进行估价。</w:t>
      </w:r>
    </w:p>
    <w:p w14:paraId="2E2CA976">
      <w:pPr>
        <w:pStyle w:val="60"/>
        <w:autoSpaceDE w:val="0"/>
        <w:autoSpaceDN w:val="0"/>
        <w:spacing w:line="480" w:lineRule="auto"/>
        <w:ind w:right="142" w:firstLine="420" w:firstLineChars="200"/>
        <w:jc w:val="both"/>
        <w:textAlignment w:val="bottom"/>
        <w:rPr>
          <w:rFonts w:ascii="Arial" w:hAnsi="Arial" w:cs="Arial"/>
          <w:sz w:val="21"/>
          <w:szCs w:val="21"/>
        </w:rPr>
      </w:pPr>
      <w:r>
        <w:rPr>
          <w:rFonts w:hint="eastAsia" w:ascii="Arial" w:hAnsi="Arial" w:cs="Arial"/>
          <w:sz w:val="21"/>
          <w:szCs w:val="21"/>
        </w:rPr>
        <w:t>估价对象为</w:t>
      </w:r>
      <w:r>
        <w:rPr>
          <w:rFonts w:hint="eastAsia" w:ascii="Arial" w:hAnsi="Arial" w:cs="Arial"/>
          <w:kern w:val="2"/>
          <w:sz w:val="21"/>
          <w:szCs w:val="21"/>
        </w:rPr>
        <w:t>钢混</w:t>
      </w:r>
      <w:r>
        <w:rPr>
          <w:rFonts w:hint="eastAsia" w:ascii="Arial" w:hAnsi="Arial" w:cs="Arial"/>
          <w:sz w:val="21"/>
          <w:szCs w:val="21"/>
        </w:rPr>
        <w:t>结构的高层建筑物。</w:t>
      </w:r>
      <w:r>
        <w:rPr>
          <w:rFonts w:ascii="Arial" w:hAnsi="Arial" w:cs="Arial"/>
          <w:sz w:val="21"/>
          <w:szCs w:val="21"/>
        </w:rPr>
        <w:t>估价对象建筑结构、功能、造型、立面效果、建筑材料和设备选用、施工技术等方面，</w:t>
      </w:r>
      <w:r>
        <w:rPr>
          <w:rFonts w:hint="eastAsia" w:ascii="Arial" w:hAnsi="Arial" w:cs="Arial"/>
          <w:sz w:val="21"/>
          <w:szCs w:val="21"/>
        </w:rPr>
        <w:t>在目前的施工</w:t>
      </w:r>
      <w:r>
        <w:rPr>
          <w:rFonts w:ascii="Arial" w:hAnsi="Arial" w:cs="Arial"/>
          <w:sz w:val="21"/>
          <w:szCs w:val="21"/>
        </w:rPr>
        <w:t>技术上均能满足要求。</w:t>
      </w:r>
    </w:p>
    <w:p w14:paraId="026DD163">
      <w:pPr>
        <w:pStyle w:val="60"/>
        <w:autoSpaceDE w:val="0"/>
        <w:autoSpaceDN w:val="0"/>
        <w:spacing w:line="480" w:lineRule="auto"/>
        <w:ind w:right="142"/>
        <w:jc w:val="both"/>
        <w:textAlignment w:val="bottom"/>
        <w:rPr>
          <w:rFonts w:ascii="Arial" w:hAnsi="Arial" w:cs="Arial"/>
          <w:b/>
          <w:sz w:val="21"/>
          <w:szCs w:val="21"/>
        </w:rPr>
      </w:pPr>
      <w:r>
        <w:rPr>
          <w:rFonts w:ascii="Arial" w:hAnsi="Arial" w:cs="Arial"/>
          <w:b/>
          <w:sz w:val="21"/>
          <w:szCs w:val="21"/>
        </w:rPr>
        <w:t>（三）经济上可行</w:t>
      </w:r>
    </w:p>
    <w:p w14:paraId="4A067B50">
      <w:pPr>
        <w:pStyle w:val="60"/>
        <w:autoSpaceDE w:val="0"/>
        <w:autoSpaceDN w:val="0"/>
        <w:spacing w:line="480" w:lineRule="auto"/>
        <w:ind w:right="142" w:firstLine="420" w:firstLineChars="200"/>
        <w:jc w:val="both"/>
        <w:textAlignment w:val="bottom"/>
        <w:rPr>
          <w:rFonts w:ascii="Arial" w:hAnsi="Arial" w:cs="Arial"/>
          <w:sz w:val="21"/>
          <w:szCs w:val="21"/>
        </w:rPr>
      </w:pPr>
      <w:r>
        <w:rPr>
          <w:rFonts w:hint="eastAsia" w:ascii="Arial" w:hAnsi="Arial" w:cs="Arial"/>
          <w:sz w:val="21"/>
          <w:szCs w:val="21"/>
        </w:rPr>
        <w:t>经济上可行</w:t>
      </w:r>
      <w:r>
        <w:rPr>
          <w:rFonts w:ascii="Arial" w:hAnsi="Arial" w:cs="Arial"/>
          <w:sz w:val="21"/>
          <w:szCs w:val="21"/>
        </w:rPr>
        <w:t>即估价结果应是各种可能的使用方式中，以经济上有限的投入而能获得最大的收益的使用方式的估价结果。估价对象目前用途、</w:t>
      </w:r>
      <w:r>
        <w:rPr>
          <w:rFonts w:hint="eastAsia" w:ascii="Arial" w:hAnsi="Arial" w:cs="Arial"/>
          <w:sz w:val="21"/>
          <w:szCs w:val="21"/>
        </w:rPr>
        <w:t>设定</w:t>
      </w:r>
      <w:r>
        <w:rPr>
          <w:rFonts w:ascii="Arial" w:hAnsi="Arial" w:cs="Arial"/>
          <w:sz w:val="21"/>
          <w:szCs w:val="21"/>
        </w:rPr>
        <w:t>产权合法、建造标准技术上能满足要求，并且其收入现值大于支出现值，具有经济可行性。</w:t>
      </w:r>
    </w:p>
    <w:p w14:paraId="75B57651">
      <w:pPr>
        <w:pStyle w:val="60"/>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（四）价值最大化</w:t>
      </w:r>
    </w:p>
    <w:p w14:paraId="4D88F27E">
      <w:pPr>
        <w:pStyle w:val="60"/>
        <w:autoSpaceDE w:val="0"/>
        <w:autoSpaceDN w:val="0"/>
        <w:spacing w:line="480" w:lineRule="auto"/>
        <w:ind w:right="140" w:firstLine="420" w:firstLineChars="200"/>
        <w:jc w:val="both"/>
        <w:textAlignment w:val="bottom"/>
        <w:rPr>
          <w:rFonts w:ascii="Arial" w:hAnsi="Arial" w:cs="Arial"/>
          <w:sz w:val="21"/>
          <w:szCs w:val="21"/>
        </w:rPr>
      </w:pPr>
      <w:r>
        <w:rPr>
          <w:rFonts w:hint="eastAsia" w:ascii="Arial" w:hAnsi="Arial" w:cs="Arial"/>
          <w:sz w:val="21"/>
          <w:szCs w:val="21"/>
        </w:rPr>
        <w:t>价值最大化</w:t>
      </w:r>
      <w:r>
        <w:rPr>
          <w:rFonts w:ascii="Arial" w:hAnsi="Arial" w:cs="Arial"/>
          <w:sz w:val="21"/>
          <w:szCs w:val="21"/>
        </w:rPr>
        <w:t>即在所有具有经济可行性的使用方式中，能使估价对象价值达到最大的使用方式，才是最高最佳的使用方式。估价对象用途为</w:t>
      </w:r>
      <w:r>
        <w:rPr>
          <w:rFonts w:hint="eastAsia" w:ascii="Arial" w:hAnsi="Arial" w:cs="Arial"/>
          <w:kern w:val="2"/>
          <w:sz w:val="21"/>
          <w:szCs w:val="21"/>
        </w:rPr>
        <w:t>保障性租赁住房（住宅型）</w:t>
      </w:r>
      <w:r>
        <w:rPr>
          <w:rFonts w:hint="eastAsia" w:ascii="Arial" w:hAnsi="Arial" w:cs="Arial"/>
          <w:sz w:val="21"/>
          <w:szCs w:val="21"/>
        </w:rPr>
        <w:t>，实际拟用作保障性租赁住房，</w:t>
      </w:r>
      <w:r>
        <w:rPr>
          <w:rFonts w:ascii="Arial" w:hAnsi="Arial" w:cs="Arial"/>
          <w:sz w:val="21"/>
          <w:szCs w:val="21"/>
        </w:rPr>
        <w:t>其使用方式以满足法律上许可、技术上可能、经济上可行为前提条件，经过论证可使估价对象价值得到最大化。</w:t>
      </w:r>
    </w:p>
    <w:p w14:paraId="19CBA95D">
      <w:pPr>
        <w:pStyle w:val="60"/>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（五）使用前提说明与分析</w:t>
      </w:r>
    </w:p>
    <w:p w14:paraId="352D033E">
      <w:pPr>
        <w:pStyle w:val="60"/>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估价对象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1AE22CAE">
      <w:pPr>
        <w:spacing w:line="480" w:lineRule="auto"/>
        <w:ind w:firstLine="420" w:firstLineChars="200"/>
        <w:jc w:val="both"/>
        <w:rPr>
          <w:rFonts w:ascii="Arial" w:hAnsi="Arial" w:cs="Arial"/>
          <w:sz w:val="21"/>
          <w:szCs w:val="21"/>
        </w:rPr>
      </w:pPr>
      <w:r>
        <w:rPr>
          <w:rFonts w:ascii="Arial" w:hAnsi="Arial" w:cs="Arial"/>
          <w:sz w:val="21"/>
          <w:szCs w:val="21"/>
        </w:rPr>
        <w:t>综上所述，我们认为估价对象用途</w:t>
      </w:r>
      <w:r>
        <w:rPr>
          <w:rFonts w:hint="eastAsia" w:ascii="Arial" w:hAnsi="Arial" w:cs="Arial"/>
          <w:sz w:val="21"/>
          <w:szCs w:val="21"/>
        </w:rPr>
        <w:t>为保障性租赁住房（住宅型）</w:t>
      </w:r>
      <w:r>
        <w:rPr>
          <w:rFonts w:ascii="Arial" w:hAnsi="Arial" w:cs="Arial"/>
          <w:sz w:val="21"/>
          <w:szCs w:val="21"/>
        </w:rPr>
        <w:t>为其最高最佳使用途径。</w:t>
      </w:r>
    </w:p>
    <w:p w14:paraId="71D8C9CD">
      <w:pPr>
        <w:spacing w:line="480" w:lineRule="auto"/>
        <w:ind w:firstLine="420" w:firstLineChars="200"/>
        <w:jc w:val="both"/>
        <w:rPr>
          <w:rFonts w:ascii="Arial" w:hAnsi="Arial" w:cs="Arial"/>
          <w:sz w:val="21"/>
          <w:szCs w:val="21"/>
        </w:rPr>
      </w:pPr>
    </w:p>
    <w:p w14:paraId="24C2BF53">
      <w:pPr>
        <w:pStyle w:val="3"/>
        <w:numPr>
          <w:ilvl w:val="0"/>
          <w:numId w:val="9"/>
        </w:numPr>
        <w:spacing w:line="480" w:lineRule="auto"/>
        <w:jc w:val="both"/>
        <w:rPr>
          <w:rFonts w:eastAsia="宋体"/>
          <w:kern w:val="2"/>
          <w:sz w:val="21"/>
          <w:szCs w:val="21"/>
        </w:rPr>
      </w:pPr>
      <w:bookmarkStart w:id="65" w:name="_Toc525655439"/>
      <w:bookmarkStart w:id="66" w:name="_Toc155267106"/>
      <w:r>
        <w:rPr>
          <w:rFonts w:eastAsia="宋体"/>
          <w:kern w:val="2"/>
          <w:sz w:val="21"/>
          <w:szCs w:val="21"/>
        </w:rPr>
        <w:t>估价方法适用性分析</w:t>
      </w:r>
      <w:bookmarkEnd w:id="65"/>
      <w:bookmarkEnd w:id="66"/>
    </w:p>
    <w:p w14:paraId="5E32A4BF">
      <w:pPr>
        <w:wordWrap w:val="0"/>
        <w:overflowPunct w:val="0"/>
        <w:spacing w:line="480" w:lineRule="auto"/>
        <w:ind w:firstLine="420" w:firstLineChars="200"/>
        <w:jc w:val="both"/>
        <w:textAlignment w:val="auto"/>
        <w:rPr>
          <w:rFonts w:ascii="Arial" w:hAnsi="Arial" w:cs="Arial"/>
          <w:bCs/>
          <w:spacing w:val="10"/>
          <w:sz w:val="21"/>
          <w:szCs w:val="21"/>
        </w:rPr>
      </w:pPr>
      <w:r>
        <w:rPr>
          <w:rFonts w:ascii="Arial" w:hAnsi="Arial" w:cs="Arial"/>
          <w:sz w:val="21"/>
          <w:szCs w:val="21"/>
        </w:rPr>
        <w:t>由于本次评估是</w:t>
      </w:r>
      <w:r>
        <w:rPr>
          <w:rFonts w:hint="eastAsia" w:ascii="Arial" w:hAnsi="Arial" w:cs="Arial"/>
          <w:sz w:val="21"/>
          <w:szCs w:val="21"/>
        </w:rPr>
        <w:t>为估价委托人合理确定保障性租赁住房项目租金提供参考依据</w:t>
      </w:r>
      <w:r>
        <w:rPr>
          <w:rFonts w:ascii="Arial" w:hAnsi="Arial" w:cs="Arial"/>
          <w:sz w:val="21"/>
          <w:szCs w:val="21"/>
        </w:rPr>
        <w:t>，因此我们在认真分析研究估价对象的相关资料，并通过对邻近地区同类物业调查的基础上，根据《房地产估价规范》</w:t>
      </w:r>
      <w:r>
        <w:rPr>
          <w:rFonts w:hint="eastAsia" w:ascii="Arial" w:hAnsi="Arial" w:cs="Arial"/>
          <w:sz w:val="21"/>
          <w:szCs w:val="21"/>
        </w:rPr>
        <w:t>（</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50291-2015</w:t>
      </w:r>
      <w:r>
        <w:rPr>
          <w:rFonts w:hint="eastAsia" w:ascii="Arial" w:hAnsi="Arial" w:cs="Arial"/>
          <w:sz w:val="21"/>
          <w:szCs w:val="21"/>
        </w:rPr>
        <w:t>）</w:t>
      </w:r>
      <w:r>
        <w:rPr>
          <w:rFonts w:ascii="Arial" w:hAnsi="Arial" w:cs="Arial"/>
          <w:sz w:val="21"/>
          <w:szCs w:val="21"/>
        </w:rPr>
        <w:t>的估价程序，选用</w:t>
      </w:r>
      <w:r>
        <w:rPr>
          <w:rFonts w:hint="eastAsia" w:ascii="Arial" w:hAnsi="Arial" w:cs="Arial"/>
          <w:sz w:val="21"/>
          <w:szCs w:val="21"/>
        </w:rPr>
        <w:t>比较法</w:t>
      </w:r>
      <w:r>
        <w:rPr>
          <w:rFonts w:ascii="Arial" w:hAnsi="Arial" w:cs="Arial"/>
          <w:sz w:val="21"/>
          <w:szCs w:val="21"/>
        </w:rPr>
        <w:t>为主方法进行估价</w:t>
      </w:r>
      <w:r>
        <w:rPr>
          <w:rFonts w:hint="eastAsia" w:ascii="Arial" w:hAnsi="Arial" w:cs="Arial"/>
          <w:sz w:val="21"/>
          <w:szCs w:val="21"/>
        </w:rPr>
        <w:t>，进而确定</w:t>
      </w:r>
      <w:r>
        <w:rPr>
          <w:rFonts w:hint="eastAsia" w:ascii="Arial" w:hAnsi="Arial"/>
          <w:sz w:val="21"/>
          <w:szCs w:val="21"/>
        </w:rPr>
        <w:t>估价对象</w:t>
      </w:r>
      <w:r>
        <w:rPr>
          <w:rFonts w:hint="eastAsia" w:ascii="Arial" w:hAnsi="Arial" w:cs="Arial"/>
          <w:sz w:val="21"/>
          <w:szCs w:val="21"/>
        </w:rPr>
        <w:t>市场租金价格水平</w:t>
      </w:r>
      <w:r>
        <w:rPr>
          <w:rFonts w:ascii="Arial" w:hAnsi="Arial" w:cs="Arial"/>
          <w:sz w:val="21"/>
          <w:szCs w:val="21"/>
        </w:rPr>
        <w:t>。</w:t>
      </w:r>
    </w:p>
    <w:p w14:paraId="57E72C2C">
      <w:pPr>
        <w:pStyle w:val="60"/>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w:t>
      </w:r>
      <w:r>
        <w:rPr>
          <w:rFonts w:hint="eastAsia" w:ascii="Arial" w:hAnsi="Arial" w:cs="Arial"/>
          <w:b/>
          <w:sz w:val="21"/>
          <w:szCs w:val="21"/>
        </w:rPr>
        <w:t>估价思路</w:t>
      </w:r>
      <w:r>
        <w:rPr>
          <w:rFonts w:ascii="Arial" w:hAnsi="Arial" w:cs="Arial"/>
          <w:b/>
          <w:sz w:val="21"/>
          <w:szCs w:val="21"/>
        </w:rPr>
        <w:t xml:space="preserve"> </w:t>
      </w:r>
    </w:p>
    <w:p w14:paraId="5A966654">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本次选用比较法对估价对象的市场租金水平进行测算，具体测算思路如下：</w:t>
      </w:r>
    </w:p>
    <w:p w14:paraId="56E09641">
      <w:pPr>
        <w:pStyle w:val="60"/>
        <w:wordWrap w:val="0"/>
        <w:overflowPunct w:val="0"/>
        <w:autoSpaceDE w:val="0"/>
        <w:autoSpaceDN w:val="0"/>
        <w:snapToGrid w:val="0"/>
        <w:spacing w:line="480" w:lineRule="auto"/>
        <w:ind w:firstLine="420" w:firstLineChars="200"/>
        <w:jc w:val="both"/>
        <w:textAlignment w:val="auto"/>
        <w:rPr>
          <w:rFonts w:ascii="Arial" w:hAnsi="Arial" w:cs="Arial"/>
          <w:sz w:val="21"/>
          <w:szCs w:val="21"/>
        </w:rPr>
      </w:pPr>
      <w:r>
        <w:rPr>
          <w:rFonts w:ascii="Arial" w:hAnsi="Arial" w:cs="Arial"/>
          <w:sz w:val="21"/>
          <w:szCs w:val="21"/>
        </w:rPr>
        <w:t>1.</w:t>
      </w:r>
      <w:r>
        <w:rPr>
          <w:rFonts w:hint="eastAsia" w:ascii="Arial" w:hAnsi="Arial" w:cs="Arial"/>
          <w:sz w:val="21"/>
          <w:szCs w:val="21"/>
        </w:rPr>
        <w:t>首先，根据估价委托人提供的</w:t>
      </w:r>
      <w:r>
        <w:rPr>
          <w:rFonts w:hint="eastAsia" w:ascii="Arial" w:hAnsi="Arial" w:cs="Arial"/>
          <w:kern w:val="2"/>
          <w:sz w:val="21"/>
        </w:rPr>
        <w:t>《</w:t>
      </w:r>
      <w:r>
        <w:rPr>
          <w:rFonts w:hint="eastAsia" w:ascii="Arial" w:hAnsi="Arial" w:cs="Arial"/>
          <w:kern w:val="2"/>
          <w:sz w:val="21"/>
          <w:szCs w:val="21"/>
        </w:rPr>
        <w:t>估价委托书</w:t>
      </w:r>
      <w:r>
        <w:rPr>
          <w:rFonts w:hint="eastAsia" w:ascii="Arial" w:hAnsi="Arial" w:cs="Arial"/>
          <w:kern w:val="2"/>
          <w:sz w:val="21"/>
        </w:rPr>
        <w:t>》、</w:t>
      </w:r>
      <w:r>
        <w:rPr>
          <w:rFonts w:hint="eastAsia" w:ascii="Arial" w:hAnsi="Arial" w:cs="Arial"/>
          <w:sz w:val="21"/>
          <w:szCs w:val="21"/>
        </w:rPr>
        <w:t>《北京市保障性住房收购合同》及其附件，本次评估的标准房设定如下，标准房是指参照特定保障性租赁住房项目的建筑类型、结构、户型（含面积）、装饰装修、设施设备、家具家电、楼层、朝向等指标进行分类，分别设定的具有代表性的房屋。标准房设定时，其结构、装饰装修、设施设备、家具家电按照众数设定，楼层、朝向按保障性租赁住房项目中最优条件确定：</w:t>
      </w:r>
    </w:p>
    <w:tbl>
      <w:tblPr>
        <w:tblStyle w:val="33"/>
        <w:tblW w:w="9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556"/>
        <w:gridCol w:w="1625"/>
        <w:gridCol w:w="1693"/>
        <w:gridCol w:w="1557"/>
        <w:gridCol w:w="1491"/>
        <w:gridCol w:w="1491"/>
      </w:tblGrid>
      <w:tr w14:paraId="71437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00F1317B">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w:t>
            </w:r>
          </w:p>
        </w:tc>
        <w:tc>
          <w:tcPr>
            <w:tcW w:w="1625" w:type="dxa"/>
          </w:tcPr>
          <w:p w14:paraId="4003E472">
            <w:pPr>
              <w:snapToGrid w:val="0"/>
              <w:spacing w:line="240" w:lineRule="exact"/>
              <w:jc w:val="center"/>
              <w:rPr>
                <w:rFonts w:ascii="Arial" w:hAnsi="Arial" w:eastAsia="华文细黑" w:cs="Arial"/>
                <w:sz w:val="18"/>
                <w:szCs w:val="18"/>
              </w:rPr>
            </w:pPr>
            <w:r>
              <w:rPr>
                <w:rFonts w:ascii="Arial" w:hAnsi="Arial" w:eastAsia="华文细黑" w:cs="Arial"/>
                <w:sz w:val="18"/>
                <w:szCs w:val="18"/>
              </w:rPr>
              <w:t>户型</w:t>
            </w:r>
          </w:p>
        </w:tc>
        <w:tc>
          <w:tcPr>
            <w:tcW w:w="1693" w:type="dxa"/>
          </w:tcPr>
          <w:p w14:paraId="705FBC0F">
            <w:pPr>
              <w:snapToGrid w:val="0"/>
              <w:spacing w:line="240" w:lineRule="exact"/>
              <w:jc w:val="center"/>
              <w:rPr>
                <w:rFonts w:ascii="Arial" w:hAnsi="Arial" w:eastAsia="华文细黑" w:cs="Arial"/>
                <w:sz w:val="18"/>
                <w:szCs w:val="18"/>
              </w:rPr>
            </w:pPr>
            <w:r>
              <w:rPr>
                <w:rFonts w:ascii="Arial" w:hAnsi="Arial" w:eastAsia="华文细黑" w:cs="Arial"/>
                <w:sz w:val="18"/>
                <w:szCs w:val="18"/>
              </w:rPr>
              <w:t>建筑面积（㎡）</w:t>
            </w:r>
          </w:p>
        </w:tc>
        <w:tc>
          <w:tcPr>
            <w:tcW w:w="1557" w:type="dxa"/>
          </w:tcPr>
          <w:p w14:paraId="23BE7E2B">
            <w:pPr>
              <w:snapToGrid w:val="0"/>
              <w:spacing w:line="240" w:lineRule="exact"/>
              <w:jc w:val="center"/>
              <w:rPr>
                <w:rFonts w:ascii="Arial" w:hAnsi="Arial" w:eastAsia="华文细黑" w:cs="Arial"/>
                <w:sz w:val="18"/>
                <w:szCs w:val="18"/>
              </w:rPr>
            </w:pPr>
            <w:r>
              <w:rPr>
                <w:rFonts w:ascii="Arial" w:hAnsi="Arial" w:eastAsia="华文细黑" w:cs="Arial"/>
                <w:sz w:val="18"/>
                <w:szCs w:val="18"/>
              </w:rPr>
              <w:t>朝向</w:t>
            </w:r>
          </w:p>
        </w:tc>
        <w:tc>
          <w:tcPr>
            <w:tcW w:w="1491" w:type="dxa"/>
          </w:tcPr>
          <w:p w14:paraId="5DFAEEB1">
            <w:pPr>
              <w:snapToGrid w:val="0"/>
              <w:spacing w:line="240" w:lineRule="exact"/>
              <w:jc w:val="center"/>
              <w:rPr>
                <w:rFonts w:ascii="Arial" w:hAnsi="Arial" w:eastAsia="华文细黑" w:cs="Arial"/>
                <w:sz w:val="18"/>
                <w:szCs w:val="18"/>
              </w:rPr>
            </w:pPr>
            <w:r>
              <w:rPr>
                <w:rFonts w:ascii="Arial" w:hAnsi="Arial" w:eastAsia="华文细黑" w:cs="Arial"/>
                <w:sz w:val="18"/>
                <w:szCs w:val="18"/>
              </w:rPr>
              <w:t>楼层</w:t>
            </w:r>
          </w:p>
        </w:tc>
        <w:tc>
          <w:tcPr>
            <w:tcW w:w="1491" w:type="dxa"/>
          </w:tcPr>
          <w:p w14:paraId="7EA3E98B">
            <w:pPr>
              <w:snapToGrid w:val="0"/>
              <w:spacing w:line="240" w:lineRule="exact"/>
              <w:jc w:val="center"/>
              <w:rPr>
                <w:rFonts w:ascii="Arial" w:hAnsi="Arial" w:eastAsia="华文细黑" w:cs="Arial"/>
                <w:sz w:val="18"/>
                <w:szCs w:val="18"/>
              </w:rPr>
            </w:pPr>
            <w:r>
              <w:rPr>
                <w:rFonts w:ascii="Arial" w:hAnsi="Arial" w:eastAsia="华文细黑" w:cs="Arial"/>
                <w:sz w:val="18"/>
                <w:szCs w:val="18"/>
              </w:rPr>
              <w:t>装修</w:t>
            </w:r>
          </w:p>
        </w:tc>
      </w:tr>
      <w:tr w14:paraId="07BE5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43A964E5">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标准房1</w:t>
            </w:r>
          </w:p>
        </w:tc>
        <w:tc>
          <w:tcPr>
            <w:tcW w:w="1625" w:type="dxa"/>
          </w:tcPr>
          <w:p w14:paraId="54908EC4">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开  间</w:t>
            </w:r>
          </w:p>
        </w:tc>
        <w:tc>
          <w:tcPr>
            <w:tcW w:w="1693" w:type="dxa"/>
          </w:tcPr>
          <w:p w14:paraId="48C1CC6B">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60.49</w:t>
            </w:r>
          </w:p>
        </w:tc>
        <w:tc>
          <w:tcPr>
            <w:tcW w:w="1557" w:type="dxa"/>
          </w:tcPr>
          <w:p w14:paraId="4DCC0F32">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w:t>
            </w:r>
          </w:p>
        </w:tc>
        <w:tc>
          <w:tcPr>
            <w:tcW w:w="1491" w:type="dxa"/>
          </w:tcPr>
          <w:p w14:paraId="286FC157">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6258E7B7">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中档装修</w:t>
            </w:r>
          </w:p>
        </w:tc>
      </w:tr>
      <w:tr w14:paraId="6E460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2B539077">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标准房2</w:t>
            </w:r>
          </w:p>
        </w:tc>
        <w:tc>
          <w:tcPr>
            <w:tcW w:w="1625" w:type="dxa"/>
          </w:tcPr>
          <w:p w14:paraId="3FD9EAEA">
            <w:pPr>
              <w:snapToGrid w:val="0"/>
              <w:spacing w:line="240" w:lineRule="exact"/>
              <w:jc w:val="center"/>
              <w:rPr>
                <w:rFonts w:ascii="Arial" w:hAnsi="Arial" w:eastAsia="华文细黑" w:cs="Arial"/>
                <w:sz w:val="18"/>
                <w:szCs w:val="18"/>
              </w:rPr>
            </w:pPr>
            <w:r>
              <w:rPr>
                <w:rFonts w:ascii="Arial" w:hAnsi="Arial" w:eastAsia="华文细黑" w:cs="Arial"/>
                <w:sz w:val="18"/>
                <w:szCs w:val="18"/>
              </w:rPr>
              <w:t>一居室</w:t>
            </w:r>
          </w:p>
        </w:tc>
        <w:tc>
          <w:tcPr>
            <w:tcW w:w="1693" w:type="dxa"/>
          </w:tcPr>
          <w:p w14:paraId="2615EA00">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74.00</w:t>
            </w:r>
          </w:p>
        </w:tc>
        <w:tc>
          <w:tcPr>
            <w:tcW w:w="1557" w:type="dxa"/>
          </w:tcPr>
          <w:p w14:paraId="31BED76B">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015B0069">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1B2B7C23">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中档装修</w:t>
            </w:r>
          </w:p>
        </w:tc>
      </w:tr>
      <w:tr w14:paraId="0F8F6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0EE7B2F6">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标准房3</w:t>
            </w:r>
          </w:p>
        </w:tc>
        <w:tc>
          <w:tcPr>
            <w:tcW w:w="1625" w:type="dxa"/>
          </w:tcPr>
          <w:p w14:paraId="69C92FC0">
            <w:pPr>
              <w:snapToGrid w:val="0"/>
              <w:spacing w:line="240" w:lineRule="exact"/>
              <w:jc w:val="center"/>
              <w:rPr>
                <w:rFonts w:ascii="Arial" w:hAnsi="Arial" w:eastAsia="华文细黑" w:cs="Arial"/>
                <w:sz w:val="18"/>
                <w:szCs w:val="18"/>
              </w:rPr>
            </w:pPr>
            <w:r>
              <w:rPr>
                <w:rFonts w:ascii="Arial" w:hAnsi="Arial" w:eastAsia="华文细黑" w:cs="Arial"/>
                <w:sz w:val="18"/>
                <w:szCs w:val="18"/>
              </w:rPr>
              <w:t>一居室</w:t>
            </w:r>
          </w:p>
        </w:tc>
        <w:tc>
          <w:tcPr>
            <w:tcW w:w="1693" w:type="dxa"/>
          </w:tcPr>
          <w:p w14:paraId="6639D547">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82.85</w:t>
            </w:r>
          </w:p>
        </w:tc>
        <w:tc>
          <w:tcPr>
            <w:tcW w:w="1557" w:type="dxa"/>
          </w:tcPr>
          <w:p w14:paraId="53B800A6">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w:t>
            </w:r>
          </w:p>
        </w:tc>
        <w:tc>
          <w:tcPr>
            <w:tcW w:w="1491" w:type="dxa"/>
          </w:tcPr>
          <w:p w14:paraId="54FDC3CF">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264DBE6F">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中档装修</w:t>
            </w:r>
          </w:p>
        </w:tc>
      </w:tr>
      <w:tr w14:paraId="3EA13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0A82307C">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w:t>
            </w:r>
            <w:r>
              <w:rPr>
                <w:rFonts w:hint="eastAsia" w:ascii="Arial" w:hAnsi="Arial" w:eastAsia="华文细黑" w:cs="Arial"/>
                <w:sz w:val="18"/>
                <w:szCs w:val="18"/>
              </w:rPr>
              <w:t>4</w:t>
            </w:r>
          </w:p>
        </w:tc>
        <w:tc>
          <w:tcPr>
            <w:tcW w:w="1625" w:type="dxa"/>
          </w:tcPr>
          <w:p w14:paraId="3F8AB081">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两居室</w:t>
            </w:r>
          </w:p>
        </w:tc>
        <w:tc>
          <w:tcPr>
            <w:tcW w:w="1693" w:type="dxa"/>
          </w:tcPr>
          <w:p w14:paraId="46A22C30">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99.64</w:t>
            </w:r>
          </w:p>
        </w:tc>
        <w:tc>
          <w:tcPr>
            <w:tcW w:w="1557" w:type="dxa"/>
          </w:tcPr>
          <w:p w14:paraId="568619C8">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71980085">
            <w:pPr>
              <w:snapToGrid w:val="0"/>
              <w:spacing w:line="240" w:lineRule="exact"/>
              <w:jc w:val="center"/>
              <w:rPr>
                <w:rFonts w:hint="eastAsia" w:ascii="华文细黑" w:hAnsi="华文细黑" w:eastAsia="华文细黑" w:cs="Arial"/>
                <w:sz w:val="18"/>
                <w:szCs w:val="18"/>
              </w:rPr>
            </w:pPr>
            <w:r>
              <w:rPr>
                <w:rFonts w:hint="eastAsia" w:ascii="华文细黑" w:hAnsi="华文细黑" w:eastAsia="华文细黑" w:cs="Arial"/>
                <w:sz w:val="18"/>
                <w:szCs w:val="18"/>
              </w:rPr>
              <w:t>高楼层</w:t>
            </w:r>
          </w:p>
        </w:tc>
        <w:tc>
          <w:tcPr>
            <w:tcW w:w="1491" w:type="dxa"/>
          </w:tcPr>
          <w:p w14:paraId="6F58D99C">
            <w:pPr>
              <w:snapToGrid w:val="0"/>
              <w:spacing w:line="240" w:lineRule="exact"/>
              <w:jc w:val="center"/>
              <w:rPr>
                <w:rFonts w:hint="eastAsia" w:ascii="华文细黑" w:hAnsi="华文细黑" w:eastAsia="华文细黑" w:cs="Arial"/>
                <w:sz w:val="18"/>
                <w:szCs w:val="18"/>
                <w:lang w:eastAsia="zh-CN"/>
              </w:rPr>
            </w:pPr>
            <w:r>
              <w:rPr>
                <w:rFonts w:hint="eastAsia" w:ascii="华文细黑" w:hAnsi="华文细黑" w:eastAsia="华文细黑" w:cs="Arial"/>
                <w:sz w:val="18"/>
                <w:szCs w:val="18"/>
                <w:lang w:eastAsia="zh-CN"/>
              </w:rPr>
              <w:t>中档装修</w:t>
            </w:r>
          </w:p>
        </w:tc>
      </w:tr>
      <w:tr w14:paraId="734C4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4A3D9CE1">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w:t>
            </w:r>
            <w:r>
              <w:rPr>
                <w:rFonts w:hint="eastAsia" w:ascii="Arial" w:hAnsi="Arial" w:eastAsia="华文细黑" w:cs="Arial"/>
                <w:sz w:val="18"/>
                <w:szCs w:val="18"/>
              </w:rPr>
              <w:t>5</w:t>
            </w:r>
          </w:p>
        </w:tc>
        <w:tc>
          <w:tcPr>
            <w:tcW w:w="1625" w:type="dxa"/>
          </w:tcPr>
          <w:p w14:paraId="38B8437F">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三</w:t>
            </w:r>
            <w:r>
              <w:rPr>
                <w:rFonts w:ascii="Arial" w:hAnsi="Arial" w:eastAsia="华文细黑" w:cs="Arial"/>
                <w:sz w:val="18"/>
                <w:szCs w:val="18"/>
              </w:rPr>
              <w:t>居室</w:t>
            </w:r>
          </w:p>
        </w:tc>
        <w:tc>
          <w:tcPr>
            <w:tcW w:w="1693" w:type="dxa"/>
          </w:tcPr>
          <w:p w14:paraId="10023E39">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107.74</w:t>
            </w:r>
          </w:p>
        </w:tc>
        <w:tc>
          <w:tcPr>
            <w:tcW w:w="1557" w:type="dxa"/>
          </w:tcPr>
          <w:p w14:paraId="4119D771">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w:t>
            </w:r>
          </w:p>
        </w:tc>
        <w:tc>
          <w:tcPr>
            <w:tcW w:w="1491" w:type="dxa"/>
          </w:tcPr>
          <w:p w14:paraId="176ACF83">
            <w:pPr>
              <w:snapToGrid w:val="0"/>
              <w:spacing w:line="240" w:lineRule="exact"/>
              <w:jc w:val="center"/>
              <w:rPr>
                <w:rFonts w:hint="eastAsia" w:ascii="华文细黑" w:hAnsi="华文细黑" w:eastAsia="华文细黑" w:cs="Arial"/>
                <w:sz w:val="18"/>
                <w:szCs w:val="18"/>
              </w:rPr>
            </w:pPr>
            <w:r>
              <w:rPr>
                <w:rFonts w:hint="eastAsia" w:ascii="华文细黑" w:hAnsi="华文细黑" w:eastAsia="华文细黑" w:cs="Arial"/>
                <w:sz w:val="18"/>
                <w:szCs w:val="18"/>
              </w:rPr>
              <w:t>高楼层</w:t>
            </w:r>
          </w:p>
        </w:tc>
        <w:tc>
          <w:tcPr>
            <w:tcW w:w="1491" w:type="dxa"/>
          </w:tcPr>
          <w:p w14:paraId="77A796AC">
            <w:pPr>
              <w:snapToGrid w:val="0"/>
              <w:spacing w:line="240" w:lineRule="exact"/>
              <w:jc w:val="center"/>
              <w:rPr>
                <w:rFonts w:hint="eastAsia" w:ascii="华文细黑" w:hAnsi="华文细黑" w:eastAsia="华文细黑" w:cs="Arial"/>
                <w:sz w:val="18"/>
                <w:szCs w:val="18"/>
                <w:lang w:eastAsia="zh-CN"/>
              </w:rPr>
            </w:pPr>
            <w:r>
              <w:rPr>
                <w:rFonts w:hint="eastAsia" w:ascii="华文细黑" w:hAnsi="华文细黑" w:eastAsia="华文细黑" w:cs="Arial"/>
                <w:sz w:val="18"/>
                <w:szCs w:val="18"/>
                <w:lang w:eastAsia="zh-CN"/>
              </w:rPr>
              <w:t>中档装修</w:t>
            </w:r>
          </w:p>
        </w:tc>
      </w:tr>
    </w:tbl>
    <w:p w14:paraId="512497FA">
      <w:pPr>
        <w:pStyle w:val="60"/>
        <w:wordWrap w:val="0"/>
        <w:overflowPunct w:val="0"/>
        <w:autoSpaceDE w:val="0"/>
        <w:autoSpaceDN w:val="0"/>
        <w:spacing w:before="120" w:beforeLines="50" w:line="480" w:lineRule="auto"/>
        <w:ind w:firstLine="420" w:firstLineChars="200"/>
        <w:jc w:val="both"/>
        <w:textAlignment w:val="auto"/>
        <w:rPr>
          <w:rFonts w:ascii="Arial" w:hAnsi="Arial" w:cs="Arial"/>
          <w:sz w:val="21"/>
          <w:szCs w:val="21"/>
        </w:rPr>
      </w:pPr>
      <w:r>
        <w:rPr>
          <w:rFonts w:ascii="Arial" w:hAnsi="Arial" w:cs="Arial"/>
          <w:sz w:val="21"/>
          <w:szCs w:val="21"/>
        </w:rPr>
        <w:t>2.在估价对象周边区域选取适当数量</w:t>
      </w:r>
      <w:r>
        <w:rPr>
          <w:rFonts w:hint="eastAsia" w:ascii="Arial" w:hAnsi="Arial" w:cs="Arial"/>
          <w:sz w:val="21"/>
          <w:szCs w:val="21"/>
        </w:rPr>
        <w:t>住宅项目</w:t>
      </w:r>
      <w:r>
        <w:rPr>
          <w:rFonts w:ascii="Arial" w:hAnsi="Arial" w:cs="Arial"/>
          <w:sz w:val="21"/>
          <w:szCs w:val="21"/>
        </w:rPr>
        <w:t>，结合估价机构市场调查，选取可比小区。</w:t>
      </w:r>
    </w:p>
    <w:p w14:paraId="03E7236C">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ascii="Arial" w:hAnsi="Arial" w:cs="Arial"/>
          <w:sz w:val="21"/>
          <w:szCs w:val="21"/>
        </w:rPr>
        <w:t>3.将所选可比小区与评估对象标准房进行比较，进行区位状况调整和实物状况调整，计算各可比实例比准租金，得到</w:t>
      </w:r>
      <w:r>
        <w:rPr>
          <w:rFonts w:hint="eastAsia" w:ascii="Arial" w:hAnsi="Arial" w:cs="Arial"/>
          <w:sz w:val="21"/>
          <w:szCs w:val="21"/>
        </w:rPr>
        <w:t>估价对象标准房</w:t>
      </w:r>
      <w:r>
        <w:rPr>
          <w:rFonts w:ascii="Arial" w:hAnsi="Arial" w:cs="Arial"/>
          <w:sz w:val="21"/>
          <w:szCs w:val="21"/>
        </w:rPr>
        <w:t>租金水平</w:t>
      </w:r>
      <w:r>
        <w:rPr>
          <w:rFonts w:hint="eastAsia" w:ascii="Arial" w:hAnsi="Arial" w:cs="Arial"/>
          <w:sz w:val="21"/>
          <w:szCs w:val="21"/>
        </w:rPr>
        <w:t>。</w:t>
      </w:r>
    </w:p>
    <w:p w14:paraId="5546924B">
      <w:pPr>
        <w:pStyle w:val="60"/>
        <w:wordWrap w:val="0"/>
        <w:overflowPunct w:val="0"/>
        <w:autoSpaceDE w:val="0"/>
        <w:autoSpaceDN w:val="0"/>
        <w:spacing w:line="480" w:lineRule="auto"/>
        <w:ind w:right="140"/>
        <w:jc w:val="both"/>
        <w:textAlignment w:val="auto"/>
        <w:rPr>
          <w:rFonts w:ascii="Arial" w:hAnsi="Arial" w:cs="Arial"/>
          <w:b/>
          <w:sz w:val="21"/>
          <w:szCs w:val="21"/>
        </w:rPr>
      </w:pPr>
      <w:r>
        <w:rPr>
          <w:rFonts w:hint="eastAsia" w:ascii="Arial" w:hAnsi="Arial" w:cs="Arial"/>
          <w:b/>
          <w:sz w:val="21"/>
          <w:szCs w:val="21"/>
        </w:rPr>
        <w:t>（二）估价方法</w:t>
      </w:r>
      <w:r>
        <w:rPr>
          <w:rFonts w:ascii="Arial" w:hAnsi="Arial" w:cs="Arial"/>
          <w:b/>
          <w:sz w:val="21"/>
          <w:szCs w:val="21"/>
        </w:rPr>
        <w:t xml:space="preserve"> </w:t>
      </w:r>
    </w:p>
    <w:p w14:paraId="0F671998">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比较法，是在求取估价对象房地产</w:t>
      </w:r>
      <w:r>
        <w:rPr>
          <w:rFonts w:hint="eastAsia" w:ascii="Arial" w:hAnsi="Arial" w:cs="Arial"/>
          <w:sz w:val="21"/>
          <w:szCs w:val="21"/>
        </w:rPr>
        <w:t>市场租金水平</w:t>
      </w:r>
      <w:r>
        <w:rPr>
          <w:rFonts w:ascii="Arial" w:hAnsi="Arial" w:cs="Arial"/>
          <w:sz w:val="21"/>
          <w:szCs w:val="21"/>
        </w:rPr>
        <w:t>时，根据替代原则，将估价对象与在较近时期内已发生交易的类似房地产</w:t>
      </w:r>
      <w:r>
        <w:rPr>
          <w:rFonts w:hint="eastAsia" w:ascii="Arial" w:hAnsi="Arial" w:cs="Arial"/>
          <w:sz w:val="21"/>
          <w:szCs w:val="21"/>
        </w:rPr>
        <w:t>租赁</w:t>
      </w:r>
      <w:r>
        <w:rPr>
          <w:rFonts w:ascii="Arial" w:hAnsi="Arial" w:cs="Arial"/>
          <w:sz w:val="21"/>
          <w:szCs w:val="21"/>
        </w:rPr>
        <w:t>交易实例进行对照比较，并依据后者已知的价格，参照该房地产的交易情况、期日、区域及实物状况的差别，修正得出估价对象房地产</w:t>
      </w:r>
      <w:r>
        <w:rPr>
          <w:rFonts w:hint="eastAsia" w:ascii="Arial" w:hAnsi="Arial" w:cs="Arial"/>
          <w:sz w:val="21"/>
          <w:szCs w:val="21"/>
        </w:rPr>
        <w:t>市场租金水平</w:t>
      </w:r>
      <w:r>
        <w:rPr>
          <w:rFonts w:ascii="Arial" w:hAnsi="Arial" w:cs="Arial"/>
          <w:sz w:val="21"/>
          <w:szCs w:val="21"/>
        </w:rPr>
        <w:t>的方法。本次估价采用比较法思路评估租金价格水平。</w:t>
      </w:r>
    </w:p>
    <w:p w14:paraId="014DA79A">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1.</w:t>
      </w:r>
      <w:r>
        <w:rPr>
          <w:rFonts w:ascii="Arial" w:hAnsi="Arial" w:cs="Arial"/>
          <w:sz w:val="21"/>
          <w:szCs w:val="21"/>
        </w:rPr>
        <w:t>采用</w:t>
      </w:r>
      <w:r>
        <w:rPr>
          <w:rFonts w:hint="eastAsia" w:ascii="Arial" w:hAnsi="Arial" w:cs="Arial"/>
          <w:sz w:val="21"/>
          <w:szCs w:val="21"/>
        </w:rPr>
        <w:t>比较法</w:t>
      </w:r>
      <w:r>
        <w:rPr>
          <w:rFonts w:ascii="Arial" w:hAnsi="Arial" w:cs="Arial"/>
          <w:sz w:val="21"/>
          <w:szCs w:val="21"/>
        </w:rPr>
        <w:t>的理由</w:t>
      </w:r>
      <w:r>
        <w:rPr>
          <w:rFonts w:hint="eastAsia" w:ascii="Arial" w:hAnsi="Arial" w:cs="Arial"/>
          <w:sz w:val="21"/>
          <w:szCs w:val="21"/>
        </w:rPr>
        <w:t>：</w:t>
      </w:r>
    </w:p>
    <w:p w14:paraId="1B236815">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w:t>
      </w:r>
      <w:r>
        <w:rPr>
          <w:rFonts w:hint="eastAsia" w:ascii="Arial" w:hAnsi="Arial" w:cs="Arial"/>
          <w:sz w:val="21"/>
          <w:szCs w:val="21"/>
        </w:rPr>
        <w:t>住宅</w:t>
      </w:r>
      <w:r>
        <w:rPr>
          <w:rFonts w:ascii="Arial" w:hAnsi="Arial" w:cs="Arial"/>
          <w:sz w:val="21"/>
          <w:szCs w:val="21"/>
        </w:rPr>
        <w:t>出租的公开信息，可通过因素修正得出估价对象所在区域</w:t>
      </w:r>
      <w:r>
        <w:rPr>
          <w:rFonts w:hint="eastAsia" w:ascii="Arial" w:hAnsi="Arial" w:cs="Arial"/>
          <w:sz w:val="21"/>
          <w:szCs w:val="21"/>
        </w:rPr>
        <w:t>住宅</w:t>
      </w:r>
      <w:r>
        <w:rPr>
          <w:rFonts w:ascii="Arial" w:hAnsi="Arial" w:cs="Arial"/>
          <w:sz w:val="21"/>
          <w:szCs w:val="21"/>
        </w:rPr>
        <w:t>租赁价格水平</w:t>
      </w:r>
      <w:r>
        <w:rPr>
          <w:rFonts w:hint="eastAsia" w:ascii="Arial" w:hAnsi="Arial" w:cs="Arial"/>
          <w:sz w:val="21"/>
          <w:szCs w:val="21"/>
        </w:rPr>
        <w:t>。</w:t>
      </w:r>
      <w:r>
        <w:rPr>
          <w:rFonts w:ascii="Arial" w:hAnsi="Arial" w:cs="Arial"/>
          <w:sz w:val="21"/>
          <w:szCs w:val="21"/>
        </w:rPr>
        <w:t xml:space="preserve"> 同时</w:t>
      </w:r>
      <w:r>
        <w:rPr>
          <w:rFonts w:hint="eastAsia" w:ascii="Arial" w:hAnsi="Arial" w:cs="Arial"/>
          <w:sz w:val="21"/>
          <w:szCs w:val="21"/>
        </w:rPr>
        <w:t>，</w:t>
      </w:r>
      <w:r>
        <w:rPr>
          <w:rFonts w:ascii="Arial" w:hAnsi="Arial" w:cs="Arial"/>
          <w:sz w:val="21"/>
          <w:szCs w:val="21"/>
        </w:rPr>
        <w:t>通过区域因素修正得出估价对象相邻或相似区域</w:t>
      </w:r>
      <w:r>
        <w:rPr>
          <w:rFonts w:hint="eastAsia" w:ascii="Arial" w:hAnsi="Arial" w:cs="Arial"/>
          <w:sz w:val="21"/>
          <w:szCs w:val="21"/>
        </w:rPr>
        <w:t>住宅用房</w:t>
      </w:r>
      <w:r>
        <w:rPr>
          <w:rFonts w:ascii="Arial" w:hAnsi="Arial" w:cs="Arial"/>
          <w:sz w:val="21"/>
          <w:szCs w:val="21"/>
        </w:rPr>
        <w:t>租赁价格水平</w:t>
      </w:r>
      <w:r>
        <w:rPr>
          <w:rFonts w:hint="eastAsia" w:ascii="Arial" w:hAnsi="Arial" w:cs="Arial"/>
          <w:sz w:val="21"/>
          <w:szCs w:val="21"/>
        </w:rPr>
        <w:t>。</w:t>
      </w:r>
    </w:p>
    <w:p w14:paraId="385CBCC1">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不采用成本法、假设开发法、收益法的理由</w:t>
      </w:r>
      <w:r>
        <w:rPr>
          <w:rFonts w:hint="eastAsia" w:ascii="Arial" w:hAnsi="Arial" w:cs="Arial"/>
          <w:sz w:val="21"/>
          <w:szCs w:val="21"/>
        </w:rPr>
        <w:t>：</w:t>
      </w:r>
    </w:p>
    <w:p w14:paraId="58C21642">
      <w:pPr>
        <w:pStyle w:val="60"/>
        <w:wordWrap w:val="0"/>
        <w:overflowPunct w:val="0"/>
        <w:autoSpaceDE w:val="0"/>
        <w:autoSpaceDN w:val="0"/>
        <w:spacing w:line="480" w:lineRule="auto"/>
        <w:ind w:firstLine="420"/>
        <w:jc w:val="both"/>
        <w:textAlignment w:val="auto"/>
        <w:rPr>
          <w:rFonts w:ascii="Arial" w:hAnsi="Arial" w:cs="Arial"/>
          <w:sz w:val="21"/>
          <w:szCs w:val="21"/>
        </w:rPr>
      </w:pPr>
      <w:bookmarkStart w:id="67" w:name="_Hlk155267600"/>
      <w:r>
        <w:rPr>
          <w:rFonts w:hint="eastAsia" w:hAnsi="宋体" w:cs="Arial"/>
          <w:sz w:val="21"/>
          <w:szCs w:val="21"/>
        </w:rPr>
        <w:t>（1）估价对象适用比较法，且已优先采用比较法进行评估，故不再采用成本法进行测算。</w:t>
      </w:r>
    </w:p>
    <w:p w14:paraId="28DCD7EA">
      <w:pPr>
        <w:pStyle w:val="60"/>
        <w:wordWrap w:val="0"/>
        <w:overflowPunct w:val="0"/>
        <w:autoSpaceDE w:val="0"/>
        <w:autoSpaceDN w:val="0"/>
        <w:spacing w:line="480" w:lineRule="auto"/>
        <w:ind w:firstLine="420"/>
        <w:jc w:val="both"/>
        <w:textAlignment w:val="auto"/>
        <w:rPr>
          <w:rFonts w:hint="eastAsia" w:hAnsi="宋体" w:cs="Arial"/>
          <w:sz w:val="21"/>
          <w:szCs w:val="21"/>
        </w:rPr>
      </w:pPr>
      <w:r>
        <w:rPr>
          <w:rFonts w:hint="eastAsia" w:hAnsi="宋体" w:cs="Arial"/>
          <w:sz w:val="21"/>
          <w:szCs w:val="21"/>
        </w:rPr>
        <w:t>（2）假设开发法可评估房地产市场价值，但不适于租赁价格的评估。</w:t>
      </w:r>
    </w:p>
    <w:p w14:paraId="3B54021A">
      <w:pPr>
        <w:pStyle w:val="60"/>
        <w:wordWrap w:val="0"/>
        <w:overflowPunct w:val="0"/>
        <w:autoSpaceDE w:val="0"/>
        <w:autoSpaceDN w:val="0"/>
        <w:spacing w:line="480" w:lineRule="auto"/>
        <w:ind w:firstLine="420"/>
        <w:jc w:val="both"/>
        <w:textAlignment w:val="auto"/>
        <w:rPr>
          <w:rFonts w:hint="eastAsia" w:hAnsi="宋体" w:cs="Arial"/>
          <w:sz w:val="21"/>
          <w:szCs w:val="21"/>
        </w:rPr>
      </w:pPr>
      <w:r>
        <w:rPr>
          <w:rFonts w:hint="eastAsia" w:hAnsi="宋体" w:cs="Arial"/>
          <w:sz w:val="21"/>
          <w:szCs w:val="21"/>
        </w:rPr>
        <w:t>（3）</w:t>
      </w:r>
      <w:r>
        <w:rPr>
          <w:rFonts w:hAnsi="宋体" w:cs="Arial"/>
          <w:sz w:val="21"/>
          <w:szCs w:val="21"/>
        </w:rPr>
        <w:t>收益法适用于有现实收益或潜在收益的土地或房地产估价。估价对象用途</w:t>
      </w:r>
      <w:r>
        <w:rPr>
          <w:rFonts w:hint="eastAsia" w:hAnsi="宋体" w:cs="Arial"/>
          <w:sz w:val="21"/>
          <w:szCs w:val="21"/>
        </w:rPr>
        <w:t>设定为保障性租赁住房</w:t>
      </w:r>
      <w:r>
        <w:rPr>
          <w:rFonts w:hAnsi="宋体"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Pr>
          <w:rFonts w:hint="eastAsia" w:hAnsi="宋体" w:cs="Arial"/>
          <w:sz w:val="21"/>
          <w:szCs w:val="21"/>
        </w:rPr>
        <w:t>住宅</w:t>
      </w:r>
      <w:r>
        <w:rPr>
          <w:rFonts w:hAnsi="宋体" w:cs="Arial"/>
          <w:sz w:val="21"/>
          <w:szCs w:val="21"/>
        </w:rPr>
        <w:t>业态租售比差距较大， 采用房屋交易价格测算出的房屋租金不能反映正常的市场租金水平，故未采用收益法</w:t>
      </w:r>
      <w:bookmarkEnd w:id="67"/>
      <w:r>
        <w:rPr>
          <w:rFonts w:hint="eastAsia" w:hAnsi="宋体" w:cs="Arial"/>
          <w:sz w:val="21"/>
          <w:szCs w:val="21"/>
        </w:rPr>
        <w:t>。</w:t>
      </w:r>
    </w:p>
    <w:p w14:paraId="20E16DF9">
      <w:pPr>
        <w:pStyle w:val="60"/>
        <w:wordWrap w:val="0"/>
        <w:overflowPunct w:val="0"/>
        <w:autoSpaceDE w:val="0"/>
        <w:autoSpaceDN w:val="0"/>
        <w:spacing w:line="480" w:lineRule="auto"/>
        <w:ind w:right="140"/>
        <w:jc w:val="both"/>
        <w:textAlignment w:val="auto"/>
        <w:rPr>
          <w:rFonts w:ascii="Arial" w:hAnsi="Arial" w:cs="Arial"/>
          <w:b/>
          <w:sz w:val="21"/>
          <w:szCs w:val="21"/>
        </w:rPr>
      </w:pPr>
      <w:r>
        <w:rPr>
          <w:rFonts w:hint="eastAsia" w:ascii="Arial" w:hAnsi="Arial" w:cs="Arial"/>
          <w:b/>
          <w:sz w:val="21"/>
          <w:szCs w:val="21"/>
        </w:rPr>
        <w:t>（三）估价方法公式</w:t>
      </w:r>
      <w:r>
        <w:rPr>
          <w:rFonts w:ascii="Arial" w:hAnsi="Arial" w:cs="Arial"/>
          <w:b/>
          <w:sz w:val="21"/>
          <w:szCs w:val="21"/>
        </w:rPr>
        <w:t xml:space="preserve"> </w:t>
      </w:r>
    </w:p>
    <w:p w14:paraId="0344AAB9">
      <w:pPr>
        <w:pStyle w:val="60"/>
        <w:autoSpaceDE w:val="0"/>
        <w:autoSpaceDN w:val="0"/>
        <w:spacing w:line="480" w:lineRule="auto"/>
        <w:ind w:right="140" w:firstLine="420" w:firstLineChars="200"/>
        <w:jc w:val="both"/>
        <w:textAlignment w:val="bottom"/>
        <w:rPr>
          <w:rFonts w:ascii="Arial" w:hAnsi="Arial" w:cs="Arial"/>
          <w:sz w:val="21"/>
          <w:szCs w:val="21"/>
        </w:rPr>
      </w:pPr>
      <w:r>
        <w:rPr>
          <w:rFonts w:hint="eastAsia" w:ascii="Arial" w:hAnsi="Arial" w:cs="Arial"/>
          <w:sz w:val="21"/>
          <w:szCs w:val="21"/>
        </w:rPr>
        <w:t>比较法计算公式为：</w:t>
      </w:r>
    </w:p>
    <w:p w14:paraId="7C5636B2">
      <w:pPr>
        <w:pStyle w:val="60"/>
        <w:wordWrap w:val="0"/>
        <w:overflowPunct w:val="0"/>
        <w:autoSpaceDE w:val="0"/>
        <w:autoSpaceDN w:val="0"/>
        <w:spacing w:line="480" w:lineRule="auto"/>
        <w:ind w:right="140" w:firstLine="420"/>
        <w:jc w:val="both"/>
        <w:textAlignment w:val="auto"/>
        <w:rPr>
          <w:rFonts w:ascii="Arial" w:hAnsi="Arial" w:cs="Arial"/>
          <w:sz w:val="21"/>
          <w:szCs w:val="21"/>
        </w:rPr>
      </w:pPr>
      <w:r>
        <w:rPr>
          <w:rFonts w:ascii="Arial" w:hAnsi="Arial" w:cs="Arial"/>
          <w:sz w:val="21"/>
          <w:szCs w:val="21"/>
        </w:rPr>
        <w:t>待估房地产租赁价格＝可比实例房地产租赁价格×（待估房地产交易情况指数/可比实例交易情况指数）×（待估房地产交易日期房地产价租赁格指数/可比实例交易日期房地产租赁价格指数）×（待估房地产</w:t>
      </w:r>
      <w:r>
        <w:rPr>
          <w:rFonts w:hint="eastAsia" w:ascii="Arial" w:hAnsi="Arial" w:cs="Arial"/>
          <w:sz w:val="21"/>
          <w:szCs w:val="21"/>
        </w:rPr>
        <w:t>项目</w:t>
      </w:r>
      <w:r>
        <w:rPr>
          <w:rFonts w:ascii="Arial" w:hAnsi="Arial" w:cs="Arial"/>
          <w:sz w:val="21"/>
          <w:szCs w:val="21"/>
        </w:rPr>
        <w:t>类型指数/可比实例</w:t>
      </w:r>
      <w:r>
        <w:rPr>
          <w:rFonts w:hint="eastAsia" w:ascii="Arial" w:hAnsi="Arial" w:cs="Arial"/>
          <w:sz w:val="21"/>
          <w:szCs w:val="21"/>
        </w:rPr>
        <w:t>项目</w:t>
      </w:r>
      <w:r>
        <w:rPr>
          <w:rFonts w:ascii="Arial" w:hAnsi="Arial" w:cs="Arial"/>
          <w:sz w:val="21"/>
          <w:szCs w:val="21"/>
        </w:rPr>
        <w:t>类型指数</w:t>
      </w:r>
      <w:r>
        <w:rPr>
          <w:rFonts w:hint="eastAsia" w:ascii="Arial" w:hAnsi="Arial" w:cs="Arial"/>
          <w:sz w:val="21"/>
          <w:szCs w:val="21"/>
        </w:rPr>
        <w:t>）</w:t>
      </w:r>
      <w:r>
        <w:rPr>
          <w:rFonts w:ascii="Arial" w:hAnsi="Arial" w:cs="Arial"/>
          <w:sz w:val="21"/>
          <w:szCs w:val="21"/>
        </w:rPr>
        <w:t>…×（待估房地产区域状况条件指数/可比实例房地产区域状况条件指数）×（待估房地产实物状况条件指数/可比实例房地产实物状况条件指数）</w:t>
      </w:r>
    </w:p>
    <w:p w14:paraId="127D536A">
      <w:pPr>
        <w:pStyle w:val="60"/>
        <w:wordWrap w:val="0"/>
        <w:overflowPunct w:val="0"/>
        <w:autoSpaceDE w:val="0"/>
        <w:autoSpaceDN w:val="0"/>
        <w:spacing w:line="480" w:lineRule="auto"/>
        <w:ind w:right="140" w:firstLine="420"/>
        <w:jc w:val="both"/>
        <w:textAlignment w:val="auto"/>
        <w:rPr>
          <w:rFonts w:ascii="Arial" w:hAnsi="Arial" w:cs="Arial"/>
          <w:sz w:val="21"/>
          <w:szCs w:val="21"/>
        </w:rPr>
      </w:pPr>
      <w:r>
        <w:rPr>
          <w:rFonts w:hint="eastAsia" w:ascii="Arial" w:hAnsi="Arial" w:cs="Arial"/>
          <w:sz w:val="21"/>
          <w:szCs w:val="21"/>
        </w:rPr>
        <w:t>具体步骤如下：</w:t>
      </w:r>
    </w:p>
    <w:p w14:paraId="6CF5C094">
      <w:pPr>
        <w:pStyle w:val="60"/>
        <w:numPr>
          <w:ilvl w:val="0"/>
          <w:numId w:val="10"/>
        </w:numPr>
        <w:wordWrap w:val="0"/>
        <w:overflowPunct w:val="0"/>
        <w:autoSpaceDE w:val="0"/>
        <w:autoSpaceDN w:val="0"/>
        <w:spacing w:line="480" w:lineRule="auto"/>
        <w:ind w:right="140"/>
        <w:jc w:val="both"/>
        <w:textAlignment w:val="auto"/>
        <w:rPr>
          <w:rFonts w:ascii="Arial" w:hAnsi="Arial" w:cs="Arial"/>
          <w:sz w:val="21"/>
          <w:szCs w:val="21"/>
        </w:rPr>
      </w:pPr>
      <w:r>
        <w:rPr>
          <w:rFonts w:hint="eastAsia" w:ascii="Arial" w:hAnsi="Arial" w:cs="Arial"/>
          <w:sz w:val="21"/>
          <w:szCs w:val="21"/>
        </w:rPr>
        <w:t>选择可比案例</w:t>
      </w:r>
    </w:p>
    <w:p w14:paraId="2AE9DB03">
      <w:pPr>
        <w:wordWrap w:val="0"/>
        <w:overflowPunct w:val="0"/>
        <w:spacing w:line="480" w:lineRule="auto"/>
        <w:ind w:left="780"/>
        <w:rPr>
          <w:rFonts w:ascii="Arial" w:hAnsi="Arial"/>
          <w:sz w:val="21"/>
          <w:szCs w:val="21"/>
        </w:rPr>
      </w:pPr>
      <w:r>
        <w:rPr>
          <w:rFonts w:hint="eastAsia" w:ascii="Arial" w:hAnsi="Arial"/>
          <w:sz w:val="21"/>
          <w:szCs w:val="21"/>
        </w:rPr>
        <w:t>选择比较案例时，应符合以下要求（与待估房地产比较）</w:t>
      </w:r>
    </w:p>
    <w:p w14:paraId="6883D5A2">
      <w:pPr>
        <w:wordWrap w:val="0"/>
        <w:overflowPunct w:val="0"/>
        <w:spacing w:line="480" w:lineRule="auto"/>
        <w:ind w:left="780"/>
        <w:rPr>
          <w:rFonts w:ascii="Arial" w:hAnsi="Arial"/>
          <w:sz w:val="21"/>
          <w:szCs w:val="21"/>
        </w:rPr>
      </w:pPr>
      <w:r>
        <w:rPr>
          <w:rFonts w:ascii="Arial" w:hAnsi="Arial"/>
          <w:sz w:val="21"/>
          <w:szCs w:val="21"/>
        </w:rPr>
        <w:t>1</w:t>
      </w:r>
      <w:r>
        <w:rPr>
          <w:rFonts w:hint="eastAsia" w:ascii="Arial" w:hAnsi="Arial"/>
          <w:sz w:val="21"/>
          <w:szCs w:val="21"/>
        </w:rPr>
        <w:t>）用途相同</w:t>
      </w:r>
    </w:p>
    <w:p w14:paraId="24A79600">
      <w:pPr>
        <w:wordWrap w:val="0"/>
        <w:overflowPunct w:val="0"/>
        <w:spacing w:line="480" w:lineRule="auto"/>
        <w:ind w:left="780"/>
        <w:rPr>
          <w:rFonts w:ascii="Arial" w:hAnsi="Arial"/>
          <w:sz w:val="21"/>
          <w:szCs w:val="21"/>
        </w:rPr>
      </w:pPr>
      <w:r>
        <w:rPr>
          <w:rFonts w:ascii="Arial" w:hAnsi="Arial"/>
          <w:sz w:val="21"/>
          <w:szCs w:val="21"/>
        </w:rPr>
        <w:t>2</w:t>
      </w:r>
      <w:r>
        <w:rPr>
          <w:rFonts w:hint="eastAsia" w:ascii="Arial" w:hAnsi="Arial"/>
          <w:sz w:val="21"/>
          <w:szCs w:val="21"/>
        </w:rPr>
        <w:t>）属于正常交易</w:t>
      </w:r>
    </w:p>
    <w:p w14:paraId="4C3231ED">
      <w:pPr>
        <w:wordWrap w:val="0"/>
        <w:overflowPunct w:val="0"/>
        <w:spacing w:line="480" w:lineRule="auto"/>
        <w:ind w:left="780"/>
        <w:rPr>
          <w:rFonts w:ascii="Arial" w:hAnsi="Arial"/>
          <w:sz w:val="21"/>
          <w:szCs w:val="21"/>
        </w:rPr>
      </w:pPr>
      <w:r>
        <w:rPr>
          <w:rFonts w:ascii="Arial" w:hAnsi="Arial"/>
          <w:sz w:val="21"/>
          <w:szCs w:val="21"/>
        </w:rPr>
        <w:t>3</w:t>
      </w:r>
      <w:r>
        <w:rPr>
          <w:rFonts w:hint="eastAsia" w:ascii="Arial" w:hAnsi="Arial"/>
          <w:sz w:val="21"/>
          <w:szCs w:val="21"/>
        </w:rPr>
        <w:t>）房地产状况各因素相近</w:t>
      </w:r>
    </w:p>
    <w:p w14:paraId="3CB22637">
      <w:pPr>
        <w:wordWrap w:val="0"/>
        <w:overflowPunct w:val="0"/>
        <w:spacing w:line="480" w:lineRule="auto"/>
        <w:ind w:left="780"/>
        <w:rPr>
          <w:rFonts w:ascii="Arial" w:hAnsi="Arial"/>
          <w:sz w:val="21"/>
          <w:szCs w:val="21"/>
        </w:rPr>
      </w:pPr>
      <w:r>
        <w:rPr>
          <w:rFonts w:ascii="Arial" w:hAnsi="Arial"/>
          <w:sz w:val="21"/>
          <w:szCs w:val="21"/>
        </w:rPr>
        <w:t>4</w:t>
      </w:r>
      <w:r>
        <w:rPr>
          <w:rFonts w:hint="eastAsia" w:ascii="Arial" w:hAnsi="Arial"/>
          <w:sz w:val="21"/>
          <w:szCs w:val="21"/>
        </w:rPr>
        <w:t>）价值时点接近</w:t>
      </w:r>
    </w:p>
    <w:p w14:paraId="1970F302">
      <w:pPr>
        <w:wordWrap w:val="0"/>
        <w:overflowPunct w:val="0"/>
        <w:spacing w:line="480" w:lineRule="auto"/>
        <w:ind w:left="780"/>
        <w:rPr>
          <w:rFonts w:ascii="Arial" w:hAnsi="Arial"/>
          <w:sz w:val="21"/>
          <w:szCs w:val="21"/>
        </w:rPr>
      </w:pPr>
      <w:r>
        <w:rPr>
          <w:rFonts w:ascii="Arial" w:hAnsi="Arial"/>
          <w:sz w:val="21"/>
          <w:szCs w:val="21"/>
        </w:rPr>
        <w:t>5</w:t>
      </w:r>
      <w:r>
        <w:rPr>
          <w:rFonts w:hint="eastAsia" w:ascii="Arial" w:hAnsi="Arial"/>
          <w:sz w:val="21"/>
          <w:szCs w:val="21"/>
        </w:rPr>
        <w:t>）统一价格基础</w:t>
      </w:r>
    </w:p>
    <w:p w14:paraId="1D276434">
      <w:pPr>
        <w:pStyle w:val="60"/>
        <w:numPr>
          <w:ilvl w:val="0"/>
          <w:numId w:val="10"/>
        </w:numPr>
        <w:wordWrap w:val="0"/>
        <w:overflowPunct w:val="0"/>
        <w:autoSpaceDE w:val="0"/>
        <w:autoSpaceDN w:val="0"/>
        <w:spacing w:line="480" w:lineRule="auto"/>
        <w:ind w:right="140"/>
        <w:jc w:val="both"/>
        <w:textAlignment w:val="auto"/>
        <w:rPr>
          <w:rFonts w:ascii="Arial" w:hAnsi="Arial" w:cs="Arial"/>
          <w:sz w:val="21"/>
          <w:szCs w:val="21"/>
        </w:rPr>
      </w:pPr>
      <w:r>
        <w:rPr>
          <w:rFonts w:hint="eastAsia" w:ascii="Arial" w:hAnsi="Arial" w:cs="Arial"/>
          <w:sz w:val="21"/>
          <w:szCs w:val="21"/>
        </w:rPr>
        <w:t>进行交易情况、交易日期、项目类型、房地产状况等因素修正</w:t>
      </w:r>
    </w:p>
    <w:p w14:paraId="0B3BD584">
      <w:pPr>
        <w:pStyle w:val="60"/>
        <w:numPr>
          <w:ilvl w:val="0"/>
          <w:numId w:val="10"/>
        </w:numPr>
        <w:wordWrap w:val="0"/>
        <w:overflowPunct w:val="0"/>
        <w:autoSpaceDE w:val="0"/>
        <w:autoSpaceDN w:val="0"/>
        <w:spacing w:line="480" w:lineRule="auto"/>
        <w:ind w:right="140"/>
        <w:jc w:val="both"/>
        <w:textAlignment w:val="auto"/>
        <w:rPr>
          <w:rFonts w:ascii="Arial" w:hAnsi="Arial" w:cs="Arial"/>
          <w:sz w:val="21"/>
          <w:szCs w:val="21"/>
        </w:rPr>
      </w:pPr>
      <w:r>
        <w:rPr>
          <w:rFonts w:hint="eastAsia" w:ascii="Arial" w:hAnsi="Arial" w:cs="Arial"/>
          <w:sz w:val="21"/>
          <w:szCs w:val="21"/>
        </w:rPr>
        <w:t>求取估价对象比准价格</w:t>
      </w:r>
      <w:bookmarkStart w:id="68" w:name="_Toc525655440"/>
      <w:bookmarkStart w:id="69" w:name="_Toc155267107"/>
    </w:p>
    <w:p w14:paraId="117AEC64">
      <w:pPr>
        <w:rPr>
          <w:kern w:val="2"/>
          <w:sz w:val="21"/>
          <w:szCs w:val="21"/>
        </w:rPr>
      </w:pPr>
      <w:r>
        <w:rPr>
          <w:kern w:val="2"/>
          <w:sz w:val="21"/>
          <w:szCs w:val="21"/>
        </w:rPr>
        <w:br w:type="page"/>
      </w:r>
    </w:p>
    <w:p w14:paraId="33CB7E16">
      <w:pPr>
        <w:pStyle w:val="3"/>
        <w:numPr>
          <w:ilvl w:val="0"/>
          <w:numId w:val="0"/>
        </w:numPr>
        <w:spacing w:line="480" w:lineRule="auto"/>
        <w:ind w:left="358" w:hanging="358" w:hangingChars="170"/>
        <w:jc w:val="both"/>
        <w:rPr>
          <w:rFonts w:eastAsia="宋体"/>
          <w:kern w:val="2"/>
          <w:sz w:val="21"/>
          <w:szCs w:val="21"/>
        </w:rPr>
      </w:pPr>
      <w:r>
        <w:rPr>
          <w:rFonts w:eastAsia="宋体"/>
          <w:kern w:val="2"/>
          <w:sz w:val="21"/>
          <w:szCs w:val="21"/>
        </w:rPr>
        <w:t>五、估价测算过程</w:t>
      </w:r>
      <w:bookmarkEnd w:id="68"/>
      <w:bookmarkEnd w:id="69"/>
      <w:r>
        <w:rPr>
          <w:rFonts w:hint="eastAsia" w:eastAsia="宋体"/>
          <w:kern w:val="2"/>
          <w:sz w:val="21"/>
          <w:szCs w:val="21"/>
        </w:rPr>
        <w:t xml:space="preserve">  </w:t>
      </w:r>
    </w:p>
    <w:p w14:paraId="20B0EFF4">
      <w:pPr>
        <w:pStyle w:val="60"/>
        <w:autoSpaceDE w:val="0"/>
        <w:autoSpaceDN w:val="0"/>
        <w:spacing w:line="480" w:lineRule="auto"/>
        <w:ind w:right="140" w:firstLine="422" w:firstLineChars="200"/>
        <w:jc w:val="both"/>
        <w:textAlignment w:val="bottom"/>
        <w:rPr>
          <w:rFonts w:ascii="Arial" w:hAnsi="Arial" w:cs="Arial"/>
          <w:b/>
          <w:sz w:val="21"/>
          <w:szCs w:val="21"/>
        </w:rPr>
      </w:pPr>
      <w:r>
        <w:rPr>
          <w:rFonts w:hint="eastAsia" w:ascii="Arial" w:hAnsi="Arial" w:cs="Arial"/>
          <w:b/>
          <w:sz w:val="21"/>
          <w:szCs w:val="21"/>
        </w:rPr>
        <w:t>（一）标准房选取</w:t>
      </w:r>
    </w:p>
    <w:p w14:paraId="3EF234F0">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本次选用比较法对估价对象的市场租金水平进行测算，具体测算思路如下：</w:t>
      </w:r>
    </w:p>
    <w:p w14:paraId="6CE5B819">
      <w:pPr>
        <w:pStyle w:val="60"/>
        <w:wordWrap w:val="0"/>
        <w:overflowPunct w:val="0"/>
        <w:autoSpaceDE w:val="0"/>
        <w:autoSpaceDN w:val="0"/>
        <w:snapToGrid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根据估价委托人提供的</w:t>
      </w:r>
      <w:r>
        <w:rPr>
          <w:rFonts w:hint="eastAsia" w:ascii="Arial" w:hAnsi="Arial" w:cs="Arial"/>
          <w:kern w:val="2"/>
          <w:sz w:val="21"/>
        </w:rPr>
        <w:t>《</w:t>
      </w:r>
      <w:r>
        <w:rPr>
          <w:rFonts w:hint="eastAsia" w:ascii="Arial" w:hAnsi="Arial" w:cs="Arial"/>
          <w:kern w:val="2"/>
          <w:sz w:val="21"/>
          <w:szCs w:val="21"/>
        </w:rPr>
        <w:t>估价委托书</w:t>
      </w:r>
      <w:r>
        <w:rPr>
          <w:rFonts w:hint="eastAsia" w:ascii="Arial" w:hAnsi="Arial" w:cs="Arial"/>
          <w:kern w:val="2"/>
          <w:sz w:val="21"/>
        </w:rPr>
        <w:t>》、</w:t>
      </w:r>
      <w:r>
        <w:rPr>
          <w:rFonts w:hint="eastAsia" w:ascii="Arial" w:hAnsi="Arial" w:cs="Arial"/>
          <w:sz w:val="21"/>
          <w:szCs w:val="21"/>
        </w:rPr>
        <w:t>《北京市保障性住房收购合同》及其附件，本次评估的标准房设定如下，标准房是指参照特定保障性租赁住房项目的建筑类型、结构、户型（含面积）、装饰装修、设施设备、家具家电、楼层、朝向等指标进行分类，分别设定的具有代表性的房屋。标准房设定时，其结构、装饰装修、设施设备、家具家电按照众数设定，楼层、朝向按保障性租赁住房项目中最优条件确定：</w:t>
      </w:r>
    </w:p>
    <w:tbl>
      <w:tblPr>
        <w:tblStyle w:val="33"/>
        <w:tblW w:w="9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556"/>
        <w:gridCol w:w="1625"/>
        <w:gridCol w:w="1693"/>
        <w:gridCol w:w="1557"/>
        <w:gridCol w:w="1491"/>
        <w:gridCol w:w="1491"/>
      </w:tblGrid>
      <w:tr w14:paraId="0A548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43D479EA">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w:t>
            </w:r>
          </w:p>
        </w:tc>
        <w:tc>
          <w:tcPr>
            <w:tcW w:w="1625" w:type="dxa"/>
          </w:tcPr>
          <w:p w14:paraId="4955CFF6">
            <w:pPr>
              <w:snapToGrid w:val="0"/>
              <w:spacing w:line="240" w:lineRule="exact"/>
              <w:jc w:val="center"/>
              <w:rPr>
                <w:rFonts w:ascii="Arial" w:hAnsi="Arial" w:eastAsia="华文细黑" w:cs="Arial"/>
                <w:sz w:val="18"/>
                <w:szCs w:val="18"/>
              </w:rPr>
            </w:pPr>
            <w:r>
              <w:rPr>
                <w:rFonts w:ascii="Arial" w:hAnsi="Arial" w:eastAsia="华文细黑" w:cs="Arial"/>
                <w:sz w:val="18"/>
                <w:szCs w:val="18"/>
              </w:rPr>
              <w:t>户型</w:t>
            </w:r>
          </w:p>
        </w:tc>
        <w:tc>
          <w:tcPr>
            <w:tcW w:w="1693" w:type="dxa"/>
          </w:tcPr>
          <w:p w14:paraId="7C17F4EB">
            <w:pPr>
              <w:snapToGrid w:val="0"/>
              <w:spacing w:line="240" w:lineRule="exact"/>
              <w:jc w:val="center"/>
              <w:rPr>
                <w:rFonts w:ascii="Arial" w:hAnsi="Arial" w:eastAsia="华文细黑" w:cs="Arial"/>
                <w:sz w:val="18"/>
                <w:szCs w:val="18"/>
              </w:rPr>
            </w:pPr>
            <w:r>
              <w:rPr>
                <w:rFonts w:ascii="Arial" w:hAnsi="Arial" w:eastAsia="华文细黑" w:cs="Arial"/>
                <w:sz w:val="18"/>
                <w:szCs w:val="18"/>
              </w:rPr>
              <w:t>建筑面积（㎡）</w:t>
            </w:r>
          </w:p>
        </w:tc>
        <w:tc>
          <w:tcPr>
            <w:tcW w:w="1557" w:type="dxa"/>
          </w:tcPr>
          <w:p w14:paraId="3E1BD26F">
            <w:pPr>
              <w:snapToGrid w:val="0"/>
              <w:spacing w:line="240" w:lineRule="exact"/>
              <w:jc w:val="center"/>
              <w:rPr>
                <w:rFonts w:ascii="Arial" w:hAnsi="Arial" w:eastAsia="华文细黑" w:cs="Arial"/>
                <w:sz w:val="18"/>
                <w:szCs w:val="18"/>
              </w:rPr>
            </w:pPr>
            <w:r>
              <w:rPr>
                <w:rFonts w:ascii="Arial" w:hAnsi="Arial" w:eastAsia="华文细黑" w:cs="Arial"/>
                <w:sz w:val="18"/>
                <w:szCs w:val="18"/>
              </w:rPr>
              <w:t>朝向</w:t>
            </w:r>
          </w:p>
        </w:tc>
        <w:tc>
          <w:tcPr>
            <w:tcW w:w="1491" w:type="dxa"/>
          </w:tcPr>
          <w:p w14:paraId="4C64B7ED">
            <w:pPr>
              <w:snapToGrid w:val="0"/>
              <w:spacing w:line="240" w:lineRule="exact"/>
              <w:jc w:val="center"/>
              <w:rPr>
                <w:rFonts w:ascii="Arial" w:hAnsi="Arial" w:eastAsia="华文细黑" w:cs="Arial"/>
                <w:sz w:val="18"/>
                <w:szCs w:val="18"/>
              </w:rPr>
            </w:pPr>
            <w:r>
              <w:rPr>
                <w:rFonts w:ascii="Arial" w:hAnsi="Arial" w:eastAsia="华文细黑" w:cs="Arial"/>
                <w:sz w:val="18"/>
                <w:szCs w:val="18"/>
              </w:rPr>
              <w:t>楼层</w:t>
            </w:r>
          </w:p>
        </w:tc>
        <w:tc>
          <w:tcPr>
            <w:tcW w:w="1491" w:type="dxa"/>
          </w:tcPr>
          <w:p w14:paraId="4EF0E380">
            <w:pPr>
              <w:snapToGrid w:val="0"/>
              <w:spacing w:line="240" w:lineRule="exact"/>
              <w:jc w:val="center"/>
              <w:rPr>
                <w:rFonts w:ascii="Arial" w:hAnsi="Arial" w:eastAsia="华文细黑" w:cs="Arial"/>
                <w:sz w:val="18"/>
                <w:szCs w:val="18"/>
              </w:rPr>
            </w:pPr>
            <w:r>
              <w:rPr>
                <w:rFonts w:ascii="Arial" w:hAnsi="Arial" w:eastAsia="华文细黑" w:cs="Arial"/>
                <w:sz w:val="18"/>
                <w:szCs w:val="18"/>
              </w:rPr>
              <w:t>装修</w:t>
            </w:r>
          </w:p>
        </w:tc>
      </w:tr>
      <w:tr w14:paraId="31284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68F063E5">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标准房1</w:t>
            </w:r>
          </w:p>
        </w:tc>
        <w:tc>
          <w:tcPr>
            <w:tcW w:w="1625" w:type="dxa"/>
          </w:tcPr>
          <w:p w14:paraId="693524E0">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开  间</w:t>
            </w:r>
          </w:p>
        </w:tc>
        <w:tc>
          <w:tcPr>
            <w:tcW w:w="1693" w:type="dxa"/>
          </w:tcPr>
          <w:p w14:paraId="36D499AA">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60.49</w:t>
            </w:r>
          </w:p>
        </w:tc>
        <w:tc>
          <w:tcPr>
            <w:tcW w:w="1557" w:type="dxa"/>
          </w:tcPr>
          <w:p w14:paraId="1517E501">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w:t>
            </w:r>
          </w:p>
        </w:tc>
        <w:tc>
          <w:tcPr>
            <w:tcW w:w="1491" w:type="dxa"/>
          </w:tcPr>
          <w:p w14:paraId="50B90D76">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66464740">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中档装修</w:t>
            </w:r>
          </w:p>
        </w:tc>
      </w:tr>
      <w:tr w14:paraId="62B3E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70E660E5">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标准房2</w:t>
            </w:r>
          </w:p>
        </w:tc>
        <w:tc>
          <w:tcPr>
            <w:tcW w:w="1625" w:type="dxa"/>
          </w:tcPr>
          <w:p w14:paraId="51201B24">
            <w:pPr>
              <w:snapToGrid w:val="0"/>
              <w:spacing w:line="240" w:lineRule="exact"/>
              <w:jc w:val="center"/>
              <w:rPr>
                <w:rFonts w:ascii="Arial" w:hAnsi="Arial" w:eastAsia="华文细黑" w:cs="Arial"/>
                <w:sz w:val="18"/>
                <w:szCs w:val="18"/>
              </w:rPr>
            </w:pPr>
            <w:r>
              <w:rPr>
                <w:rFonts w:ascii="Arial" w:hAnsi="Arial" w:eastAsia="华文细黑" w:cs="Arial"/>
                <w:sz w:val="18"/>
                <w:szCs w:val="18"/>
              </w:rPr>
              <w:t>一居室</w:t>
            </w:r>
          </w:p>
        </w:tc>
        <w:tc>
          <w:tcPr>
            <w:tcW w:w="1693" w:type="dxa"/>
          </w:tcPr>
          <w:p w14:paraId="57BE07EC">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74.00</w:t>
            </w:r>
          </w:p>
        </w:tc>
        <w:tc>
          <w:tcPr>
            <w:tcW w:w="1557" w:type="dxa"/>
          </w:tcPr>
          <w:p w14:paraId="3042CC64">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0DA7E223">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7C9B08F7">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中档装修</w:t>
            </w:r>
          </w:p>
        </w:tc>
      </w:tr>
      <w:tr w14:paraId="2D59E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2B4C8320">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标准房3</w:t>
            </w:r>
          </w:p>
        </w:tc>
        <w:tc>
          <w:tcPr>
            <w:tcW w:w="1625" w:type="dxa"/>
          </w:tcPr>
          <w:p w14:paraId="314F27B6">
            <w:pPr>
              <w:snapToGrid w:val="0"/>
              <w:spacing w:line="240" w:lineRule="exact"/>
              <w:jc w:val="center"/>
              <w:rPr>
                <w:rFonts w:ascii="Arial" w:hAnsi="Arial" w:eastAsia="华文细黑" w:cs="Arial"/>
                <w:sz w:val="18"/>
                <w:szCs w:val="18"/>
              </w:rPr>
            </w:pPr>
            <w:r>
              <w:rPr>
                <w:rFonts w:ascii="Arial" w:hAnsi="Arial" w:eastAsia="华文细黑" w:cs="Arial"/>
                <w:sz w:val="18"/>
                <w:szCs w:val="18"/>
              </w:rPr>
              <w:t>一居室</w:t>
            </w:r>
          </w:p>
        </w:tc>
        <w:tc>
          <w:tcPr>
            <w:tcW w:w="1693" w:type="dxa"/>
          </w:tcPr>
          <w:p w14:paraId="44B336BA">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82.85</w:t>
            </w:r>
          </w:p>
        </w:tc>
        <w:tc>
          <w:tcPr>
            <w:tcW w:w="1557" w:type="dxa"/>
          </w:tcPr>
          <w:p w14:paraId="2A474D98">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w:t>
            </w:r>
          </w:p>
        </w:tc>
        <w:tc>
          <w:tcPr>
            <w:tcW w:w="1491" w:type="dxa"/>
          </w:tcPr>
          <w:p w14:paraId="0C7899C3">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09AF83A4">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中档装修</w:t>
            </w:r>
          </w:p>
        </w:tc>
      </w:tr>
      <w:tr w14:paraId="5BE32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6E0FB514">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w:t>
            </w:r>
            <w:r>
              <w:rPr>
                <w:rFonts w:hint="eastAsia" w:ascii="Arial" w:hAnsi="Arial" w:eastAsia="华文细黑" w:cs="Arial"/>
                <w:sz w:val="18"/>
                <w:szCs w:val="18"/>
              </w:rPr>
              <w:t>4</w:t>
            </w:r>
          </w:p>
        </w:tc>
        <w:tc>
          <w:tcPr>
            <w:tcW w:w="1625" w:type="dxa"/>
          </w:tcPr>
          <w:p w14:paraId="6BA2C077">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两居室</w:t>
            </w:r>
          </w:p>
        </w:tc>
        <w:tc>
          <w:tcPr>
            <w:tcW w:w="1693" w:type="dxa"/>
          </w:tcPr>
          <w:p w14:paraId="5DBE8D57">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99.64</w:t>
            </w:r>
          </w:p>
        </w:tc>
        <w:tc>
          <w:tcPr>
            <w:tcW w:w="1557" w:type="dxa"/>
          </w:tcPr>
          <w:p w14:paraId="72412309">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47EA07B5">
            <w:pPr>
              <w:snapToGrid w:val="0"/>
              <w:spacing w:line="240" w:lineRule="exact"/>
              <w:jc w:val="center"/>
              <w:rPr>
                <w:rFonts w:hint="eastAsia" w:ascii="华文细黑" w:hAnsi="华文细黑" w:eastAsia="华文细黑" w:cs="Arial"/>
                <w:sz w:val="18"/>
                <w:szCs w:val="18"/>
              </w:rPr>
            </w:pPr>
            <w:r>
              <w:rPr>
                <w:rFonts w:hint="eastAsia" w:ascii="华文细黑" w:hAnsi="华文细黑" w:eastAsia="华文细黑" w:cs="Arial"/>
                <w:sz w:val="18"/>
                <w:szCs w:val="18"/>
              </w:rPr>
              <w:t>高楼层</w:t>
            </w:r>
          </w:p>
        </w:tc>
        <w:tc>
          <w:tcPr>
            <w:tcW w:w="1491" w:type="dxa"/>
          </w:tcPr>
          <w:p w14:paraId="783672E8">
            <w:pPr>
              <w:snapToGrid w:val="0"/>
              <w:spacing w:line="240" w:lineRule="exact"/>
              <w:jc w:val="center"/>
              <w:rPr>
                <w:rFonts w:hint="eastAsia" w:ascii="华文细黑" w:hAnsi="华文细黑" w:eastAsia="华文细黑" w:cs="Arial"/>
                <w:sz w:val="18"/>
                <w:szCs w:val="18"/>
                <w:lang w:eastAsia="zh-CN"/>
              </w:rPr>
            </w:pPr>
            <w:r>
              <w:rPr>
                <w:rFonts w:hint="eastAsia" w:ascii="华文细黑" w:hAnsi="华文细黑" w:eastAsia="华文细黑" w:cs="Arial"/>
                <w:sz w:val="18"/>
                <w:szCs w:val="18"/>
                <w:lang w:eastAsia="zh-CN"/>
              </w:rPr>
              <w:t>中档装修</w:t>
            </w:r>
          </w:p>
        </w:tc>
      </w:tr>
      <w:tr w14:paraId="09921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3505422C">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w:t>
            </w:r>
            <w:r>
              <w:rPr>
                <w:rFonts w:hint="eastAsia" w:ascii="Arial" w:hAnsi="Arial" w:eastAsia="华文细黑" w:cs="Arial"/>
                <w:sz w:val="18"/>
                <w:szCs w:val="18"/>
              </w:rPr>
              <w:t>5</w:t>
            </w:r>
          </w:p>
        </w:tc>
        <w:tc>
          <w:tcPr>
            <w:tcW w:w="1625" w:type="dxa"/>
          </w:tcPr>
          <w:p w14:paraId="25C86276">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三</w:t>
            </w:r>
            <w:r>
              <w:rPr>
                <w:rFonts w:ascii="Arial" w:hAnsi="Arial" w:eastAsia="华文细黑" w:cs="Arial"/>
                <w:sz w:val="18"/>
                <w:szCs w:val="18"/>
              </w:rPr>
              <w:t>居室</w:t>
            </w:r>
          </w:p>
        </w:tc>
        <w:tc>
          <w:tcPr>
            <w:tcW w:w="1693" w:type="dxa"/>
          </w:tcPr>
          <w:p w14:paraId="1375FF7E">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107.74</w:t>
            </w:r>
          </w:p>
        </w:tc>
        <w:tc>
          <w:tcPr>
            <w:tcW w:w="1557" w:type="dxa"/>
          </w:tcPr>
          <w:p w14:paraId="30D74836">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w:t>
            </w:r>
          </w:p>
        </w:tc>
        <w:tc>
          <w:tcPr>
            <w:tcW w:w="1491" w:type="dxa"/>
          </w:tcPr>
          <w:p w14:paraId="4DFA0560">
            <w:pPr>
              <w:snapToGrid w:val="0"/>
              <w:spacing w:line="240" w:lineRule="exact"/>
              <w:jc w:val="center"/>
              <w:rPr>
                <w:rFonts w:hint="eastAsia" w:ascii="华文细黑" w:hAnsi="华文细黑" w:eastAsia="华文细黑" w:cs="Arial"/>
                <w:sz w:val="18"/>
                <w:szCs w:val="18"/>
              </w:rPr>
            </w:pPr>
            <w:r>
              <w:rPr>
                <w:rFonts w:hint="eastAsia" w:ascii="华文细黑" w:hAnsi="华文细黑" w:eastAsia="华文细黑" w:cs="Arial"/>
                <w:sz w:val="18"/>
                <w:szCs w:val="18"/>
              </w:rPr>
              <w:t>高楼层</w:t>
            </w:r>
          </w:p>
        </w:tc>
        <w:tc>
          <w:tcPr>
            <w:tcW w:w="1491" w:type="dxa"/>
          </w:tcPr>
          <w:p w14:paraId="0BAD11D7">
            <w:pPr>
              <w:snapToGrid w:val="0"/>
              <w:spacing w:line="240" w:lineRule="exact"/>
              <w:jc w:val="center"/>
              <w:rPr>
                <w:rFonts w:hint="eastAsia" w:ascii="华文细黑" w:hAnsi="华文细黑" w:eastAsia="华文细黑" w:cs="Arial"/>
                <w:sz w:val="18"/>
                <w:szCs w:val="18"/>
                <w:lang w:eastAsia="zh-CN"/>
              </w:rPr>
            </w:pPr>
            <w:r>
              <w:rPr>
                <w:rFonts w:hint="eastAsia" w:ascii="华文细黑" w:hAnsi="华文细黑" w:eastAsia="华文细黑" w:cs="Arial"/>
                <w:sz w:val="18"/>
                <w:szCs w:val="18"/>
                <w:lang w:eastAsia="zh-CN"/>
              </w:rPr>
              <w:t>中档装修</w:t>
            </w:r>
          </w:p>
        </w:tc>
      </w:tr>
    </w:tbl>
    <w:p w14:paraId="437E2C8B">
      <w:pPr>
        <w:pStyle w:val="18"/>
        <w:spacing w:before="240" w:beforeLines="100" w:line="480" w:lineRule="auto"/>
        <w:ind w:firstLine="422" w:firstLineChars="200"/>
        <w:rPr>
          <w:rFonts w:ascii="Arial" w:hAnsi="Arial" w:eastAsia="宋体" w:cs="Arial"/>
          <w:sz w:val="21"/>
          <w:szCs w:val="21"/>
        </w:rPr>
      </w:pPr>
      <w:r>
        <w:rPr>
          <w:rFonts w:ascii="Arial" w:hAnsi="Arial" w:eastAsia="宋体" w:cs="Arial"/>
          <w:sz w:val="21"/>
          <w:szCs w:val="21"/>
        </w:rPr>
        <w:t>（</w:t>
      </w:r>
      <w:r>
        <w:rPr>
          <w:rFonts w:hint="eastAsia" w:ascii="Arial" w:hAnsi="Arial" w:eastAsia="宋体" w:cs="Arial"/>
          <w:sz w:val="21"/>
          <w:szCs w:val="21"/>
        </w:rPr>
        <w:t>二</w:t>
      </w:r>
      <w:r>
        <w:rPr>
          <w:rFonts w:ascii="Arial" w:hAnsi="Arial" w:eastAsia="宋体" w:cs="Arial"/>
          <w:sz w:val="21"/>
          <w:szCs w:val="21"/>
        </w:rPr>
        <w:t>）</w:t>
      </w:r>
      <w:r>
        <w:rPr>
          <w:rFonts w:hint="eastAsia" w:ascii="Arial" w:hAnsi="Arial" w:eastAsia="宋体" w:cs="Arial"/>
          <w:sz w:val="21"/>
          <w:szCs w:val="21"/>
        </w:rPr>
        <w:t>比较法测算过程</w:t>
      </w:r>
    </w:p>
    <w:p w14:paraId="5A7FB353">
      <w:pPr>
        <w:wordWrap w:val="0"/>
        <w:overflowPunct w:val="0"/>
        <w:spacing w:line="480" w:lineRule="auto"/>
        <w:ind w:firstLine="420" w:firstLineChars="200"/>
        <w:rPr>
          <w:rFonts w:ascii="Arial" w:hAnsi="Arial" w:cs="Arial"/>
          <w:sz w:val="21"/>
          <w:szCs w:val="21"/>
        </w:rPr>
      </w:pPr>
      <w:r>
        <w:rPr>
          <w:rFonts w:ascii="Arial" w:hAnsi="Arial" w:cs="Arial"/>
          <w:sz w:val="21"/>
          <w:szCs w:val="21"/>
        </w:rPr>
        <w:t>根据评估专业人员所掌握的市场资料，采用房地产交易中的替代原则，选取与估价对象类似用途的</w:t>
      </w:r>
      <w:commentRangeStart w:id="15"/>
      <w:r>
        <w:rPr>
          <w:rFonts w:ascii="Arial" w:hAnsi="Arial" w:cs="Arial"/>
          <w:sz w:val="21"/>
          <w:szCs w:val="21"/>
        </w:rPr>
        <w:t>案例</w:t>
      </w:r>
      <w:commentRangeEnd w:id="15"/>
      <w:r>
        <w:rPr>
          <w:rStyle w:val="40"/>
        </w:rPr>
        <w:commentReference w:id="15"/>
      </w:r>
      <w:r>
        <w:rPr>
          <w:rFonts w:ascii="Arial" w:hAnsi="Arial" w:cs="Arial"/>
          <w:sz w:val="21"/>
          <w:szCs w:val="21"/>
        </w:rPr>
        <w:t>，并分别进行交易情况、市场状况、项目类型、房地产状况（权益、区位、实物）的修正和调整。</w:t>
      </w:r>
    </w:p>
    <w:p w14:paraId="700F6764">
      <w:pPr>
        <w:wordWrap w:val="0"/>
        <w:overflowPunct w:val="0"/>
        <w:spacing w:line="480" w:lineRule="auto"/>
        <w:ind w:firstLine="422" w:firstLineChars="200"/>
        <w:rPr>
          <w:rFonts w:ascii="Arial" w:hAnsi="Arial" w:cs="Arial"/>
          <w:b/>
          <w:sz w:val="21"/>
          <w:szCs w:val="21"/>
        </w:rPr>
      </w:pPr>
      <w:r>
        <w:rPr>
          <w:rFonts w:hint="eastAsia" w:ascii="Arial" w:hAnsi="Arial" w:cs="Arial"/>
          <w:b/>
          <w:sz w:val="21"/>
          <w:szCs w:val="21"/>
        </w:rPr>
        <w:t>A.标准房1（</w:t>
      </w:r>
      <w:r>
        <w:rPr>
          <w:rFonts w:hint="eastAsia" w:ascii="宋体" w:hAnsi="宋体"/>
          <w:b/>
          <w:sz w:val="21"/>
          <w:szCs w:val="21"/>
        </w:rPr>
        <w:t>开间标准房市场租金水平）</w:t>
      </w:r>
    </w:p>
    <w:p w14:paraId="19FE6B48">
      <w:pPr>
        <w:wordWrap w:val="0"/>
        <w:overflowPunct w:val="0"/>
        <w:spacing w:line="480" w:lineRule="auto"/>
        <w:ind w:firstLine="420" w:firstLineChars="200"/>
        <w:rPr>
          <w:rFonts w:ascii="Arial" w:hAnsi="Arial" w:cs="Arial"/>
          <w:sz w:val="21"/>
          <w:szCs w:val="21"/>
        </w:rPr>
      </w:pPr>
      <w:r>
        <w:rPr>
          <w:rFonts w:ascii="Arial" w:hAnsi="Arial" w:cs="Arial"/>
          <w:sz w:val="21"/>
          <w:szCs w:val="21"/>
        </w:rPr>
        <w:t>1.选取案例并作因素条件说明</w:t>
      </w:r>
    </w:p>
    <w:p w14:paraId="506657B0">
      <w:pPr>
        <w:wordWrap w:val="0"/>
        <w:overflowPunct w:val="0"/>
        <w:spacing w:line="480" w:lineRule="auto"/>
        <w:ind w:firstLine="420" w:firstLineChars="200"/>
        <w:rPr>
          <w:rFonts w:ascii="Arial" w:hAnsi="Arial" w:cs="Arial"/>
          <w:sz w:val="21"/>
          <w:szCs w:val="21"/>
        </w:rPr>
      </w:pPr>
      <w:r>
        <w:rPr>
          <w:rFonts w:ascii="Arial" w:hAnsi="Arial" w:cs="Arial"/>
          <w:sz w:val="21"/>
          <w:szCs w:val="21"/>
        </w:rPr>
        <w:t>通过对北京市</w:t>
      </w:r>
      <w:r>
        <w:rPr>
          <w:rFonts w:hint="eastAsia" w:ascii="Arial" w:hAnsi="Arial" w:cs="Arial"/>
          <w:sz w:val="21"/>
          <w:szCs w:val="21"/>
        </w:rPr>
        <w:t>大兴</w:t>
      </w:r>
      <w:r>
        <w:rPr>
          <w:rFonts w:ascii="Arial" w:hAnsi="Arial" w:cs="Arial"/>
          <w:sz w:val="21"/>
          <w:szCs w:val="21"/>
        </w:rPr>
        <w:t>区</w:t>
      </w:r>
      <w:r>
        <w:rPr>
          <w:rFonts w:hint="eastAsia" w:ascii="Arial" w:hAnsi="Arial" w:cs="Arial"/>
          <w:sz w:val="21"/>
          <w:szCs w:val="21"/>
        </w:rPr>
        <w:t>周边住宅</w:t>
      </w:r>
      <w:r>
        <w:rPr>
          <w:rFonts w:ascii="Arial" w:hAnsi="Arial" w:cs="Arial"/>
          <w:sz w:val="21"/>
          <w:szCs w:val="21"/>
        </w:rPr>
        <w:t>市场的调查，</w:t>
      </w:r>
      <w:commentRangeStart w:id="16"/>
      <w:r>
        <w:rPr>
          <w:rFonts w:ascii="Arial" w:hAnsi="Arial" w:cs="Arial"/>
          <w:sz w:val="21"/>
          <w:szCs w:val="21"/>
        </w:rPr>
        <w:t>选取近期同一供需圈内邻近地区的三个租赁</w:t>
      </w:r>
      <w:r>
        <w:rPr>
          <w:rFonts w:hint="eastAsia" w:ascii="Arial" w:hAnsi="Arial" w:cs="Arial"/>
          <w:sz w:val="21"/>
          <w:szCs w:val="21"/>
        </w:rPr>
        <w:t>实例</w:t>
      </w:r>
      <w:commentRangeEnd w:id="16"/>
      <w:r>
        <w:rPr>
          <w:rStyle w:val="40"/>
        </w:rPr>
        <w:commentReference w:id="16"/>
      </w:r>
      <w:r>
        <w:rPr>
          <w:rFonts w:ascii="Arial" w:hAnsi="Arial" w:cs="Arial"/>
          <w:sz w:val="21"/>
          <w:szCs w:val="21"/>
        </w:rPr>
        <w:t>进行比较。</w:t>
      </w:r>
    </w:p>
    <w:p w14:paraId="013ECD10">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可比实例1</w:t>
      </w:r>
      <w:r>
        <w:rPr>
          <w:rFonts w:ascii="Arial" w:hAnsi="Arial" w:cs="Arial"/>
          <w:sz w:val="21"/>
          <w:szCs w:val="21"/>
        </w:rPr>
        <w:t>：</w:t>
      </w:r>
    </w:p>
    <w:p w14:paraId="614D9549">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兴水家园</w:t>
      </w:r>
    </w:p>
    <w:p w14:paraId="7864ED61">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大兴区林校路69号</w:t>
      </w:r>
    </w:p>
    <w:p w14:paraId="52F3A211">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679D3B84">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160132E3">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4709F293">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可比实例1周边2公里内有漪景苑、埝坛华庭北区、壹品兴创颐和公馆、矿林庄小区、锦华园小区、义和庄东里等居住项目，居住小区规模适中，入住率较好，综合评价居住区成熟度较好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主干道——林校路</w:t>
      </w:r>
      <w:r>
        <w:rPr>
          <w:rFonts w:ascii="Arial" w:hAnsi="Arial" w:cs="Arial"/>
          <w:sz w:val="21"/>
          <w:szCs w:val="21"/>
        </w:rPr>
        <w:t>，</w:t>
      </w:r>
      <w:r>
        <w:rPr>
          <w:rFonts w:hint="eastAsia" w:ascii="Arial" w:hAnsi="Arial" w:cs="Arial"/>
          <w:kern w:val="2"/>
          <w:sz w:val="21"/>
          <w:szCs w:val="21"/>
        </w:rPr>
        <w:t>周边2公里范围内有轨道交通站点（地铁4号线义和庄站），周边1公里内有827路、829路、840路、兴11路、兴21路等公交线路途径并设立站点，综合评价交通便捷度较好；</w:t>
      </w:r>
      <w:r>
        <w:rPr>
          <w:rFonts w:ascii="Arial" w:hAnsi="Arial" w:cs="Arial"/>
          <w:sz w:val="21"/>
          <w:szCs w:val="21"/>
        </w:rPr>
        <w:t>周边有</w:t>
      </w:r>
      <w:r>
        <w:rPr>
          <w:rFonts w:hint="eastAsia" w:ascii="Arial" w:hAnsi="Arial" w:cs="Arial"/>
          <w:kern w:val="2"/>
          <w:sz w:val="21"/>
          <w:szCs w:val="21"/>
        </w:rPr>
        <w:t>孙村公园、新凤河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w:t>
      </w:r>
      <w:r>
        <w:rPr>
          <w:rFonts w:hint="eastAsia" w:ascii="Arial" w:hAnsi="Arial" w:cs="Arial"/>
          <w:sz w:val="21"/>
          <w:szCs w:val="21"/>
        </w:rPr>
        <w:t>周边2公里有念坛公园、兴良路公园、永定公园、小龙河等自然景观，有中央文化和旅游管理干部学院、国家林业和草原局管理干部学院等人文环境、综合评价自然与人文环境较好</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可比实例1</w:t>
      </w:r>
      <w:r>
        <w:rPr>
          <w:rFonts w:ascii="Arial" w:hAnsi="Arial" w:cs="Arial"/>
          <w:sz w:val="21"/>
          <w:szCs w:val="21"/>
        </w:rPr>
        <w:t>为</w:t>
      </w:r>
      <w:r>
        <w:rPr>
          <w:rFonts w:hint="eastAsia" w:ascii="Arial" w:hAnsi="Arial" w:cs="Arial"/>
          <w:sz w:val="21"/>
          <w:szCs w:val="21"/>
        </w:rPr>
        <w:t>一</w:t>
      </w:r>
      <w:r>
        <w:rPr>
          <w:rFonts w:ascii="Arial" w:hAnsi="Arial" w:cs="Arial"/>
          <w:sz w:val="21"/>
          <w:szCs w:val="21"/>
        </w:rPr>
        <w:t>居室户型，</w:t>
      </w:r>
      <w:r>
        <w:rPr>
          <w:rFonts w:hint="eastAsia" w:ascii="Arial" w:hAnsi="Arial" w:cs="Arial"/>
          <w:sz w:val="21"/>
          <w:szCs w:val="21"/>
        </w:rPr>
        <w:t>中</w:t>
      </w:r>
      <w:r>
        <w:rPr>
          <w:rFonts w:ascii="Arial" w:hAnsi="Arial" w:cs="Arial"/>
          <w:sz w:val="21"/>
          <w:szCs w:val="21"/>
        </w:rPr>
        <w:t>楼层，</w:t>
      </w:r>
      <w:r>
        <w:rPr>
          <w:rFonts w:hint="eastAsia" w:ascii="Arial" w:hAnsi="Arial" w:cs="Arial"/>
          <w:sz w:val="21"/>
          <w:szCs w:val="21"/>
        </w:rPr>
        <w:t>南</w:t>
      </w:r>
      <w:r>
        <w:rPr>
          <w:rFonts w:ascii="Arial" w:hAnsi="Arial" w:cs="Arial"/>
          <w:sz w:val="21"/>
          <w:szCs w:val="21"/>
        </w:rPr>
        <w:t>朝向，建成年份为</w:t>
      </w:r>
      <w:r>
        <w:rPr>
          <w:rFonts w:hint="eastAsia" w:ascii="Arial" w:hAnsi="Arial" w:cs="Arial"/>
          <w:sz w:val="21"/>
          <w:szCs w:val="21"/>
        </w:rPr>
        <w:t>2007</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w:t>
      </w:r>
      <w:r>
        <w:rPr>
          <w:rFonts w:hint="eastAsia" w:ascii="Arial" w:hAnsi="Arial" w:cs="Arial"/>
          <w:sz w:val="21"/>
          <w:szCs w:val="21"/>
        </w:rPr>
        <w:t>装修为</w:t>
      </w:r>
      <w:r>
        <w:rPr>
          <w:rFonts w:hint="eastAsia" w:ascii="Arial" w:hAnsi="Arial" w:cs="Arial"/>
          <w:sz w:val="21"/>
          <w:szCs w:val="21"/>
          <w:lang w:val="en-US" w:eastAsia="zh-CN"/>
        </w:rPr>
        <w:t>低</w:t>
      </w:r>
      <w:r>
        <w:rPr>
          <w:rFonts w:hint="eastAsia" w:ascii="Arial" w:hAnsi="Arial" w:cs="Arial"/>
          <w:sz w:val="21"/>
          <w:szCs w:val="21"/>
        </w:rPr>
        <w:t>档装修</w:t>
      </w:r>
      <w:r>
        <w:rPr>
          <w:rFonts w:ascii="Arial" w:hAnsi="Arial" w:cs="Arial"/>
          <w:sz w:val="21"/>
          <w:szCs w:val="21"/>
        </w:rPr>
        <w:t>，建筑面积为</w:t>
      </w:r>
      <w:r>
        <w:rPr>
          <w:rFonts w:hint="eastAsia" w:ascii="Arial" w:hAnsi="Arial" w:cs="Arial"/>
          <w:sz w:val="21"/>
          <w:szCs w:val="21"/>
        </w:rPr>
        <w:t>68</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为44.12元/平方米·月（含物业费1.1元/平方米·月、取暖费2.5元/平方米·月）。</w:t>
      </w:r>
    </w:p>
    <w:p w14:paraId="63ABCF83">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可比实例2</w:t>
      </w:r>
      <w:r>
        <w:rPr>
          <w:rFonts w:ascii="Arial" w:hAnsi="Arial" w:cs="Arial"/>
          <w:sz w:val="21"/>
          <w:szCs w:val="21"/>
        </w:rPr>
        <w:t>：</w:t>
      </w:r>
    </w:p>
    <w:p w14:paraId="5144B3D3">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锦华园</w:t>
      </w:r>
    </w:p>
    <w:p w14:paraId="53B37A52">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大兴区义平路92号</w:t>
      </w:r>
    </w:p>
    <w:p w14:paraId="27687F5F">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4</w:t>
      </w:r>
      <w:r>
        <w:rPr>
          <w:rFonts w:ascii="Arial" w:hAnsi="Arial" w:cs="Arial"/>
          <w:sz w:val="21"/>
          <w:szCs w:val="21"/>
        </w:rPr>
        <w:t>月</w:t>
      </w:r>
    </w:p>
    <w:p w14:paraId="6EEB2258">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4D918B12">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63910A2D">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w:t>
      </w:r>
      <w:r>
        <w:rPr>
          <w:rFonts w:ascii="Arial" w:hAnsi="Arial" w:cs="Arial"/>
          <w:sz w:val="21"/>
          <w:szCs w:val="21"/>
        </w:rPr>
        <w:t>2</w:t>
      </w:r>
      <w:r>
        <w:rPr>
          <w:rFonts w:hint="eastAsia" w:ascii="Arial" w:hAnsi="Arial" w:cs="Arial"/>
          <w:sz w:val="21"/>
          <w:szCs w:val="21"/>
        </w:rPr>
        <w:t>周边有义和庄北里、中骏金辉未来云城、漪景苑、埝坛华庭北区、壹品兴创颐和公馆、矿林庄小区、义和庄东里等居住项目，居住小区规模适中，入住率较好，综合评价居住区成熟度较好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主干道——兴华大街</w:t>
      </w:r>
      <w:r>
        <w:rPr>
          <w:rFonts w:ascii="Arial" w:hAnsi="Arial" w:cs="Arial"/>
          <w:sz w:val="21"/>
          <w:szCs w:val="21"/>
        </w:rPr>
        <w:t>，</w:t>
      </w:r>
      <w:r>
        <w:rPr>
          <w:rFonts w:hint="eastAsia" w:ascii="Arial" w:hAnsi="Arial" w:cs="Arial"/>
          <w:kern w:val="2"/>
          <w:sz w:val="21"/>
          <w:szCs w:val="21"/>
        </w:rPr>
        <w:t>周边2公里范围内有轨道交通站点（地铁4号线黄村火车站），周边1公里内有兴12路、兴16路、兴37路、兴77路等公交线路途径并设立站点，综合评价交通便捷度较好；</w:t>
      </w:r>
      <w:r>
        <w:rPr>
          <w:rFonts w:hint="eastAsia" w:ascii="Arial" w:hAnsi="Arial" w:cs="Arial"/>
          <w:sz w:val="21"/>
          <w:szCs w:val="21"/>
        </w:rPr>
        <w:t>周边2公里有念坛公园、兴良路公园、永定公园、小龙河等自然景观，有中央文化和旅游管理干部学院、国家林业和草原局管理干部学院等人文环境、综合评价自然与人文环境较好</w:t>
      </w:r>
      <w:r>
        <w:rPr>
          <w:rFonts w:ascii="Arial" w:hAnsi="Arial" w:cs="Arial"/>
          <w:sz w:val="21"/>
          <w:szCs w:val="21"/>
        </w:rPr>
        <w:t>；</w:t>
      </w:r>
      <w:r>
        <w:rPr>
          <w:rFonts w:hint="eastAsia" w:ascii="Arial" w:hAnsi="Arial" w:cs="Arial"/>
          <w:sz w:val="21"/>
          <w:szCs w:val="21"/>
        </w:rPr>
        <w:t>周边2公里范围内有大兴星城商厦、大兴大悦春风里等商业场所；有北京市大兴区永华实验学校、</w:t>
      </w:r>
      <w:r>
        <w:rPr>
          <w:rFonts w:hint="eastAsia" w:ascii="Arial" w:hAnsi="Arial" w:cs="Arial"/>
          <w:sz w:val="21"/>
          <w:szCs w:val="21"/>
          <w:lang w:eastAsia="zh-CN"/>
        </w:rPr>
        <w:t>北京市</w:t>
      </w:r>
      <w:r>
        <w:rPr>
          <w:rFonts w:hint="eastAsia" w:ascii="Arial" w:hAnsi="Arial" w:cs="Arial"/>
          <w:sz w:val="21"/>
          <w:szCs w:val="21"/>
        </w:rPr>
        <w:t>大兴区第一中学、北京市大兴区第八小学、泰禾幼儿园（大兴园区）等教育机构，有北京市大兴区心康医院、北京市大兴区人民医院等医疗机构；有华夏银行、北京银行等金融网点，公共配套设施状况较好</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w:t>
      </w:r>
      <w:r>
        <w:rPr>
          <w:rFonts w:ascii="Arial" w:hAnsi="Arial" w:cs="Arial"/>
          <w:sz w:val="21"/>
          <w:szCs w:val="21"/>
        </w:rPr>
        <w:t>2为</w:t>
      </w:r>
      <w:r>
        <w:rPr>
          <w:rFonts w:hint="eastAsia" w:ascii="Arial" w:hAnsi="Arial" w:cs="Arial"/>
          <w:sz w:val="21"/>
          <w:szCs w:val="21"/>
        </w:rPr>
        <w:t>一</w:t>
      </w:r>
      <w:r>
        <w:rPr>
          <w:rFonts w:ascii="Arial" w:hAnsi="Arial" w:cs="Arial"/>
          <w:sz w:val="21"/>
          <w:szCs w:val="21"/>
        </w:rPr>
        <w:t>居室户型，</w:t>
      </w:r>
      <w:r>
        <w:rPr>
          <w:rFonts w:hint="eastAsia" w:ascii="Arial" w:hAnsi="Arial" w:cs="Arial"/>
          <w:sz w:val="21"/>
          <w:szCs w:val="21"/>
        </w:rPr>
        <w:t>中</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06</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w:t>
      </w:r>
      <w:r>
        <w:rPr>
          <w:rFonts w:hint="eastAsia" w:ascii="Arial" w:hAnsi="Arial" w:cs="Arial"/>
          <w:sz w:val="21"/>
          <w:szCs w:val="21"/>
        </w:rPr>
        <w:t>装修为</w:t>
      </w:r>
      <w:r>
        <w:rPr>
          <w:rFonts w:hint="eastAsia" w:ascii="Arial" w:hAnsi="Arial" w:cs="Arial"/>
          <w:sz w:val="21"/>
          <w:szCs w:val="21"/>
          <w:lang w:val="en-US" w:eastAsia="zh-CN"/>
        </w:rPr>
        <w:t>低</w:t>
      </w:r>
      <w:r>
        <w:rPr>
          <w:rFonts w:hint="eastAsia" w:ascii="Arial" w:hAnsi="Arial" w:cs="Arial"/>
          <w:sz w:val="21"/>
          <w:szCs w:val="21"/>
        </w:rPr>
        <w:t>档装修</w:t>
      </w:r>
      <w:r>
        <w:rPr>
          <w:rFonts w:ascii="Arial" w:hAnsi="Arial" w:cs="Arial"/>
          <w:sz w:val="21"/>
          <w:szCs w:val="21"/>
        </w:rPr>
        <w:t>，建筑面积为</w:t>
      </w:r>
      <w:r>
        <w:rPr>
          <w:rFonts w:hint="eastAsia" w:ascii="Arial" w:hAnsi="Arial" w:cs="Arial"/>
          <w:sz w:val="21"/>
          <w:szCs w:val="21"/>
        </w:rPr>
        <w:t>68.05</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为44.09元/平方米·月（含物业费1.47元/平方米·月、取暖费2.5元/平方米·月）</w:t>
      </w:r>
      <w:r>
        <w:rPr>
          <w:rFonts w:ascii="Arial" w:hAnsi="Arial" w:cs="Arial"/>
          <w:sz w:val="21"/>
          <w:szCs w:val="21"/>
        </w:rPr>
        <w:t>。</w:t>
      </w:r>
    </w:p>
    <w:p w14:paraId="4E405BFB">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可比实例3</w:t>
      </w:r>
      <w:r>
        <w:rPr>
          <w:rFonts w:ascii="Arial" w:hAnsi="Arial" w:cs="Arial"/>
          <w:sz w:val="21"/>
          <w:szCs w:val="21"/>
        </w:rPr>
        <w:t>：</w:t>
      </w:r>
    </w:p>
    <w:p w14:paraId="16157AC9">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联港嘉园</w:t>
      </w:r>
    </w:p>
    <w:p w14:paraId="51143940">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大兴区文新南街272号</w:t>
      </w:r>
    </w:p>
    <w:p w14:paraId="0FE529FD">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65888B4D">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4254F23F">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19639865">
      <w:pPr>
        <w:wordWrap w:val="0"/>
        <w:overflowPunct w:val="0"/>
        <w:spacing w:line="480" w:lineRule="auto"/>
        <w:ind w:firstLine="420" w:firstLineChars="200"/>
        <w:jc w:val="both"/>
        <w:rPr>
          <w:rFonts w:hint="eastAsia" w:ascii="Arial" w:hAnsi="Arial" w:cs="Arial"/>
          <w:sz w:val="21"/>
          <w:szCs w:val="21"/>
        </w:rPr>
      </w:pPr>
      <w:r>
        <w:rPr>
          <w:rFonts w:hint="eastAsia" w:ascii="Arial" w:hAnsi="Arial" w:cs="Arial"/>
          <w:sz w:val="21"/>
          <w:szCs w:val="21"/>
        </w:rPr>
        <w:t>可比实例3周边有德贤华府、埝坛华庭西区、埝坛华庭北区等居住项目，居住小区规模适中，入住率一般，综合评价居住社区成熟度一般</w:t>
      </w:r>
      <w:r>
        <w:rPr>
          <w:rFonts w:ascii="Arial" w:hAnsi="Arial" w:cs="Arial"/>
          <w:sz w:val="21"/>
          <w:szCs w:val="21"/>
        </w:rPr>
        <w:t>；紧邻城市</w:t>
      </w:r>
      <w:r>
        <w:rPr>
          <w:rFonts w:hint="eastAsia" w:ascii="Arial" w:hAnsi="Arial" w:cs="Arial"/>
          <w:sz w:val="21"/>
          <w:szCs w:val="21"/>
        </w:rPr>
        <w:t>主干道——兴良路</w:t>
      </w:r>
      <w:r>
        <w:rPr>
          <w:rFonts w:ascii="Arial" w:hAnsi="Arial" w:cs="Arial"/>
          <w:sz w:val="21"/>
          <w:szCs w:val="21"/>
        </w:rPr>
        <w:t>，</w:t>
      </w:r>
      <w:r>
        <w:rPr>
          <w:rFonts w:hint="eastAsia" w:ascii="Arial" w:hAnsi="Arial" w:cs="Arial"/>
          <w:kern w:val="2"/>
          <w:sz w:val="21"/>
          <w:szCs w:val="21"/>
        </w:rPr>
        <w:t>周边2公里范围内无轨道交通站点，周边1公里内有兴13路、兴37路、兴53路、840路等公交线路途径并设立站点，综合评价交通便捷度一般；</w:t>
      </w:r>
      <w:r>
        <w:rPr>
          <w:rFonts w:hint="eastAsia" w:ascii="Arial" w:hAnsi="Arial" w:cs="Arial"/>
          <w:sz w:val="21"/>
          <w:szCs w:val="21"/>
        </w:rPr>
        <w:t>周边2公里有念坛公园、兴良路公园、永定公园、小龙河等自然景观，有首都医科大学（大兴校区）、金隅高新产业园等人文环境、综合评价自然与人文环境较好</w:t>
      </w:r>
      <w:r>
        <w:rPr>
          <w:rFonts w:ascii="Arial" w:hAnsi="Arial" w:cs="Arial"/>
          <w:sz w:val="21"/>
          <w:szCs w:val="21"/>
        </w:rPr>
        <w:t>；</w:t>
      </w:r>
      <w:r>
        <w:rPr>
          <w:rFonts w:hint="eastAsia" w:ascii="Arial" w:hAnsi="Arial" w:cs="Arial"/>
          <w:sz w:val="21"/>
          <w:szCs w:val="21"/>
        </w:rPr>
        <w:t>周边2公里范围内无大型购物中心，有世纪华联超市（太福店）超市等生活配套商业；有北京教育学院附属大兴实验小学、联港嘉园幼儿园等教育机构，有北臧村社区卫生服务中心等医疗机构；有北京农商银行（联港嘉园分理处）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可比实例3</w:t>
      </w:r>
      <w:r>
        <w:rPr>
          <w:rFonts w:ascii="Arial" w:hAnsi="Arial" w:cs="Arial"/>
          <w:sz w:val="21"/>
          <w:szCs w:val="21"/>
        </w:rPr>
        <w:t>为</w:t>
      </w:r>
      <w:r>
        <w:rPr>
          <w:rFonts w:hint="eastAsia" w:ascii="Arial" w:hAnsi="Arial" w:cs="Arial"/>
          <w:sz w:val="21"/>
          <w:szCs w:val="21"/>
        </w:rPr>
        <w:t>一</w:t>
      </w:r>
      <w:r>
        <w:rPr>
          <w:rFonts w:ascii="Arial" w:hAnsi="Arial" w:cs="Arial"/>
          <w:sz w:val="21"/>
          <w:szCs w:val="21"/>
        </w:rPr>
        <w:t>居室户型，</w:t>
      </w:r>
      <w:r>
        <w:rPr>
          <w:rFonts w:hint="eastAsia" w:ascii="Arial" w:hAnsi="Arial" w:cs="Arial"/>
          <w:sz w:val="21"/>
          <w:szCs w:val="21"/>
        </w:rPr>
        <w:t>高</w:t>
      </w:r>
      <w:r>
        <w:rPr>
          <w:rFonts w:ascii="Arial" w:hAnsi="Arial" w:cs="Arial"/>
          <w:sz w:val="21"/>
          <w:szCs w:val="21"/>
        </w:rPr>
        <w:t>楼层，</w:t>
      </w:r>
      <w:r>
        <w:rPr>
          <w:rFonts w:hint="eastAsia" w:ascii="Arial" w:hAnsi="Arial" w:cs="Arial"/>
          <w:sz w:val="21"/>
          <w:szCs w:val="21"/>
        </w:rPr>
        <w:t>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13</w:t>
      </w:r>
      <w:r>
        <w:rPr>
          <w:rFonts w:ascii="Arial" w:hAnsi="Arial" w:cs="Arial"/>
          <w:sz w:val="21"/>
          <w:szCs w:val="21"/>
        </w:rPr>
        <w:t>年，建筑结构为钢混结构，</w:t>
      </w:r>
      <w:r>
        <w:rPr>
          <w:rFonts w:hint="eastAsia" w:ascii="Arial" w:hAnsi="Arial" w:cs="Arial"/>
          <w:sz w:val="21"/>
          <w:szCs w:val="21"/>
        </w:rPr>
        <w:t>装修为中档装修</w:t>
      </w:r>
      <w:r>
        <w:rPr>
          <w:rFonts w:ascii="Arial" w:hAnsi="Arial" w:cs="Arial"/>
          <w:sz w:val="21"/>
          <w:szCs w:val="21"/>
        </w:rPr>
        <w:t>，建筑面积为</w:t>
      </w:r>
      <w:r>
        <w:rPr>
          <w:rFonts w:hint="eastAsia" w:ascii="Arial" w:hAnsi="Arial" w:cs="Arial"/>
          <w:sz w:val="21"/>
          <w:szCs w:val="21"/>
        </w:rPr>
        <w:t>66.16</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w:t>
      </w:r>
    </w:p>
    <w:p w14:paraId="4FDE3C98">
      <w:pPr>
        <w:wordWrap w:val="0"/>
        <w:overflowPunct w:val="0"/>
        <w:spacing w:line="480" w:lineRule="auto"/>
        <w:jc w:val="both"/>
        <w:rPr>
          <w:rFonts w:ascii="Arial" w:hAnsi="Arial" w:cs="Arial"/>
          <w:sz w:val="21"/>
          <w:szCs w:val="21"/>
        </w:rPr>
      </w:pPr>
      <w:r>
        <w:rPr>
          <w:rFonts w:hint="eastAsia" w:ascii="Arial" w:hAnsi="Arial" w:cs="Arial"/>
          <w:sz w:val="21"/>
          <w:szCs w:val="21"/>
        </w:rPr>
        <w:t>45.34元/平方米·月（含物业费1.56元/平方米·月、取暖费2.5元/平方米·月）</w:t>
      </w:r>
      <w:r>
        <w:rPr>
          <w:rFonts w:ascii="Arial" w:hAnsi="Arial" w:cs="Arial"/>
          <w:sz w:val="21"/>
          <w:szCs w:val="21"/>
        </w:rPr>
        <w:t>。</w:t>
      </w:r>
    </w:p>
    <w:p w14:paraId="1BC767AA">
      <w:pPr>
        <w:rPr>
          <w:rFonts w:hint="eastAsia" w:ascii="宋体" w:hAnsi="宋体"/>
          <w:sz w:val="21"/>
          <w:szCs w:val="21"/>
        </w:rPr>
      </w:pPr>
      <w:r>
        <w:rPr>
          <w:rFonts w:hint="eastAsia" w:ascii="宋体" w:hAnsi="宋体"/>
          <w:sz w:val="21"/>
          <w:szCs w:val="21"/>
        </w:rPr>
        <w:br w:type="page"/>
      </w:r>
    </w:p>
    <w:p w14:paraId="4BE0B36F">
      <w:pPr>
        <w:wordWrap w:val="0"/>
        <w:overflowPunct w:val="0"/>
        <w:spacing w:line="480" w:lineRule="auto"/>
        <w:ind w:firstLine="420" w:firstLineChars="200"/>
        <w:rPr>
          <w:rFonts w:hint="eastAsia" w:ascii="宋体" w:hAnsi="宋体"/>
          <w:sz w:val="21"/>
          <w:szCs w:val="21"/>
        </w:rPr>
      </w:pPr>
      <w:r>
        <w:rPr>
          <w:rFonts w:hint="eastAsia" w:ascii="宋体" w:hAnsi="宋体"/>
          <w:sz w:val="21"/>
          <w:szCs w:val="21"/>
        </w:rPr>
        <w:t>建立比较基础</w:t>
      </w:r>
    </w:p>
    <w:tbl>
      <w:tblPr>
        <w:tblStyle w:val="33"/>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2047"/>
        <w:gridCol w:w="1812"/>
        <w:gridCol w:w="1812"/>
        <w:gridCol w:w="1812"/>
        <w:gridCol w:w="1815"/>
      </w:tblGrid>
      <w:tr w14:paraId="7E0B1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06507887">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交易案例</w:t>
            </w:r>
          </w:p>
        </w:tc>
        <w:tc>
          <w:tcPr>
            <w:tcW w:w="1812" w:type="dxa"/>
            <w:vAlign w:val="center"/>
          </w:tcPr>
          <w:p w14:paraId="582C864B">
            <w:pPr>
              <w:pStyle w:val="61"/>
              <w:autoSpaceDE w:val="0"/>
              <w:autoSpaceDN w:val="0"/>
              <w:spacing w:line="240" w:lineRule="exact"/>
              <w:textAlignment w:val="bottom"/>
              <w:rPr>
                <w:rFonts w:ascii="Arial" w:hAnsi="Arial" w:cs="Arial"/>
                <w:sz w:val="16"/>
                <w:szCs w:val="18"/>
              </w:rPr>
            </w:pPr>
            <w:r>
              <w:rPr>
                <w:rFonts w:ascii="Arial" w:hAnsi="Arial" w:cs="Arial"/>
                <w:sz w:val="16"/>
                <w:szCs w:val="18"/>
              </w:rPr>
              <w:t>估价对象</w:t>
            </w:r>
          </w:p>
        </w:tc>
        <w:tc>
          <w:tcPr>
            <w:tcW w:w="1812" w:type="dxa"/>
            <w:vAlign w:val="center"/>
          </w:tcPr>
          <w:p w14:paraId="3F28CE60">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可比实例1</w:t>
            </w:r>
          </w:p>
        </w:tc>
        <w:tc>
          <w:tcPr>
            <w:tcW w:w="1812" w:type="dxa"/>
            <w:vAlign w:val="center"/>
          </w:tcPr>
          <w:p w14:paraId="1B821EA1">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可比实例2</w:t>
            </w:r>
          </w:p>
        </w:tc>
        <w:tc>
          <w:tcPr>
            <w:tcW w:w="1815" w:type="dxa"/>
            <w:vAlign w:val="center"/>
          </w:tcPr>
          <w:p w14:paraId="69DDD396">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可比实例3</w:t>
            </w:r>
          </w:p>
        </w:tc>
      </w:tr>
      <w:tr w14:paraId="4D958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0B91616B">
            <w:pPr>
              <w:pStyle w:val="61"/>
              <w:autoSpaceDE w:val="0"/>
              <w:autoSpaceDN w:val="0"/>
              <w:spacing w:line="240" w:lineRule="exact"/>
              <w:textAlignment w:val="bottom"/>
              <w:rPr>
                <w:rFonts w:ascii="Arial" w:hAnsi="Arial" w:cs="Arial"/>
                <w:sz w:val="16"/>
                <w:szCs w:val="18"/>
              </w:rPr>
            </w:pPr>
            <w:r>
              <w:rPr>
                <w:rFonts w:ascii="Arial" w:hAnsi="Arial" w:cs="Arial"/>
                <w:sz w:val="16"/>
                <w:szCs w:val="18"/>
              </w:rPr>
              <w:t>项目名称</w:t>
            </w:r>
          </w:p>
        </w:tc>
        <w:tc>
          <w:tcPr>
            <w:tcW w:w="1812" w:type="dxa"/>
            <w:vAlign w:val="center"/>
          </w:tcPr>
          <w:p w14:paraId="6352FAD8">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福兴雅苑</w:t>
            </w:r>
          </w:p>
        </w:tc>
        <w:tc>
          <w:tcPr>
            <w:tcW w:w="1812" w:type="dxa"/>
            <w:vAlign w:val="center"/>
          </w:tcPr>
          <w:p w14:paraId="016E1A6C">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1812" w:type="dxa"/>
            <w:vAlign w:val="center"/>
          </w:tcPr>
          <w:p w14:paraId="77F84E90">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锦华园</w:t>
            </w:r>
          </w:p>
        </w:tc>
        <w:tc>
          <w:tcPr>
            <w:tcW w:w="1815" w:type="dxa"/>
            <w:vAlign w:val="center"/>
          </w:tcPr>
          <w:p w14:paraId="0BEAE666">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r>
      <w:tr w14:paraId="25FDE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7D800E9C">
            <w:pPr>
              <w:pStyle w:val="61"/>
              <w:autoSpaceDE w:val="0"/>
              <w:autoSpaceDN w:val="0"/>
              <w:spacing w:line="240" w:lineRule="exact"/>
              <w:textAlignment w:val="bottom"/>
              <w:rPr>
                <w:rFonts w:ascii="Arial" w:hAnsi="Arial" w:cs="Arial"/>
                <w:sz w:val="16"/>
                <w:szCs w:val="18"/>
              </w:rPr>
            </w:pPr>
            <w:r>
              <w:rPr>
                <w:rFonts w:ascii="Arial" w:hAnsi="Arial" w:cs="Arial"/>
                <w:sz w:val="16"/>
                <w:szCs w:val="18"/>
              </w:rPr>
              <w:t>租金价格（元/㎡·</w:t>
            </w:r>
            <w:r>
              <w:rPr>
                <w:rFonts w:hint="eastAsia" w:ascii="Arial" w:hAnsi="Arial" w:cs="Arial"/>
                <w:sz w:val="16"/>
                <w:szCs w:val="18"/>
              </w:rPr>
              <w:t>月</w:t>
            </w:r>
            <w:r>
              <w:rPr>
                <w:rFonts w:ascii="Arial" w:hAnsi="Arial" w:cs="Arial"/>
                <w:sz w:val="16"/>
                <w:szCs w:val="18"/>
              </w:rPr>
              <w:t>）</w:t>
            </w:r>
          </w:p>
        </w:tc>
        <w:tc>
          <w:tcPr>
            <w:tcW w:w="1812" w:type="dxa"/>
            <w:vAlign w:val="center"/>
          </w:tcPr>
          <w:p w14:paraId="34BD6830">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6152DA78">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44.12</w:t>
            </w:r>
          </w:p>
        </w:tc>
        <w:tc>
          <w:tcPr>
            <w:tcW w:w="1812" w:type="dxa"/>
            <w:vAlign w:val="center"/>
          </w:tcPr>
          <w:p w14:paraId="4294100D">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44.09</w:t>
            </w:r>
          </w:p>
        </w:tc>
        <w:tc>
          <w:tcPr>
            <w:tcW w:w="1815" w:type="dxa"/>
            <w:vAlign w:val="center"/>
          </w:tcPr>
          <w:p w14:paraId="45389020">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45.34</w:t>
            </w:r>
          </w:p>
        </w:tc>
      </w:tr>
      <w:tr w14:paraId="2BBB5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2" w:hRule="atLeast"/>
          <w:jc w:val="center"/>
        </w:trPr>
        <w:tc>
          <w:tcPr>
            <w:tcW w:w="2047" w:type="dxa"/>
            <w:vMerge w:val="restart"/>
            <w:vAlign w:val="center"/>
          </w:tcPr>
          <w:p w14:paraId="18A52017">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p>
        </w:tc>
        <w:tc>
          <w:tcPr>
            <w:tcW w:w="1812" w:type="dxa"/>
            <w:vAlign w:val="center"/>
          </w:tcPr>
          <w:p w14:paraId="11CCC8C2">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lang w:eastAsia="zh-CN"/>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p>
        </w:tc>
        <w:tc>
          <w:tcPr>
            <w:tcW w:w="1812" w:type="dxa"/>
            <w:vAlign w:val="center"/>
          </w:tcPr>
          <w:p w14:paraId="783E6901">
            <w:pPr>
              <w:autoSpaceDE w:val="0"/>
              <w:autoSpaceDN w:val="0"/>
              <w:spacing w:line="240" w:lineRule="exact"/>
              <w:jc w:val="center"/>
              <w:textAlignment w:val="bottom"/>
              <w:rPr>
                <w:rFonts w:hint="eastAsia" w:ascii="Arial" w:hAnsi="Arial" w:eastAsia="宋体" w:cs="Arial"/>
                <w:sz w:val="16"/>
                <w:szCs w:val="18"/>
                <w:lang w:eastAsia="zh-CN"/>
              </w:rPr>
            </w:pPr>
            <w:r>
              <w:rPr>
                <w:rFonts w:hint="eastAsia" w:ascii="Arial" w:hAnsi="Arial" w:cs="Arial"/>
                <w:sz w:val="16"/>
                <w:szCs w:val="18"/>
                <w:lang w:eastAsia="zh-CN"/>
              </w:rPr>
              <w:t>含房屋、家具家电使用费及租赁税费、物业费、供暖费、有线电视费，不含增值服务费、制冷费、水电费、天然气费、通信费、上网宽带费、车位使用费等</w:t>
            </w:r>
          </w:p>
        </w:tc>
        <w:tc>
          <w:tcPr>
            <w:tcW w:w="1812" w:type="dxa"/>
            <w:vAlign w:val="center"/>
          </w:tcPr>
          <w:p w14:paraId="0D4F43DA">
            <w:pPr>
              <w:spacing w:line="276" w:lineRule="auto"/>
              <w:rPr>
                <w:sz w:val="16"/>
              </w:rPr>
            </w:pPr>
            <w:r>
              <w:rPr>
                <w:rFonts w:hint="eastAsia" w:ascii="Arial" w:hAnsi="Arial" w:cs="Arial"/>
                <w:sz w:val="16"/>
                <w:szCs w:val="18"/>
                <w:lang w:eastAsia="zh-CN"/>
              </w:rPr>
              <w:t>含房屋、家具家电使用费及租赁税费、物业费、供暖费、有线电视费，不含增值服务费、制冷费、水电费、天然气费、通信费、上网宽带费、车位使用费等</w:t>
            </w:r>
          </w:p>
        </w:tc>
        <w:tc>
          <w:tcPr>
            <w:tcW w:w="1815" w:type="dxa"/>
            <w:vAlign w:val="center"/>
          </w:tcPr>
          <w:p w14:paraId="34EAB8AB">
            <w:pPr>
              <w:spacing w:line="276" w:lineRule="auto"/>
              <w:rPr>
                <w:rFonts w:hint="eastAsia" w:eastAsia="宋体"/>
                <w:sz w:val="16"/>
                <w:lang w:eastAsia="zh-CN"/>
              </w:rPr>
            </w:pPr>
            <w:r>
              <w:rPr>
                <w:rFonts w:hint="eastAsia" w:ascii="Arial" w:hAnsi="Arial" w:cs="Arial"/>
                <w:sz w:val="16"/>
                <w:szCs w:val="18"/>
                <w:lang w:eastAsia="zh-CN"/>
              </w:rPr>
              <w:t>含房屋、家具家电使用费及租赁税费、物业费、供暖费、有线电视费，不含增值服务费、制冷费、水电费、天然气费、通信费、上网宽带费、车位使用费等</w:t>
            </w:r>
          </w:p>
        </w:tc>
      </w:tr>
      <w:tr w14:paraId="3BB9E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4C91B88C">
            <w:pPr>
              <w:pStyle w:val="61"/>
              <w:autoSpaceDE w:val="0"/>
              <w:autoSpaceDN w:val="0"/>
              <w:spacing w:line="240" w:lineRule="exact"/>
              <w:textAlignment w:val="bottom"/>
              <w:rPr>
                <w:rFonts w:ascii="Arial" w:hAnsi="Arial" w:cs="Arial"/>
                <w:sz w:val="16"/>
                <w:szCs w:val="18"/>
              </w:rPr>
            </w:pPr>
          </w:p>
        </w:tc>
        <w:tc>
          <w:tcPr>
            <w:tcW w:w="1812" w:type="dxa"/>
            <w:vAlign w:val="center"/>
          </w:tcPr>
          <w:p w14:paraId="0D61B013">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扣减物业费、供暖费</w:t>
            </w:r>
            <w:r>
              <w:rPr>
                <w:rFonts w:ascii="Arial" w:hAnsi="Arial" w:cs="Arial"/>
                <w:sz w:val="16"/>
                <w:szCs w:val="18"/>
              </w:rPr>
              <w:t>（</w:t>
            </w:r>
            <w:r>
              <w:rPr>
                <w:rFonts w:hint="eastAsia" w:ascii="Arial" w:hAnsi="Arial" w:cs="Arial"/>
                <w:sz w:val="16"/>
                <w:szCs w:val="18"/>
                <w:lang w:eastAsia="zh-CN"/>
              </w:rPr>
              <w:t>元/㎡·月</w:t>
            </w:r>
            <w:r>
              <w:rPr>
                <w:rFonts w:ascii="Arial" w:hAnsi="Arial" w:cs="Arial"/>
                <w:sz w:val="16"/>
                <w:szCs w:val="18"/>
              </w:rPr>
              <w:t>）</w:t>
            </w:r>
          </w:p>
        </w:tc>
        <w:tc>
          <w:tcPr>
            <w:tcW w:w="1812" w:type="dxa"/>
            <w:vAlign w:val="center"/>
          </w:tcPr>
          <w:p w14:paraId="77AC7AE0">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3.60</w:t>
            </w:r>
          </w:p>
        </w:tc>
        <w:tc>
          <w:tcPr>
            <w:tcW w:w="1812" w:type="dxa"/>
            <w:vAlign w:val="center"/>
          </w:tcPr>
          <w:p w14:paraId="2EF2E97F">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3.97</w:t>
            </w:r>
          </w:p>
        </w:tc>
        <w:tc>
          <w:tcPr>
            <w:tcW w:w="1815" w:type="dxa"/>
            <w:vAlign w:val="center"/>
          </w:tcPr>
          <w:p w14:paraId="37F48C5F">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4.06</w:t>
            </w:r>
          </w:p>
        </w:tc>
      </w:tr>
      <w:tr w14:paraId="0A0F0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66CCE14A">
            <w:pPr>
              <w:pStyle w:val="61"/>
              <w:autoSpaceDE w:val="0"/>
              <w:autoSpaceDN w:val="0"/>
              <w:spacing w:line="240" w:lineRule="exact"/>
              <w:textAlignment w:val="bottom"/>
              <w:rPr>
                <w:rFonts w:ascii="Arial" w:hAnsi="Arial" w:cs="Arial"/>
                <w:sz w:val="16"/>
                <w:szCs w:val="18"/>
              </w:rPr>
            </w:pPr>
          </w:p>
        </w:tc>
        <w:tc>
          <w:tcPr>
            <w:tcW w:w="1812" w:type="dxa"/>
            <w:vAlign w:val="center"/>
          </w:tcPr>
          <w:p w14:paraId="5CEBBD15">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r>
              <w:rPr>
                <w:rFonts w:hint="eastAsia" w:ascii="Arial" w:hAnsi="Arial" w:cs="Arial"/>
                <w:sz w:val="16"/>
                <w:szCs w:val="18"/>
              </w:rPr>
              <w:t>后价格</w:t>
            </w:r>
            <w:r>
              <w:rPr>
                <w:rFonts w:ascii="Arial" w:hAnsi="Arial" w:cs="Arial"/>
                <w:sz w:val="16"/>
                <w:szCs w:val="18"/>
              </w:rPr>
              <w:t>（</w:t>
            </w:r>
            <w:r>
              <w:rPr>
                <w:rFonts w:hint="eastAsia" w:ascii="Arial" w:hAnsi="Arial" w:cs="Arial"/>
                <w:sz w:val="16"/>
                <w:szCs w:val="18"/>
                <w:lang w:eastAsia="zh-CN"/>
              </w:rPr>
              <w:t>元/㎡·月</w:t>
            </w:r>
            <w:r>
              <w:rPr>
                <w:rFonts w:ascii="Arial" w:hAnsi="Arial" w:cs="Arial"/>
                <w:sz w:val="16"/>
                <w:szCs w:val="18"/>
              </w:rPr>
              <w:t>）</w:t>
            </w:r>
          </w:p>
        </w:tc>
        <w:tc>
          <w:tcPr>
            <w:tcW w:w="1812" w:type="dxa"/>
            <w:vAlign w:val="center"/>
          </w:tcPr>
          <w:p w14:paraId="5AC1A95E">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40.52</w:t>
            </w:r>
          </w:p>
        </w:tc>
        <w:tc>
          <w:tcPr>
            <w:tcW w:w="1812" w:type="dxa"/>
            <w:vAlign w:val="center"/>
          </w:tcPr>
          <w:p w14:paraId="528B53B6">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40.12</w:t>
            </w:r>
          </w:p>
        </w:tc>
        <w:tc>
          <w:tcPr>
            <w:tcW w:w="1815" w:type="dxa"/>
            <w:vAlign w:val="center"/>
          </w:tcPr>
          <w:p w14:paraId="461761C8">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41.28</w:t>
            </w:r>
          </w:p>
        </w:tc>
      </w:tr>
      <w:tr w14:paraId="6D097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7DC13917">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统一租赁行为条件</w:t>
            </w:r>
          </w:p>
        </w:tc>
        <w:tc>
          <w:tcPr>
            <w:tcW w:w="1812" w:type="dxa"/>
            <w:vAlign w:val="center"/>
          </w:tcPr>
          <w:p w14:paraId="78B82EF9">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4CEEFDF8">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0791E226">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5" w:type="dxa"/>
          </w:tcPr>
          <w:p w14:paraId="029D7120">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r>
      <w:tr w14:paraId="66134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1F317713">
            <w:pPr>
              <w:pStyle w:val="61"/>
              <w:autoSpaceDE w:val="0"/>
              <w:autoSpaceDN w:val="0"/>
              <w:spacing w:line="240" w:lineRule="exact"/>
              <w:textAlignment w:val="bottom"/>
              <w:rPr>
                <w:rFonts w:ascii="Arial" w:hAnsi="Arial" w:cs="Arial"/>
                <w:sz w:val="16"/>
                <w:szCs w:val="18"/>
              </w:rPr>
            </w:pPr>
          </w:p>
        </w:tc>
        <w:tc>
          <w:tcPr>
            <w:tcW w:w="1812" w:type="dxa"/>
            <w:vAlign w:val="center"/>
          </w:tcPr>
          <w:p w14:paraId="47B1D8C3">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0CD587E9">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76CBABAA">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7E859788">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0C561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0CF7682E">
            <w:pPr>
              <w:pStyle w:val="61"/>
              <w:autoSpaceDE w:val="0"/>
              <w:autoSpaceDN w:val="0"/>
              <w:spacing w:line="240" w:lineRule="exact"/>
              <w:textAlignment w:val="bottom"/>
              <w:rPr>
                <w:rFonts w:ascii="Arial" w:hAnsi="Arial" w:cs="Arial"/>
                <w:sz w:val="16"/>
                <w:szCs w:val="18"/>
              </w:rPr>
            </w:pPr>
            <w:r>
              <w:rPr>
                <w:rFonts w:ascii="Arial" w:hAnsi="Arial" w:cs="Arial"/>
                <w:sz w:val="16"/>
                <w:szCs w:val="18"/>
              </w:rPr>
              <w:t>统一计价单位</w:t>
            </w:r>
          </w:p>
        </w:tc>
        <w:tc>
          <w:tcPr>
            <w:tcW w:w="1812" w:type="dxa"/>
            <w:vAlign w:val="center"/>
          </w:tcPr>
          <w:p w14:paraId="0A64546D">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4607976A">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2C4891BB">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5" w:type="dxa"/>
            <w:vAlign w:val="center"/>
          </w:tcPr>
          <w:p w14:paraId="770B6CB3">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r>
      <w:tr w14:paraId="4831A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5CD53948">
            <w:pPr>
              <w:pStyle w:val="61"/>
              <w:autoSpaceDE w:val="0"/>
              <w:autoSpaceDN w:val="0"/>
              <w:spacing w:line="240" w:lineRule="exact"/>
              <w:textAlignment w:val="bottom"/>
              <w:rPr>
                <w:rFonts w:ascii="Arial" w:hAnsi="Arial" w:cs="Arial"/>
                <w:sz w:val="16"/>
                <w:szCs w:val="18"/>
              </w:rPr>
            </w:pPr>
          </w:p>
        </w:tc>
        <w:tc>
          <w:tcPr>
            <w:tcW w:w="1812" w:type="dxa"/>
            <w:vAlign w:val="center"/>
          </w:tcPr>
          <w:p w14:paraId="7B03546C">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49CAA832">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7EA374D4">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5FC5F415">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60058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3410FBFD">
            <w:pPr>
              <w:pStyle w:val="61"/>
              <w:autoSpaceDE w:val="0"/>
              <w:autoSpaceDN w:val="0"/>
              <w:spacing w:line="240" w:lineRule="exact"/>
              <w:textAlignment w:val="bottom"/>
              <w:rPr>
                <w:rFonts w:ascii="Arial" w:hAnsi="Arial" w:cs="Arial"/>
                <w:sz w:val="16"/>
                <w:szCs w:val="18"/>
              </w:rPr>
            </w:pPr>
            <w:r>
              <w:rPr>
                <w:rFonts w:ascii="Arial" w:hAnsi="Arial" w:cs="Arial"/>
                <w:sz w:val="16"/>
                <w:szCs w:val="18"/>
              </w:rPr>
              <w:t>价格</w:t>
            </w:r>
            <w:commentRangeStart w:id="17"/>
            <w:r>
              <w:rPr>
                <w:rFonts w:ascii="Arial" w:hAnsi="Arial" w:cs="Arial"/>
                <w:sz w:val="16"/>
                <w:szCs w:val="18"/>
              </w:rPr>
              <w:t>（</w:t>
            </w:r>
            <w:r>
              <w:rPr>
                <w:rFonts w:hint="eastAsia" w:ascii="Arial" w:hAnsi="Arial" w:cs="Arial"/>
                <w:sz w:val="16"/>
                <w:szCs w:val="18"/>
                <w:lang w:eastAsia="zh-CN"/>
              </w:rPr>
              <w:t>元/㎡·月</w:t>
            </w:r>
            <w:r>
              <w:rPr>
                <w:rFonts w:ascii="Arial" w:hAnsi="Arial" w:cs="Arial"/>
                <w:sz w:val="16"/>
                <w:szCs w:val="18"/>
              </w:rPr>
              <w:t>）</w:t>
            </w:r>
            <w:commentRangeEnd w:id="17"/>
            <w:r>
              <w:rPr>
                <w:rStyle w:val="40"/>
                <w:rFonts w:ascii="Times New Roman"/>
              </w:rPr>
              <w:commentReference w:id="17"/>
            </w:r>
          </w:p>
        </w:tc>
        <w:tc>
          <w:tcPr>
            <w:tcW w:w="1812" w:type="dxa"/>
            <w:vAlign w:val="center"/>
          </w:tcPr>
          <w:p w14:paraId="0A9FF719">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35D739EC">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40.52</w:t>
            </w:r>
          </w:p>
        </w:tc>
        <w:tc>
          <w:tcPr>
            <w:tcW w:w="1812" w:type="dxa"/>
            <w:vAlign w:val="center"/>
          </w:tcPr>
          <w:p w14:paraId="1CD5E349">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40.12</w:t>
            </w:r>
          </w:p>
        </w:tc>
        <w:tc>
          <w:tcPr>
            <w:tcW w:w="1815" w:type="dxa"/>
            <w:vAlign w:val="center"/>
          </w:tcPr>
          <w:p w14:paraId="547D251C">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41.28</w:t>
            </w:r>
          </w:p>
        </w:tc>
      </w:tr>
    </w:tbl>
    <w:p w14:paraId="4F5FD954">
      <w:pPr>
        <w:wordWrap w:val="0"/>
        <w:overflowPunct w:val="0"/>
        <w:spacing w:line="480" w:lineRule="auto"/>
        <w:ind w:firstLine="420" w:firstLineChars="200"/>
        <w:rPr>
          <w:rFonts w:hint="eastAsia" w:ascii="宋体" w:hAnsi="宋体"/>
          <w:sz w:val="21"/>
          <w:szCs w:val="21"/>
        </w:rPr>
      </w:pPr>
      <w:r>
        <w:rPr>
          <w:rFonts w:ascii="宋体" w:hAnsi="宋体"/>
          <w:sz w:val="21"/>
          <w:szCs w:val="21"/>
        </w:rPr>
        <w:br w:type="page"/>
      </w:r>
      <w:r>
        <w:rPr>
          <w:rFonts w:hint="eastAsia" w:ascii="宋体" w:hAnsi="宋体"/>
          <w:sz w:val="21"/>
          <w:szCs w:val="21"/>
        </w:rPr>
        <w:t>各实例位置如下：</w:t>
      </w:r>
    </w:p>
    <w:tbl>
      <w:tblPr>
        <w:tblStyle w:val="33"/>
        <w:tblW w:w="9300"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28" w:type="dxa"/>
          <w:left w:w="28" w:type="dxa"/>
          <w:bottom w:w="28" w:type="dxa"/>
          <w:right w:w="28" w:type="dxa"/>
        </w:tblCellMar>
      </w:tblPr>
      <w:tblGrid>
        <w:gridCol w:w="9300"/>
      </w:tblGrid>
      <w:tr w14:paraId="368584B2">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jc w:val="center"/>
        </w:trPr>
        <w:tc>
          <w:tcPr>
            <w:tcW w:w="9300" w:type="dxa"/>
            <w:tcBorders>
              <w:top w:val="dotted" w:color="404040" w:sz="2" w:space="0"/>
              <w:left w:val="dotted" w:color="404040" w:sz="2" w:space="0"/>
              <w:bottom w:val="dotted" w:color="404040" w:sz="2" w:space="0"/>
              <w:right w:val="dotted" w:color="404040" w:sz="2" w:space="0"/>
            </w:tcBorders>
          </w:tcPr>
          <w:p w14:paraId="2B2145F5">
            <w:pPr>
              <w:jc w:val="center"/>
              <w:rPr>
                <w:rFonts w:hint="eastAsia" w:ascii="华文细黑" w:hAnsi="华文细黑" w:eastAsia="华文细黑"/>
              </w:rPr>
            </w:pPr>
            <w:r>
              <w:rPr>
                <w:rFonts w:hint="eastAsia" w:ascii="华文细黑" w:hAnsi="华文细黑" w:eastAsia="华文细黑"/>
              </w:rPr>
              <w:t>实例位置</w:t>
            </w:r>
          </w:p>
        </w:tc>
      </w:tr>
      <w:tr w14:paraId="34663000">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trHeight w:val="6166" w:hRule="atLeast"/>
          <w:jc w:val="center"/>
        </w:trPr>
        <w:tc>
          <w:tcPr>
            <w:tcW w:w="9300" w:type="dxa"/>
            <w:tcBorders>
              <w:top w:val="dotted" w:color="404040" w:sz="2" w:space="0"/>
              <w:left w:val="dotted" w:color="404040" w:sz="2" w:space="0"/>
              <w:bottom w:val="dotted" w:color="404040" w:sz="2" w:space="0"/>
              <w:right w:val="dotted" w:color="404040" w:sz="2" w:space="0"/>
            </w:tcBorders>
          </w:tcPr>
          <w:p w14:paraId="3B407F73">
            <w:pPr>
              <w:jc w:val="center"/>
              <w:rPr>
                <w:rFonts w:ascii="Calibri" w:hAnsi="Calibri"/>
              </w:rPr>
            </w:pPr>
            <w:r>
              <w:drawing>
                <wp:inline distT="0" distB="0" distL="114300" distR="114300">
                  <wp:extent cx="5863590" cy="3790315"/>
                  <wp:effectExtent l="0" t="0" r="3810" b="444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48"/>
                          <a:stretch>
                            <a:fillRect/>
                          </a:stretch>
                        </pic:blipFill>
                        <pic:spPr>
                          <a:xfrm>
                            <a:off x="0" y="0"/>
                            <a:ext cx="5863590" cy="3790315"/>
                          </a:xfrm>
                          <a:prstGeom prst="rect">
                            <a:avLst/>
                          </a:prstGeom>
                          <a:noFill/>
                          <a:ln>
                            <a:noFill/>
                          </a:ln>
                        </pic:spPr>
                      </pic:pic>
                    </a:graphicData>
                  </a:graphic>
                </wp:inline>
              </w:drawing>
            </w:r>
          </w:p>
        </w:tc>
      </w:tr>
    </w:tbl>
    <w:p w14:paraId="4F4C45F1"/>
    <w:p w14:paraId="3C241581">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（1）建立比较因素条件说明表</w:t>
      </w:r>
      <w:r>
        <w:rPr>
          <w:rFonts w:ascii="Arial" w:hAnsi="Arial"/>
          <w:sz w:val="21"/>
          <w:szCs w:val="21"/>
        </w:rPr>
        <w:t xml:space="preserve"> </w:t>
      </w:r>
    </w:p>
    <w:p w14:paraId="4F59BF5E">
      <w:pPr>
        <w:wordWrap w:val="0"/>
        <w:overflowPunct w:val="0"/>
        <w:spacing w:line="480" w:lineRule="auto"/>
        <w:ind w:firstLine="420" w:firstLineChars="200"/>
        <w:rPr>
          <w:rFonts w:ascii="Arial" w:hAnsi="Arial"/>
          <w:sz w:val="21"/>
          <w:szCs w:val="21"/>
        </w:rPr>
      </w:pPr>
      <w:r>
        <w:rPr>
          <w:rFonts w:ascii="Arial" w:hAnsi="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Pr>
          <w:rFonts w:hint="eastAsia" w:ascii="Arial" w:hAnsi="Arial"/>
          <w:sz w:val="21"/>
          <w:szCs w:val="21"/>
        </w:rPr>
        <w:t>：</w:t>
      </w:r>
    </w:p>
    <w:p w14:paraId="410F5A41">
      <w:pPr>
        <w:overflowPunct w:val="0"/>
        <w:spacing w:line="480" w:lineRule="auto"/>
        <w:ind w:firstLine="420" w:firstLineChars="200"/>
        <w:jc w:val="center"/>
        <w:rPr>
          <w:rFonts w:ascii="Arial" w:hAnsi="Arial"/>
          <w:sz w:val="21"/>
          <w:szCs w:val="21"/>
        </w:rPr>
      </w:pPr>
      <w:r>
        <w:rPr>
          <w:rFonts w:hint="eastAsia" w:ascii="Arial" w:hAnsi="Arial"/>
          <w:sz w:val="21"/>
          <w:szCs w:val="21"/>
        </w:rPr>
        <w:t>比较因素情况描述表</w:t>
      </w:r>
    </w:p>
    <w:tbl>
      <w:tblPr>
        <w:tblStyle w:val="33"/>
        <w:tblW w:w="5000" w:type="pct"/>
        <w:jc w:val="center"/>
        <w:tblLayout w:type="autofit"/>
        <w:tblCellMar>
          <w:top w:w="0" w:type="dxa"/>
          <w:left w:w="108" w:type="dxa"/>
          <w:bottom w:w="0" w:type="dxa"/>
          <w:right w:w="108" w:type="dxa"/>
        </w:tblCellMar>
      </w:tblPr>
      <w:tblGrid>
        <w:gridCol w:w="689"/>
        <w:gridCol w:w="1447"/>
        <w:gridCol w:w="1844"/>
        <w:gridCol w:w="1844"/>
        <w:gridCol w:w="1844"/>
        <w:gridCol w:w="1847"/>
      </w:tblGrid>
      <w:tr w14:paraId="560D81EF">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000000" w:sz="4" w:space="0"/>
            </w:tcBorders>
            <w:vAlign w:val="center"/>
          </w:tcPr>
          <w:p w14:paraId="0506590B">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968" w:type="pct"/>
            <w:tcBorders>
              <w:top w:val="single" w:color="auto" w:sz="4" w:space="0"/>
              <w:left w:val="nil"/>
              <w:bottom w:val="single" w:color="auto" w:sz="4" w:space="0"/>
              <w:right w:val="single" w:color="auto" w:sz="4" w:space="0"/>
            </w:tcBorders>
            <w:vAlign w:val="center"/>
          </w:tcPr>
          <w:p w14:paraId="5F929DE9">
            <w:pPr>
              <w:widowControl/>
              <w:adjustRightInd/>
              <w:spacing w:line="240" w:lineRule="auto"/>
              <w:jc w:val="center"/>
              <w:textAlignment w:val="auto"/>
              <w:rPr>
                <w:rFonts w:ascii="Arial" w:hAnsi="Arial" w:cs="Arial"/>
                <w:sz w:val="16"/>
                <w:szCs w:val="18"/>
              </w:rPr>
            </w:pPr>
            <w:r>
              <w:rPr>
                <w:rFonts w:ascii="Arial" w:hAnsi="Arial" w:cs="Arial"/>
                <w:sz w:val="16"/>
                <w:szCs w:val="18"/>
              </w:rPr>
              <w:t>估价对象</w:t>
            </w:r>
          </w:p>
        </w:tc>
        <w:tc>
          <w:tcPr>
            <w:tcW w:w="968" w:type="pct"/>
            <w:tcBorders>
              <w:top w:val="single" w:color="auto" w:sz="4" w:space="0"/>
              <w:left w:val="nil"/>
              <w:bottom w:val="single" w:color="auto" w:sz="4" w:space="0"/>
              <w:right w:val="single" w:color="auto" w:sz="4" w:space="0"/>
            </w:tcBorders>
            <w:vAlign w:val="center"/>
          </w:tcPr>
          <w:p w14:paraId="16C0E636">
            <w:pPr>
              <w:widowControl/>
              <w:adjustRightInd/>
              <w:spacing w:line="240" w:lineRule="auto"/>
              <w:jc w:val="center"/>
              <w:textAlignment w:val="auto"/>
              <w:rPr>
                <w:rFonts w:ascii="Arial" w:hAnsi="Arial" w:cs="Arial"/>
                <w:sz w:val="16"/>
                <w:szCs w:val="18"/>
              </w:rPr>
            </w:pPr>
            <w:r>
              <w:rPr>
                <w:rFonts w:ascii="Arial" w:hAnsi="Arial" w:cs="Arial"/>
                <w:sz w:val="16"/>
                <w:szCs w:val="18"/>
              </w:rPr>
              <w:t>可比实例1</w:t>
            </w:r>
          </w:p>
        </w:tc>
        <w:tc>
          <w:tcPr>
            <w:tcW w:w="968" w:type="pct"/>
            <w:tcBorders>
              <w:top w:val="single" w:color="auto" w:sz="4" w:space="0"/>
              <w:left w:val="nil"/>
              <w:bottom w:val="single" w:color="auto" w:sz="4" w:space="0"/>
              <w:right w:val="single" w:color="auto" w:sz="4" w:space="0"/>
            </w:tcBorders>
            <w:vAlign w:val="center"/>
          </w:tcPr>
          <w:p w14:paraId="014C750C">
            <w:pPr>
              <w:widowControl/>
              <w:adjustRightInd/>
              <w:spacing w:line="240" w:lineRule="auto"/>
              <w:jc w:val="center"/>
              <w:textAlignment w:val="auto"/>
              <w:rPr>
                <w:rFonts w:ascii="Arial" w:hAnsi="Arial" w:cs="Arial"/>
                <w:sz w:val="16"/>
                <w:szCs w:val="18"/>
              </w:rPr>
            </w:pPr>
            <w:r>
              <w:rPr>
                <w:rFonts w:ascii="Arial" w:hAnsi="Arial" w:cs="Arial"/>
                <w:sz w:val="16"/>
                <w:szCs w:val="18"/>
              </w:rPr>
              <w:t>可比实例2</w:t>
            </w:r>
          </w:p>
        </w:tc>
        <w:tc>
          <w:tcPr>
            <w:tcW w:w="970" w:type="pct"/>
            <w:tcBorders>
              <w:top w:val="single" w:color="auto" w:sz="4" w:space="0"/>
              <w:left w:val="nil"/>
              <w:bottom w:val="single" w:color="auto" w:sz="4" w:space="0"/>
              <w:right w:val="single" w:color="auto" w:sz="4" w:space="0"/>
            </w:tcBorders>
            <w:vAlign w:val="center"/>
          </w:tcPr>
          <w:p w14:paraId="6D32EF26">
            <w:pPr>
              <w:widowControl/>
              <w:adjustRightInd/>
              <w:spacing w:line="240" w:lineRule="auto"/>
              <w:jc w:val="center"/>
              <w:textAlignment w:val="auto"/>
              <w:rPr>
                <w:rFonts w:ascii="Arial" w:hAnsi="Arial" w:cs="Arial"/>
                <w:sz w:val="16"/>
                <w:szCs w:val="18"/>
              </w:rPr>
            </w:pPr>
            <w:r>
              <w:rPr>
                <w:rFonts w:ascii="Arial" w:hAnsi="Arial" w:cs="Arial"/>
                <w:sz w:val="16"/>
                <w:szCs w:val="18"/>
              </w:rPr>
              <w:t>可比案例3</w:t>
            </w:r>
          </w:p>
        </w:tc>
      </w:tr>
      <w:tr w14:paraId="1A2B5ADA">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5F3EA03D">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968" w:type="pct"/>
            <w:tcBorders>
              <w:top w:val="nil"/>
              <w:left w:val="nil"/>
              <w:bottom w:val="single" w:color="auto" w:sz="4" w:space="0"/>
              <w:right w:val="single" w:color="auto" w:sz="4" w:space="0"/>
            </w:tcBorders>
            <w:vAlign w:val="center"/>
          </w:tcPr>
          <w:p w14:paraId="00962C04">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福兴雅苑</w:t>
            </w:r>
          </w:p>
        </w:tc>
        <w:tc>
          <w:tcPr>
            <w:tcW w:w="968" w:type="pct"/>
            <w:tcBorders>
              <w:top w:val="nil"/>
              <w:left w:val="nil"/>
              <w:bottom w:val="single" w:color="auto" w:sz="4" w:space="0"/>
              <w:right w:val="single" w:color="auto" w:sz="4" w:space="0"/>
            </w:tcBorders>
            <w:vAlign w:val="center"/>
          </w:tcPr>
          <w:p w14:paraId="1C233F7E">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968" w:type="pct"/>
            <w:tcBorders>
              <w:top w:val="nil"/>
              <w:left w:val="nil"/>
              <w:bottom w:val="single" w:color="auto" w:sz="4" w:space="0"/>
              <w:right w:val="single" w:color="auto" w:sz="4" w:space="0"/>
            </w:tcBorders>
            <w:vAlign w:val="center"/>
          </w:tcPr>
          <w:p w14:paraId="0F47746F">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锦华园</w:t>
            </w:r>
          </w:p>
        </w:tc>
        <w:tc>
          <w:tcPr>
            <w:tcW w:w="970" w:type="pct"/>
            <w:tcBorders>
              <w:top w:val="nil"/>
              <w:left w:val="nil"/>
              <w:bottom w:val="single" w:color="auto" w:sz="4" w:space="0"/>
              <w:right w:val="single" w:color="auto" w:sz="4" w:space="0"/>
            </w:tcBorders>
            <w:vAlign w:val="center"/>
          </w:tcPr>
          <w:p w14:paraId="434A7305">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r>
      <w:tr w14:paraId="28E4AB3B">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0C4918B1">
            <w:pPr>
              <w:widowControl/>
              <w:adjustRightInd/>
              <w:spacing w:line="240" w:lineRule="auto"/>
              <w:jc w:val="center"/>
              <w:textAlignment w:val="auto"/>
              <w:rPr>
                <w:rFonts w:ascii="Arial" w:hAnsi="Arial" w:cs="Arial"/>
                <w:sz w:val="16"/>
                <w:szCs w:val="18"/>
              </w:rPr>
            </w:pPr>
            <w:r>
              <w:rPr>
                <w:rFonts w:ascii="Arial" w:hAnsi="Arial" w:cs="Arial"/>
                <w:sz w:val="16"/>
                <w:szCs w:val="18"/>
              </w:rPr>
              <w:t>平均租金（元/平方米·月）</w:t>
            </w:r>
          </w:p>
        </w:tc>
        <w:tc>
          <w:tcPr>
            <w:tcW w:w="968" w:type="pct"/>
            <w:tcBorders>
              <w:top w:val="nil"/>
              <w:left w:val="nil"/>
              <w:bottom w:val="single" w:color="auto" w:sz="4" w:space="0"/>
              <w:right w:val="single" w:color="auto" w:sz="4" w:space="0"/>
            </w:tcBorders>
            <w:vAlign w:val="center"/>
          </w:tcPr>
          <w:p w14:paraId="6B44FA51">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968" w:type="pct"/>
            <w:tcBorders>
              <w:top w:val="nil"/>
              <w:left w:val="nil"/>
              <w:bottom w:val="single" w:color="auto" w:sz="4" w:space="0"/>
              <w:right w:val="single" w:color="auto" w:sz="4" w:space="0"/>
            </w:tcBorders>
            <w:vAlign w:val="center"/>
          </w:tcPr>
          <w:p w14:paraId="5043E239">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40.52</w:t>
            </w:r>
          </w:p>
        </w:tc>
        <w:tc>
          <w:tcPr>
            <w:tcW w:w="968" w:type="pct"/>
            <w:tcBorders>
              <w:top w:val="nil"/>
              <w:left w:val="nil"/>
              <w:bottom w:val="single" w:color="auto" w:sz="4" w:space="0"/>
              <w:right w:val="single" w:color="auto" w:sz="4" w:space="0"/>
            </w:tcBorders>
            <w:vAlign w:val="center"/>
          </w:tcPr>
          <w:p w14:paraId="574A74A8">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40.12</w:t>
            </w:r>
          </w:p>
        </w:tc>
        <w:tc>
          <w:tcPr>
            <w:tcW w:w="970" w:type="pct"/>
            <w:tcBorders>
              <w:top w:val="nil"/>
              <w:left w:val="nil"/>
              <w:bottom w:val="single" w:color="auto" w:sz="4" w:space="0"/>
              <w:right w:val="single" w:color="auto" w:sz="4" w:space="0"/>
            </w:tcBorders>
            <w:vAlign w:val="center"/>
          </w:tcPr>
          <w:p w14:paraId="5E6A239A">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41.28</w:t>
            </w:r>
          </w:p>
        </w:tc>
      </w:tr>
      <w:tr w14:paraId="116FFD29">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6789B991">
            <w:pPr>
              <w:widowControl/>
              <w:adjustRightInd/>
              <w:spacing w:line="240" w:lineRule="auto"/>
              <w:jc w:val="center"/>
              <w:textAlignment w:val="auto"/>
              <w:rPr>
                <w:rFonts w:ascii="Arial" w:hAnsi="Arial" w:cs="Arial"/>
                <w:sz w:val="16"/>
                <w:szCs w:val="18"/>
              </w:rPr>
            </w:pPr>
            <w:r>
              <w:rPr>
                <w:rFonts w:ascii="Arial" w:hAnsi="Arial" w:cs="Arial"/>
                <w:sz w:val="16"/>
                <w:szCs w:val="18"/>
              </w:rPr>
              <w:t>交易时间</w:t>
            </w:r>
          </w:p>
        </w:tc>
        <w:tc>
          <w:tcPr>
            <w:tcW w:w="968" w:type="pct"/>
            <w:tcBorders>
              <w:top w:val="nil"/>
              <w:left w:val="nil"/>
              <w:bottom w:val="single" w:color="auto" w:sz="4" w:space="0"/>
              <w:right w:val="single" w:color="auto" w:sz="4" w:space="0"/>
            </w:tcBorders>
            <w:vAlign w:val="center"/>
          </w:tcPr>
          <w:p w14:paraId="29A0E64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2026年4月7日</w:t>
            </w:r>
          </w:p>
        </w:tc>
        <w:tc>
          <w:tcPr>
            <w:tcW w:w="968" w:type="pct"/>
            <w:tcBorders>
              <w:top w:val="nil"/>
              <w:left w:val="nil"/>
              <w:bottom w:val="single" w:color="auto" w:sz="4" w:space="0"/>
              <w:right w:val="single" w:color="auto" w:sz="4" w:space="0"/>
            </w:tcBorders>
            <w:vAlign w:val="center"/>
          </w:tcPr>
          <w:p w14:paraId="1CAF6CF7">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c>
          <w:tcPr>
            <w:tcW w:w="968" w:type="pct"/>
            <w:tcBorders>
              <w:top w:val="nil"/>
              <w:left w:val="nil"/>
              <w:bottom w:val="single" w:color="auto" w:sz="4" w:space="0"/>
              <w:right w:val="single" w:color="auto" w:sz="4" w:space="0"/>
            </w:tcBorders>
            <w:vAlign w:val="center"/>
          </w:tcPr>
          <w:p w14:paraId="10F40F88">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4</w:t>
            </w:r>
            <w:r>
              <w:rPr>
                <w:rFonts w:ascii="Arial" w:hAnsi="Arial" w:cs="Arial"/>
                <w:sz w:val="16"/>
                <w:szCs w:val="18"/>
              </w:rPr>
              <w:t>月</w:t>
            </w:r>
          </w:p>
        </w:tc>
        <w:tc>
          <w:tcPr>
            <w:tcW w:w="970" w:type="pct"/>
            <w:tcBorders>
              <w:top w:val="nil"/>
              <w:left w:val="nil"/>
              <w:bottom w:val="single" w:color="auto" w:sz="4" w:space="0"/>
              <w:right w:val="single" w:color="auto" w:sz="4" w:space="0"/>
            </w:tcBorders>
            <w:vAlign w:val="center"/>
          </w:tcPr>
          <w:p w14:paraId="7E049909">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r>
      <w:tr w14:paraId="26AA033E">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104FD05C">
            <w:pPr>
              <w:widowControl/>
              <w:adjustRightInd/>
              <w:spacing w:line="240" w:lineRule="auto"/>
              <w:jc w:val="center"/>
              <w:textAlignment w:val="auto"/>
              <w:rPr>
                <w:rFonts w:ascii="Arial" w:hAnsi="Arial" w:cs="Arial"/>
                <w:sz w:val="16"/>
                <w:szCs w:val="18"/>
              </w:rPr>
            </w:pPr>
            <w:r>
              <w:rPr>
                <w:rFonts w:ascii="Arial" w:hAnsi="Arial" w:cs="Arial"/>
                <w:sz w:val="16"/>
                <w:szCs w:val="18"/>
              </w:rPr>
              <w:t>交易情况</w:t>
            </w:r>
          </w:p>
        </w:tc>
        <w:tc>
          <w:tcPr>
            <w:tcW w:w="968" w:type="pct"/>
            <w:tcBorders>
              <w:top w:val="nil"/>
              <w:left w:val="nil"/>
              <w:bottom w:val="single" w:color="auto" w:sz="4" w:space="0"/>
              <w:right w:val="single" w:color="auto" w:sz="4" w:space="0"/>
            </w:tcBorders>
            <w:vAlign w:val="center"/>
          </w:tcPr>
          <w:p w14:paraId="60F91151">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4E1A3D99">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5FB9E302">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70" w:type="pct"/>
            <w:tcBorders>
              <w:top w:val="nil"/>
              <w:left w:val="nil"/>
              <w:bottom w:val="single" w:color="auto" w:sz="4" w:space="0"/>
              <w:right w:val="single" w:color="auto" w:sz="4" w:space="0"/>
            </w:tcBorders>
            <w:vAlign w:val="center"/>
          </w:tcPr>
          <w:p w14:paraId="7946A80D">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r>
      <w:tr w14:paraId="3639F059">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634B3990">
            <w:pPr>
              <w:widowControl/>
              <w:adjustRightInd/>
              <w:spacing w:line="240" w:lineRule="auto"/>
              <w:jc w:val="center"/>
              <w:textAlignment w:val="auto"/>
              <w:rPr>
                <w:rFonts w:ascii="Arial" w:hAnsi="Arial" w:cs="Arial"/>
                <w:sz w:val="16"/>
                <w:szCs w:val="18"/>
              </w:rPr>
            </w:pPr>
            <w:r>
              <w:rPr>
                <w:rFonts w:ascii="Arial" w:hAnsi="Arial" w:cs="Arial"/>
                <w:sz w:val="16"/>
                <w:szCs w:val="18"/>
              </w:rPr>
              <w:t>项目类型</w:t>
            </w:r>
          </w:p>
        </w:tc>
        <w:tc>
          <w:tcPr>
            <w:tcW w:w="968" w:type="pct"/>
            <w:tcBorders>
              <w:top w:val="nil"/>
              <w:left w:val="nil"/>
              <w:bottom w:val="single" w:color="auto" w:sz="4" w:space="0"/>
              <w:right w:val="single" w:color="auto" w:sz="4" w:space="0"/>
            </w:tcBorders>
            <w:vAlign w:val="center"/>
          </w:tcPr>
          <w:p w14:paraId="57EC338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1B82E48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0785878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70" w:type="pct"/>
            <w:tcBorders>
              <w:top w:val="nil"/>
              <w:left w:val="nil"/>
              <w:bottom w:val="single" w:color="auto" w:sz="4" w:space="0"/>
              <w:right w:val="single" w:color="auto" w:sz="4" w:space="0"/>
            </w:tcBorders>
            <w:vAlign w:val="center"/>
          </w:tcPr>
          <w:p w14:paraId="28ADFFC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r>
      <w:tr w14:paraId="423B8140">
        <w:tblPrEx>
          <w:tblCellMar>
            <w:top w:w="0" w:type="dxa"/>
            <w:left w:w="108" w:type="dxa"/>
            <w:bottom w:w="0" w:type="dxa"/>
            <w:right w:w="108" w:type="dxa"/>
          </w:tblCellMar>
        </w:tblPrEx>
        <w:trPr>
          <w:trHeight w:val="1442" w:hRule="atLeast"/>
          <w:jc w:val="center"/>
        </w:trPr>
        <w:tc>
          <w:tcPr>
            <w:tcW w:w="362" w:type="pct"/>
            <w:vMerge w:val="restart"/>
            <w:tcBorders>
              <w:top w:val="nil"/>
              <w:left w:val="single" w:color="auto" w:sz="4" w:space="0"/>
              <w:bottom w:val="single" w:color="000000" w:sz="4" w:space="0"/>
              <w:right w:val="single" w:color="auto" w:sz="4" w:space="0"/>
            </w:tcBorders>
            <w:vAlign w:val="center"/>
          </w:tcPr>
          <w:p w14:paraId="67C6609E">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760" w:type="pct"/>
            <w:tcBorders>
              <w:top w:val="nil"/>
              <w:left w:val="nil"/>
              <w:bottom w:val="single" w:color="auto" w:sz="4" w:space="0"/>
              <w:right w:val="single" w:color="auto" w:sz="4" w:space="0"/>
            </w:tcBorders>
            <w:vAlign w:val="center"/>
          </w:tcPr>
          <w:p w14:paraId="407588E1">
            <w:pPr>
              <w:widowControl/>
              <w:adjustRightInd/>
              <w:spacing w:line="240" w:lineRule="auto"/>
              <w:jc w:val="center"/>
              <w:textAlignment w:val="auto"/>
              <w:rPr>
                <w:rFonts w:ascii="Arial" w:hAnsi="Arial" w:cs="Arial"/>
                <w:sz w:val="16"/>
                <w:szCs w:val="18"/>
              </w:rPr>
            </w:pPr>
            <w:r>
              <w:rPr>
                <w:rFonts w:ascii="Arial" w:hAnsi="Arial" w:cs="Arial"/>
                <w:sz w:val="16"/>
                <w:szCs w:val="18"/>
              </w:rPr>
              <w:t>居住区成熟度</w:t>
            </w:r>
          </w:p>
        </w:tc>
        <w:tc>
          <w:tcPr>
            <w:tcW w:w="968" w:type="pct"/>
            <w:tcBorders>
              <w:top w:val="nil"/>
              <w:left w:val="nil"/>
              <w:bottom w:val="single" w:color="auto" w:sz="4" w:space="0"/>
              <w:right w:val="single" w:color="auto" w:sz="4" w:space="0"/>
            </w:tcBorders>
            <w:vAlign w:val="center"/>
          </w:tcPr>
          <w:p w14:paraId="781106C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内有车站中里小区、海悦公馆、海子角小区、物资局小区、义和庄东里、锦华园小区、兴水家园、漪景园、埝坛华庭等居住项目，居住小区规模适中，入住率较好，综合评价居住社区成熟度较好</w:t>
            </w:r>
          </w:p>
        </w:tc>
        <w:tc>
          <w:tcPr>
            <w:tcW w:w="968" w:type="pct"/>
            <w:tcBorders>
              <w:top w:val="nil"/>
              <w:left w:val="nil"/>
              <w:bottom w:val="single" w:color="auto" w:sz="4" w:space="0"/>
              <w:right w:val="single" w:color="auto" w:sz="4" w:space="0"/>
            </w:tcBorders>
            <w:vAlign w:val="center"/>
          </w:tcPr>
          <w:p w14:paraId="403D5DAD">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周边2公里内有漪景苑、埝坛华庭北区、壹品兴创颐和公馆、矿林庄小区、锦华园小区、义和庄东里等居住项目，居住小区规模适中，入住率较好，综合评价居住区成熟度较好</w:t>
            </w:r>
          </w:p>
        </w:tc>
        <w:tc>
          <w:tcPr>
            <w:tcW w:w="968" w:type="pct"/>
            <w:tcBorders>
              <w:top w:val="nil"/>
              <w:left w:val="nil"/>
              <w:bottom w:val="single" w:color="auto" w:sz="4" w:space="0"/>
              <w:right w:val="single" w:color="auto" w:sz="4" w:space="0"/>
            </w:tcBorders>
            <w:vAlign w:val="center"/>
          </w:tcPr>
          <w:p w14:paraId="0D3F92F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周边2公里内有义和庄北里、中骏金辉未来云城、漪景苑、埝坛华庭北区、壹品兴创颐和公馆、矿林庄小区、义和庄东里等居住项目，居住小区规模适中，入住率较好，综合评价居住区成熟度较好</w:t>
            </w:r>
          </w:p>
        </w:tc>
        <w:tc>
          <w:tcPr>
            <w:tcW w:w="970" w:type="pct"/>
            <w:tcBorders>
              <w:top w:val="nil"/>
              <w:left w:val="nil"/>
              <w:bottom w:val="single" w:color="auto" w:sz="4" w:space="0"/>
              <w:right w:val="single" w:color="auto" w:sz="4" w:space="0"/>
            </w:tcBorders>
            <w:vAlign w:val="center"/>
          </w:tcPr>
          <w:p w14:paraId="5AF69EE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周边2公里内有德贤华府、埝坛华庭西区、埝坛华庭北区等居住项目，居住小区规模适中，入住率一般，综合评价居住社区成熟度一般</w:t>
            </w:r>
          </w:p>
        </w:tc>
      </w:tr>
      <w:tr w14:paraId="37BC4A1B">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7FDA52F5">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75AD719E">
            <w:pPr>
              <w:widowControl/>
              <w:adjustRightInd/>
              <w:spacing w:line="240" w:lineRule="auto"/>
              <w:jc w:val="center"/>
              <w:textAlignment w:val="auto"/>
              <w:rPr>
                <w:rFonts w:ascii="Arial" w:hAnsi="Arial" w:cs="Arial"/>
                <w:sz w:val="16"/>
                <w:szCs w:val="18"/>
              </w:rPr>
            </w:pPr>
            <w:r>
              <w:rPr>
                <w:rFonts w:ascii="Arial" w:hAnsi="Arial" w:cs="Arial"/>
                <w:sz w:val="16"/>
                <w:szCs w:val="18"/>
              </w:rPr>
              <w:t>道路通达度</w:t>
            </w:r>
          </w:p>
        </w:tc>
        <w:tc>
          <w:tcPr>
            <w:tcW w:w="968" w:type="pct"/>
            <w:tcBorders>
              <w:top w:val="nil"/>
              <w:left w:val="nil"/>
              <w:bottom w:val="single" w:color="auto" w:sz="4" w:space="0"/>
              <w:right w:val="single" w:color="auto" w:sz="4" w:space="0"/>
            </w:tcBorders>
            <w:vAlign w:val="center"/>
          </w:tcPr>
          <w:p w14:paraId="19ECBAE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周边500米内有城市主干道——林校路</w:t>
            </w:r>
          </w:p>
        </w:tc>
        <w:tc>
          <w:tcPr>
            <w:tcW w:w="968" w:type="pct"/>
            <w:tcBorders>
              <w:top w:val="nil"/>
              <w:left w:val="nil"/>
              <w:bottom w:val="single" w:color="auto" w:sz="4" w:space="0"/>
              <w:right w:val="single" w:color="auto" w:sz="4" w:space="0"/>
            </w:tcBorders>
            <w:vAlign w:val="center"/>
          </w:tcPr>
          <w:p w14:paraId="29CAF72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周边500米内有城市主干道——林校路</w:t>
            </w:r>
          </w:p>
        </w:tc>
        <w:tc>
          <w:tcPr>
            <w:tcW w:w="968" w:type="pct"/>
            <w:tcBorders>
              <w:top w:val="nil"/>
              <w:left w:val="nil"/>
              <w:bottom w:val="single" w:color="auto" w:sz="4" w:space="0"/>
              <w:right w:val="single" w:color="auto" w:sz="4" w:space="0"/>
            </w:tcBorders>
            <w:vAlign w:val="center"/>
          </w:tcPr>
          <w:p w14:paraId="6A794938">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周边500米内有城市主干道——兴华大街</w:t>
            </w:r>
          </w:p>
        </w:tc>
        <w:tc>
          <w:tcPr>
            <w:tcW w:w="970" w:type="pct"/>
            <w:tcBorders>
              <w:top w:val="nil"/>
              <w:left w:val="nil"/>
              <w:bottom w:val="single" w:color="auto" w:sz="4" w:space="0"/>
              <w:right w:val="single" w:color="auto" w:sz="4" w:space="0"/>
            </w:tcBorders>
            <w:vAlign w:val="center"/>
          </w:tcPr>
          <w:p w14:paraId="49FADB4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周边500米内有城市主干道——兴良路</w:t>
            </w:r>
          </w:p>
        </w:tc>
      </w:tr>
      <w:tr w14:paraId="3A9F37E2">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4D73B092">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6A49A4CE">
            <w:pPr>
              <w:widowControl/>
              <w:adjustRightInd/>
              <w:spacing w:line="240" w:lineRule="auto"/>
              <w:jc w:val="center"/>
              <w:textAlignment w:val="auto"/>
              <w:rPr>
                <w:rFonts w:ascii="Arial" w:hAnsi="Arial" w:cs="Arial"/>
                <w:sz w:val="16"/>
                <w:szCs w:val="18"/>
              </w:rPr>
            </w:pPr>
            <w:r>
              <w:rPr>
                <w:rFonts w:ascii="Arial" w:hAnsi="Arial" w:cs="Arial"/>
                <w:sz w:val="16"/>
                <w:szCs w:val="18"/>
              </w:rPr>
              <w:t>距离轨道交通站点距离</w:t>
            </w:r>
          </w:p>
        </w:tc>
        <w:tc>
          <w:tcPr>
            <w:tcW w:w="968" w:type="pct"/>
            <w:tcBorders>
              <w:top w:val="nil"/>
              <w:left w:val="nil"/>
              <w:bottom w:val="single" w:color="auto" w:sz="4" w:space="0"/>
              <w:right w:val="single" w:color="auto" w:sz="4" w:space="0"/>
            </w:tcBorders>
            <w:vAlign w:val="center"/>
          </w:tcPr>
          <w:p w14:paraId="264475E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周边2公里范围内有轨道交通站点（地铁4号线黄村火车站）</w:t>
            </w:r>
          </w:p>
        </w:tc>
        <w:tc>
          <w:tcPr>
            <w:tcW w:w="968" w:type="pct"/>
            <w:tcBorders>
              <w:top w:val="nil"/>
              <w:left w:val="nil"/>
              <w:bottom w:val="single" w:color="auto" w:sz="4" w:space="0"/>
              <w:right w:val="single" w:color="auto" w:sz="4" w:space="0"/>
            </w:tcBorders>
            <w:vAlign w:val="center"/>
          </w:tcPr>
          <w:p w14:paraId="2B6B536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周边2公里范围内有轨道交通站点（地铁4号线义和庄站）</w:t>
            </w:r>
          </w:p>
        </w:tc>
        <w:tc>
          <w:tcPr>
            <w:tcW w:w="968" w:type="pct"/>
            <w:tcBorders>
              <w:top w:val="nil"/>
              <w:left w:val="nil"/>
              <w:bottom w:val="single" w:color="auto" w:sz="4" w:space="0"/>
              <w:right w:val="single" w:color="auto" w:sz="4" w:space="0"/>
            </w:tcBorders>
            <w:vAlign w:val="center"/>
          </w:tcPr>
          <w:p w14:paraId="4F6AF99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周边2公里范围内有轨道交通站点（地铁4号线黄村火车站）</w:t>
            </w:r>
          </w:p>
        </w:tc>
        <w:tc>
          <w:tcPr>
            <w:tcW w:w="970" w:type="pct"/>
            <w:tcBorders>
              <w:top w:val="nil"/>
              <w:left w:val="nil"/>
              <w:bottom w:val="single" w:color="auto" w:sz="4" w:space="0"/>
              <w:right w:val="single" w:color="auto" w:sz="4" w:space="0"/>
            </w:tcBorders>
            <w:vAlign w:val="center"/>
          </w:tcPr>
          <w:p w14:paraId="55F5328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r>
      <w:tr w14:paraId="169023DB">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092FBBB6">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0740EA18">
            <w:pPr>
              <w:widowControl/>
              <w:adjustRightInd/>
              <w:spacing w:line="240" w:lineRule="auto"/>
              <w:jc w:val="center"/>
              <w:textAlignment w:val="auto"/>
              <w:rPr>
                <w:rFonts w:ascii="Arial" w:hAnsi="Arial" w:cs="Arial"/>
                <w:sz w:val="16"/>
                <w:szCs w:val="18"/>
              </w:rPr>
            </w:pPr>
            <w:r>
              <w:rPr>
                <w:rFonts w:ascii="Arial" w:hAnsi="Arial" w:cs="Arial"/>
                <w:sz w:val="16"/>
                <w:szCs w:val="18"/>
              </w:rPr>
              <w:t>距离公交站点距离</w:t>
            </w:r>
          </w:p>
        </w:tc>
        <w:tc>
          <w:tcPr>
            <w:tcW w:w="968" w:type="pct"/>
            <w:tcBorders>
              <w:top w:val="nil"/>
              <w:left w:val="nil"/>
              <w:bottom w:val="single" w:color="auto" w:sz="4" w:space="0"/>
              <w:right w:val="single" w:color="auto" w:sz="4" w:space="0"/>
            </w:tcBorders>
            <w:vAlign w:val="center"/>
          </w:tcPr>
          <w:p w14:paraId="60615E4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周边1公里内有827路、829路、840路、兴11路、兴21路、兴52路等公交线路途径并设立站点</w:t>
            </w:r>
          </w:p>
        </w:tc>
        <w:tc>
          <w:tcPr>
            <w:tcW w:w="968" w:type="pct"/>
            <w:tcBorders>
              <w:top w:val="nil"/>
              <w:left w:val="nil"/>
              <w:bottom w:val="single" w:color="auto" w:sz="4" w:space="0"/>
              <w:right w:val="single" w:color="auto" w:sz="4" w:space="0"/>
            </w:tcBorders>
            <w:vAlign w:val="center"/>
          </w:tcPr>
          <w:p w14:paraId="126BAA0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周边1公里内有827路、829路、840路、兴11路、兴21路等公交线路途径并设立站点</w:t>
            </w:r>
          </w:p>
        </w:tc>
        <w:tc>
          <w:tcPr>
            <w:tcW w:w="968" w:type="pct"/>
            <w:tcBorders>
              <w:top w:val="nil"/>
              <w:left w:val="nil"/>
              <w:bottom w:val="single" w:color="auto" w:sz="4" w:space="0"/>
              <w:right w:val="single" w:color="auto" w:sz="4" w:space="0"/>
            </w:tcBorders>
            <w:vAlign w:val="center"/>
          </w:tcPr>
          <w:p w14:paraId="4766CAA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周边1公里内有兴12路、兴16路、兴37路、兴77路等公交线路途径并设立站点</w:t>
            </w:r>
          </w:p>
        </w:tc>
        <w:tc>
          <w:tcPr>
            <w:tcW w:w="970" w:type="pct"/>
            <w:tcBorders>
              <w:top w:val="nil"/>
              <w:left w:val="nil"/>
              <w:bottom w:val="single" w:color="auto" w:sz="4" w:space="0"/>
              <w:right w:val="single" w:color="auto" w:sz="4" w:space="0"/>
            </w:tcBorders>
            <w:vAlign w:val="center"/>
          </w:tcPr>
          <w:p w14:paraId="4D782E2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周边1公里内有兴13路、兴37路、兴53路、840路等公交线路途径并设立站点</w:t>
            </w:r>
          </w:p>
        </w:tc>
      </w:tr>
      <w:tr w14:paraId="4BE17BE2">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32BC422E">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7B43AC5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环境质量优劣度</w:t>
            </w:r>
          </w:p>
        </w:tc>
        <w:tc>
          <w:tcPr>
            <w:tcW w:w="968" w:type="pct"/>
            <w:tcBorders>
              <w:top w:val="nil"/>
              <w:left w:val="nil"/>
              <w:bottom w:val="single" w:color="auto" w:sz="4" w:space="0"/>
              <w:right w:val="single" w:color="auto" w:sz="4" w:space="0"/>
            </w:tcBorders>
            <w:vAlign w:val="center"/>
          </w:tcPr>
          <w:p w14:paraId="6E373FF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68" w:type="pct"/>
            <w:tcBorders>
              <w:top w:val="nil"/>
              <w:left w:val="nil"/>
              <w:bottom w:val="single" w:color="auto" w:sz="4" w:space="0"/>
              <w:right w:val="single" w:color="auto" w:sz="4" w:space="0"/>
            </w:tcBorders>
            <w:vAlign w:val="center"/>
          </w:tcPr>
          <w:p w14:paraId="589E207A">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周边5km内无污染源</w:t>
            </w:r>
          </w:p>
        </w:tc>
        <w:tc>
          <w:tcPr>
            <w:tcW w:w="968" w:type="pct"/>
            <w:tcBorders>
              <w:top w:val="nil"/>
              <w:left w:val="nil"/>
              <w:bottom w:val="single" w:color="auto" w:sz="4" w:space="0"/>
              <w:right w:val="single" w:color="auto" w:sz="4" w:space="0"/>
            </w:tcBorders>
            <w:vAlign w:val="center"/>
          </w:tcPr>
          <w:p w14:paraId="4550CD4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70" w:type="pct"/>
            <w:tcBorders>
              <w:top w:val="nil"/>
              <w:left w:val="nil"/>
              <w:bottom w:val="single" w:color="auto" w:sz="4" w:space="0"/>
              <w:right w:val="single" w:color="auto" w:sz="4" w:space="0"/>
            </w:tcBorders>
            <w:vAlign w:val="center"/>
          </w:tcPr>
          <w:p w14:paraId="47DEDD6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r>
      <w:tr w14:paraId="4C6AB10F">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245A6C6A">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3BFDD3C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自然及人文环境</w:t>
            </w:r>
          </w:p>
        </w:tc>
        <w:tc>
          <w:tcPr>
            <w:tcW w:w="968" w:type="pct"/>
            <w:tcBorders>
              <w:top w:val="nil"/>
              <w:left w:val="nil"/>
              <w:bottom w:val="single" w:color="auto" w:sz="4" w:space="0"/>
              <w:right w:val="single" w:color="auto" w:sz="4" w:space="0"/>
            </w:tcBorders>
            <w:vAlign w:val="center"/>
          </w:tcPr>
          <w:p w14:paraId="13B27F1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估价对象周边2公里有念坛公园、兴良路公园、永定公园、小龙河等自然景观，有中央文化和旅游管理干部学院、国家林业和草原局管理干部学院等人文环境、综合评价自然与人文环境较好</w:t>
            </w:r>
          </w:p>
        </w:tc>
        <w:tc>
          <w:tcPr>
            <w:tcW w:w="968" w:type="pct"/>
            <w:tcBorders>
              <w:top w:val="nil"/>
              <w:left w:val="nil"/>
              <w:bottom w:val="single" w:color="auto" w:sz="4" w:space="0"/>
              <w:right w:val="single" w:color="auto" w:sz="4" w:space="0"/>
            </w:tcBorders>
            <w:vAlign w:val="center"/>
          </w:tcPr>
          <w:p w14:paraId="41C3651C">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周边2公里有念坛公园、兴良路公园、永定公园、小龙河等自然景观，有中央文化和旅游管理干部学院、国家林业和草原局管理干部学院等人文环境、综合评价自然与人文环境较好</w:t>
            </w:r>
          </w:p>
        </w:tc>
        <w:tc>
          <w:tcPr>
            <w:tcW w:w="968" w:type="pct"/>
            <w:tcBorders>
              <w:top w:val="nil"/>
              <w:left w:val="nil"/>
              <w:bottom w:val="single" w:color="auto" w:sz="4" w:space="0"/>
              <w:right w:val="single" w:color="auto" w:sz="4" w:space="0"/>
            </w:tcBorders>
            <w:vAlign w:val="center"/>
          </w:tcPr>
          <w:p w14:paraId="000ABA65">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周边2公里有念坛公园、兴良路公园、永定公园、小龙河等自然景观，有中央文化和旅游管理干部学院、国家林业和草原局管理干部学院等人文环境、综合评价自然与人文环境较好</w:t>
            </w:r>
          </w:p>
        </w:tc>
        <w:tc>
          <w:tcPr>
            <w:tcW w:w="970" w:type="pct"/>
            <w:tcBorders>
              <w:top w:val="nil"/>
              <w:left w:val="nil"/>
              <w:bottom w:val="single" w:color="auto" w:sz="4" w:space="0"/>
              <w:right w:val="single" w:color="auto" w:sz="4" w:space="0"/>
            </w:tcBorders>
            <w:vAlign w:val="center"/>
          </w:tcPr>
          <w:p w14:paraId="369D524A">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周边2公里有念坛公园、兴良路公园、永定公园、小龙河等自然景观，有首都医科大学（大兴校区）、金隅高新产业园等人文环境、综合评价自然与人文环境较好</w:t>
            </w:r>
          </w:p>
        </w:tc>
      </w:tr>
      <w:tr w14:paraId="3CF76A51">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34175B33">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7F1289B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小区环境</w:t>
            </w:r>
          </w:p>
        </w:tc>
        <w:tc>
          <w:tcPr>
            <w:tcW w:w="968" w:type="pct"/>
            <w:tcBorders>
              <w:top w:val="nil"/>
              <w:left w:val="nil"/>
              <w:bottom w:val="single" w:color="auto" w:sz="4" w:space="0"/>
              <w:right w:val="single" w:color="auto" w:sz="4" w:space="0"/>
            </w:tcBorders>
            <w:vAlign w:val="center"/>
          </w:tcPr>
          <w:p w14:paraId="0539472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68" w:type="pct"/>
            <w:tcBorders>
              <w:top w:val="nil"/>
              <w:left w:val="nil"/>
              <w:bottom w:val="single" w:color="auto" w:sz="4" w:space="0"/>
              <w:right w:val="single" w:color="auto" w:sz="4" w:space="0"/>
            </w:tcBorders>
            <w:vAlign w:val="center"/>
          </w:tcPr>
          <w:p w14:paraId="016BAD1D">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小区道路整洁、绿化率高、有景观设计、人车分</w:t>
            </w:r>
            <w:r>
              <w:rPr>
                <w:rFonts w:hint="eastAsia" w:ascii="Arial" w:hAnsi="Arial" w:cs="Arial"/>
                <w:sz w:val="16"/>
                <w:szCs w:val="18"/>
              </w:rPr>
              <w:t>流</w:t>
            </w:r>
          </w:p>
        </w:tc>
        <w:tc>
          <w:tcPr>
            <w:tcW w:w="968" w:type="pct"/>
            <w:tcBorders>
              <w:top w:val="nil"/>
              <w:left w:val="nil"/>
              <w:bottom w:val="single" w:color="auto" w:sz="4" w:space="0"/>
              <w:right w:val="single" w:color="auto" w:sz="4" w:space="0"/>
            </w:tcBorders>
            <w:vAlign w:val="center"/>
          </w:tcPr>
          <w:p w14:paraId="1ADCF46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70" w:type="pct"/>
            <w:tcBorders>
              <w:top w:val="nil"/>
              <w:left w:val="nil"/>
              <w:bottom w:val="single" w:color="auto" w:sz="4" w:space="0"/>
              <w:right w:val="single" w:color="auto" w:sz="4" w:space="0"/>
            </w:tcBorders>
            <w:vAlign w:val="center"/>
          </w:tcPr>
          <w:p w14:paraId="2997BB4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r>
      <w:tr w14:paraId="62B2AC7C">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7AB6825F">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46B4700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公共服务设施状况</w:t>
            </w:r>
          </w:p>
        </w:tc>
        <w:tc>
          <w:tcPr>
            <w:tcW w:w="968" w:type="pct"/>
            <w:tcBorders>
              <w:top w:val="nil"/>
              <w:left w:val="nil"/>
              <w:bottom w:val="single" w:color="auto" w:sz="4" w:space="0"/>
              <w:right w:val="single" w:color="auto" w:sz="4" w:space="0"/>
            </w:tcBorders>
            <w:vAlign w:val="center"/>
          </w:tcPr>
          <w:p w14:paraId="133B47D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估价对象所在区域周边2公里范围内有大兴星城商厦、大兴大悦春风里等商业场所；有北京市大兴区永华实验学校、</w:t>
            </w:r>
            <w:r>
              <w:rPr>
                <w:rFonts w:hint="eastAsia" w:ascii="Arial" w:hAnsi="Arial" w:cs="Arial"/>
                <w:sz w:val="16"/>
                <w:szCs w:val="18"/>
                <w:lang w:eastAsia="zh-CN"/>
              </w:rPr>
              <w:t>北京市</w:t>
            </w:r>
            <w:r>
              <w:rPr>
                <w:rFonts w:hint="eastAsia" w:ascii="Arial" w:hAnsi="Arial" w:cs="Arial"/>
                <w:sz w:val="16"/>
                <w:szCs w:val="18"/>
              </w:rPr>
              <w:t>大兴区第一中学、北京市大兴区第八小学、泰禾幼儿园（大兴园区）等教育机构，有北京市大兴区心康医院、北京市大兴区人民医院等医疗机构；有华夏银行、北京银行等金融网点，公共配套设施状况较好</w:t>
            </w:r>
          </w:p>
        </w:tc>
        <w:tc>
          <w:tcPr>
            <w:tcW w:w="968" w:type="pct"/>
            <w:tcBorders>
              <w:top w:val="nil"/>
              <w:left w:val="nil"/>
              <w:bottom w:val="single" w:color="auto" w:sz="4" w:space="0"/>
              <w:right w:val="single" w:color="auto" w:sz="4" w:space="0"/>
            </w:tcBorders>
            <w:vAlign w:val="center"/>
          </w:tcPr>
          <w:p w14:paraId="643ECD07">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周边2公里范围内有大兴星城商厦、大兴大悦春风里等商业场所；有北京市大兴区永华实验学校、</w:t>
            </w:r>
            <w:r>
              <w:rPr>
                <w:rFonts w:hint="eastAsia" w:ascii="宋体" w:hAnsi="宋体" w:cs="Arial"/>
                <w:sz w:val="16"/>
                <w:szCs w:val="18"/>
                <w:lang w:eastAsia="zh-CN"/>
              </w:rPr>
              <w:t>北京市</w:t>
            </w:r>
            <w:r>
              <w:rPr>
                <w:rFonts w:hint="eastAsia" w:ascii="宋体" w:hAnsi="宋体" w:cs="Arial"/>
                <w:sz w:val="16"/>
                <w:szCs w:val="18"/>
              </w:rPr>
              <w:t>大兴区第一中学、北京市大兴区第八小学、泰禾幼儿园（大兴园区）等教育机构，有北京市大兴区心康医院、北京市大兴区人民医院等医疗机构；有华夏银行、北京银行等金融网点，公共配套设施状况较好</w:t>
            </w:r>
          </w:p>
        </w:tc>
        <w:tc>
          <w:tcPr>
            <w:tcW w:w="968" w:type="pct"/>
            <w:tcBorders>
              <w:top w:val="nil"/>
              <w:left w:val="nil"/>
              <w:bottom w:val="single" w:color="auto" w:sz="4" w:space="0"/>
              <w:right w:val="single" w:color="auto" w:sz="4" w:space="0"/>
            </w:tcBorders>
            <w:vAlign w:val="center"/>
          </w:tcPr>
          <w:p w14:paraId="584C76E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周边2公里范围内有大兴星城商厦、大兴大悦春风里等商业场所；有北京市大兴区永华实验学校、</w:t>
            </w:r>
            <w:r>
              <w:rPr>
                <w:rFonts w:hint="eastAsia" w:ascii="Arial" w:hAnsi="Arial" w:cs="Arial"/>
                <w:sz w:val="16"/>
                <w:szCs w:val="18"/>
                <w:lang w:eastAsia="zh-CN"/>
              </w:rPr>
              <w:t>北京市</w:t>
            </w:r>
            <w:r>
              <w:rPr>
                <w:rFonts w:hint="eastAsia" w:ascii="Arial" w:hAnsi="Arial" w:cs="Arial"/>
                <w:sz w:val="16"/>
                <w:szCs w:val="18"/>
              </w:rPr>
              <w:t>大兴区第一中学、北京市大兴区第八小学、泰禾幼儿园（大兴园区）等教育机构，有北京市大兴区心康医院、北京市大兴区人民医院等医疗机构；有华夏银行、北京银行等金融网点，公共配套设施状况较好</w:t>
            </w:r>
          </w:p>
        </w:tc>
        <w:tc>
          <w:tcPr>
            <w:tcW w:w="970" w:type="pct"/>
            <w:tcBorders>
              <w:top w:val="nil"/>
              <w:left w:val="nil"/>
              <w:bottom w:val="single" w:color="auto" w:sz="4" w:space="0"/>
              <w:right w:val="single" w:color="auto" w:sz="4" w:space="0"/>
            </w:tcBorders>
            <w:vAlign w:val="center"/>
          </w:tcPr>
          <w:p w14:paraId="087A9BA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大型购物中心，有世纪华联超市（太福店）超市等生活配套商业；有北京教育学院附属大兴实验小学、联港嘉园幼儿园等教育机构，有北臧村社区卫生服务中心等医疗机构；有北京农商银行（联港嘉园分理处）等金融网点，公共配套设施状况一般</w:t>
            </w:r>
          </w:p>
        </w:tc>
      </w:tr>
      <w:tr w14:paraId="1AFD9C0C">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7B90082E">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5F96C59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建筑类型</w:t>
            </w:r>
          </w:p>
        </w:tc>
        <w:tc>
          <w:tcPr>
            <w:tcW w:w="968" w:type="pct"/>
            <w:tcBorders>
              <w:top w:val="nil"/>
              <w:left w:val="nil"/>
              <w:bottom w:val="single" w:color="auto" w:sz="4" w:space="0"/>
              <w:right w:val="single" w:color="auto" w:sz="4" w:space="0"/>
            </w:tcBorders>
            <w:vAlign w:val="center"/>
          </w:tcPr>
          <w:p w14:paraId="36264B6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高层板楼</w:t>
            </w:r>
          </w:p>
        </w:tc>
        <w:tc>
          <w:tcPr>
            <w:tcW w:w="968" w:type="pct"/>
            <w:tcBorders>
              <w:top w:val="nil"/>
              <w:left w:val="nil"/>
              <w:bottom w:val="single" w:color="auto" w:sz="4" w:space="0"/>
              <w:right w:val="single" w:color="auto" w:sz="4" w:space="0"/>
            </w:tcBorders>
            <w:vAlign w:val="center"/>
          </w:tcPr>
          <w:p w14:paraId="7628892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68" w:type="pct"/>
            <w:tcBorders>
              <w:top w:val="nil"/>
              <w:left w:val="nil"/>
              <w:bottom w:val="single" w:color="auto" w:sz="4" w:space="0"/>
              <w:right w:val="single" w:color="auto" w:sz="4" w:space="0"/>
            </w:tcBorders>
            <w:vAlign w:val="center"/>
          </w:tcPr>
          <w:p w14:paraId="0C23C23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70" w:type="pct"/>
            <w:tcBorders>
              <w:top w:val="nil"/>
              <w:left w:val="nil"/>
              <w:bottom w:val="single" w:color="auto" w:sz="4" w:space="0"/>
              <w:right w:val="single" w:color="auto" w:sz="4" w:space="0"/>
            </w:tcBorders>
            <w:vAlign w:val="center"/>
          </w:tcPr>
          <w:p w14:paraId="52DD9DD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小高层板楼</w:t>
            </w:r>
          </w:p>
        </w:tc>
      </w:tr>
      <w:tr w14:paraId="1CD13BF8">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0E5848C3">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6BEC107E">
            <w:pPr>
              <w:widowControl/>
              <w:adjustRightInd/>
              <w:spacing w:line="240" w:lineRule="auto"/>
              <w:jc w:val="center"/>
              <w:textAlignment w:val="auto"/>
              <w:rPr>
                <w:rFonts w:ascii="Arial" w:hAnsi="Arial" w:cs="Arial"/>
                <w:sz w:val="16"/>
                <w:szCs w:val="18"/>
              </w:rPr>
            </w:pP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5A419FB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2298352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443ACEB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c>
          <w:tcPr>
            <w:tcW w:w="970" w:type="pct"/>
            <w:tcBorders>
              <w:top w:val="nil"/>
              <w:left w:val="nil"/>
              <w:bottom w:val="single" w:color="auto" w:sz="4" w:space="0"/>
              <w:right w:val="single" w:color="auto" w:sz="4" w:space="0"/>
            </w:tcBorders>
            <w:vAlign w:val="center"/>
          </w:tcPr>
          <w:p w14:paraId="1F18FDE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r>
      <w:tr w14:paraId="4FE8523A">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auto" w:sz="4" w:space="0"/>
              <w:right w:val="single" w:color="auto" w:sz="4" w:space="0"/>
            </w:tcBorders>
            <w:vAlign w:val="center"/>
          </w:tcPr>
          <w:p w14:paraId="21F663A6">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0459A6E2">
            <w:pPr>
              <w:widowControl/>
              <w:adjustRightInd/>
              <w:spacing w:line="240" w:lineRule="auto"/>
              <w:jc w:val="center"/>
              <w:textAlignment w:val="auto"/>
              <w:rPr>
                <w:rFonts w:ascii="Arial" w:hAnsi="Arial" w:cs="Arial"/>
                <w:sz w:val="16"/>
                <w:szCs w:val="18"/>
              </w:rPr>
            </w:pPr>
            <w:r>
              <w:rPr>
                <w:rFonts w:ascii="Arial" w:hAnsi="Arial" w:cs="Arial"/>
                <w:sz w:val="16"/>
                <w:szCs w:val="18"/>
              </w:rPr>
              <w:t>朝向</w:t>
            </w:r>
          </w:p>
        </w:tc>
        <w:tc>
          <w:tcPr>
            <w:tcW w:w="968" w:type="pct"/>
            <w:tcBorders>
              <w:top w:val="nil"/>
              <w:left w:val="nil"/>
              <w:bottom w:val="single" w:color="auto" w:sz="4" w:space="0"/>
              <w:right w:val="single" w:color="auto" w:sz="4" w:space="0"/>
            </w:tcBorders>
            <w:vAlign w:val="center"/>
          </w:tcPr>
          <w:p w14:paraId="7E63DBD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w:t>
            </w:r>
          </w:p>
        </w:tc>
        <w:tc>
          <w:tcPr>
            <w:tcW w:w="968" w:type="pct"/>
            <w:tcBorders>
              <w:top w:val="nil"/>
              <w:left w:val="nil"/>
              <w:bottom w:val="single" w:color="auto" w:sz="4" w:space="0"/>
              <w:right w:val="single" w:color="auto" w:sz="4" w:space="0"/>
            </w:tcBorders>
            <w:vAlign w:val="center"/>
          </w:tcPr>
          <w:p w14:paraId="57F548E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w:t>
            </w:r>
          </w:p>
        </w:tc>
        <w:tc>
          <w:tcPr>
            <w:tcW w:w="968" w:type="pct"/>
            <w:tcBorders>
              <w:top w:val="nil"/>
              <w:left w:val="nil"/>
              <w:bottom w:val="single" w:color="auto" w:sz="4" w:space="0"/>
              <w:right w:val="single" w:color="auto" w:sz="4" w:space="0"/>
            </w:tcBorders>
            <w:vAlign w:val="center"/>
          </w:tcPr>
          <w:p w14:paraId="77FAAD8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70" w:type="pct"/>
            <w:tcBorders>
              <w:top w:val="nil"/>
              <w:left w:val="nil"/>
              <w:bottom w:val="single" w:color="auto" w:sz="4" w:space="0"/>
              <w:right w:val="single" w:color="auto" w:sz="4" w:space="0"/>
            </w:tcBorders>
            <w:vAlign w:val="center"/>
          </w:tcPr>
          <w:p w14:paraId="66E08F5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w:t>
            </w:r>
          </w:p>
        </w:tc>
      </w:tr>
      <w:tr w14:paraId="4F49D7CC">
        <w:tblPrEx>
          <w:tblCellMar>
            <w:top w:w="0" w:type="dxa"/>
            <w:left w:w="108" w:type="dxa"/>
            <w:bottom w:w="0" w:type="dxa"/>
            <w:right w:w="108" w:type="dxa"/>
          </w:tblCellMar>
        </w:tblPrEx>
        <w:trPr>
          <w:trHeight w:val="397" w:hRule="atLeast"/>
          <w:jc w:val="center"/>
        </w:trPr>
        <w:tc>
          <w:tcPr>
            <w:tcW w:w="362" w:type="pct"/>
            <w:vMerge w:val="restart"/>
            <w:tcBorders>
              <w:top w:val="single" w:color="auto" w:sz="4" w:space="0"/>
              <w:left w:val="single" w:color="auto" w:sz="4" w:space="0"/>
              <w:bottom w:val="single" w:color="auto" w:sz="4" w:space="0"/>
              <w:right w:val="single" w:color="auto" w:sz="4" w:space="0"/>
            </w:tcBorders>
            <w:vAlign w:val="center"/>
          </w:tcPr>
          <w:p w14:paraId="1EA74F71">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760" w:type="pct"/>
            <w:tcBorders>
              <w:top w:val="single" w:color="auto" w:sz="4" w:space="0"/>
              <w:left w:val="nil"/>
              <w:bottom w:val="single" w:color="auto" w:sz="4" w:space="0"/>
              <w:right w:val="single" w:color="auto" w:sz="4" w:space="0"/>
            </w:tcBorders>
            <w:vAlign w:val="center"/>
          </w:tcPr>
          <w:p w14:paraId="139F69C3">
            <w:pPr>
              <w:widowControl/>
              <w:adjustRightInd/>
              <w:spacing w:line="240" w:lineRule="auto"/>
              <w:jc w:val="center"/>
              <w:textAlignment w:val="auto"/>
              <w:rPr>
                <w:rFonts w:ascii="Arial" w:hAnsi="Arial" w:cs="Arial"/>
                <w:sz w:val="16"/>
                <w:szCs w:val="18"/>
              </w:rPr>
            </w:pPr>
            <w:r>
              <w:rPr>
                <w:rFonts w:ascii="Arial" w:hAnsi="Arial" w:cs="Arial"/>
                <w:sz w:val="16"/>
                <w:szCs w:val="18"/>
              </w:rPr>
              <w:t>成新度</w:t>
            </w:r>
          </w:p>
        </w:tc>
        <w:tc>
          <w:tcPr>
            <w:tcW w:w="968" w:type="pct"/>
            <w:tcBorders>
              <w:top w:val="single" w:color="auto" w:sz="4" w:space="0"/>
              <w:left w:val="nil"/>
              <w:bottom w:val="single" w:color="auto" w:sz="4" w:space="0"/>
              <w:right w:val="single" w:color="auto" w:sz="4" w:space="0"/>
            </w:tcBorders>
            <w:vAlign w:val="center"/>
          </w:tcPr>
          <w:p w14:paraId="65A90AC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9</w:t>
            </w:r>
            <w:r>
              <w:rPr>
                <w:rFonts w:ascii="Arial" w:hAnsi="Arial" w:cs="Arial"/>
                <w:sz w:val="16"/>
                <w:szCs w:val="18"/>
              </w:rPr>
              <w:t>0-</w:t>
            </w:r>
            <w:r>
              <w:rPr>
                <w:rFonts w:hint="eastAsia" w:ascii="Arial" w:hAnsi="Arial" w:cs="Arial"/>
                <w:sz w:val="16"/>
                <w:szCs w:val="18"/>
              </w:rPr>
              <w:t>100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21100D5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w:t>
            </w:r>
            <w:r>
              <w:rPr>
                <w:rFonts w:ascii="Arial" w:hAnsi="Arial" w:cs="Arial"/>
                <w:sz w:val="16"/>
                <w:szCs w:val="18"/>
              </w:rPr>
              <w:t>0-</w:t>
            </w:r>
            <w:r>
              <w:rPr>
                <w:rFonts w:hint="eastAsia" w:ascii="Arial" w:hAnsi="Arial" w:cs="Arial"/>
                <w:sz w:val="16"/>
                <w:szCs w:val="18"/>
              </w:rPr>
              <w:t>70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7FDCF5F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w:t>
            </w:r>
            <w:r>
              <w:rPr>
                <w:rFonts w:ascii="Arial" w:hAnsi="Arial" w:cs="Arial"/>
                <w:sz w:val="16"/>
                <w:szCs w:val="18"/>
              </w:rPr>
              <w:t>0-</w:t>
            </w:r>
            <w:r>
              <w:rPr>
                <w:rFonts w:hint="eastAsia" w:ascii="Arial" w:hAnsi="Arial" w:cs="Arial"/>
                <w:sz w:val="16"/>
                <w:szCs w:val="18"/>
              </w:rPr>
              <w:t>70</w:t>
            </w:r>
            <w:r>
              <w:rPr>
                <w:rFonts w:ascii="Arial" w:hAnsi="Arial" w:cs="Arial"/>
                <w:sz w:val="16"/>
                <w:szCs w:val="18"/>
              </w:rPr>
              <w:t>%</w:t>
            </w:r>
          </w:p>
        </w:tc>
        <w:tc>
          <w:tcPr>
            <w:tcW w:w="970" w:type="pct"/>
            <w:tcBorders>
              <w:top w:val="single" w:color="auto" w:sz="4" w:space="0"/>
              <w:left w:val="nil"/>
              <w:bottom w:val="single" w:color="auto" w:sz="4" w:space="0"/>
              <w:right w:val="single" w:color="auto" w:sz="4" w:space="0"/>
            </w:tcBorders>
            <w:vAlign w:val="center"/>
          </w:tcPr>
          <w:p w14:paraId="5AD5988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7</w:t>
            </w:r>
            <w:r>
              <w:rPr>
                <w:rFonts w:ascii="Arial" w:hAnsi="Arial" w:cs="Arial"/>
                <w:sz w:val="16"/>
                <w:szCs w:val="18"/>
              </w:rPr>
              <w:t>0-</w:t>
            </w:r>
            <w:r>
              <w:rPr>
                <w:rFonts w:hint="eastAsia" w:ascii="Arial" w:hAnsi="Arial" w:cs="Arial"/>
                <w:sz w:val="16"/>
                <w:szCs w:val="18"/>
              </w:rPr>
              <w:t>80</w:t>
            </w:r>
            <w:r>
              <w:rPr>
                <w:rFonts w:ascii="Arial" w:hAnsi="Arial" w:cs="Arial"/>
                <w:sz w:val="16"/>
                <w:szCs w:val="18"/>
              </w:rPr>
              <w:t>%</w:t>
            </w:r>
          </w:p>
        </w:tc>
      </w:tr>
      <w:tr w14:paraId="2679FB45">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5EE89C00">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1CB5A59C">
            <w:pPr>
              <w:widowControl/>
              <w:adjustRightInd/>
              <w:spacing w:line="240" w:lineRule="auto"/>
              <w:jc w:val="center"/>
              <w:textAlignment w:val="auto"/>
              <w:rPr>
                <w:rFonts w:ascii="Arial" w:hAnsi="Arial" w:cs="Arial"/>
                <w:sz w:val="16"/>
                <w:szCs w:val="18"/>
              </w:rPr>
            </w:pPr>
            <w:r>
              <w:rPr>
                <w:rFonts w:ascii="Arial" w:hAnsi="Arial" w:cs="Arial"/>
                <w:sz w:val="16"/>
                <w:szCs w:val="18"/>
              </w:rPr>
              <w:t>公共区域装修</w:t>
            </w:r>
          </w:p>
        </w:tc>
        <w:tc>
          <w:tcPr>
            <w:tcW w:w="968" w:type="pct"/>
            <w:tcBorders>
              <w:top w:val="single" w:color="auto" w:sz="4" w:space="0"/>
              <w:left w:val="nil"/>
              <w:bottom w:val="single" w:color="auto" w:sz="4" w:space="0"/>
              <w:right w:val="single" w:color="auto" w:sz="4" w:space="0"/>
            </w:tcBorders>
            <w:vAlign w:val="center"/>
          </w:tcPr>
          <w:p w14:paraId="7F9F23F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968" w:type="pct"/>
            <w:tcBorders>
              <w:top w:val="single" w:color="auto" w:sz="4" w:space="0"/>
              <w:left w:val="nil"/>
              <w:bottom w:val="single" w:color="auto" w:sz="4" w:space="0"/>
              <w:right w:val="single" w:color="auto" w:sz="4" w:space="0"/>
            </w:tcBorders>
            <w:vAlign w:val="center"/>
          </w:tcPr>
          <w:p w14:paraId="1732BF5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低档</w:t>
            </w:r>
            <w:r>
              <w:rPr>
                <w:rFonts w:ascii="Arial" w:hAnsi="Arial" w:cs="Arial"/>
                <w:sz w:val="16"/>
                <w:szCs w:val="18"/>
              </w:rPr>
              <w:t>装修</w:t>
            </w:r>
          </w:p>
        </w:tc>
        <w:tc>
          <w:tcPr>
            <w:tcW w:w="968" w:type="pct"/>
            <w:tcBorders>
              <w:top w:val="single" w:color="auto" w:sz="4" w:space="0"/>
              <w:left w:val="nil"/>
              <w:bottom w:val="single" w:color="auto" w:sz="4" w:space="0"/>
              <w:right w:val="single" w:color="auto" w:sz="4" w:space="0"/>
            </w:tcBorders>
            <w:vAlign w:val="center"/>
          </w:tcPr>
          <w:p w14:paraId="10E2A6D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低档</w:t>
            </w:r>
            <w:r>
              <w:rPr>
                <w:rFonts w:ascii="Arial" w:hAnsi="Arial" w:cs="Arial"/>
                <w:sz w:val="16"/>
                <w:szCs w:val="18"/>
              </w:rPr>
              <w:t>装修</w:t>
            </w:r>
          </w:p>
        </w:tc>
        <w:tc>
          <w:tcPr>
            <w:tcW w:w="970" w:type="pct"/>
            <w:tcBorders>
              <w:top w:val="single" w:color="auto" w:sz="4" w:space="0"/>
              <w:left w:val="nil"/>
              <w:bottom w:val="single" w:color="auto" w:sz="4" w:space="0"/>
              <w:right w:val="single" w:color="auto" w:sz="4" w:space="0"/>
            </w:tcBorders>
            <w:vAlign w:val="center"/>
          </w:tcPr>
          <w:p w14:paraId="6227A88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r>
      <w:tr w14:paraId="42861DB7">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30A95BEF">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6C38BFCE">
            <w:pPr>
              <w:widowControl/>
              <w:adjustRightInd/>
              <w:spacing w:line="240" w:lineRule="auto"/>
              <w:jc w:val="center"/>
              <w:textAlignment w:val="auto"/>
              <w:rPr>
                <w:rFonts w:ascii="Arial" w:hAnsi="Arial" w:cs="Arial"/>
                <w:sz w:val="16"/>
                <w:szCs w:val="18"/>
              </w:rPr>
            </w:pPr>
            <w:r>
              <w:rPr>
                <w:rFonts w:ascii="Arial" w:hAnsi="Arial" w:cs="Arial"/>
                <w:sz w:val="16"/>
                <w:szCs w:val="18"/>
              </w:rPr>
              <w:t>室内装饰装修</w:t>
            </w:r>
          </w:p>
        </w:tc>
        <w:tc>
          <w:tcPr>
            <w:tcW w:w="968" w:type="pct"/>
            <w:tcBorders>
              <w:top w:val="single" w:color="auto" w:sz="4" w:space="0"/>
              <w:left w:val="nil"/>
              <w:bottom w:val="single" w:color="auto" w:sz="4" w:space="0"/>
              <w:right w:val="single" w:color="auto" w:sz="4" w:space="0"/>
            </w:tcBorders>
            <w:vAlign w:val="center"/>
          </w:tcPr>
          <w:p w14:paraId="582335D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968" w:type="pct"/>
            <w:tcBorders>
              <w:top w:val="single" w:color="auto" w:sz="4" w:space="0"/>
              <w:left w:val="nil"/>
              <w:bottom w:val="single" w:color="auto" w:sz="4" w:space="0"/>
              <w:right w:val="single" w:color="auto" w:sz="4" w:space="0"/>
            </w:tcBorders>
            <w:vAlign w:val="center"/>
          </w:tcPr>
          <w:p w14:paraId="59D4C06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968" w:type="pct"/>
            <w:tcBorders>
              <w:top w:val="single" w:color="auto" w:sz="4" w:space="0"/>
              <w:left w:val="nil"/>
              <w:bottom w:val="single" w:color="auto" w:sz="4" w:space="0"/>
              <w:right w:val="single" w:color="auto" w:sz="4" w:space="0"/>
            </w:tcBorders>
            <w:vAlign w:val="center"/>
          </w:tcPr>
          <w:p w14:paraId="51E55C8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970" w:type="pct"/>
            <w:tcBorders>
              <w:top w:val="single" w:color="auto" w:sz="4" w:space="0"/>
              <w:left w:val="nil"/>
              <w:bottom w:val="single" w:color="auto" w:sz="4" w:space="0"/>
              <w:right w:val="single" w:color="auto" w:sz="4" w:space="0"/>
            </w:tcBorders>
            <w:vAlign w:val="center"/>
          </w:tcPr>
          <w:p w14:paraId="671C44B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r>
      <w:tr w14:paraId="6C39F614">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2E2ED684">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55E8420B">
            <w:pPr>
              <w:widowControl/>
              <w:adjustRightInd/>
              <w:spacing w:line="240" w:lineRule="auto"/>
              <w:jc w:val="center"/>
              <w:textAlignment w:val="auto"/>
              <w:rPr>
                <w:rFonts w:ascii="Arial" w:hAnsi="Arial" w:cs="Arial"/>
                <w:sz w:val="16"/>
                <w:szCs w:val="18"/>
              </w:rPr>
            </w:pPr>
            <w:r>
              <w:rPr>
                <w:rFonts w:ascii="Arial" w:hAnsi="Arial" w:cs="Arial"/>
                <w:sz w:val="16"/>
                <w:szCs w:val="18"/>
              </w:rPr>
              <w:t>设施设备</w:t>
            </w:r>
          </w:p>
        </w:tc>
        <w:tc>
          <w:tcPr>
            <w:tcW w:w="968" w:type="pct"/>
            <w:tcBorders>
              <w:top w:val="single" w:color="auto" w:sz="4" w:space="0"/>
              <w:left w:val="nil"/>
              <w:bottom w:val="single" w:color="auto" w:sz="4" w:space="0"/>
              <w:right w:val="single" w:color="auto" w:sz="4" w:space="0"/>
            </w:tcBorders>
            <w:vAlign w:val="center"/>
          </w:tcPr>
          <w:p w14:paraId="4A3A93C3">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44436BAB">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69865211">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70" w:type="pct"/>
            <w:tcBorders>
              <w:top w:val="single" w:color="auto" w:sz="4" w:space="0"/>
              <w:left w:val="nil"/>
              <w:bottom w:val="single" w:color="auto" w:sz="4" w:space="0"/>
              <w:right w:val="single" w:color="auto" w:sz="4" w:space="0"/>
            </w:tcBorders>
            <w:vAlign w:val="center"/>
          </w:tcPr>
          <w:p w14:paraId="610732EF">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r>
      <w:tr w14:paraId="679E590E">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06A255C1">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1CC08397">
            <w:pPr>
              <w:widowControl/>
              <w:adjustRightInd/>
              <w:spacing w:line="240" w:lineRule="auto"/>
              <w:jc w:val="center"/>
              <w:textAlignment w:val="auto"/>
              <w:rPr>
                <w:rFonts w:ascii="Arial" w:hAnsi="Arial" w:cs="Arial"/>
                <w:sz w:val="16"/>
                <w:szCs w:val="18"/>
              </w:rPr>
            </w:pPr>
            <w:r>
              <w:rPr>
                <w:rFonts w:ascii="Arial" w:hAnsi="Arial" w:cs="Arial"/>
                <w:sz w:val="16"/>
                <w:szCs w:val="18"/>
              </w:rPr>
              <w:t>综合管理服务设施</w:t>
            </w:r>
          </w:p>
        </w:tc>
        <w:tc>
          <w:tcPr>
            <w:tcW w:w="968" w:type="pct"/>
            <w:tcBorders>
              <w:top w:val="single" w:color="auto" w:sz="4" w:space="0"/>
              <w:left w:val="nil"/>
              <w:bottom w:val="single" w:color="auto" w:sz="4" w:space="0"/>
              <w:right w:val="single" w:color="auto" w:sz="4" w:space="0"/>
            </w:tcBorders>
            <w:vAlign w:val="center"/>
          </w:tcPr>
          <w:p w14:paraId="2084ED5B">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26928A10">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5EC73EA9">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70" w:type="pct"/>
            <w:tcBorders>
              <w:top w:val="single" w:color="auto" w:sz="4" w:space="0"/>
              <w:left w:val="nil"/>
              <w:bottom w:val="single" w:color="auto" w:sz="4" w:space="0"/>
              <w:right w:val="single" w:color="auto" w:sz="4" w:space="0"/>
            </w:tcBorders>
            <w:vAlign w:val="center"/>
          </w:tcPr>
          <w:p w14:paraId="1CBBB1BD">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r>
      <w:tr w14:paraId="0BEB2935">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40CB4D2C">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525C57B7">
            <w:pPr>
              <w:widowControl/>
              <w:adjustRightInd/>
              <w:spacing w:line="240" w:lineRule="auto"/>
              <w:jc w:val="center"/>
              <w:textAlignment w:val="auto"/>
              <w:rPr>
                <w:rFonts w:ascii="Arial" w:hAnsi="Arial" w:cs="Arial"/>
                <w:sz w:val="16"/>
                <w:szCs w:val="18"/>
              </w:rPr>
            </w:pPr>
            <w:r>
              <w:rPr>
                <w:rFonts w:ascii="Arial" w:hAnsi="Arial" w:cs="Arial"/>
                <w:sz w:val="16"/>
                <w:szCs w:val="18"/>
              </w:rPr>
              <w:t>户型布局</w:t>
            </w:r>
          </w:p>
        </w:tc>
        <w:tc>
          <w:tcPr>
            <w:tcW w:w="968" w:type="pct"/>
            <w:tcBorders>
              <w:top w:val="single" w:color="auto" w:sz="4" w:space="0"/>
              <w:left w:val="nil"/>
              <w:bottom w:val="single" w:color="auto" w:sz="4" w:space="0"/>
              <w:right w:val="single" w:color="auto" w:sz="4" w:space="0"/>
            </w:tcBorders>
            <w:vAlign w:val="center"/>
          </w:tcPr>
          <w:p w14:paraId="3B9DF34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开间</w:t>
            </w:r>
          </w:p>
        </w:tc>
        <w:tc>
          <w:tcPr>
            <w:tcW w:w="968" w:type="pct"/>
            <w:tcBorders>
              <w:top w:val="single" w:color="auto" w:sz="4" w:space="0"/>
              <w:left w:val="nil"/>
              <w:bottom w:val="single" w:color="auto" w:sz="4" w:space="0"/>
              <w:right w:val="single" w:color="auto" w:sz="4" w:space="0"/>
            </w:tcBorders>
            <w:vAlign w:val="center"/>
          </w:tcPr>
          <w:p w14:paraId="358BB96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一居室</w:t>
            </w:r>
          </w:p>
        </w:tc>
        <w:tc>
          <w:tcPr>
            <w:tcW w:w="968" w:type="pct"/>
            <w:tcBorders>
              <w:top w:val="single" w:color="auto" w:sz="4" w:space="0"/>
              <w:left w:val="nil"/>
              <w:bottom w:val="single" w:color="auto" w:sz="4" w:space="0"/>
              <w:right w:val="single" w:color="auto" w:sz="4" w:space="0"/>
            </w:tcBorders>
            <w:vAlign w:val="center"/>
          </w:tcPr>
          <w:p w14:paraId="4C55460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一居室</w:t>
            </w:r>
          </w:p>
        </w:tc>
        <w:tc>
          <w:tcPr>
            <w:tcW w:w="970" w:type="pct"/>
            <w:tcBorders>
              <w:top w:val="single" w:color="auto" w:sz="4" w:space="0"/>
              <w:left w:val="nil"/>
              <w:bottom w:val="single" w:color="auto" w:sz="4" w:space="0"/>
              <w:right w:val="single" w:color="auto" w:sz="4" w:space="0"/>
            </w:tcBorders>
            <w:vAlign w:val="center"/>
          </w:tcPr>
          <w:p w14:paraId="7E6BE2D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一居室</w:t>
            </w:r>
          </w:p>
        </w:tc>
      </w:tr>
      <w:tr w14:paraId="58C15680">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57987F8A">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1061AE32">
            <w:pPr>
              <w:widowControl/>
              <w:adjustRightInd/>
              <w:spacing w:line="240" w:lineRule="auto"/>
              <w:jc w:val="center"/>
              <w:textAlignment w:val="auto"/>
              <w:rPr>
                <w:rFonts w:ascii="Arial" w:hAnsi="Arial" w:cs="Arial"/>
                <w:sz w:val="16"/>
                <w:szCs w:val="18"/>
              </w:rPr>
            </w:pPr>
            <w:r>
              <w:rPr>
                <w:rFonts w:ascii="Arial" w:hAnsi="Arial" w:cs="Arial"/>
                <w:sz w:val="16"/>
                <w:szCs w:val="18"/>
              </w:rPr>
              <w:t>户型结构</w:t>
            </w:r>
          </w:p>
        </w:tc>
        <w:tc>
          <w:tcPr>
            <w:tcW w:w="968" w:type="pct"/>
            <w:tcBorders>
              <w:top w:val="single" w:color="auto" w:sz="4" w:space="0"/>
              <w:left w:val="nil"/>
              <w:bottom w:val="single" w:color="auto" w:sz="4" w:space="0"/>
              <w:right w:val="single" w:color="auto" w:sz="4" w:space="0"/>
            </w:tcBorders>
            <w:vAlign w:val="center"/>
          </w:tcPr>
          <w:p w14:paraId="0E647E9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405868A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1AB4932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70" w:type="pct"/>
            <w:tcBorders>
              <w:top w:val="single" w:color="auto" w:sz="4" w:space="0"/>
              <w:left w:val="nil"/>
              <w:bottom w:val="single" w:color="auto" w:sz="4" w:space="0"/>
              <w:right w:val="single" w:color="auto" w:sz="4" w:space="0"/>
            </w:tcBorders>
            <w:vAlign w:val="center"/>
          </w:tcPr>
          <w:p w14:paraId="1C7F3FD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r>
      <w:tr w14:paraId="2A146D24">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0C205135">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4ED81686">
            <w:pPr>
              <w:widowControl/>
              <w:adjustRightInd/>
              <w:spacing w:line="240" w:lineRule="auto"/>
              <w:jc w:val="center"/>
              <w:textAlignment w:val="auto"/>
              <w:rPr>
                <w:rFonts w:ascii="Arial" w:hAnsi="Arial" w:cs="Arial"/>
                <w:sz w:val="16"/>
                <w:szCs w:val="18"/>
              </w:rPr>
            </w:pPr>
            <w:r>
              <w:rPr>
                <w:rFonts w:ascii="Arial" w:hAnsi="Arial" w:cs="Arial"/>
                <w:sz w:val="16"/>
                <w:szCs w:val="18"/>
              </w:rPr>
              <w:t>建筑面积（㎡）</w:t>
            </w:r>
          </w:p>
        </w:tc>
        <w:tc>
          <w:tcPr>
            <w:tcW w:w="968" w:type="pct"/>
            <w:tcBorders>
              <w:top w:val="single" w:color="auto" w:sz="4" w:space="0"/>
              <w:left w:val="nil"/>
              <w:bottom w:val="single" w:color="auto" w:sz="4" w:space="0"/>
              <w:right w:val="single" w:color="auto" w:sz="4" w:space="0"/>
            </w:tcBorders>
            <w:vAlign w:val="center"/>
          </w:tcPr>
          <w:p w14:paraId="52E4FC5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60.49</w:t>
            </w:r>
          </w:p>
        </w:tc>
        <w:tc>
          <w:tcPr>
            <w:tcW w:w="968" w:type="pct"/>
            <w:tcBorders>
              <w:top w:val="single" w:color="auto" w:sz="4" w:space="0"/>
              <w:left w:val="nil"/>
              <w:bottom w:val="single" w:color="auto" w:sz="4" w:space="0"/>
              <w:right w:val="single" w:color="auto" w:sz="4" w:space="0"/>
            </w:tcBorders>
            <w:vAlign w:val="center"/>
          </w:tcPr>
          <w:p w14:paraId="35B100B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68</w:t>
            </w:r>
          </w:p>
        </w:tc>
        <w:tc>
          <w:tcPr>
            <w:tcW w:w="968" w:type="pct"/>
            <w:tcBorders>
              <w:top w:val="single" w:color="auto" w:sz="4" w:space="0"/>
              <w:left w:val="nil"/>
              <w:bottom w:val="single" w:color="auto" w:sz="4" w:space="0"/>
              <w:right w:val="single" w:color="auto" w:sz="4" w:space="0"/>
            </w:tcBorders>
            <w:vAlign w:val="center"/>
          </w:tcPr>
          <w:p w14:paraId="6274B93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68.05</w:t>
            </w:r>
          </w:p>
        </w:tc>
        <w:tc>
          <w:tcPr>
            <w:tcW w:w="970" w:type="pct"/>
            <w:tcBorders>
              <w:top w:val="single" w:color="auto" w:sz="4" w:space="0"/>
              <w:left w:val="nil"/>
              <w:bottom w:val="single" w:color="auto" w:sz="4" w:space="0"/>
              <w:right w:val="single" w:color="auto" w:sz="4" w:space="0"/>
            </w:tcBorders>
            <w:vAlign w:val="center"/>
          </w:tcPr>
          <w:p w14:paraId="32F2DCF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66.16</w:t>
            </w:r>
          </w:p>
        </w:tc>
      </w:tr>
      <w:tr w14:paraId="266F5785">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6CABBD64">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138D91D4">
            <w:pPr>
              <w:widowControl/>
              <w:adjustRightInd/>
              <w:spacing w:line="240" w:lineRule="auto"/>
              <w:jc w:val="center"/>
              <w:textAlignment w:val="auto"/>
              <w:rPr>
                <w:rFonts w:ascii="Arial" w:hAnsi="Arial" w:cs="Arial"/>
                <w:sz w:val="16"/>
                <w:szCs w:val="18"/>
              </w:rPr>
            </w:pPr>
            <w:r>
              <w:rPr>
                <w:rFonts w:ascii="Arial" w:hAnsi="Arial" w:cs="Arial"/>
                <w:sz w:val="16"/>
                <w:szCs w:val="18"/>
              </w:rPr>
              <w:t>家具家电</w:t>
            </w:r>
          </w:p>
        </w:tc>
        <w:tc>
          <w:tcPr>
            <w:tcW w:w="968" w:type="pct"/>
            <w:tcBorders>
              <w:top w:val="single" w:color="auto" w:sz="4" w:space="0"/>
              <w:left w:val="nil"/>
              <w:bottom w:val="single" w:color="auto" w:sz="4" w:space="0"/>
              <w:right w:val="single" w:color="auto" w:sz="4" w:space="0"/>
            </w:tcBorders>
            <w:vAlign w:val="center"/>
          </w:tcPr>
          <w:p w14:paraId="39202617">
            <w:pPr>
              <w:widowControl/>
              <w:adjustRightInd/>
              <w:spacing w:line="240" w:lineRule="auto"/>
              <w:jc w:val="center"/>
              <w:textAlignment w:val="auto"/>
              <w:rPr>
                <w:rFonts w:ascii="Arial" w:hAnsi="Arial" w:cs="Arial"/>
                <w:sz w:val="16"/>
                <w:szCs w:val="18"/>
              </w:rPr>
            </w:pPr>
            <w:r>
              <w:rPr>
                <w:rFonts w:ascii="Arial" w:hAnsi="Arial" w:cs="Arial"/>
                <w:sz w:val="16"/>
                <w:szCs w:val="18"/>
              </w:rPr>
              <w:t>配备</w:t>
            </w:r>
            <w:r>
              <w:rPr>
                <w:rFonts w:hint="eastAsia" w:ascii="Arial" w:hAnsi="Arial" w:cs="Arial"/>
                <w:sz w:val="16"/>
                <w:szCs w:val="18"/>
              </w:rPr>
              <w:t>品牌</w:t>
            </w:r>
            <w:r>
              <w:rPr>
                <w:rFonts w:ascii="Arial" w:hAnsi="Arial" w:cs="Arial"/>
                <w:sz w:val="16"/>
                <w:szCs w:val="18"/>
              </w:rPr>
              <w:t>家具、</w:t>
            </w:r>
            <w:r>
              <w:rPr>
                <w:rFonts w:hint="eastAsia" w:ascii="Arial" w:hAnsi="Arial" w:cs="Arial"/>
                <w:sz w:val="16"/>
                <w:szCs w:val="18"/>
              </w:rPr>
              <w:t>品牌</w:t>
            </w:r>
            <w:r>
              <w:rPr>
                <w:rFonts w:ascii="Arial" w:hAnsi="Arial" w:cs="Arial"/>
                <w:sz w:val="16"/>
                <w:szCs w:val="18"/>
              </w:rPr>
              <w:t>家电齐全；功能正常，质量有保证</w:t>
            </w:r>
            <w:r>
              <w:rPr>
                <w:rFonts w:hint="eastAsia" w:ascii="Arial" w:hAnsi="Arial" w:cs="Arial"/>
                <w:sz w:val="16"/>
                <w:szCs w:val="18"/>
              </w:rPr>
              <w:t>；配备网络设施；</w:t>
            </w:r>
            <w:r>
              <w:rPr>
                <w:rFonts w:ascii="Arial" w:hAnsi="Arial" w:cs="Arial"/>
                <w:sz w:val="16"/>
                <w:szCs w:val="18"/>
              </w:rPr>
              <w:t>好</w:t>
            </w:r>
          </w:p>
        </w:tc>
        <w:tc>
          <w:tcPr>
            <w:tcW w:w="968" w:type="pct"/>
            <w:tcBorders>
              <w:top w:val="single" w:color="auto" w:sz="4" w:space="0"/>
              <w:left w:val="nil"/>
              <w:bottom w:val="single" w:color="auto" w:sz="4" w:space="0"/>
              <w:right w:val="single" w:color="auto" w:sz="4" w:space="0"/>
            </w:tcBorders>
            <w:vAlign w:val="center"/>
          </w:tcPr>
          <w:p w14:paraId="2162236A">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968" w:type="pct"/>
            <w:tcBorders>
              <w:top w:val="single" w:color="auto" w:sz="4" w:space="0"/>
              <w:left w:val="nil"/>
              <w:bottom w:val="single" w:color="auto" w:sz="4" w:space="0"/>
              <w:right w:val="single" w:color="auto" w:sz="4" w:space="0"/>
            </w:tcBorders>
            <w:vAlign w:val="center"/>
          </w:tcPr>
          <w:p w14:paraId="4CF551EE">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970" w:type="pct"/>
            <w:tcBorders>
              <w:top w:val="single" w:color="auto" w:sz="4" w:space="0"/>
              <w:left w:val="nil"/>
              <w:bottom w:val="single" w:color="auto" w:sz="4" w:space="0"/>
              <w:right w:val="single" w:color="auto" w:sz="4" w:space="0"/>
            </w:tcBorders>
            <w:vAlign w:val="center"/>
          </w:tcPr>
          <w:p w14:paraId="7A54E8AE">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r>
      <w:tr w14:paraId="492E0341">
        <w:tblPrEx>
          <w:tblCellMar>
            <w:top w:w="0" w:type="dxa"/>
            <w:left w:w="108" w:type="dxa"/>
            <w:bottom w:w="0" w:type="dxa"/>
            <w:right w:w="108" w:type="dxa"/>
          </w:tblCellMar>
        </w:tblPrEx>
        <w:trPr>
          <w:trHeight w:val="397" w:hRule="atLeast"/>
          <w:jc w:val="center"/>
        </w:trPr>
        <w:tc>
          <w:tcPr>
            <w:tcW w:w="362" w:type="pct"/>
            <w:vMerge w:val="restart"/>
            <w:tcBorders>
              <w:left w:val="single" w:color="auto" w:sz="4" w:space="0"/>
              <w:bottom w:val="single" w:color="auto" w:sz="4" w:space="0"/>
              <w:right w:val="single" w:color="auto" w:sz="4" w:space="0"/>
            </w:tcBorders>
            <w:vAlign w:val="center"/>
          </w:tcPr>
          <w:p w14:paraId="187D49FB">
            <w:pPr>
              <w:widowControl/>
              <w:adjustRightInd/>
              <w:spacing w:line="240" w:lineRule="auto"/>
              <w:jc w:val="center"/>
              <w:textAlignment w:val="auto"/>
              <w:rPr>
                <w:rFonts w:ascii="Arial" w:hAnsi="Arial" w:cs="Arial"/>
                <w:sz w:val="16"/>
                <w:szCs w:val="18"/>
              </w:rPr>
            </w:pPr>
            <w:r>
              <w:rPr>
                <w:rFonts w:ascii="Arial" w:hAnsi="Arial" w:cs="Arial"/>
                <w:sz w:val="16"/>
                <w:szCs w:val="18"/>
              </w:rPr>
              <w:t>权益状况</w:t>
            </w:r>
          </w:p>
        </w:tc>
        <w:tc>
          <w:tcPr>
            <w:tcW w:w="760" w:type="pct"/>
            <w:tcBorders>
              <w:top w:val="single" w:color="auto" w:sz="4" w:space="0"/>
              <w:left w:val="nil"/>
              <w:bottom w:val="single" w:color="auto" w:sz="4" w:space="0"/>
              <w:right w:val="single" w:color="auto" w:sz="4" w:space="0"/>
            </w:tcBorders>
            <w:vAlign w:val="center"/>
          </w:tcPr>
          <w:p w14:paraId="198BF2A9">
            <w:pPr>
              <w:widowControl/>
              <w:adjustRightInd/>
              <w:spacing w:line="240" w:lineRule="auto"/>
              <w:jc w:val="center"/>
              <w:textAlignment w:val="auto"/>
              <w:rPr>
                <w:rFonts w:ascii="Arial" w:hAnsi="Arial" w:cs="Arial"/>
                <w:sz w:val="16"/>
                <w:szCs w:val="18"/>
              </w:rPr>
            </w:pPr>
            <w:r>
              <w:rPr>
                <w:rFonts w:ascii="Arial" w:hAnsi="Arial" w:cs="Arial"/>
                <w:sz w:val="16"/>
                <w:szCs w:val="18"/>
              </w:rPr>
              <w:t>服务及管理水平</w:t>
            </w:r>
          </w:p>
        </w:tc>
        <w:tc>
          <w:tcPr>
            <w:tcW w:w="968" w:type="pct"/>
            <w:tcBorders>
              <w:top w:val="single" w:color="auto" w:sz="4" w:space="0"/>
              <w:left w:val="nil"/>
              <w:bottom w:val="single" w:color="auto" w:sz="4" w:space="0"/>
              <w:right w:val="single" w:color="auto" w:sz="4" w:space="0"/>
            </w:tcBorders>
            <w:vAlign w:val="center"/>
          </w:tcPr>
          <w:p w14:paraId="28E8F405">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0BE62741">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177CAE60">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70" w:type="pct"/>
            <w:tcBorders>
              <w:top w:val="single" w:color="auto" w:sz="4" w:space="0"/>
              <w:left w:val="nil"/>
              <w:bottom w:val="single" w:color="auto" w:sz="4" w:space="0"/>
              <w:right w:val="single" w:color="auto" w:sz="4" w:space="0"/>
            </w:tcBorders>
            <w:vAlign w:val="center"/>
          </w:tcPr>
          <w:p w14:paraId="253A5079">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r>
      <w:tr w14:paraId="3BFE780E">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053FB187">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778A4482">
            <w:pPr>
              <w:widowControl/>
              <w:adjustRightInd/>
              <w:spacing w:line="240" w:lineRule="auto"/>
              <w:jc w:val="center"/>
              <w:textAlignment w:val="auto"/>
              <w:rPr>
                <w:rFonts w:ascii="Arial" w:hAnsi="Arial" w:cs="Arial"/>
                <w:sz w:val="16"/>
                <w:szCs w:val="18"/>
              </w:rPr>
            </w:pPr>
            <w:r>
              <w:rPr>
                <w:rFonts w:ascii="Arial" w:hAnsi="Arial" w:cs="Arial"/>
                <w:sz w:val="16"/>
                <w:szCs w:val="18"/>
              </w:rPr>
              <w:t>水电气费执行标准</w:t>
            </w:r>
          </w:p>
        </w:tc>
        <w:tc>
          <w:tcPr>
            <w:tcW w:w="968" w:type="pct"/>
            <w:tcBorders>
              <w:top w:val="single" w:color="auto" w:sz="4" w:space="0"/>
              <w:left w:val="nil"/>
              <w:bottom w:val="single" w:color="auto" w:sz="4" w:space="0"/>
              <w:right w:val="single" w:color="auto" w:sz="4" w:space="0"/>
            </w:tcBorders>
            <w:vAlign w:val="center"/>
          </w:tcPr>
          <w:p w14:paraId="0E731F79">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718B1C54">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00CAA546">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70" w:type="pct"/>
            <w:tcBorders>
              <w:top w:val="single" w:color="auto" w:sz="4" w:space="0"/>
              <w:left w:val="nil"/>
              <w:bottom w:val="single" w:color="auto" w:sz="4" w:space="0"/>
              <w:right w:val="single" w:color="auto" w:sz="4" w:space="0"/>
            </w:tcBorders>
            <w:vAlign w:val="center"/>
          </w:tcPr>
          <w:p w14:paraId="7933317D">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r>
    </w:tbl>
    <w:p w14:paraId="2C5088D4">
      <w:pPr>
        <w:overflowPunct w:val="0"/>
        <w:spacing w:line="480" w:lineRule="auto"/>
        <w:ind w:firstLine="420" w:firstLineChars="200"/>
        <w:jc w:val="center"/>
        <w:rPr>
          <w:rFonts w:ascii="Arial" w:hAnsi="Arial"/>
          <w:sz w:val="21"/>
          <w:szCs w:val="21"/>
        </w:rPr>
      </w:pPr>
    </w:p>
    <w:p w14:paraId="289DFB64">
      <w:pPr>
        <w:overflowPunct w:val="0"/>
        <w:spacing w:line="480" w:lineRule="auto"/>
        <w:ind w:firstLine="420" w:firstLineChars="200"/>
        <w:jc w:val="center"/>
        <w:rPr>
          <w:rFonts w:ascii="Arial" w:hAnsi="Arial"/>
          <w:sz w:val="21"/>
          <w:szCs w:val="21"/>
        </w:rPr>
      </w:pPr>
    </w:p>
    <w:p w14:paraId="4FC20504">
      <w:pPr>
        <w:overflowPunct w:val="0"/>
        <w:spacing w:line="480" w:lineRule="auto"/>
        <w:ind w:firstLine="420" w:firstLineChars="200"/>
        <w:jc w:val="center"/>
        <w:rPr>
          <w:rFonts w:ascii="Arial" w:hAnsi="Arial"/>
          <w:sz w:val="21"/>
          <w:szCs w:val="21"/>
        </w:rPr>
      </w:pPr>
    </w:p>
    <w:p w14:paraId="6147548D">
      <w:pPr>
        <w:overflowPunct w:val="0"/>
        <w:spacing w:line="480" w:lineRule="auto"/>
        <w:ind w:firstLine="420" w:firstLineChars="200"/>
        <w:jc w:val="center"/>
        <w:rPr>
          <w:rFonts w:ascii="Arial" w:hAnsi="Arial"/>
          <w:sz w:val="21"/>
          <w:szCs w:val="21"/>
        </w:rPr>
      </w:pPr>
    </w:p>
    <w:p w14:paraId="088386DC">
      <w:pPr>
        <w:overflowPunct w:val="0"/>
        <w:spacing w:line="480" w:lineRule="auto"/>
        <w:ind w:firstLine="420" w:firstLineChars="200"/>
        <w:jc w:val="center"/>
        <w:rPr>
          <w:rFonts w:ascii="Arial" w:hAnsi="Arial"/>
          <w:sz w:val="21"/>
          <w:szCs w:val="21"/>
        </w:rPr>
      </w:pPr>
    </w:p>
    <w:p w14:paraId="38D94D09">
      <w:pPr>
        <w:overflowPunct w:val="0"/>
        <w:spacing w:line="480" w:lineRule="auto"/>
        <w:ind w:firstLine="420" w:firstLineChars="200"/>
        <w:jc w:val="center"/>
        <w:rPr>
          <w:rFonts w:ascii="Arial" w:hAnsi="Arial"/>
          <w:sz w:val="21"/>
          <w:szCs w:val="21"/>
        </w:rPr>
      </w:pPr>
    </w:p>
    <w:p w14:paraId="036D2512">
      <w:pPr>
        <w:overflowPunct w:val="0"/>
        <w:spacing w:line="480" w:lineRule="auto"/>
        <w:ind w:firstLine="420" w:firstLineChars="200"/>
        <w:jc w:val="center"/>
        <w:rPr>
          <w:rFonts w:ascii="Arial" w:hAnsi="Arial"/>
          <w:sz w:val="21"/>
          <w:szCs w:val="21"/>
        </w:rPr>
      </w:pPr>
    </w:p>
    <w:p w14:paraId="0D33CC01">
      <w:pPr>
        <w:overflowPunct w:val="0"/>
        <w:spacing w:line="480" w:lineRule="auto"/>
        <w:ind w:firstLine="420" w:firstLineChars="200"/>
        <w:jc w:val="center"/>
        <w:rPr>
          <w:rFonts w:ascii="Arial" w:hAnsi="Arial"/>
          <w:sz w:val="21"/>
          <w:szCs w:val="21"/>
        </w:rPr>
      </w:pPr>
    </w:p>
    <w:p w14:paraId="1725F924">
      <w:pPr>
        <w:overflowPunct w:val="0"/>
        <w:spacing w:line="480" w:lineRule="auto"/>
        <w:ind w:firstLine="420" w:firstLineChars="200"/>
        <w:jc w:val="center"/>
        <w:rPr>
          <w:rFonts w:ascii="Arial" w:hAnsi="Arial"/>
          <w:sz w:val="21"/>
          <w:szCs w:val="21"/>
        </w:rPr>
      </w:pPr>
    </w:p>
    <w:p w14:paraId="26D38517">
      <w:pPr>
        <w:wordWrap w:val="0"/>
        <w:overflowPunct w:val="0"/>
        <w:spacing w:line="480" w:lineRule="auto"/>
        <w:rPr>
          <w:rFonts w:ascii="Arial" w:hAnsi="Arial"/>
          <w:sz w:val="21"/>
          <w:szCs w:val="21"/>
        </w:rPr>
      </w:pPr>
    </w:p>
    <w:p w14:paraId="1BA580E0">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（2）</w:t>
      </w:r>
      <w:r>
        <w:rPr>
          <w:rFonts w:ascii="Arial" w:hAnsi="Arial"/>
          <w:sz w:val="21"/>
          <w:szCs w:val="21"/>
        </w:rPr>
        <w:t xml:space="preserve"> </w:t>
      </w:r>
      <w:r>
        <w:rPr>
          <w:rFonts w:hint="eastAsia" w:ascii="Arial" w:hAnsi="Arial"/>
          <w:sz w:val="21"/>
          <w:szCs w:val="21"/>
        </w:rPr>
        <w:t>建立比较因素条件指数表和因素比较修正系数表</w:t>
      </w:r>
      <w:r>
        <w:rPr>
          <w:rFonts w:ascii="Arial" w:hAnsi="Arial"/>
          <w:sz w:val="21"/>
          <w:szCs w:val="21"/>
        </w:rPr>
        <w:t xml:space="preserve"> </w:t>
      </w:r>
    </w:p>
    <w:p w14:paraId="374DC9B9">
      <w:pPr>
        <w:wordWrap w:val="0"/>
        <w:overflowPunct w:val="0"/>
        <w:spacing w:line="480" w:lineRule="auto"/>
        <w:ind w:firstLine="420" w:firstLineChars="200"/>
        <w:rPr>
          <w:rFonts w:ascii="Arial" w:hAnsi="Arial"/>
          <w:sz w:val="21"/>
          <w:szCs w:val="21"/>
        </w:rPr>
      </w:pPr>
      <w:r>
        <w:rPr>
          <w:rFonts w:ascii="Arial" w:hAnsi="Arial"/>
          <w:sz w:val="21"/>
          <w:szCs w:val="21"/>
        </w:rPr>
        <w:t>根据对估价对象和可比案例情况的分析，把各可比案例的自身状况按照参比因素分别与估价对象的相应状况进行比较，编制比较因素条件指数表。具体如下</w:t>
      </w:r>
      <w:r>
        <w:rPr>
          <w:rFonts w:hint="eastAsia" w:ascii="Arial" w:hAnsi="Arial"/>
          <w:sz w:val="21"/>
          <w:szCs w:val="21"/>
        </w:rPr>
        <w:t>：</w:t>
      </w:r>
    </w:p>
    <w:p w14:paraId="3E408876">
      <w:pPr>
        <w:overflowPunct w:val="0"/>
        <w:spacing w:line="480" w:lineRule="auto"/>
        <w:ind w:firstLine="420" w:firstLineChars="200"/>
        <w:jc w:val="center"/>
        <w:rPr>
          <w:rFonts w:ascii="Arial" w:hAnsi="Arial"/>
          <w:sz w:val="21"/>
          <w:szCs w:val="21"/>
        </w:rPr>
      </w:pPr>
      <w:r>
        <w:rPr>
          <w:rFonts w:hint="eastAsia" w:ascii="Arial" w:hAnsi="Arial"/>
          <w:sz w:val="21"/>
          <w:szCs w:val="21"/>
        </w:rPr>
        <w:t>福兴雅苑</w:t>
      </w:r>
      <w:r>
        <w:rPr>
          <w:rFonts w:ascii="Arial" w:hAnsi="Arial"/>
          <w:sz w:val="21"/>
          <w:szCs w:val="21"/>
        </w:rPr>
        <w:t>比较因素条件指数表</w:t>
      </w:r>
    </w:p>
    <w:tbl>
      <w:tblPr>
        <w:tblStyle w:val="33"/>
        <w:tblW w:w="4936" w:type="pct"/>
        <w:jc w:val="center"/>
        <w:tblLayout w:type="autofit"/>
        <w:tblCellMar>
          <w:top w:w="57" w:type="dxa"/>
          <w:left w:w="57" w:type="dxa"/>
          <w:bottom w:w="57" w:type="dxa"/>
          <w:right w:w="57" w:type="dxa"/>
        </w:tblCellMar>
      </w:tblPr>
      <w:tblGrid>
        <w:gridCol w:w="568"/>
        <w:gridCol w:w="996"/>
        <w:gridCol w:w="988"/>
        <w:gridCol w:w="988"/>
        <w:gridCol w:w="988"/>
        <w:gridCol w:w="988"/>
        <w:gridCol w:w="3777"/>
      </w:tblGrid>
      <w:tr w14:paraId="538BB69C">
        <w:tblPrEx>
          <w:tblCellMar>
            <w:top w:w="57" w:type="dxa"/>
            <w:left w:w="57" w:type="dxa"/>
            <w:bottom w:w="57" w:type="dxa"/>
            <w:right w:w="57" w:type="dxa"/>
          </w:tblCellMar>
        </w:tblPrEx>
        <w:trPr>
          <w:trHeight w:val="20" w:hRule="atLeast"/>
          <w:tblHeader/>
          <w:jc w:val="center"/>
        </w:trPr>
        <w:tc>
          <w:tcPr>
            <w:tcW w:w="842" w:type="pct"/>
            <w:gridSpan w:val="2"/>
            <w:vMerge w:val="restart"/>
            <w:tcBorders>
              <w:top w:val="single" w:color="auto" w:sz="4" w:space="0"/>
              <w:left w:val="single" w:color="auto" w:sz="4" w:space="0"/>
              <w:bottom w:val="single" w:color="000000" w:sz="4" w:space="0"/>
              <w:right w:val="single" w:color="000000" w:sz="4" w:space="0"/>
              <w:tl2br w:val="single" w:color="auto" w:sz="4" w:space="0"/>
            </w:tcBorders>
            <w:vAlign w:val="center"/>
          </w:tcPr>
          <w:p w14:paraId="4CBFF0EE">
            <w:pPr>
              <w:snapToGrid w:val="0"/>
              <w:spacing w:line="240" w:lineRule="exact"/>
              <w:jc w:val="right"/>
              <w:rPr>
                <w:rFonts w:hint="eastAsia" w:ascii="宋体" w:hAnsi="宋体" w:cs="Arial"/>
                <w:sz w:val="16"/>
                <w:szCs w:val="18"/>
              </w:rPr>
            </w:pPr>
            <w:r>
              <w:rPr>
                <w:rFonts w:ascii="宋体" w:hAnsi="宋体" w:cs="Arial"/>
                <w:sz w:val="16"/>
                <w:szCs w:val="18"/>
              </w:rPr>
              <w:t>估价对象及</w:t>
            </w:r>
          </w:p>
          <w:p w14:paraId="7A8AC109">
            <w:pPr>
              <w:snapToGrid w:val="0"/>
              <w:spacing w:line="240" w:lineRule="exact"/>
              <w:jc w:val="right"/>
              <w:rPr>
                <w:rFonts w:hint="eastAsia" w:ascii="宋体" w:hAnsi="宋体" w:cs="Arial"/>
                <w:sz w:val="16"/>
                <w:szCs w:val="18"/>
              </w:rPr>
            </w:pPr>
            <w:r>
              <w:rPr>
                <w:rFonts w:ascii="宋体" w:hAnsi="宋体" w:cs="Arial"/>
                <w:sz w:val="16"/>
                <w:szCs w:val="18"/>
              </w:rPr>
              <w:t>可比实例</w:t>
            </w:r>
          </w:p>
          <w:p w14:paraId="381C69A9">
            <w:pPr>
              <w:snapToGrid w:val="0"/>
              <w:spacing w:line="240" w:lineRule="exact"/>
              <w:jc w:val="both"/>
              <w:rPr>
                <w:rFonts w:hint="eastAsia" w:ascii="宋体" w:hAnsi="宋体" w:cs="Arial"/>
                <w:sz w:val="16"/>
                <w:szCs w:val="18"/>
              </w:rPr>
            </w:pPr>
          </w:p>
          <w:p w14:paraId="350E47BF">
            <w:pPr>
              <w:snapToGrid w:val="0"/>
              <w:spacing w:line="240" w:lineRule="exact"/>
              <w:jc w:val="both"/>
              <w:rPr>
                <w:rFonts w:hint="eastAsia" w:ascii="宋体" w:hAnsi="宋体" w:cs="Arial"/>
                <w:sz w:val="16"/>
                <w:szCs w:val="18"/>
              </w:rPr>
            </w:pPr>
          </w:p>
          <w:p w14:paraId="7FE32B92">
            <w:pPr>
              <w:snapToGrid w:val="0"/>
              <w:spacing w:line="240" w:lineRule="exact"/>
              <w:jc w:val="both"/>
              <w:rPr>
                <w:rFonts w:hint="eastAsia" w:ascii="宋体" w:hAnsi="宋体" w:cs="Arial"/>
                <w:sz w:val="16"/>
                <w:szCs w:val="18"/>
              </w:rPr>
            </w:pPr>
            <w:r>
              <w:rPr>
                <w:rFonts w:ascii="宋体" w:hAnsi="宋体" w:cs="Arial"/>
                <w:sz w:val="16"/>
                <w:szCs w:val="18"/>
              </w:rPr>
              <w:t>比较因素</w:t>
            </w:r>
          </w:p>
        </w:tc>
        <w:tc>
          <w:tcPr>
            <w:tcW w:w="531" w:type="pct"/>
            <w:tcBorders>
              <w:top w:val="single" w:color="auto" w:sz="4" w:space="0"/>
              <w:left w:val="nil"/>
              <w:bottom w:val="single" w:color="auto" w:sz="4" w:space="0"/>
              <w:right w:val="single" w:color="auto" w:sz="4" w:space="0"/>
            </w:tcBorders>
            <w:vAlign w:val="center"/>
          </w:tcPr>
          <w:p w14:paraId="490B814A">
            <w:pPr>
              <w:snapToGrid w:val="0"/>
              <w:spacing w:line="240" w:lineRule="exact"/>
              <w:jc w:val="both"/>
              <w:rPr>
                <w:rFonts w:hint="eastAsia" w:ascii="宋体" w:hAnsi="宋体" w:cs="Arial"/>
                <w:sz w:val="16"/>
                <w:szCs w:val="18"/>
              </w:rPr>
            </w:pPr>
            <w:r>
              <w:rPr>
                <w:rFonts w:ascii="宋体" w:hAnsi="宋体" w:cs="Arial"/>
                <w:sz w:val="16"/>
                <w:szCs w:val="18"/>
              </w:rPr>
              <w:t>估价对象</w:t>
            </w:r>
          </w:p>
        </w:tc>
        <w:tc>
          <w:tcPr>
            <w:tcW w:w="531" w:type="pct"/>
            <w:tcBorders>
              <w:top w:val="single" w:color="auto" w:sz="4" w:space="0"/>
              <w:left w:val="nil"/>
              <w:bottom w:val="single" w:color="auto" w:sz="4" w:space="0"/>
              <w:right w:val="single" w:color="auto" w:sz="4" w:space="0"/>
            </w:tcBorders>
            <w:vAlign w:val="center"/>
          </w:tcPr>
          <w:p w14:paraId="596BDA75">
            <w:pPr>
              <w:snapToGrid w:val="0"/>
              <w:spacing w:line="240" w:lineRule="exact"/>
              <w:jc w:val="both"/>
              <w:rPr>
                <w:rFonts w:hint="eastAsia" w:ascii="宋体" w:hAnsi="宋体" w:cs="Arial"/>
                <w:sz w:val="16"/>
                <w:szCs w:val="18"/>
              </w:rPr>
            </w:pPr>
            <w:r>
              <w:rPr>
                <w:rFonts w:ascii="宋体" w:hAnsi="宋体" w:cs="Arial"/>
                <w:sz w:val="16"/>
                <w:szCs w:val="18"/>
              </w:rPr>
              <w:t>可比实例1</w:t>
            </w:r>
          </w:p>
        </w:tc>
        <w:tc>
          <w:tcPr>
            <w:tcW w:w="531" w:type="pct"/>
            <w:tcBorders>
              <w:top w:val="single" w:color="auto" w:sz="4" w:space="0"/>
              <w:left w:val="nil"/>
              <w:bottom w:val="single" w:color="auto" w:sz="4" w:space="0"/>
              <w:right w:val="single" w:color="auto" w:sz="4" w:space="0"/>
            </w:tcBorders>
            <w:vAlign w:val="center"/>
          </w:tcPr>
          <w:p w14:paraId="19A8ADE5">
            <w:pPr>
              <w:snapToGrid w:val="0"/>
              <w:spacing w:line="240" w:lineRule="exact"/>
              <w:jc w:val="both"/>
              <w:rPr>
                <w:rFonts w:hint="eastAsia" w:ascii="宋体" w:hAnsi="宋体" w:cs="Arial"/>
                <w:sz w:val="16"/>
                <w:szCs w:val="18"/>
              </w:rPr>
            </w:pPr>
            <w:r>
              <w:rPr>
                <w:rFonts w:ascii="宋体" w:hAnsi="宋体" w:cs="Arial"/>
                <w:sz w:val="16"/>
                <w:szCs w:val="18"/>
              </w:rPr>
              <w:t>可比实例2</w:t>
            </w:r>
          </w:p>
        </w:tc>
        <w:tc>
          <w:tcPr>
            <w:tcW w:w="531" w:type="pct"/>
            <w:tcBorders>
              <w:top w:val="single" w:color="auto" w:sz="4" w:space="0"/>
              <w:left w:val="nil"/>
              <w:bottom w:val="single" w:color="auto" w:sz="4" w:space="0"/>
              <w:right w:val="single" w:color="auto" w:sz="4" w:space="0"/>
            </w:tcBorders>
            <w:vAlign w:val="center"/>
          </w:tcPr>
          <w:p w14:paraId="7723F98A">
            <w:pPr>
              <w:snapToGrid w:val="0"/>
              <w:spacing w:line="240" w:lineRule="exact"/>
              <w:jc w:val="both"/>
              <w:rPr>
                <w:rFonts w:hint="eastAsia" w:ascii="宋体" w:hAnsi="宋体" w:cs="Arial"/>
                <w:sz w:val="16"/>
                <w:szCs w:val="18"/>
              </w:rPr>
            </w:pPr>
            <w:r>
              <w:rPr>
                <w:rFonts w:ascii="宋体" w:hAnsi="宋体" w:cs="Arial"/>
                <w:sz w:val="16"/>
                <w:szCs w:val="18"/>
              </w:rPr>
              <w:t>可比实例3</w:t>
            </w:r>
          </w:p>
        </w:tc>
        <w:tc>
          <w:tcPr>
            <w:tcW w:w="2031" w:type="pct"/>
            <w:tcBorders>
              <w:top w:val="single" w:color="auto" w:sz="4" w:space="0"/>
              <w:left w:val="nil"/>
              <w:bottom w:val="single" w:color="auto" w:sz="4" w:space="0"/>
              <w:right w:val="single" w:color="auto" w:sz="4" w:space="0"/>
            </w:tcBorders>
            <w:vAlign w:val="center"/>
          </w:tcPr>
          <w:p w14:paraId="3A290AAF">
            <w:pPr>
              <w:snapToGrid w:val="0"/>
              <w:spacing w:line="240" w:lineRule="exact"/>
              <w:jc w:val="both"/>
              <w:rPr>
                <w:rFonts w:hint="eastAsia" w:ascii="宋体" w:hAnsi="宋体" w:cs="Arial"/>
                <w:sz w:val="16"/>
                <w:szCs w:val="18"/>
              </w:rPr>
            </w:pPr>
            <w:r>
              <w:rPr>
                <w:rFonts w:ascii="宋体" w:hAnsi="宋体" w:cs="Arial"/>
                <w:sz w:val="16"/>
                <w:szCs w:val="18"/>
              </w:rPr>
              <w:t>比较因素调整说明</w:t>
            </w:r>
          </w:p>
        </w:tc>
      </w:tr>
      <w:tr w14:paraId="315C93DF">
        <w:tblPrEx>
          <w:tblCellMar>
            <w:top w:w="57" w:type="dxa"/>
            <w:left w:w="57" w:type="dxa"/>
            <w:bottom w:w="57" w:type="dxa"/>
            <w:right w:w="57" w:type="dxa"/>
          </w:tblCellMar>
        </w:tblPrEx>
        <w:trPr>
          <w:trHeight w:val="20" w:hRule="atLeast"/>
          <w:tblHeader/>
          <w:jc w:val="center"/>
        </w:trPr>
        <w:tc>
          <w:tcPr>
            <w:tcW w:w="842" w:type="pct"/>
            <w:gridSpan w:val="2"/>
            <w:vMerge w:val="continue"/>
            <w:tcBorders>
              <w:top w:val="single" w:color="auto" w:sz="4" w:space="0"/>
              <w:left w:val="single" w:color="auto" w:sz="4" w:space="0"/>
              <w:bottom w:val="single" w:color="000000" w:sz="4" w:space="0"/>
              <w:right w:val="single" w:color="000000" w:sz="4" w:space="0"/>
            </w:tcBorders>
            <w:vAlign w:val="center"/>
          </w:tcPr>
          <w:p w14:paraId="31E9731D">
            <w:pPr>
              <w:snapToGrid w:val="0"/>
              <w:spacing w:line="240" w:lineRule="exact"/>
              <w:jc w:val="both"/>
              <w:rPr>
                <w:rFonts w:hint="eastAsia" w:ascii="宋体" w:hAnsi="宋体" w:cs="Arial"/>
                <w:sz w:val="16"/>
                <w:szCs w:val="18"/>
              </w:rPr>
            </w:pPr>
          </w:p>
        </w:tc>
        <w:tc>
          <w:tcPr>
            <w:tcW w:w="531" w:type="pct"/>
            <w:tcBorders>
              <w:top w:val="nil"/>
              <w:left w:val="nil"/>
              <w:bottom w:val="single" w:color="auto" w:sz="4" w:space="0"/>
              <w:right w:val="single" w:color="auto" w:sz="4" w:space="0"/>
            </w:tcBorders>
            <w:vAlign w:val="center"/>
          </w:tcPr>
          <w:p w14:paraId="63F1DD59">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福兴雅苑</w:t>
            </w:r>
          </w:p>
        </w:tc>
        <w:tc>
          <w:tcPr>
            <w:tcW w:w="531" w:type="pct"/>
            <w:tcBorders>
              <w:top w:val="nil"/>
              <w:left w:val="nil"/>
              <w:bottom w:val="single" w:color="auto" w:sz="4" w:space="0"/>
              <w:right w:val="single" w:color="auto" w:sz="4" w:space="0"/>
            </w:tcBorders>
            <w:vAlign w:val="center"/>
          </w:tcPr>
          <w:p w14:paraId="50C599EA">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531" w:type="pct"/>
            <w:tcBorders>
              <w:top w:val="nil"/>
              <w:left w:val="nil"/>
              <w:bottom w:val="single" w:color="auto" w:sz="4" w:space="0"/>
              <w:right w:val="single" w:color="auto" w:sz="4" w:space="0"/>
            </w:tcBorders>
            <w:vAlign w:val="center"/>
          </w:tcPr>
          <w:p w14:paraId="47AE8624">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锦华园</w:t>
            </w:r>
          </w:p>
        </w:tc>
        <w:tc>
          <w:tcPr>
            <w:tcW w:w="531" w:type="pct"/>
            <w:tcBorders>
              <w:top w:val="nil"/>
              <w:left w:val="nil"/>
              <w:bottom w:val="single" w:color="auto" w:sz="4" w:space="0"/>
              <w:right w:val="single" w:color="auto" w:sz="4" w:space="0"/>
            </w:tcBorders>
            <w:vAlign w:val="center"/>
          </w:tcPr>
          <w:p w14:paraId="0D5CEEA5">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c>
          <w:tcPr>
            <w:tcW w:w="2031" w:type="pct"/>
            <w:tcBorders>
              <w:top w:val="nil"/>
              <w:left w:val="nil"/>
              <w:bottom w:val="single" w:color="auto" w:sz="4" w:space="0"/>
              <w:right w:val="single" w:color="auto" w:sz="4" w:space="0"/>
            </w:tcBorders>
            <w:vAlign w:val="center"/>
          </w:tcPr>
          <w:p w14:paraId="413BE212">
            <w:pPr>
              <w:snapToGrid w:val="0"/>
              <w:spacing w:line="240" w:lineRule="exact"/>
              <w:jc w:val="both"/>
              <w:rPr>
                <w:rFonts w:hint="eastAsia" w:ascii="宋体" w:hAnsi="宋体" w:cs="Arial"/>
                <w:sz w:val="16"/>
                <w:szCs w:val="18"/>
              </w:rPr>
            </w:pPr>
            <w:r>
              <w:rPr>
                <w:rFonts w:ascii="宋体" w:hAnsi="宋体" w:cs="Arial"/>
                <w:sz w:val="16"/>
                <w:szCs w:val="18"/>
              </w:rPr>
              <w:t>——</w:t>
            </w:r>
          </w:p>
        </w:tc>
      </w:tr>
      <w:tr w14:paraId="4B41EA81">
        <w:tblPrEx>
          <w:tblCellMar>
            <w:top w:w="57" w:type="dxa"/>
            <w:left w:w="57" w:type="dxa"/>
            <w:bottom w:w="57" w:type="dxa"/>
            <w:right w:w="57" w:type="dxa"/>
          </w:tblCellMar>
        </w:tblPrEx>
        <w:trPr>
          <w:trHeight w:val="20" w:hRule="atLeast"/>
          <w:jc w:val="center"/>
        </w:trPr>
        <w:tc>
          <w:tcPr>
            <w:tcW w:w="842" w:type="pct"/>
            <w:gridSpan w:val="2"/>
            <w:tcBorders>
              <w:top w:val="single" w:color="auto" w:sz="4" w:space="0"/>
              <w:left w:val="single" w:color="auto" w:sz="4" w:space="0"/>
              <w:bottom w:val="single" w:color="auto" w:sz="4" w:space="0"/>
              <w:right w:val="single" w:color="000000" w:sz="4" w:space="0"/>
            </w:tcBorders>
            <w:vAlign w:val="center"/>
          </w:tcPr>
          <w:p w14:paraId="47A1A8DA">
            <w:pPr>
              <w:snapToGrid w:val="0"/>
              <w:spacing w:line="240" w:lineRule="exact"/>
              <w:jc w:val="both"/>
              <w:rPr>
                <w:rFonts w:hint="eastAsia" w:ascii="宋体" w:hAnsi="宋体" w:cs="Arial"/>
                <w:sz w:val="16"/>
                <w:szCs w:val="18"/>
              </w:rPr>
            </w:pPr>
            <w:r>
              <w:rPr>
                <w:rFonts w:ascii="宋体" w:hAnsi="宋体" w:cs="Arial"/>
                <w:sz w:val="16"/>
                <w:szCs w:val="18"/>
              </w:rPr>
              <w:t>确定的租金价格（元/平方米·天）</w:t>
            </w:r>
          </w:p>
        </w:tc>
        <w:tc>
          <w:tcPr>
            <w:tcW w:w="531" w:type="pct"/>
            <w:tcBorders>
              <w:top w:val="nil"/>
              <w:left w:val="nil"/>
              <w:bottom w:val="single" w:color="auto" w:sz="4" w:space="0"/>
              <w:right w:val="single" w:color="auto" w:sz="4" w:space="0"/>
            </w:tcBorders>
            <w:noWrap/>
            <w:vAlign w:val="center"/>
          </w:tcPr>
          <w:p w14:paraId="1FD7A10B">
            <w:pPr>
              <w:pStyle w:val="61"/>
              <w:autoSpaceDE w:val="0"/>
              <w:autoSpaceDN w:val="0"/>
              <w:spacing w:line="240" w:lineRule="exact"/>
              <w:jc w:val="left"/>
              <w:textAlignment w:val="bottom"/>
              <w:rPr>
                <w:rFonts w:hint="eastAsia" w:hAnsi="宋体" w:cs="Arial"/>
                <w:sz w:val="16"/>
                <w:szCs w:val="18"/>
              </w:rPr>
            </w:pPr>
            <w:r>
              <w:rPr>
                <w:rFonts w:ascii="Arial" w:hAnsi="Arial" w:cs="Arial"/>
                <w:sz w:val="16"/>
                <w:szCs w:val="18"/>
              </w:rPr>
              <w:t>待估</w:t>
            </w:r>
          </w:p>
        </w:tc>
        <w:tc>
          <w:tcPr>
            <w:tcW w:w="531" w:type="pct"/>
            <w:tcBorders>
              <w:top w:val="nil"/>
              <w:left w:val="nil"/>
              <w:bottom w:val="single" w:color="auto" w:sz="4" w:space="0"/>
              <w:right w:val="single" w:color="auto" w:sz="4" w:space="0"/>
            </w:tcBorders>
            <w:noWrap/>
            <w:vAlign w:val="center"/>
          </w:tcPr>
          <w:p w14:paraId="2E49E16A">
            <w:pPr>
              <w:autoSpaceDE w:val="0"/>
              <w:autoSpaceDN w:val="0"/>
              <w:spacing w:line="240" w:lineRule="exact"/>
              <w:textAlignment w:val="bottom"/>
              <w:rPr>
                <w:rFonts w:ascii="Arial" w:hAnsi="Arial" w:cs="Arial"/>
                <w:sz w:val="16"/>
                <w:szCs w:val="18"/>
              </w:rPr>
            </w:pPr>
            <w:r>
              <w:rPr>
                <w:rFonts w:hint="eastAsia" w:ascii="Arial" w:hAnsi="Arial" w:cs="Arial"/>
                <w:sz w:val="16"/>
                <w:szCs w:val="18"/>
              </w:rPr>
              <w:t>40.52</w:t>
            </w:r>
          </w:p>
        </w:tc>
        <w:tc>
          <w:tcPr>
            <w:tcW w:w="531" w:type="pct"/>
            <w:tcBorders>
              <w:top w:val="nil"/>
              <w:left w:val="nil"/>
              <w:bottom w:val="single" w:color="auto" w:sz="4" w:space="0"/>
              <w:right w:val="single" w:color="auto" w:sz="4" w:space="0"/>
            </w:tcBorders>
            <w:noWrap/>
            <w:vAlign w:val="center"/>
          </w:tcPr>
          <w:p w14:paraId="63595EBF">
            <w:pPr>
              <w:autoSpaceDE w:val="0"/>
              <w:autoSpaceDN w:val="0"/>
              <w:spacing w:line="240" w:lineRule="exact"/>
              <w:textAlignment w:val="bottom"/>
              <w:rPr>
                <w:rFonts w:ascii="Arial" w:hAnsi="Arial" w:cs="Arial"/>
                <w:sz w:val="16"/>
                <w:szCs w:val="18"/>
              </w:rPr>
            </w:pPr>
            <w:r>
              <w:rPr>
                <w:rFonts w:hint="eastAsia" w:ascii="Arial" w:hAnsi="Arial" w:cs="Arial"/>
                <w:sz w:val="16"/>
                <w:szCs w:val="18"/>
              </w:rPr>
              <w:t>40.12</w:t>
            </w:r>
          </w:p>
        </w:tc>
        <w:tc>
          <w:tcPr>
            <w:tcW w:w="531" w:type="pct"/>
            <w:tcBorders>
              <w:top w:val="nil"/>
              <w:left w:val="nil"/>
              <w:bottom w:val="single" w:color="auto" w:sz="4" w:space="0"/>
              <w:right w:val="single" w:color="auto" w:sz="4" w:space="0"/>
            </w:tcBorders>
            <w:noWrap/>
            <w:vAlign w:val="center"/>
          </w:tcPr>
          <w:p w14:paraId="7694AAE9">
            <w:pPr>
              <w:autoSpaceDE w:val="0"/>
              <w:autoSpaceDN w:val="0"/>
              <w:spacing w:line="240" w:lineRule="exact"/>
              <w:textAlignment w:val="bottom"/>
              <w:rPr>
                <w:rFonts w:ascii="Arial" w:hAnsi="Arial" w:cs="Arial"/>
                <w:sz w:val="16"/>
                <w:szCs w:val="18"/>
              </w:rPr>
            </w:pPr>
            <w:r>
              <w:rPr>
                <w:rFonts w:hint="eastAsia" w:ascii="Arial" w:hAnsi="Arial" w:cs="Arial"/>
                <w:sz w:val="16"/>
                <w:szCs w:val="18"/>
              </w:rPr>
              <w:t>41.28</w:t>
            </w:r>
          </w:p>
        </w:tc>
        <w:tc>
          <w:tcPr>
            <w:tcW w:w="2031" w:type="pct"/>
            <w:tcBorders>
              <w:top w:val="nil"/>
              <w:left w:val="nil"/>
              <w:bottom w:val="single" w:color="auto" w:sz="4" w:space="0"/>
              <w:right w:val="single" w:color="auto" w:sz="4" w:space="0"/>
            </w:tcBorders>
            <w:vAlign w:val="center"/>
          </w:tcPr>
          <w:p w14:paraId="406DB191">
            <w:pPr>
              <w:snapToGrid w:val="0"/>
              <w:spacing w:line="240" w:lineRule="exact"/>
              <w:jc w:val="both"/>
              <w:rPr>
                <w:rFonts w:hint="eastAsia" w:ascii="宋体" w:hAnsi="宋体" w:cs="Arial"/>
                <w:sz w:val="16"/>
                <w:szCs w:val="18"/>
              </w:rPr>
            </w:pPr>
            <w:r>
              <w:rPr>
                <w:rFonts w:ascii="宋体" w:hAnsi="宋体" w:cs="Arial"/>
                <w:sz w:val="16"/>
                <w:szCs w:val="18"/>
              </w:rPr>
              <w:t>——</w:t>
            </w:r>
          </w:p>
        </w:tc>
      </w:tr>
      <w:tr w14:paraId="70488381">
        <w:tblPrEx>
          <w:tblCellMar>
            <w:top w:w="57" w:type="dxa"/>
            <w:left w:w="57" w:type="dxa"/>
            <w:bottom w:w="57" w:type="dxa"/>
            <w:right w:w="57" w:type="dxa"/>
          </w:tblCellMar>
        </w:tblPrEx>
        <w:trPr>
          <w:trHeight w:val="20" w:hRule="atLeast"/>
          <w:jc w:val="center"/>
        </w:trPr>
        <w:tc>
          <w:tcPr>
            <w:tcW w:w="842" w:type="pct"/>
            <w:gridSpan w:val="2"/>
            <w:tcBorders>
              <w:top w:val="single" w:color="auto" w:sz="4" w:space="0"/>
              <w:left w:val="single" w:color="auto" w:sz="4" w:space="0"/>
              <w:bottom w:val="single" w:color="auto" w:sz="4" w:space="0"/>
              <w:right w:val="single" w:color="auto" w:sz="4" w:space="0"/>
            </w:tcBorders>
            <w:vAlign w:val="center"/>
          </w:tcPr>
          <w:p w14:paraId="3ACE471B">
            <w:pPr>
              <w:snapToGrid w:val="0"/>
              <w:spacing w:line="240" w:lineRule="exact"/>
              <w:jc w:val="both"/>
              <w:rPr>
                <w:rFonts w:hint="eastAsia" w:ascii="宋体" w:hAnsi="宋体" w:cs="Arial"/>
                <w:sz w:val="16"/>
                <w:szCs w:val="18"/>
              </w:rPr>
            </w:pPr>
            <w:r>
              <w:rPr>
                <w:rFonts w:ascii="宋体" w:hAnsi="宋体" w:cs="Arial"/>
                <w:sz w:val="16"/>
                <w:szCs w:val="18"/>
              </w:rPr>
              <w:t>交易时间</w:t>
            </w:r>
          </w:p>
        </w:tc>
        <w:tc>
          <w:tcPr>
            <w:tcW w:w="531" w:type="pct"/>
            <w:tcBorders>
              <w:top w:val="nil"/>
              <w:left w:val="nil"/>
              <w:bottom w:val="single" w:color="auto" w:sz="4" w:space="0"/>
              <w:right w:val="single" w:color="auto" w:sz="4" w:space="0"/>
            </w:tcBorders>
            <w:noWrap/>
            <w:vAlign w:val="center"/>
          </w:tcPr>
          <w:p w14:paraId="168AB46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2375B8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0BE7BB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69E08FC">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17CB60AD">
            <w:pPr>
              <w:snapToGrid w:val="0"/>
              <w:spacing w:line="240" w:lineRule="exact"/>
              <w:jc w:val="both"/>
              <w:rPr>
                <w:rFonts w:ascii="Arial" w:hAnsi="Arial" w:cs="Arial"/>
                <w:sz w:val="16"/>
                <w:szCs w:val="18"/>
              </w:rPr>
            </w:pPr>
            <w:r>
              <w:rPr>
                <w:rFonts w:ascii="Arial" w:hAnsi="Arial" w:cs="Arial"/>
                <w:sz w:val="16"/>
                <w:szCs w:val="18"/>
              </w:rPr>
              <w:t>估价对象与可比实例的交易时间一致，因此确定估价对象与可比实例该因素指数均为100；</w:t>
            </w:r>
          </w:p>
        </w:tc>
      </w:tr>
      <w:tr w14:paraId="06AFEACF">
        <w:tblPrEx>
          <w:tblCellMar>
            <w:top w:w="57" w:type="dxa"/>
            <w:left w:w="57" w:type="dxa"/>
            <w:bottom w:w="57" w:type="dxa"/>
            <w:right w:w="57" w:type="dxa"/>
          </w:tblCellMar>
        </w:tblPrEx>
        <w:trPr>
          <w:trHeight w:val="20" w:hRule="atLeast"/>
          <w:jc w:val="center"/>
        </w:trPr>
        <w:tc>
          <w:tcPr>
            <w:tcW w:w="842" w:type="pct"/>
            <w:gridSpan w:val="2"/>
            <w:tcBorders>
              <w:top w:val="single" w:color="auto" w:sz="4" w:space="0"/>
              <w:left w:val="single" w:color="auto" w:sz="4" w:space="0"/>
              <w:bottom w:val="single" w:color="auto" w:sz="4" w:space="0"/>
              <w:right w:val="single" w:color="auto" w:sz="4" w:space="0"/>
            </w:tcBorders>
            <w:vAlign w:val="center"/>
          </w:tcPr>
          <w:p w14:paraId="28E9EC54">
            <w:pPr>
              <w:snapToGrid w:val="0"/>
              <w:spacing w:line="240" w:lineRule="exact"/>
              <w:jc w:val="both"/>
              <w:rPr>
                <w:rFonts w:hint="eastAsia" w:ascii="宋体" w:hAnsi="宋体" w:cs="Arial"/>
                <w:sz w:val="16"/>
                <w:szCs w:val="18"/>
              </w:rPr>
            </w:pPr>
            <w:r>
              <w:rPr>
                <w:rFonts w:ascii="宋体" w:hAnsi="宋体" w:cs="Arial"/>
                <w:sz w:val="16"/>
                <w:szCs w:val="18"/>
              </w:rPr>
              <w:t>交易情况</w:t>
            </w:r>
          </w:p>
        </w:tc>
        <w:tc>
          <w:tcPr>
            <w:tcW w:w="531" w:type="pct"/>
            <w:tcBorders>
              <w:top w:val="nil"/>
              <w:left w:val="nil"/>
              <w:bottom w:val="single" w:color="auto" w:sz="4" w:space="0"/>
              <w:right w:val="single" w:color="auto" w:sz="4" w:space="0"/>
            </w:tcBorders>
            <w:noWrap/>
            <w:vAlign w:val="center"/>
          </w:tcPr>
          <w:p w14:paraId="311C298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07135A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223D77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40E49AD">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532D29F8">
            <w:pPr>
              <w:snapToGrid w:val="0"/>
              <w:spacing w:line="240" w:lineRule="exact"/>
              <w:jc w:val="both"/>
              <w:rPr>
                <w:rFonts w:ascii="Arial" w:hAnsi="Arial" w:cs="Arial"/>
                <w:sz w:val="16"/>
                <w:szCs w:val="18"/>
              </w:rPr>
            </w:pPr>
            <w:r>
              <w:rPr>
                <w:rFonts w:ascii="Arial" w:hAnsi="Arial" w:cs="Arial"/>
                <w:sz w:val="16"/>
                <w:szCs w:val="18"/>
              </w:rPr>
              <w:t>可比实例均为正常交易或已修正为正常交易，故不予修正，交易情况指数均100；</w:t>
            </w:r>
          </w:p>
        </w:tc>
      </w:tr>
      <w:tr w14:paraId="424ACCF6">
        <w:tblPrEx>
          <w:tblCellMar>
            <w:top w:w="57" w:type="dxa"/>
            <w:left w:w="57" w:type="dxa"/>
            <w:bottom w:w="57" w:type="dxa"/>
            <w:right w:w="57" w:type="dxa"/>
          </w:tblCellMar>
        </w:tblPrEx>
        <w:trPr>
          <w:trHeight w:val="20" w:hRule="atLeast"/>
          <w:jc w:val="center"/>
        </w:trPr>
        <w:tc>
          <w:tcPr>
            <w:tcW w:w="842" w:type="pct"/>
            <w:gridSpan w:val="2"/>
            <w:tcBorders>
              <w:top w:val="single" w:color="auto" w:sz="4" w:space="0"/>
              <w:left w:val="single" w:color="auto" w:sz="4" w:space="0"/>
              <w:bottom w:val="single" w:color="auto" w:sz="4" w:space="0"/>
              <w:right w:val="single" w:color="auto" w:sz="4" w:space="0"/>
            </w:tcBorders>
            <w:vAlign w:val="center"/>
          </w:tcPr>
          <w:p w14:paraId="25CFC744">
            <w:pPr>
              <w:snapToGrid w:val="0"/>
              <w:spacing w:line="240" w:lineRule="exact"/>
              <w:jc w:val="both"/>
              <w:rPr>
                <w:rFonts w:hint="eastAsia" w:ascii="宋体" w:hAnsi="宋体" w:cs="Arial"/>
                <w:sz w:val="16"/>
                <w:szCs w:val="18"/>
              </w:rPr>
            </w:pPr>
            <w:r>
              <w:rPr>
                <w:rFonts w:ascii="宋体" w:hAnsi="宋体" w:cs="Arial"/>
                <w:sz w:val="16"/>
                <w:szCs w:val="18"/>
              </w:rPr>
              <w:t>项目类型</w:t>
            </w:r>
          </w:p>
        </w:tc>
        <w:tc>
          <w:tcPr>
            <w:tcW w:w="531" w:type="pct"/>
            <w:tcBorders>
              <w:top w:val="nil"/>
              <w:left w:val="nil"/>
              <w:bottom w:val="single" w:color="auto" w:sz="4" w:space="0"/>
              <w:right w:val="single" w:color="auto" w:sz="4" w:space="0"/>
            </w:tcBorders>
            <w:noWrap/>
            <w:vAlign w:val="center"/>
          </w:tcPr>
          <w:p w14:paraId="2F1C3AC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908555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FBEAB0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0B4A6ED">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3D74BB86">
            <w:pPr>
              <w:snapToGrid w:val="0"/>
              <w:spacing w:line="240" w:lineRule="exact"/>
              <w:jc w:val="both"/>
              <w:rPr>
                <w:rFonts w:ascii="Arial" w:hAnsi="Arial" w:cs="Arial"/>
                <w:sz w:val="16"/>
                <w:szCs w:val="18"/>
              </w:rPr>
            </w:pPr>
            <w:r>
              <w:rPr>
                <w:rFonts w:ascii="Arial" w:hAnsi="Arial" w:cs="Arial"/>
                <w:sz w:val="16"/>
                <w:szCs w:val="18"/>
              </w:rPr>
              <w:t>可比实例均为</w:t>
            </w:r>
            <w:r>
              <w:rPr>
                <w:rFonts w:hint="eastAsia" w:ascii="Arial" w:hAnsi="Arial" w:cs="Arial"/>
                <w:sz w:val="16"/>
                <w:szCs w:val="18"/>
              </w:rPr>
              <w:t>住宅</w:t>
            </w:r>
            <w:r>
              <w:rPr>
                <w:rFonts w:ascii="Arial" w:hAnsi="Arial" w:cs="Arial"/>
                <w:sz w:val="16"/>
                <w:szCs w:val="18"/>
              </w:rPr>
              <w:t>，故不予修正，交易情况指数均100；</w:t>
            </w:r>
          </w:p>
        </w:tc>
      </w:tr>
      <w:tr w14:paraId="50EAF18D">
        <w:tblPrEx>
          <w:tblCellMar>
            <w:top w:w="57" w:type="dxa"/>
            <w:left w:w="57" w:type="dxa"/>
            <w:bottom w:w="57" w:type="dxa"/>
            <w:right w:w="57" w:type="dxa"/>
          </w:tblCellMar>
        </w:tblPrEx>
        <w:trPr>
          <w:trHeight w:val="20" w:hRule="atLeast"/>
          <w:jc w:val="center"/>
        </w:trPr>
        <w:tc>
          <w:tcPr>
            <w:tcW w:w="306" w:type="pct"/>
            <w:vMerge w:val="restart"/>
            <w:tcBorders>
              <w:top w:val="single" w:color="auto" w:sz="4" w:space="0"/>
              <w:left w:val="single" w:color="auto" w:sz="4" w:space="0"/>
              <w:bottom w:val="single" w:color="auto" w:sz="4" w:space="0"/>
              <w:right w:val="single" w:color="auto" w:sz="4" w:space="0"/>
            </w:tcBorders>
            <w:noWrap/>
            <w:vAlign w:val="center"/>
          </w:tcPr>
          <w:p w14:paraId="4AA5C592">
            <w:pPr>
              <w:snapToGrid w:val="0"/>
              <w:spacing w:line="240" w:lineRule="exact"/>
              <w:jc w:val="both"/>
              <w:rPr>
                <w:rFonts w:hint="eastAsia" w:ascii="宋体" w:hAnsi="宋体" w:cs="Arial"/>
                <w:sz w:val="16"/>
                <w:szCs w:val="18"/>
              </w:rPr>
            </w:pPr>
            <w:r>
              <w:rPr>
                <w:rFonts w:ascii="宋体" w:hAnsi="宋体" w:cs="Arial"/>
                <w:sz w:val="16"/>
                <w:szCs w:val="18"/>
              </w:rPr>
              <w:t>区域</w:t>
            </w:r>
          </w:p>
          <w:p w14:paraId="54994176">
            <w:pPr>
              <w:snapToGrid w:val="0"/>
              <w:spacing w:line="240" w:lineRule="exact"/>
              <w:jc w:val="both"/>
              <w:rPr>
                <w:rFonts w:hint="eastAsia"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16713A64">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居住区成熟度</w:t>
            </w:r>
          </w:p>
        </w:tc>
        <w:tc>
          <w:tcPr>
            <w:tcW w:w="531" w:type="pct"/>
            <w:tcBorders>
              <w:top w:val="nil"/>
              <w:left w:val="nil"/>
              <w:bottom w:val="single" w:color="auto" w:sz="4" w:space="0"/>
              <w:right w:val="single" w:color="auto" w:sz="4" w:space="0"/>
            </w:tcBorders>
            <w:noWrap/>
            <w:vAlign w:val="center"/>
          </w:tcPr>
          <w:p w14:paraId="10D9BEB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C76F2D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A4DD81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7681C50">
            <w:pPr>
              <w:snapToGrid w:val="0"/>
              <w:spacing w:line="240" w:lineRule="exact"/>
              <w:jc w:val="both"/>
              <w:rPr>
                <w:rFonts w:ascii="Arial" w:hAnsi="Arial" w:cs="Arial"/>
                <w:sz w:val="16"/>
                <w:szCs w:val="18"/>
              </w:rPr>
            </w:pPr>
            <w:r>
              <w:rPr>
                <w:rFonts w:hint="eastAsia" w:ascii="Arial" w:hAnsi="Arial" w:cs="Arial"/>
                <w:sz w:val="16"/>
                <w:szCs w:val="18"/>
              </w:rPr>
              <w:t>98</w:t>
            </w:r>
          </w:p>
        </w:tc>
        <w:tc>
          <w:tcPr>
            <w:tcW w:w="2031" w:type="pct"/>
            <w:tcBorders>
              <w:top w:val="nil"/>
              <w:left w:val="nil"/>
              <w:bottom w:val="single" w:color="auto" w:sz="4" w:space="0"/>
              <w:right w:val="single" w:color="auto" w:sz="4" w:space="0"/>
            </w:tcBorders>
            <w:vAlign w:val="center"/>
          </w:tcPr>
          <w:p w14:paraId="6012EBBF">
            <w:pPr>
              <w:snapToGrid w:val="0"/>
              <w:spacing w:line="240" w:lineRule="exact"/>
              <w:jc w:val="both"/>
              <w:rPr>
                <w:rFonts w:ascii="Arial" w:hAnsi="Arial" w:cs="Arial"/>
                <w:sz w:val="16"/>
                <w:szCs w:val="18"/>
              </w:rPr>
            </w:pPr>
            <w:r>
              <w:rPr>
                <w:rFonts w:ascii="Arial" w:hAnsi="Arial" w:cs="Arial"/>
                <w:sz w:val="16"/>
                <w:szCs w:val="18"/>
              </w:rPr>
              <w:t>从好到差划分为优、较优、一般、较劣、劣五个等级，每个等级相差</w:t>
            </w:r>
            <w:r>
              <w:rPr>
                <w:rFonts w:hint="eastAsia" w:ascii="Arial" w:hAnsi="Arial" w:cs="Arial"/>
                <w:sz w:val="16"/>
                <w:szCs w:val="18"/>
              </w:rPr>
              <w:t>2</w:t>
            </w:r>
            <w:r>
              <w:rPr>
                <w:rFonts w:ascii="Arial" w:hAnsi="Arial" w:cs="Arial"/>
                <w:sz w:val="16"/>
                <w:szCs w:val="18"/>
              </w:rPr>
              <w:t>分，确定可比实例1、2、3该因素指数分别为10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w:t>
            </w:r>
            <w:r>
              <w:rPr>
                <w:rFonts w:hint="eastAsia" w:ascii="Arial" w:hAnsi="Arial" w:cs="Arial"/>
                <w:sz w:val="16"/>
                <w:szCs w:val="18"/>
              </w:rPr>
              <w:t>98</w:t>
            </w:r>
            <w:r>
              <w:rPr>
                <w:rFonts w:ascii="Arial" w:hAnsi="Arial" w:cs="Arial"/>
                <w:sz w:val="16"/>
                <w:szCs w:val="18"/>
              </w:rPr>
              <w:t>；</w:t>
            </w:r>
          </w:p>
        </w:tc>
      </w:tr>
      <w:tr w14:paraId="587134ED">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60418F07">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4E18F375">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道路通达度</w:t>
            </w:r>
          </w:p>
        </w:tc>
        <w:tc>
          <w:tcPr>
            <w:tcW w:w="531" w:type="pct"/>
            <w:tcBorders>
              <w:top w:val="nil"/>
              <w:left w:val="nil"/>
              <w:bottom w:val="single" w:color="auto" w:sz="4" w:space="0"/>
              <w:right w:val="single" w:color="auto" w:sz="4" w:space="0"/>
            </w:tcBorders>
            <w:noWrap/>
            <w:vAlign w:val="center"/>
          </w:tcPr>
          <w:p w14:paraId="2E40A94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1AA86C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601111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1F8FA1E">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77A0372A">
            <w:pPr>
              <w:snapToGrid w:val="0"/>
              <w:spacing w:line="240" w:lineRule="exact"/>
              <w:jc w:val="both"/>
              <w:rPr>
                <w:rFonts w:ascii="Arial" w:hAnsi="Arial" w:cs="Arial"/>
                <w:sz w:val="16"/>
                <w:szCs w:val="18"/>
              </w:rPr>
            </w:pPr>
            <w:r>
              <w:rPr>
                <w:rFonts w:ascii="Arial" w:hAnsi="Arial" w:cs="Arial"/>
                <w:sz w:val="16"/>
                <w:szCs w:val="18"/>
              </w:rPr>
              <w:t>按照距离干道的距离和干道等级分为优、较优、一般、较劣、劣五个等级，每个等级相差2分，确定可比实例1、2、3该因素指数分别为100、100、100；</w:t>
            </w:r>
          </w:p>
        </w:tc>
      </w:tr>
      <w:tr w14:paraId="5314F004">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0A084CE1">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7B7A12F9">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距离轨道交通站点距离</w:t>
            </w:r>
          </w:p>
        </w:tc>
        <w:tc>
          <w:tcPr>
            <w:tcW w:w="531" w:type="pct"/>
            <w:tcBorders>
              <w:top w:val="nil"/>
              <w:left w:val="nil"/>
              <w:bottom w:val="single" w:color="auto" w:sz="4" w:space="0"/>
              <w:right w:val="single" w:color="auto" w:sz="4" w:space="0"/>
            </w:tcBorders>
            <w:noWrap/>
            <w:vAlign w:val="center"/>
          </w:tcPr>
          <w:p w14:paraId="1536E65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62FC2F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157676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125D293">
            <w:pPr>
              <w:snapToGrid w:val="0"/>
              <w:spacing w:line="240" w:lineRule="exact"/>
              <w:jc w:val="both"/>
              <w:rPr>
                <w:rFonts w:ascii="Arial" w:hAnsi="Arial" w:cs="Arial"/>
                <w:sz w:val="16"/>
                <w:szCs w:val="18"/>
              </w:rPr>
            </w:pPr>
            <w:r>
              <w:rPr>
                <w:rFonts w:hint="eastAsia" w:ascii="Arial" w:hAnsi="Arial" w:cs="Arial"/>
                <w:sz w:val="16"/>
                <w:szCs w:val="18"/>
              </w:rPr>
              <w:t>98</w:t>
            </w:r>
          </w:p>
        </w:tc>
        <w:tc>
          <w:tcPr>
            <w:tcW w:w="2031" w:type="pct"/>
            <w:tcBorders>
              <w:top w:val="nil"/>
              <w:left w:val="nil"/>
              <w:bottom w:val="single" w:color="auto" w:sz="4" w:space="0"/>
              <w:right w:val="single" w:color="auto" w:sz="4" w:space="0"/>
            </w:tcBorders>
            <w:vAlign w:val="center"/>
          </w:tcPr>
          <w:p w14:paraId="130C1F2E">
            <w:pPr>
              <w:snapToGrid w:val="0"/>
              <w:spacing w:line="240" w:lineRule="exact"/>
              <w:jc w:val="both"/>
              <w:rPr>
                <w:rFonts w:ascii="Arial" w:hAnsi="Arial" w:cs="Arial"/>
                <w:sz w:val="16"/>
                <w:szCs w:val="18"/>
              </w:rPr>
            </w:pPr>
            <w:r>
              <w:rPr>
                <w:rFonts w:ascii="Arial" w:hAnsi="Arial" w:cs="Arial"/>
                <w:sz w:val="16"/>
                <w:szCs w:val="18"/>
              </w:rPr>
              <w:t>按照距离轨道交通的距离，0.5km为一档，每个等级相差</w:t>
            </w:r>
            <w:r>
              <w:rPr>
                <w:rFonts w:hint="eastAsia" w:ascii="Arial" w:hAnsi="Arial" w:cs="Arial"/>
                <w:sz w:val="16"/>
                <w:szCs w:val="18"/>
              </w:rPr>
              <w:t>2</w:t>
            </w:r>
            <w:r>
              <w:rPr>
                <w:rFonts w:ascii="Arial" w:hAnsi="Arial" w:cs="Arial"/>
                <w:sz w:val="16"/>
                <w:szCs w:val="18"/>
              </w:rPr>
              <w:t>分，确定可比实例1、2、3该因素指数分别为100、100、</w:t>
            </w:r>
            <w:r>
              <w:rPr>
                <w:rFonts w:hint="eastAsia" w:ascii="Arial" w:hAnsi="Arial" w:cs="Arial"/>
                <w:sz w:val="16"/>
                <w:szCs w:val="18"/>
              </w:rPr>
              <w:t>98</w:t>
            </w:r>
            <w:r>
              <w:rPr>
                <w:rFonts w:ascii="Arial" w:hAnsi="Arial" w:cs="Arial"/>
                <w:sz w:val="16"/>
                <w:szCs w:val="18"/>
              </w:rPr>
              <w:t>；</w:t>
            </w:r>
          </w:p>
        </w:tc>
      </w:tr>
      <w:tr w14:paraId="3FAAA969">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6548AE28">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304E132B">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距离公交站点距离</w:t>
            </w:r>
          </w:p>
        </w:tc>
        <w:tc>
          <w:tcPr>
            <w:tcW w:w="531" w:type="pct"/>
            <w:tcBorders>
              <w:top w:val="nil"/>
              <w:left w:val="nil"/>
              <w:bottom w:val="single" w:color="auto" w:sz="4" w:space="0"/>
              <w:right w:val="single" w:color="auto" w:sz="4" w:space="0"/>
            </w:tcBorders>
            <w:noWrap/>
            <w:vAlign w:val="center"/>
          </w:tcPr>
          <w:p w14:paraId="3E421BE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935717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24EC86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36C1AE0">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654FC0F7">
            <w:pPr>
              <w:snapToGrid w:val="0"/>
              <w:spacing w:line="240" w:lineRule="exact"/>
              <w:jc w:val="both"/>
              <w:rPr>
                <w:rFonts w:ascii="Arial" w:hAnsi="Arial" w:cs="Arial"/>
                <w:sz w:val="16"/>
                <w:szCs w:val="18"/>
              </w:rPr>
            </w:pPr>
            <w:r>
              <w:rPr>
                <w:rFonts w:ascii="Arial" w:hAnsi="Arial" w:cs="Arial"/>
                <w:sz w:val="16"/>
                <w:szCs w:val="18"/>
              </w:rPr>
              <w:t>按照距离公交站点的距离，0.5km为一档，每个等级相差2分，确定可比实例1、2、3该因素指数分别为100、100、100；</w:t>
            </w:r>
          </w:p>
        </w:tc>
      </w:tr>
      <w:tr w14:paraId="6FD55999">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1131E748">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4282693B">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环境质量优劣度</w:t>
            </w:r>
          </w:p>
        </w:tc>
        <w:tc>
          <w:tcPr>
            <w:tcW w:w="531" w:type="pct"/>
            <w:tcBorders>
              <w:top w:val="nil"/>
              <w:left w:val="nil"/>
              <w:bottom w:val="single" w:color="auto" w:sz="4" w:space="0"/>
              <w:right w:val="single" w:color="auto" w:sz="4" w:space="0"/>
            </w:tcBorders>
            <w:noWrap/>
            <w:vAlign w:val="center"/>
          </w:tcPr>
          <w:p w14:paraId="200BDF7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2899D3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460586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F2BA3E9">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383BF93D">
            <w:pPr>
              <w:snapToGrid w:val="0"/>
              <w:spacing w:line="240" w:lineRule="exact"/>
              <w:jc w:val="both"/>
              <w:rPr>
                <w:rFonts w:ascii="Arial" w:hAnsi="Arial" w:cs="Arial"/>
                <w:sz w:val="16"/>
                <w:szCs w:val="18"/>
              </w:rPr>
            </w:pPr>
            <w:r>
              <w:rPr>
                <w:rFonts w:hint="eastAsia" w:ascii="Arial" w:hAnsi="Arial" w:cs="Arial"/>
                <w:sz w:val="16"/>
                <w:szCs w:val="18"/>
              </w:rPr>
              <w:t>根据周边污染源的范围，判断优劣，每档相差2分</w:t>
            </w:r>
            <w:r>
              <w:rPr>
                <w:rFonts w:ascii="Arial" w:hAnsi="Arial" w:cs="Arial"/>
                <w:sz w:val="16"/>
                <w:szCs w:val="18"/>
              </w:rPr>
              <w:t>，确定可比实例1、2、3该因素指数分别为100、100、100</w:t>
            </w:r>
            <w:r>
              <w:rPr>
                <w:rFonts w:hint="eastAsia" w:ascii="Arial" w:hAnsi="Arial" w:cs="Arial"/>
                <w:sz w:val="16"/>
                <w:szCs w:val="18"/>
              </w:rPr>
              <w:t>；</w:t>
            </w:r>
          </w:p>
        </w:tc>
      </w:tr>
      <w:tr w14:paraId="67A46EE3">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66DB2483">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00149F05">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自然环境</w:t>
            </w:r>
          </w:p>
        </w:tc>
        <w:tc>
          <w:tcPr>
            <w:tcW w:w="531" w:type="pct"/>
            <w:tcBorders>
              <w:top w:val="nil"/>
              <w:left w:val="nil"/>
              <w:bottom w:val="single" w:color="auto" w:sz="4" w:space="0"/>
              <w:right w:val="single" w:color="auto" w:sz="4" w:space="0"/>
            </w:tcBorders>
            <w:noWrap/>
            <w:vAlign w:val="center"/>
          </w:tcPr>
          <w:p w14:paraId="322525B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625698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44D308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04CCEB7">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2DA32A8F">
            <w:pPr>
              <w:snapToGrid w:val="0"/>
              <w:spacing w:line="240" w:lineRule="exact"/>
              <w:jc w:val="both"/>
              <w:rPr>
                <w:rFonts w:ascii="Arial" w:hAnsi="Arial" w:cs="Arial"/>
                <w:sz w:val="16"/>
                <w:szCs w:val="18"/>
              </w:rPr>
            </w:pPr>
            <w:r>
              <w:rPr>
                <w:rFonts w:ascii="Arial" w:hAnsi="Arial" w:cs="Arial"/>
                <w:sz w:val="16"/>
                <w:szCs w:val="18"/>
              </w:rPr>
              <w:t>从好到差划分为好、较好、一般、较差、差五个等级，每个等级相差2分，确定可比实例1、2、3该因素指数分别为100、100、100；</w:t>
            </w:r>
          </w:p>
        </w:tc>
      </w:tr>
      <w:tr w14:paraId="23BB9B1F">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2A3EEA7C">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4AB65FBA">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小区环境</w:t>
            </w:r>
          </w:p>
        </w:tc>
        <w:tc>
          <w:tcPr>
            <w:tcW w:w="531" w:type="pct"/>
            <w:tcBorders>
              <w:top w:val="nil"/>
              <w:left w:val="nil"/>
              <w:bottom w:val="single" w:color="auto" w:sz="4" w:space="0"/>
              <w:right w:val="single" w:color="auto" w:sz="4" w:space="0"/>
            </w:tcBorders>
            <w:noWrap/>
            <w:vAlign w:val="center"/>
          </w:tcPr>
          <w:p w14:paraId="518343C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3CB0D2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FC4099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EB12585">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1CF95196">
            <w:pPr>
              <w:snapToGrid w:val="0"/>
              <w:spacing w:line="240" w:lineRule="exact"/>
              <w:jc w:val="both"/>
              <w:rPr>
                <w:rFonts w:ascii="Arial" w:hAnsi="Arial" w:cs="Arial"/>
                <w:sz w:val="16"/>
                <w:szCs w:val="18"/>
              </w:rPr>
            </w:pPr>
            <w:r>
              <w:rPr>
                <w:rFonts w:hint="eastAsia" w:ascii="Arial" w:hAnsi="Arial" w:cs="Arial"/>
                <w:sz w:val="16"/>
                <w:szCs w:val="18"/>
              </w:rPr>
              <w:t>根据小区道路、绿化率、景观设计及人车分流情况分为一档，每级相差1分，</w:t>
            </w:r>
            <w:r>
              <w:rPr>
                <w:rFonts w:ascii="Arial" w:hAnsi="Arial" w:cs="Arial"/>
                <w:sz w:val="16"/>
                <w:szCs w:val="18"/>
              </w:rPr>
              <w:t>确定可比实例1、2、3该因素指数分别为100、100、100；</w:t>
            </w:r>
          </w:p>
        </w:tc>
      </w:tr>
      <w:tr w14:paraId="07FF9332">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6F3AAD81">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391F2560">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公共服务设施状况</w:t>
            </w:r>
          </w:p>
        </w:tc>
        <w:tc>
          <w:tcPr>
            <w:tcW w:w="531" w:type="pct"/>
            <w:tcBorders>
              <w:top w:val="nil"/>
              <w:left w:val="nil"/>
              <w:bottom w:val="single" w:color="auto" w:sz="4" w:space="0"/>
              <w:right w:val="single" w:color="auto" w:sz="4" w:space="0"/>
            </w:tcBorders>
            <w:noWrap/>
            <w:vAlign w:val="center"/>
          </w:tcPr>
          <w:p w14:paraId="7AE9A2E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01C29C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37B7C7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3623ACB">
            <w:pPr>
              <w:snapToGrid w:val="0"/>
              <w:spacing w:line="240" w:lineRule="exact"/>
              <w:jc w:val="both"/>
              <w:rPr>
                <w:rFonts w:ascii="Arial" w:hAnsi="Arial" w:cs="Arial"/>
                <w:sz w:val="16"/>
                <w:szCs w:val="18"/>
              </w:rPr>
            </w:pPr>
            <w:r>
              <w:rPr>
                <w:rFonts w:hint="eastAsia" w:ascii="Arial" w:hAnsi="Arial" w:cs="Arial"/>
                <w:sz w:val="16"/>
                <w:szCs w:val="18"/>
              </w:rPr>
              <w:t>98</w:t>
            </w:r>
          </w:p>
        </w:tc>
        <w:tc>
          <w:tcPr>
            <w:tcW w:w="2031" w:type="pct"/>
            <w:tcBorders>
              <w:top w:val="nil"/>
              <w:left w:val="nil"/>
              <w:bottom w:val="single" w:color="auto" w:sz="4" w:space="0"/>
              <w:right w:val="single" w:color="auto" w:sz="4" w:space="0"/>
            </w:tcBorders>
            <w:vAlign w:val="center"/>
          </w:tcPr>
          <w:p w14:paraId="5A76509E">
            <w:pPr>
              <w:snapToGrid w:val="0"/>
              <w:spacing w:line="240" w:lineRule="exact"/>
              <w:jc w:val="both"/>
              <w:rPr>
                <w:rFonts w:ascii="Arial" w:hAnsi="Arial" w:cs="Arial"/>
                <w:sz w:val="16"/>
                <w:szCs w:val="18"/>
              </w:rPr>
            </w:pPr>
            <w:r>
              <w:rPr>
                <w:rFonts w:ascii="Arial" w:hAnsi="Arial" w:cs="Arial"/>
                <w:sz w:val="16"/>
                <w:szCs w:val="18"/>
              </w:rPr>
              <w:t>从好到差划分为齐全、较齐全、一般、较不齐全、不齐全五个等级，每个等级相差</w:t>
            </w:r>
            <w:r>
              <w:rPr>
                <w:rFonts w:hint="eastAsia" w:ascii="Arial" w:hAnsi="Arial" w:cs="Arial"/>
                <w:sz w:val="16"/>
                <w:szCs w:val="18"/>
              </w:rPr>
              <w:t>2</w:t>
            </w:r>
            <w:r>
              <w:rPr>
                <w:rFonts w:ascii="Arial" w:hAnsi="Arial" w:cs="Arial"/>
                <w:sz w:val="16"/>
                <w:szCs w:val="18"/>
              </w:rPr>
              <w:t>分，确定可比实例1、2、3该因素指数分别为100、100、</w:t>
            </w:r>
            <w:r>
              <w:rPr>
                <w:rFonts w:hint="eastAsia" w:ascii="Arial" w:hAnsi="Arial" w:cs="Arial"/>
                <w:sz w:val="16"/>
                <w:szCs w:val="18"/>
              </w:rPr>
              <w:t>98</w:t>
            </w:r>
            <w:r>
              <w:rPr>
                <w:rFonts w:ascii="Arial" w:hAnsi="Arial" w:cs="Arial"/>
                <w:sz w:val="16"/>
                <w:szCs w:val="18"/>
              </w:rPr>
              <w:t>；</w:t>
            </w:r>
          </w:p>
        </w:tc>
      </w:tr>
      <w:tr w14:paraId="3FFFC404">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72BE97D0">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14D2FEAD">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建筑类型</w:t>
            </w:r>
          </w:p>
        </w:tc>
        <w:tc>
          <w:tcPr>
            <w:tcW w:w="531" w:type="pct"/>
            <w:tcBorders>
              <w:top w:val="nil"/>
              <w:left w:val="nil"/>
              <w:bottom w:val="single" w:color="auto" w:sz="4" w:space="0"/>
              <w:right w:val="single" w:color="auto" w:sz="4" w:space="0"/>
            </w:tcBorders>
            <w:noWrap/>
            <w:vAlign w:val="center"/>
          </w:tcPr>
          <w:p w14:paraId="7D80ECE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60DC471">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4</w:t>
            </w:r>
          </w:p>
        </w:tc>
        <w:tc>
          <w:tcPr>
            <w:tcW w:w="531" w:type="pct"/>
            <w:tcBorders>
              <w:top w:val="nil"/>
              <w:left w:val="nil"/>
              <w:bottom w:val="single" w:color="auto" w:sz="4" w:space="0"/>
              <w:right w:val="single" w:color="auto" w:sz="4" w:space="0"/>
            </w:tcBorders>
            <w:noWrap/>
            <w:vAlign w:val="center"/>
          </w:tcPr>
          <w:p w14:paraId="69361191">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4</w:t>
            </w:r>
          </w:p>
        </w:tc>
        <w:tc>
          <w:tcPr>
            <w:tcW w:w="531" w:type="pct"/>
            <w:tcBorders>
              <w:top w:val="nil"/>
              <w:left w:val="nil"/>
              <w:bottom w:val="single" w:color="auto" w:sz="4" w:space="0"/>
              <w:right w:val="single" w:color="auto" w:sz="4" w:space="0"/>
            </w:tcBorders>
            <w:noWrap/>
            <w:vAlign w:val="center"/>
          </w:tcPr>
          <w:p w14:paraId="5A4CE4CE">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2</w:t>
            </w:r>
          </w:p>
        </w:tc>
        <w:tc>
          <w:tcPr>
            <w:tcW w:w="2031" w:type="pct"/>
            <w:tcBorders>
              <w:top w:val="nil"/>
              <w:left w:val="nil"/>
              <w:bottom w:val="single" w:color="auto" w:sz="4" w:space="0"/>
              <w:right w:val="single" w:color="auto" w:sz="4" w:space="0"/>
            </w:tcBorders>
            <w:vAlign w:val="center"/>
          </w:tcPr>
          <w:p w14:paraId="52F299B6">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多层板楼、小高层板楼、高层板楼、板塔结合、塔楼五</w:t>
            </w:r>
            <w:r>
              <w:rPr>
                <w:rFonts w:ascii="Arial" w:hAnsi="Arial" w:cs="Arial"/>
                <w:sz w:val="16"/>
                <w:szCs w:val="18"/>
              </w:rPr>
              <w:t>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104</w:t>
            </w:r>
            <w:r>
              <w:rPr>
                <w:rFonts w:ascii="Arial" w:hAnsi="Arial" w:cs="Arial"/>
                <w:sz w:val="16"/>
                <w:szCs w:val="18"/>
              </w:rPr>
              <w:t>、</w:t>
            </w:r>
            <w:r>
              <w:rPr>
                <w:rFonts w:hint="eastAsia" w:ascii="Arial" w:hAnsi="Arial" w:cs="Arial"/>
                <w:sz w:val="16"/>
                <w:szCs w:val="18"/>
              </w:rPr>
              <w:t>104</w:t>
            </w:r>
            <w:r>
              <w:rPr>
                <w:rFonts w:ascii="Arial" w:hAnsi="Arial" w:cs="Arial"/>
                <w:sz w:val="16"/>
                <w:szCs w:val="18"/>
              </w:rPr>
              <w:t>、10</w:t>
            </w:r>
            <w:r>
              <w:rPr>
                <w:rFonts w:hint="eastAsia" w:ascii="Arial" w:hAnsi="Arial" w:cs="Arial"/>
                <w:sz w:val="16"/>
                <w:szCs w:val="18"/>
              </w:rPr>
              <w:t>2</w:t>
            </w:r>
            <w:r>
              <w:rPr>
                <w:rFonts w:ascii="Arial" w:hAnsi="Arial" w:cs="Arial"/>
                <w:sz w:val="16"/>
                <w:szCs w:val="18"/>
              </w:rPr>
              <w:t>；</w:t>
            </w:r>
          </w:p>
        </w:tc>
      </w:tr>
      <w:tr w14:paraId="23AD779D">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520FB2AE">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3F46A643">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楼层</w:t>
            </w:r>
          </w:p>
        </w:tc>
        <w:tc>
          <w:tcPr>
            <w:tcW w:w="531" w:type="pct"/>
            <w:tcBorders>
              <w:top w:val="nil"/>
              <w:left w:val="nil"/>
              <w:bottom w:val="single" w:color="auto" w:sz="4" w:space="0"/>
              <w:right w:val="single" w:color="auto" w:sz="4" w:space="0"/>
            </w:tcBorders>
            <w:noWrap/>
            <w:vAlign w:val="center"/>
          </w:tcPr>
          <w:p w14:paraId="1465252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74EB6E4">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71CAF003">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1166A338">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29906633">
            <w:pPr>
              <w:snapToGrid w:val="0"/>
              <w:spacing w:line="240" w:lineRule="exact"/>
              <w:jc w:val="both"/>
              <w:rPr>
                <w:rFonts w:ascii="Arial" w:hAnsi="Arial" w:cs="Arial"/>
                <w:sz w:val="16"/>
                <w:szCs w:val="18"/>
              </w:rPr>
            </w:pPr>
            <w:r>
              <w:rPr>
                <w:rFonts w:ascii="Arial" w:hAnsi="Arial" w:cs="Arial"/>
                <w:sz w:val="16"/>
                <w:szCs w:val="18"/>
              </w:rPr>
              <w:t>分为高楼层、中楼层、低楼层两个等级，以估价对象指数为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98</w:t>
            </w:r>
            <w:r>
              <w:rPr>
                <w:rFonts w:ascii="Arial" w:hAnsi="Arial" w:cs="Arial"/>
                <w:sz w:val="16"/>
                <w:szCs w:val="18"/>
              </w:rPr>
              <w:t>、100；</w:t>
            </w:r>
          </w:p>
        </w:tc>
      </w:tr>
      <w:tr w14:paraId="0D0F1F70">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50D287A5">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37AA94F7">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朝向</w:t>
            </w:r>
          </w:p>
        </w:tc>
        <w:tc>
          <w:tcPr>
            <w:tcW w:w="531" w:type="pct"/>
            <w:tcBorders>
              <w:top w:val="nil"/>
              <w:left w:val="nil"/>
              <w:bottom w:val="single" w:color="auto" w:sz="4" w:space="0"/>
              <w:right w:val="single" w:color="auto" w:sz="4" w:space="0"/>
            </w:tcBorders>
            <w:noWrap/>
            <w:vAlign w:val="center"/>
          </w:tcPr>
          <w:p w14:paraId="2621A14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334B03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7598AF2">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1</w:t>
            </w:r>
          </w:p>
        </w:tc>
        <w:tc>
          <w:tcPr>
            <w:tcW w:w="531" w:type="pct"/>
            <w:tcBorders>
              <w:top w:val="nil"/>
              <w:left w:val="nil"/>
              <w:bottom w:val="single" w:color="auto" w:sz="4" w:space="0"/>
              <w:right w:val="single" w:color="auto" w:sz="4" w:space="0"/>
            </w:tcBorders>
            <w:noWrap/>
            <w:vAlign w:val="center"/>
          </w:tcPr>
          <w:p w14:paraId="513432B7">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5A8A7749">
            <w:pPr>
              <w:snapToGrid w:val="0"/>
              <w:spacing w:line="240" w:lineRule="exact"/>
              <w:jc w:val="both"/>
              <w:rPr>
                <w:rFonts w:ascii="Arial" w:hAnsi="Arial" w:cs="Arial"/>
                <w:sz w:val="16"/>
                <w:szCs w:val="18"/>
              </w:rPr>
            </w:pPr>
            <w:r>
              <w:rPr>
                <w:rFonts w:ascii="Arial" w:hAnsi="Arial" w:cs="Arial"/>
                <w:sz w:val="16"/>
                <w:szCs w:val="18"/>
              </w:rPr>
              <w:t>从优到劣依次为：为南北向；南向；东、南；西、南；东、西；东；西；东、北；西、北；北。每档相差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100、101、</w:t>
            </w:r>
            <w:r>
              <w:rPr>
                <w:rFonts w:ascii="Arial" w:hAnsi="Arial" w:cs="Arial"/>
                <w:sz w:val="16"/>
                <w:szCs w:val="18"/>
              </w:rPr>
              <w:t>1</w:t>
            </w:r>
            <w:r>
              <w:rPr>
                <w:rFonts w:hint="eastAsia" w:ascii="Arial" w:hAnsi="Arial" w:cs="Arial"/>
                <w:sz w:val="16"/>
                <w:szCs w:val="18"/>
              </w:rPr>
              <w:t>00</w:t>
            </w:r>
            <w:r>
              <w:rPr>
                <w:rFonts w:ascii="Arial" w:hAnsi="Arial" w:cs="Arial"/>
                <w:sz w:val="16"/>
                <w:szCs w:val="18"/>
              </w:rPr>
              <w:t>；</w:t>
            </w:r>
          </w:p>
        </w:tc>
      </w:tr>
      <w:tr w14:paraId="7460880A">
        <w:tblPrEx>
          <w:tblCellMar>
            <w:top w:w="57" w:type="dxa"/>
            <w:left w:w="57" w:type="dxa"/>
            <w:bottom w:w="57" w:type="dxa"/>
            <w:right w:w="57" w:type="dxa"/>
          </w:tblCellMar>
        </w:tblPrEx>
        <w:trPr>
          <w:trHeight w:val="20" w:hRule="atLeast"/>
          <w:jc w:val="center"/>
        </w:trPr>
        <w:tc>
          <w:tcPr>
            <w:tcW w:w="306" w:type="pct"/>
            <w:vMerge w:val="restart"/>
            <w:tcBorders>
              <w:top w:val="single" w:color="auto" w:sz="4" w:space="0"/>
              <w:left w:val="single" w:color="auto" w:sz="4" w:space="0"/>
              <w:bottom w:val="single" w:color="auto" w:sz="4" w:space="0"/>
              <w:right w:val="single" w:color="auto" w:sz="4" w:space="0"/>
            </w:tcBorders>
            <w:noWrap/>
            <w:vAlign w:val="center"/>
          </w:tcPr>
          <w:p w14:paraId="1835BF17">
            <w:pPr>
              <w:snapToGrid w:val="0"/>
              <w:spacing w:line="240" w:lineRule="exact"/>
              <w:jc w:val="both"/>
              <w:rPr>
                <w:rFonts w:hint="eastAsia" w:ascii="宋体" w:hAnsi="宋体" w:cs="Arial"/>
                <w:sz w:val="16"/>
                <w:szCs w:val="18"/>
              </w:rPr>
            </w:pPr>
            <w:r>
              <w:rPr>
                <w:rFonts w:ascii="宋体" w:hAnsi="宋体" w:cs="Arial"/>
                <w:sz w:val="16"/>
                <w:szCs w:val="18"/>
              </w:rPr>
              <w:t>实物</w:t>
            </w:r>
          </w:p>
          <w:p w14:paraId="60F0A00F">
            <w:pPr>
              <w:snapToGrid w:val="0"/>
              <w:spacing w:line="240" w:lineRule="exact"/>
              <w:jc w:val="both"/>
              <w:rPr>
                <w:rFonts w:hint="eastAsia"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0A393CF7">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成新度</w:t>
            </w:r>
          </w:p>
        </w:tc>
        <w:tc>
          <w:tcPr>
            <w:tcW w:w="531" w:type="pct"/>
            <w:tcBorders>
              <w:top w:val="nil"/>
              <w:left w:val="nil"/>
              <w:bottom w:val="single" w:color="auto" w:sz="4" w:space="0"/>
              <w:right w:val="single" w:color="auto" w:sz="4" w:space="0"/>
            </w:tcBorders>
            <w:noWrap/>
            <w:vAlign w:val="center"/>
          </w:tcPr>
          <w:p w14:paraId="50E4773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7BE6E9E">
            <w:pPr>
              <w:snapToGrid w:val="0"/>
              <w:spacing w:line="240" w:lineRule="exact"/>
              <w:jc w:val="both"/>
              <w:rPr>
                <w:rFonts w:ascii="Arial" w:hAnsi="Arial" w:cs="Arial"/>
                <w:sz w:val="16"/>
                <w:szCs w:val="18"/>
              </w:rPr>
            </w:pPr>
            <w:r>
              <w:rPr>
                <w:rFonts w:hint="eastAsia" w:ascii="Arial" w:hAnsi="Arial" w:cs="Arial"/>
                <w:sz w:val="16"/>
                <w:szCs w:val="18"/>
              </w:rPr>
              <w:t>94</w:t>
            </w:r>
          </w:p>
        </w:tc>
        <w:tc>
          <w:tcPr>
            <w:tcW w:w="531" w:type="pct"/>
            <w:tcBorders>
              <w:top w:val="nil"/>
              <w:left w:val="nil"/>
              <w:bottom w:val="single" w:color="auto" w:sz="4" w:space="0"/>
              <w:right w:val="single" w:color="auto" w:sz="4" w:space="0"/>
            </w:tcBorders>
            <w:noWrap/>
            <w:vAlign w:val="center"/>
          </w:tcPr>
          <w:p w14:paraId="0FA683FC">
            <w:pPr>
              <w:snapToGrid w:val="0"/>
              <w:spacing w:line="240" w:lineRule="exact"/>
              <w:jc w:val="both"/>
              <w:rPr>
                <w:rFonts w:ascii="Arial" w:hAnsi="Arial" w:cs="Arial"/>
                <w:sz w:val="16"/>
                <w:szCs w:val="18"/>
              </w:rPr>
            </w:pPr>
            <w:r>
              <w:rPr>
                <w:rFonts w:hint="eastAsia" w:ascii="Arial" w:hAnsi="Arial" w:cs="Arial"/>
                <w:sz w:val="16"/>
                <w:szCs w:val="18"/>
              </w:rPr>
              <w:t>94</w:t>
            </w:r>
          </w:p>
        </w:tc>
        <w:tc>
          <w:tcPr>
            <w:tcW w:w="531" w:type="pct"/>
            <w:tcBorders>
              <w:top w:val="nil"/>
              <w:left w:val="nil"/>
              <w:bottom w:val="single" w:color="auto" w:sz="4" w:space="0"/>
              <w:right w:val="single" w:color="auto" w:sz="4" w:space="0"/>
            </w:tcBorders>
            <w:noWrap/>
            <w:vAlign w:val="center"/>
          </w:tcPr>
          <w:p w14:paraId="02221332">
            <w:pPr>
              <w:snapToGrid w:val="0"/>
              <w:spacing w:line="240" w:lineRule="exact"/>
              <w:jc w:val="both"/>
              <w:rPr>
                <w:rFonts w:ascii="Arial" w:hAnsi="Arial" w:cs="Arial"/>
                <w:sz w:val="16"/>
                <w:szCs w:val="18"/>
              </w:rPr>
            </w:pPr>
            <w:r>
              <w:rPr>
                <w:rFonts w:hint="eastAsia" w:ascii="Arial" w:hAnsi="Arial" w:cs="Arial"/>
                <w:sz w:val="16"/>
                <w:szCs w:val="18"/>
              </w:rPr>
              <w:t>96</w:t>
            </w:r>
          </w:p>
        </w:tc>
        <w:tc>
          <w:tcPr>
            <w:tcW w:w="2031" w:type="pct"/>
            <w:tcBorders>
              <w:top w:val="nil"/>
              <w:left w:val="nil"/>
              <w:bottom w:val="single" w:color="auto" w:sz="4" w:space="0"/>
              <w:right w:val="single" w:color="auto" w:sz="4" w:space="0"/>
            </w:tcBorders>
            <w:vAlign w:val="center"/>
          </w:tcPr>
          <w:p w14:paraId="704724ED">
            <w:pPr>
              <w:snapToGrid w:val="0"/>
              <w:spacing w:line="240" w:lineRule="exact"/>
              <w:jc w:val="both"/>
              <w:rPr>
                <w:rFonts w:ascii="Arial" w:hAnsi="Arial" w:cs="Arial"/>
                <w:sz w:val="16"/>
                <w:szCs w:val="18"/>
              </w:rPr>
            </w:pPr>
            <w:r>
              <w:rPr>
                <w:rFonts w:ascii="Arial" w:hAnsi="Arial" w:cs="Arial"/>
                <w:sz w:val="16"/>
                <w:szCs w:val="18"/>
              </w:rPr>
              <w:t>根据90%（含）-100%、80%（含）-90%、70%（含）-80%、60%（含）-70%、60%以下分为五个等级，每级相差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94、94、96</w:t>
            </w:r>
            <w:r>
              <w:rPr>
                <w:rFonts w:ascii="Arial" w:hAnsi="Arial" w:cs="Arial"/>
                <w:sz w:val="16"/>
                <w:szCs w:val="18"/>
              </w:rPr>
              <w:t>；</w:t>
            </w:r>
          </w:p>
        </w:tc>
      </w:tr>
      <w:tr w14:paraId="08428732">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364FE6C9">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3255904D">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公共区域装修</w:t>
            </w:r>
          </w:p>
        </w:tc>
        <w:tc>
          <w:tcPr>
            <w:tcW w:w="531" w:type="pct"/>
            <w:tcBorders>
              <w:top w:val="nil"/>
              <w:left w:val="nil"/>
              <w:bottom w:val="single" w:color="auto" w:sz="4" w:space="0"/>
              <w:right w:val="single" w:color="auto" w:sz="4" w:space="0"/>
            </w:tcBorders>
            <w:noWrap/>
            <w:vAlign w:val="center"/>
          </w:tcPr>
          <w:p w14:paraId="178DA74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057F9D5">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3A183772">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4E13ECCD">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6D704CE3">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装修等，以估价对象指数为100，每级相差2分，确定可比实例1、2、3该因素指数分别为</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98</w:t>
            </w:r>
            <w:r>
              <w:rPr>
                <w:rFonts w:ascii="Arial" w:hAnsi="Arial" w:cs="Arial"/>
                <w:sz w:val="16"/>
                <w:szCs w:val="18"/>
              </w:rPr>
              <w:t>、100；</w:t>
            </w:r>
          </w:p>
        </w:tc>
      </w:tr>
      <w:tr w14:paraId="68701770">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7B493DD6">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43D62F2E">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室内装饰装修</w:t>
            </w:r>
          </w:p>
        </w:tc>
        <w:tc>
          <w:tcPr>
            <w:tcW w:w="531" w:type="pct"/>
            <w:tcBorders>
              <w:top w:val="nil"/>
              <w:left w:val="nil"/>
              <w:bottom w:val="single" w:color="auto" w:sz="4" w:space="0"/>
              <w:right w:val="single" w:color="auto" w:sz="4" w:space="0"/>
            </w:tcBorders>
            <w:noWrap/>
            <w:vAlign w:val="center"/>
          </w:tcPr>
          <w:p w14:paraId="0ADCDC0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5F24DC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B9F164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12657BE">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2700E579">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 100，每级相差3分，确定可比实例1、2、3该因素指数分别为</w:t>
            </w:r>
            <w:r>
              <w:rPr>
                <w:rFonts w:hint="eastAsia" w:ascii="Arial" w:hAnsi="Arial" w:cs="Arial"/>
                <w:sz w:val="16"/>
                <w:szCs w:val="18"/>
              </w:rPr>
              <w:t>100、100、100</w:t>
            </w:r>
            <w:r>
              <w:rPr>
                <w:rFonts w:ascii="Arial" w:hAnsi="Arial" w:cs="Arial"/>
                <w:sz w:val="16"/>
                <w:szCs w:val="18"/>
              </w:rPr>
              <w:t>；</w:t>
            </w:r>
          </w:p>
        </w:tc>
      </w:tr>
      <w:tr w14:paraId="69E33C56">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2F4024A4">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4ACA7235">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设施设备</w:t>
            </w:r>
          </w:p>
        </w:tc>
        <w:tc>
          <w:tcPr>
            <w:tcW w:w="531" w:type="pct"/>
            <w:tcBorders>
              <w:top w:val="nil"/>
              <w:left w:val="nil"/>
              <w:bottom w:val="single" w:color="auto" w:sz="4" w:space="0"/>
              <w:right w:val="single" w:color="auto" w:sz="4" w:space="0"/>
            </w:tcBorders>
            <w:noWrap/>
            <w:vAlign w:val="center"/>
          </w:tcPr>
          <w:p w14:paraId="538C31C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45F311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2EAC18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30F3C25">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0A834B0F">
            <w:pPr>
              <w:snapToGrid w:val="0"/>
              <w:spacing w:line="240" w:lineRule="exact"/>
              <w:jc w:val="both"/>
              <w:rPr>
                <w:rFonts w:ascii="Arial" w:hAnsi="Arial" w:cs="Arial"/>
                <w:sz w:val="16"/>
                <w:szCs w:val="18"/>
              </w:rPr>
            </w:pPr>
            <w:r>
              <w:rPr>
                <w:rFonts w:ascii="Arial" w:hAnsi="Arial" w:cs="Arial"/>
                <w:sz w:val="16"/>
                <w:szCs w:val="18"/>
              </w:rPr>
              <w:t>根据实际配备情况，分为完善、较完善、一般、较不完善、不完善五个等级，每级相差</w:t>
            </w:r>
            <w:r>
              <w:rPr>
                <w:rFonts w:hint="eastAsia" w:ascii="Arial" w:hAnsi="Arial" w:cs="Arial"/>
                <w:sz w:val="16"/>
                <w:szCs w:val="18"/>
              </w:rPr>
              <w:t>3</w:t>
            </w:r>
            <w:r>
              <w:rPr>
                <w:rFonts w:ascii="Arial" w:hAnsi="Arial" w:cs="Arial"/>
                <w:sz w:val="16"/>
                <w:szCs w:val="18"/>
              </w:rPr>
              <w:t>分，确定可比实例1、2、3该因素指数分别为</w:t>
            </w:r>
            <w:r>
              <w:rPr>
                <w:rFonts w:hint="eastAsia" w:ascii="Arial" w:hAnsi="Arial" w:cs="Arial"/>
                <w:sz w:val="16"/>
                <w:szCs w:val="18"/>
              </w:rPr>
              <w:t>100、100、100</w:t>
            </w:r>
            <w:r>
              <w:rPr>
                <w:rFonts w:ascii="Arial" w:hAnsi="Arial" w:cs="Arial"/>
                <w:sz w:val="16"/>
                <w:szCs w:val="18"/>
              </w:rPr>
              <w:t>；</w:t>
            </w:r>
          </w:p>
        </w:tc>
      </w:tr>
      <w:tr w14:paraId="0C894C19">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4D8EB0CB">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762137C1">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综合管理服务设施</w:t>
            </w:r>
          </w:p>
        </w:tc>
        <w:tc>
          <w:tcPr>
            <w:tcW w:w="531" w:type="pct"/>
            <w:tcBorders>
              <w:top w:val="nil"/>
              <w:left w:val="nil"/>
              <w:bottom w:val="single" w:color="auto" w:sz="4" w:space="0"/>
              <w:right w:val="single" w:color="auto" w:sz="4" w:space="0"/>
            </w:tcBorders>
            <w:noWrap/>
            <w:vAlign w:val="center"/>
          </w:tcPr>
          <w:p w14:paraId="7364E96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15B5C8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8FA6D5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A4217A0">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449112C1">
            <w:pPr>
              <w:snapToGrid w:val="0"/>
              <w:spacing w:line="240" w:lineRule="exact"/>
              <w:jc w:val="both"/>
              <w:rPr>
                <w:rFonts w:ascii="Arial" w:hAnsi="Arial" w:cs="Arial"/>
                <w:sz w:val="16"/>
                <w:szCs w:val="18"/>
              </w:rPr>
            </w:pPr>
            <w:r>
              <w:rPr>
                <w:rFonts w:ascii="Arial" w:hAnsi="Arial" w:cs="Arial"/>
                <w:sz w:val="16"/>
                <w:szCs w:val="18"/>
              </w:rPr>
              <w:t>根据实际管理服务，确定可比实例1、2、3该因素指数分别为100、100、100；</w:t>
            </w:r>
          </w:p>
        </w:tc>
      </w:tr>
      <w:tr w14:paraId="3777DBD4">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0A390BF0">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498BBA26">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户型布局</w:t>
            </w:r>
          </w:p>
        </w:tc>
        <w:tc>
          <w:tcPr>
            <w:tcW w:w="531" w:type="pct"/>
            <w:tcBorders>
              <w:top w:val="nil"/>
              <w:left w:val="nil"/>
              <w:bottom w:val="single" w:color="auto" w:sz="4" w:space="0"/>
              <w:right w:val="single" w:color="auto" w:sz="4" w:space="0"/>
            </w:tcBorders>
            <w:noWrap/>
            <w:vAlign w:val="center"/>
          </w:tcPr>
          <w:p w14:paraId="107113F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D18454B">
            <w:pPr>
              <w:snapToGrid w:val="0"/>
              <w:spacing w:line="240" w:lineRule="exact"/>
              <w:jc w:val="both"/>
              <w:rPr>
                <w:rFonts w:ascii="Arial" w:hAnsi="Arial" w:cs="Arial"/>
                <w:sz w:val="16"/>
                <w:szCs w:val="18"/>
              </w:rPr>
            </w:pPr>
            <w:r>
              <w:rPr>
                <w:rFonts w:ascii="Arial" w:hAnsi="Arial" w:cs="Arial"/>
                <w:sz w:val="16"/>
                <w:szCs w:val="18"/>
              </w:rPr>
              <w:t>1</w:t>
            </w:r>
            <w:r>
              <w:rPr>
                <w:rFonts w:hint="eastAsia" w:ascii="Arial" w:hAnsi="Arial" w:cs="Arial"/>
                <w:sz w:val="16"/>
                <w:szCs w:val="18"/>
              </w:rPr>
              <w:t>10</w:t>
            </w:r>
          </w:p>
        </w:tc>
        <w:tc>
          <w:tcPr>
            <w:tcW w:w="531" w:type="pct"/>
            <w:tcBorders>
              <w:top w:val="nil"/>
              <w:left w:val="nil"/>
              <w:bottom w:val="single" w:color="auto" w:sz="4" w:space="0"/>
              <w:right w:val="single" w:color="auto" w:sz="4" w:space="0"/>
            </w:tcBorders>
            <w:noWrap/>
            <w:vAlign w:val="center"/>
          </w:tcPr>
          <w:p w14:paraId="07274888">
            <w:pPr>
              <w:snapToGrid w:val="0"/>
              <w:spacing w:line="240" w:lineRule="exact"/>
              <w:jc w:val="both"/>
              <w:rPr>
                <w:rFonts w:ascii="Arial" w:hAnsi="Arial" w:cs="Arial"/>
                <w:sz w:val="16"/>
                <w:szCs w:val="18"/>
              </w:rPr>
            </w:pPr>
            <w:r>
              <w:rPr>
                <w:rFonts w:ascii="Arial" w:hAnsi="Arial" w:cs="Arial"/>
                <w:sz w:val="16"/>
                <w:szCs w:val="18"/>
              </w:rPr>
              <w:t>1</w:t>
            </w:r>
            <w:r>
              <w:rPr>
                <w:rFonts w:hint="eastAsia" w:ascii="Arial" w:hAnsi="Arial" w:cs="Arial"/>
                <w:sz w:val="16"/>
                <w:szCs w:val="18"/>
              </w:rPr>
              <w:t>10</w:t>
            </w:r>
          </w:p>
        </w:tc>
        <w:tc>
          <w:tcPr>
            <w:tcW w:w="531" w:type="pct"/>
            <w:tcBorders>
              <w:top w:val="nil"/>
              <w:left w:val="nil"/>
              <w:bottom w:val="single" w:color="auto" w:sz="4" w:space="0"/>
              <w:right w:val="single" w:color="auto" w:sz="4" w:space="0"/>
            </w:tcBorders>
            <w:noWrap/>
            <w:vAlign w:val="center"/>
          </w:tcPr>
          <w:p w14:paraId="09164DAB">
            <w:pPr>
              <w:snapToGrid w:val="0"/>
              <w:spacing w:line="240" w:lineRule="exact"/>
              <w:jc w:val="both"/>
              <w:rPr>
                <w:rFonts w:ascii="Arial" w:hAnsi="Arial" w:cs="Arial"/>
                <w:sz w:val="16"/>
                <w:szCs w:val="18"/>
              </w:rPr>
            </w:pPr>
            <w:r>
              <w:rPr>
                <w:rFonts w:ascii="Arial" w:hAnsi="Arial" w:cs="Arial"/>
                <w:sz w:val="16"/>
                <w:szCs w:val="18"/>
              </w:rPr>
              <w:t>1</w:t>
            </w:r>
            <w:r>
              <w:rPr>
                <w:rFonts w:hint="eastAsia" w:ascii="Arial" w:hAnsi="Arial" w:cs="Arial"/>
                <w:sz w:val="16"/>
                <w:szCs w:val="18"/>
              </w:rPr>
              <w:t>10</w:t>
            </w:r>
          </w:p>
        </w:tc>
        <w:tc>
          <w:tcPr>
            <w:tcW w:w="2031" w:type="pct"/>
            <w:tcBorders>
              <w:top w:val="nil"/>
              <w:left w:val="nil"/>
              <w:bottom w:val="single" w:color="auto" w:sz="4" w:space="0"/>
              <w:right w:val="single" w:color="auto" w:sz="4" w:space="0"/>
            </w:tcBorders>
            <w:vAlign w:val="center"/>
          </w:tcPr>
          <w:p w14:paraId="37AE5ECE">
            <w:pPr>
              <w:snapToGrid w:val="0"/>
              <w:spacing w:line="240" w:lineRule="exact"/>
              <w:jc w:val="both"/>
              <w:rPr>
                <w:rFonts w:ascii="Arial" w:hAnsi="Arial" w:cs="Arial"/>
                <w:sz w:val="16"/>
                <w:szCs w:val="18"/>
              </w:rPr>
            </w:pPr>
            <w:r>
              <w:rPr>
                <w:rFonts w:ascii="Arial" w:hAnsi="Arial" w:cs="Arial"/>
                <w:sz w:val="16"/>
                <w:szCs w:val="18"/>
              </w:rPr>
              <w:t>根据布局对于使用率的影响，确定可比实例1、2、3该因素指数分别为1</w:t>
            </w:r>
            <w:r>
              <w:rPr>
                <w:rFonts w:hint="eastAsia" w:ascii="Arial" w:hAnsi="Arial" w:cs="Arial"/>
                <w:sz w:val="16"/>
                <w:szCs w:val="18"/>
              </w:rPr>
              <w:t>10</w:t>
            </w:r>
            <w:r>
              <w:rPr>
                <w:rFonts w:ascii="Arial" w:hAnsi="Arial" w:cs="Arial"/>
                <w:sz w:val="16"/>
                <w:szCs w:val="18"/>
              </w:rPr>
              <w:t>、1</w:t>
            </w:r>
            <w:r>
              <w:rPr>
                <w:rFonts w:hint="eastAsia" w:ascii="Arial" w:hAnsi="Arial" w:cs="Arial"/>
                <w:sz w:val="16"/>
                <w:szCs w:val="18"/>
              </w:rPr>
              <w:t>10</w:t>
            </w:r>
            <w:r>
              <w:rPr>
                <w:rFonts w:ascii="Arial" w:hAnsi="Arial" w:cs="Arial"/>
                <w:sz w:val="16"/>
                <w:szCs w:val="18"/>
              </w:rPr>
              <w:t>、1</w:t>
            </w:r>
            <w:r>
              <w:rPr>
                <w:rFonts w:hint="eastAsia" w:ascii="Arial" w:hAnsi="Arial" w:cs="Arial"/>
                <w:sz w:val="16"/>
                <w:szCs w:val="18"/>
              </w:rPr>
              <w:t>10</w:t>
            </w:r>
            <w:r>
              <w:rPr>
                <w:rFonts w:ascii="Arial" w:hAnsi="Arial" w:cs="Arial"/>
                <w:sz w:val="16"/>
                <w:szCs w:val="18"/>
              </w:rPr>
              <w:t>；</w:t>
            </w:r>
          </w:p>
        </w:tc>
      </w:tr>
      <w:tr w14:paraId="33AAAAE9">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0C392970">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07F763DD">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户型结构</w:t>
            </w:r>
          </w:p>
        </w:tc>
        <w:tc>
          <w:tcPr>
            <w:tcW w:w="531" w:type="pct"/>
            <w:tcBorders>
              <w:top w:val="nil"/>
              <w:left w:val="nil"/>
              <w:bottom w:val="single" w:color="auto" w:sz="4" w:space="0"/>
              <w:right w:val="single" w:color="auto" w:sz="4" w:space="0"/>
            </w:tcBorders>
            <w:noWrap/>
            <w:vAlign w:val="center"/>
          </w:tcPr>
          <w:p w14:paraId="38BED54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C08BCE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64438B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240D145">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4BA92985">
            <w:pPr>
              <w:snapToGrid w:val="0"/>
              <w:spacing w:line="240" w:lineRule="exact"/>
              <w:jc w:val="both"/>
              <w:rPr>
                <w:rFonts w:ascii="Arial" w:hAnsi="Arial" w:cs="Arial"/>
                <w:sz w:val="16"/>
                <w:szCs w:val="18"/>
              </w:rPr>
            </w:pPr>
            <w:r>
              <w:rPr>
                <w:rFonts w:ascii="Arial" w:hAnsi="Arial" w:cs="Arial"/>
                <w:sz w:val="16"/>
                <w:szCs w:val="18"/>
              </w:rPr>
              <w:t>估价对象与案例均为</w:t>
            </w:r>
            <w:r>
              <w:rPr>
                <w:rFonts w:hint="eastAsia" w:ascii="Arial" w:hAnsi="Arial" w:cs="Arial"/>
                <w:sz w:val="16"/>
                <w:szCs w:val="18"/>
              </w:rPr>
              <w:t>平层，</w:t>
            </w:r>
            <w:r>
              <w:rPr>
                <w:rFonts w:ascii="Arial" w:hAnsi="Arial" w:cs="Arial"/>
                <w:sz w:val="16"/>
                <w:szCs w:val="18"/>
              </w:rPr>
              <w:t>确定可比实例1、2、3该因素指数分别为100、100、100；</w:t>
            </w:r>
          </w:p>
        </w:tc>
      </w:tr>
      <w:tr w14:paraId="2BC22B63">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356B6D15">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7544A08F">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建筑面积</w:t>
            </w:r>
          </w:p>
        </w:tc>
        <w:tc>
          <w:tcPr>
            <w:tcW w:w="531" w:type="pct"/>
            <w:tcBorders>
              <w:top w:val="nil"/>
              <w:left w:val="nil"/>
              <w:bottom w:val="single" w:color="auto" w:sz="4" w:space="0"/>
              <w:right w:val="single" w:color="auto" w:sz="4" w:space="0"/>
            </w:tcBorders>
            <w:noWrap/>
            <w:vAlign w:val="center"/>
          </w:tcPr>
          <w:p w14:paraId="64D0774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C7D8770">
            <w:pPr>
              <w:snapToGrid w:val="0"/>
              <w:spacing w:line="240" w:lineRule="exact"/>
              <w:jc w:val="both"/>
              <w:rPr>
                <w:rFonts w:ascii="Arial" w:hAnsi="Arial" w:cs="Arial"/>
                <w:sz w:val="16"/>
                <w:szCs w:val="18"/>
              </w:rPr>
            </w:pPr>
            <w:r>
              <w:rPr>
                <w:rFonts w:hint="eastAsia"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6C18B9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A14C04D">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79221665">
            <w:pPr>
              <w:snapToGrid w:val="0"/>
              <w:spacing w:line="240" w:lineRule="exact"/>
              <w:jc w:val="both"/>
              <w:rPr>
                <w:rFonts w:ascii="Arial" w:hAnsi="Arial"/>
              </w:rPr>
            </w:pPr>
            <w:r>
              <w:rPr>
                <w:rFonts w:ascii="Arial" w:hAnsi="Arial" w:cs="Arial"/>
                <w:sz w:val="16"/>
                <w:szCs w:val="18"/>
              </w:rPr>
              <w:t>根据建筑面积对其价值的影响，从好到差划分为</w:t>
            </w:r>
            <w:r>
              <w:rPr>
                <w:rFonts w:hint="eastAsia" w:ascii="Arial" w:hAnsi="Arial" w:cs="Arial"/>
                <w:sz w:val="16"/>
                <w:szCs w:val="18"/>
              </w:rPr>
              <w:t>60</w:t>
            </w:r>
            <w:r>
              <w:rPr>
                <w:rFonts w:ascii="Arial" w:hAnsi="Arial" w:cs="Arial"/>
                <w:sz w:val="16"/>
                <w:szCs w:val="18"/>
              </w:rPr>
              <w:t>（含）平方米及以下、</w:t>
            </w:r>
            <w:r>
              <w:rPr>
                <w:rFonts w:hint="eastAsia" w:ascii="Arial" w:hAnsi="Arial" w:cs="Arial"/>
                <w:sz w:val="16"/>
                <w:szCs w:val="18"/>
              </w:rPr>
              <w:t>60</w:t>
            </w:r>
            <w:r>
              <w:rPr>
                <w:rFonts w:ascii="Arial" w:hAnsi="Arial" w:cs="Arial"/>
                <w:sz w:val="16"/>
                <w:szCs w:val="18"/>
              </w:rPr>
              <w:t>-</w:t>
            </w:r>
            <w:r>
              <w:rPr>
                <w:rFonts w:hint="eastAsia" w:ascii="Arial" w:hAnsi="Arial" w:cs="Arial"/>
                <w:sz w:val="16"/>
                <w:szCs w:val="18"/>
              </w:rPr>
              <w:t>7</w:t>
            </w:r>
            <w:r>
              <w:rPr>
                <w:rFonts w:ascii="Arial" w:hAnsi="Arial" w:cs="Arial"/>
                <w:sz w:val="16"/>
                <w:szCs w:val="18"/>
              </w:rPr>
              <w:t>0（含）平方米、</w:t>
            </w:r>
            <w:r>
              <w:rPr>
                <w:rFonts w:hint="eastAsia" w:ascii="Arial" w:hAnsi="Arial" w:cs="Arial"/>
                <w:sz w:val="16"/>
                <w:szCs w:val="18"/>
              </w:rPr>
              <w:t>7</w:t>
            </w:r>
            <w:r>
              <w:rPr>
                <w:rFonts w:ascii="Arial" w:hAnsi="Arial" w:cs="Arial"/>
                <w:sz w:val="16"/>
                <w:szCs w:val="18"/>
              </w:rPr>
              <w:t>0-</w:t>
            </w:r>
            <w:r>
              <w:rPr>
                <w:rFonts w:hint="eastAsia" w:ascii="Arial" w:hAnsi="Arial" w:cs="Arial"/>
                <w:sz w:val="16"/>
                <w:szCs w:val="18"/>
              </w:rPr>
              <w:t>8</w:t>
            </w:r>
            <w:r>
              <w:rPr>
                <w:rFonts w:ascii="Arial" w:hAnsi="Arial" w:cs="Arial"/>
                <w:sz w:val="16"/>
                <w:szCs w:val="18"/>
              </w:rPr>
              <w:t>0（含）</w:t>
            </w: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w:t>
            </w:r>
            <w:r>
              <w:rPr>
                <w:rFonts w:ascii="Arial" w:hAnsi="Arial" w:cs="Arial"/>
                <w:sz w:val="16"/>
                <w:szCs w:val="18"/>
              </w:rPr>
              <w:t>0（含）</w:t>
            </w:r>
            <w:r>
              <w:rPr>
                <w:rFonts w:hint="eastAsia" w:ascii="Arial" w:hAnsi="Arial" w:cs="Arial"/>
                <w:sz w:val="16"/>
                <w:szCs w:val="18"/>
              </w:rPr>
              <w:t>、90</w:t>
            </w:r>
            <w:r>
              <w:rPr>
                <w:rFonts w:ascii="Arial" w:hAnsi="Arial" w:cs="Arial"/>
                <w:sz w:val="16"/>
                <w:szCs w:val="18"/>
              </w:rPr>
              <w:t>-</w:t>
            </w:r>
            <w:r>
              <w:rPr>
                <w:rFonts w:hint="eastAsia" w:ascii="Arial" w:hAnsi="Arial" w:cs="Arial"/>
                <w:sz w:val="16"/>
                <w:szCs w:val="18"/>
              </w:rPr>
              <w:t>10</w:t>
            </w:r>
            <w:r>
              <w:rPr>
                <w:rFonts w:ascii="Arial" w:hAnsi="Arial" w:cs="Arial"/>
                <w:sz w:val="16"/>
                <w:szCs w:val="18"/>
              </w:rPr>
              <w:t>0（含）</w:t>
            </w:r>
            <w:r>
              <w:rPr>
                <w:rFonts w:hint="eastAsia" w:ascii="Arial" w:hAnsi="Arial" w:cs="Arial"/>
                <w:sz w:val="16"/>
                <w:szCs w:val="18"/>
              </w:rPr>
              <w:t>、100</w:t>
            </w:r>
            <w:r>
              <w:rPr>
                <w:rFonts w:ascii="Arial" w:hAnsi="Arial" w:cs="Arial"/>
                <w:sz w:val="16"/>
                <w:szCs w:val="18"/>
              </w:rPr>
              <w:t>-</w:t>
            </w:r>
            <w:r>
              <w:rPr>
                <w:rFonts w:hint="eastAsia" w:ascii="Arial" w:hAnsi="Arial" w:cs="Arial"/>
                <w:sz w:val="16"/>
                <w:szCs w:val="18"/>
              </w:rPr>
              <w:t>11</w:t>
            </w:r>
            <w:r>
              <w:rPr>
                <w:rFonts w:ascii="Arial" w:hAnsi="Arial" w:cs="Arial"/>
                <w:sz w:val="16"/>
                <w:szCs w:val="18"/>
              </w:rPr>
              <w:t>0（含）</w:t>
            </w:r>
            <w:r>
              <w:rPr>
                <w:rFonts w:hint="eastAsia" w:ascii="Arial" w:hAnsi="Arial" w:cs="Arial"/>
                <w:sz w:val="16"/>
                <w:szCs w:val="18"/>
              </w:rPr>
              <w:t>、110</w:t>
            </w:r>
            <w:r>
              <w:rPr>
                <w:rFonts w:ascii="Arial" w:hAnsi="Arial" w:cs="Arial"/>
                <w:sz w:val="16"/>
                <w:szCs w:val="18"/>
              </w:rPr>
              <w:t>-</w:t>
            </w:r>
            <w:r>
              <w:rPr>
                <w:rFonts w:hint="eastAsia" w:ascii="Arial" w:hAnsi="Arial" w:cs="Arial"/>
                <w:sz w:val="16"/>
                <w:szCs w:val="18"/>
              </w:rPr>
              <w:t>12</w:t>
            </w:r>
            <w:r>
              <w:rPr>
                <w:rFonts w:ascii="Arial" w:hAnsi="Arial" w:cs="Arial"/>
                <w:sz w:val="16"/>
                <w:szCs w:val="18"/>
              </w:rPr>
              <w:t>0（含）</w:t>
            </w:r>
            <w:r>
              <w:rPr>
                <w:rFonts w:hint="eastAsia" w:ascii="Arial" w:hAnsi="Arial" w:cs="Arial"/>
                <w:sz w:val="16"/>
                <w:szCs w:val="18"/>
              </w:rPr>
              <w:t>、120</w:t>
            </w:r>
            <w:r>
              <w:rPr>
                <w:rFonts w:ascii="Arial" w:hAnsi="Arial" w:cs="Arial"/>
                <w:sz w:val="16"/>
                <w:szCs w:val="18"/>
              </w:rPr>
              <w:t>-</w:t>
            </w:r>
            <w:r>
              <w:rPr>
                <w:rFonts w:hint="eastAsia" w:ascii="Arial" w:hAnsi="Arial" w:cs="Arial"/>
                <w:sz w:val="16"/>
                <w:szCs w:val="18"/>
              </w:rPr>
              <w:t>13</w:t>
            </w:r>
            <w:r>
              <w:rPr>
                <w:rFonts w:ascii="Arial" w:hAnsi="Arial" w:cs="Arial"/>
                <w:sz w:val="16"/>
                <w:szCs w:val="18"/>
              </w:rPr>
              <w:t>0（含）</w:t>
            </w:r>
            <w:r>
              <w:rPr>
                <w:rFonts w:hint="eastAsia" w:ascii="Arial" w:hAnsi="Arial" w:cs="Arial"/>
                <w:sz w:val="16"/>
                <w:szCs w:val="18"/>
              </w:rPr>
              <w:t>、130</w:t>
            </w:r>
            <w:r>
              <w:rPr>
                <w:rFonts w:ascii="Arial" w:hAnsi="Arial" w:cs="Arial"/>
                <w:sz w:val="16"/>
                <w:szCs w:val="18"/>
              </w:rPr>
              <w:t>-</w:t>
            </w:r>
            <w:r>
              <w:rPr>
                <w:rFonts w:hint="eastAsia" w:ascii="Arial" w:hAnsi="Arial" w:cs="Arial"/>
                <w:sz w:val="16"/>
                <w:szCs w:val="18"/>
              </w:rPr>
              <w:t>14</w:t>
            </w:r>
            <w:r>
              <w:rPr>
                <w:rFonts w:ascii="Arial" w:hAnsi="Arial" w:cs="Arial"/>
                <w:sz w:val="16"/>
                <w:szCs w:val="18"/>
              </w:rPr>
              <w:t>0（含）平方米及以上。以估价对象该因素指数为100，各可比实例与之相比，确定可比实例1、2、3该因素指数分别为</w:t>
            </w:r>
            <w:r>
              <w:rPr>
                <w:rFonts w:hint="eastAsia" w:ascii="Arial" w:hAnsi="Arial" w:cs="Arial"/>
                <w:sz w:val="16"/>
                <w:szCs w:val="18"/>
              </w:rPr>
              <w:t>100、100、100</w:t>
            </w:r>
            <w:r>
              <w:rPr>
                <w:rFonts w:ascii="Arial" w:hAnsi="Arial" w:cs="Arial"/>
                <w:sz w:val="16"/>
                <w:szCs w:val="18"/>
              </w:rPr>
              <w:t>；</w:t>
            </w:r>
          </w:p>
        </w:tc>
      </w:tr>
      <w:tr w14:paraId="075D0511">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530730D5">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55E93A3D">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家具家电</w:t>
            </w:r>
          </w:p>
        </w:tc>
        <w:tc>
          <w:tcPr>
            <w:tcW w:w="531" w:type="pct"/>
            <w:tcBorders>
              <w:top w:val="nil"/>
              <w:left w:val="nil"/>
              <w:bottom w:val="single" w:color="auto" w:sz="4" w:space="0"/>
              <w:right w:val="single" w:color="auto" w:sz="4" w:space="0"/>
            </w:tcBorders>
            <w:noWrap/>
            <w:vAlign w:val="center"/>
          </w:tcPr>
          <w:p w14:paraId="6F6C0E5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F6F6485">
            <w:pPr>
              <w:snapToGrid w:val="0"/>
              <w:spacing w:line="240" w:lineRule="exact"/>
              <w:jc w:val="both"/>
              <w:rPr>
                <w:rFonts w:ascii="Arial" w:hAnsi="Arial" w:cs="Arial"/>
                <w:sz w:val="16"/>
                <w:szCs w:val="18"/>
              </w:rPr>
            </w:pPr>
            <w:r>
              <w:rPr>
                <w:rFonts w:hint="eastAsia" w:ascii="Arial" w:hAnsi="Arial" w:cs="Arial"/>
                <w:sz w:val="16"/>
                <w:szCs w:val="18"/>
              </w:rPr>
              <w:t>91</w:t>
            </w:r>
          </w:p>
        </w:tc>
        <w:tc>
          <w:tcPr>
            <w:tcW w:w="531" w:type="pct"/>
            <w:tcBorders>
              <w:top w:val="nil"/>
              <w:left w:val="nil"/>
              <w:bottom w:val="single" w:color="auto" w:sz="4" w:space="0"/>
              <w:right w:val="single" w:color="auto" w:sz="4" w:space="0"/>
            </w:tcBorders>
            <w:noWrap/>
            <w:vAlign w:val="center"/>
          </w:tcPr>
          <w:p w14:paraId="0F700348">
            <w:pPr>
              <w:snapToGrid w:val="0"/>
              <w:spacing w:line="240" w:lineRule="exact"/>
              <w:jc w:val="both"/>
              <w:rPr>
                <w:rFonts w:ascii="Arial" w:hAnsi="Arial" w:cs="Arial"/>
                <w:sz w:val="16"/>
                <w:szCs w:val="18"/>
              </w:rPr>
            </w:pPr>
            <w:r>
              <w:rPr>
                <w:rFonts w:hint="eastAsia" w:ascii="Arial" w:hAnsi="Arial" w:cs="Arial"/>
                <w:sz w:val="16"/>
                <w:szCs w:val="18"/>
              </w:rPr>
              <w:t>91</w:t>
            </w:r>
          </w:p>
        </w:tc>
        <w:tc>
          <w:tcPr>
            <w:tcW w:w="531" w:type="pct"/>
            <w:tcBorders>
              <w:top w:val="nil"/>
              <w:left w:val="nil"/>
              <w:bottom w:val="single" w:color="auto" w:sz="4" w:space="0"/>
              <w:right w:val="single" w:color="auto" w:sz="4" w:space="0"/>
            </w:tcBorders>
            <w:noWrap/>
            <w:vAlign w:val="center"/>
          </w:tcPr>
          <w:p w14:paraId="573AA723">
            <w:pPr>
              <w:snapToGrid w:val="0"/>
              <w:spacing w:line="240" w:lineRule="exact"/>
              <w:jc w:val="both"/>
              <w:rPr>
                <w:rFonts w:ascii="Arial" w:hAnsi="Arial" w:cs="Arial"/>
                <w:sz w:val="16"/>
                <w:szCs w:val="18"/>
              </w:rPr>
            </w:pPr>
            <w:r>
              <w:rPr>
                <w:rFonts w:hint="eastAsia" w:ascii="Arial" w:hAnsi="Arial" w:cs="Arial"/>
                <w:sz w:val="16"/>
                <w:szCs w:val="18"/>
              </w:rPr>
              <w:t>91</w:t>
            </w:r>
          </w:p>
        </w:tc>
        <w:tc>
          <w:tcPr>
            <w:tcW w:w="2031" w:type="pct"/>
            <w:tcBorders>
              <w:top w:val="nil"/>
              <w:left w:val="nil"/>
              <w:bottom w:val="single" w:color="auto" w:sz="4" w:space="0"/>
              <w:right w:val="single" w:color="auto" w:sz="4" w:space="0"/>
            </w:tcBorders>
            <w:vAlign w:val="center"/>
          </w:tcPr>
          <w:p w14:paraId="002ADC96">
            <w:pPr>
              <w:widowControl/>
              <w:adjustRightInd/>
              <w:spacing w:line="240" w:lineRule="auto"/>
              <w:textAlignment w:val="auto"/>
              <w:rPr>
                <w:rFonts w:ascii="Arial" w:hAnsi="Arial"/>
              </w:rPr>
            </w:pPr>
            <w:r>
              <w:rPr>
                <w:rFonts w:ascii="Arial" w:hAnsi="Arial" w:cs="Arial"/>
                <w:sz w:val="16"/>
                <w:szCs w:val="18"/>
              </w:rPr>
              <w:t>根据家具家电配备齐全程度，以估价对象该因素指数为100，各可比实例与之相比，确定可比实例1、2、3该因素指数分别为</w:t>
            </w:r>
            <w:r>
              <w:rPr>
                <w:rFonts w:hint="eastAsia" w:ascii="Arial" w:hAnsi="Arial" w:cs="Arial"/>
                <w:sz w:val="16"/>
                <w:szCs w:val="18"/>
              </w:rPr>
              <w:t>91、91、91</w:t>
            </w:r>
          </w:p>
        </w:tc>
      </w:tr>
      <w:tr w14:paraId="471F7633">
        <w:tblPrEx>
          <w:tblCellMar>
            <w:top w:w="57" w:type="dxa"/>
            <w:left w:w="57" w:type="dxa"/>
            <w:bottom w:w="57" w:type="dxa"/>
            <w:right w:w="57" w:type="dxa"/>
          </w:tblCellMar>
        </w:tblPrEx>
        <w:trPr>
          <w:trHeight w:val="20" w:hRule="atLeast"/>
          <w:jc w:val="center"/>
        </w:trPr>
        <w:tc>
          <w:tcPr>
            <w:tcW w:w="306" w:type="pct"/>
            <w:vMerge w:val="restart"/>
            <w:tcBorders>
              <w:top w:val="single" w:color="auto" w:sz="4" w:space="0"/>
              <w:left w:val="single" w:color="auto" w:sz="4" w:space="0"/>
              <w:bottom w:val="single" w:color="auto" w:sz="4" w:space="0"/>
              <w:right w:val="single" w:color="auto" w:sz="4" w:space="0"/>
            </w:tcBorders>
            <w:vAlign w:val="center"/>
          </w:tcPr>
          <w:p w14:paraId="169814DA">
            <w:pPr>
              <w:snapToGrid w:val="0"/>
              <w:spacing w:line="240" w:lineRule="exact"/>
              <w:jc w:val="both"/>
              <w:rPr>
                <w:rFonts w:hint="eastAsia" w:ascii="宋体" w:hAnsi="宋体" w:cs="Arial"/>
                <w:sz w:val="16"/>
                <w:szCs w:val="18"/>
              </w:rPr>
            </w:pPr>
            <w:r>
              <w:rPr>
                <w:rFonts w:ascii="宋体" w:hAnsi="宋体" w:cs="Arial"/>
                <w:sz w:val="16"/>
                <w:szCs w:val="18"/>
              </w:rPr>
              <w:t>权益状况</w:t>
            </w:r>
          </w:p>
        </w:tc>
        <w:tc>
          <w:tcPr>
            <w:tcW w:w="535" w:type="pct"/>
            <w:tcBorders>
              <w:top w:val="single" w:color="auto" w:sz="4" w:space="0"/>
              <w:left w:val="nil"/>
              <w:bottom w:val="single" w:color="auto" w:sz="4" w:space="0"/>
              <w:right w:val="single" w:color="auto" w:sz="4" w:space="0"/>
            </w:tcBorders>
            <w:vAlign w:val="center"/>
          </w:tcPr>
          <w:p w14:paraId="6364AF79">
            <w:pPr>
              <w:snapToGrid w:val="0"/>
              <w:spacing w:line="240" w:lineRule="exact"/>
              <w:jc w:val="both"/>
              <w:rPr>
                <w:rFonts w:hint="eastAsia" w:ascii="宋体" w:hAnsi="宋体" w:cs="Arial"/>
                <w:sz w:val="16"/>
                <w:szCs w:val="18"/>
              </w:rPr>
            </w:pPr>
            <w:r>
              <w:rPr>
                <w:rFonts w:ascii="宋体" w:hAnsi="宋体" w:cs="Arial"/>
                <w:sz w:val="16"/>
                <w:szCs w:val="18"/>
              </w:rPr>
              <w:t>服务及管理水平</w:t>
            </w:r>
          </w:p>
        </w:tc>
        <w:tc>
          <w:tcPr>
            <w:tcW w:w="531" w:type="pct"/>
            <w:tcBorders>
              <w:top w:val="nil"/>
              <w:left w:val="nil"/>
              <w:bottom w:val="single" w:color="auto" w:sz="4" w:space="0"/>
              <w:right w:val="single" w:color="auto" w:sz="4" w:space="0"/>
            </w:tcBorders>
            <w:noWrap/>
            <w:vAlign w:val="center"/>
          </w:tcPr>
          <w:p w14:paraId="28ACA01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1858BF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B562EE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4526761">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5854C53C">
            <w:pPr>
              <w:widowControl/>
              <w:adjustRightInd/>
              <w:spacing w:line="240" w:lineRule="auto"/>
              <w:textAlignment w:val="auto"/>
              <w:rPr>
                <w:rFonts w:ascii="Arial" w:hAnsi="Arial" w:cs="Arial"/>
                <w:sz w:val="16"/>
                <w:szCs w:val="18"/>
              </w:rPr>
            </w:pPr>
            <w:r>
              <w:rPr>
                <w:rFonts w:ascii="Arial" w:hAnsi="Arial" w:cs="Arial"/>
                <w:sz w:val="16"/>
                <w:szCs w:val="18"/>
              </w:rPr>
              <w:t>根据是否配置服务管家、是否封闭式管理，以估价对象该因素指数为100，各可比实例与之相比，确定可比实例1、2、3该因素指数分别为</w:t>
            </w:r>
            <w:r>
              <w:rPr>
                <w:rFonts w:hint="eastAsia" w:ascii="Arial" w:hAnsi="Arial" w:cs="Arial"/>
                <w:sz w:val="16"/>
                <w:szCs w:val="18"/>
              </w:rPr>
              <w:t>100、100、100</w:t>
            </w:r>
            <w:r>
              <w:rPr>
                <w:rFonts w:ascii="Arial" w:hAnsi="Arial" w:cs="Arial"/>
                <w:sz w:val="16"/>
                <w:szCs w:val="18"/>
              </w:rPr>
              <w:t>。</w:t>
            </w:r>
          </w:p>
        </w:tc>
      </w:tr>
      <w:tr w14:paraId="00745417">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1D064F7B">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1623EA11">
            <w:pPr>
              <w:snapToGrid w:val="0"/>
              <w:spacing w:line="240" w:lineRule="exact"/>
              <w:jc w:val="both"/>
              <w:rPr>
                <w:rFonts w:hint="eastAsia" w:ascii="宋体" w:hAnsi="宋体" w:cs="Arial"/>
                <w:sz w:val="16"/>
                <w:szCs w:val="18"/>
              </w:rPr>
            </w:pPr>
            <w:r>
              <w:rPr>
                <w:rFonts w:ascii="宋体" w:hAnsi="宋体" w:cs="Arial"/>
                <w:sz w:val="16"/>
                <w:szCs w:val="18"/>
              </w:rPr>
              <w:t>水电气费执行标准</w:t>
            </w:r>
          </w:p>
        </w:tc>
        <w:tc>
          <w:tcPr>
            <w:tcW w:w="531" w:type="pct"/>
            <w:tcBorders>
              <w:top w:val="nil"/>
              <w:left w:val="nil"/>
              <w:bottom w:val="single" w:color="auto" w:sz="4" w:space="0"/>
              <w:right w:val="single" w:color="auto" w:sz="4" w:space="0"/>
            </w:tcBorders>
            <w:noWrap/>
            <w:vAlign w:val="center"/>
          </w:tcPr>
          <w:p w14:paraId="7AD7537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1AA969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85ED5F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9438C1E">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5F635302">
            <w:pPr>
              <w:widowControl/>
              <w:adjustRightInd/>
              <w:spacing w:line="240" w:lineRule="auto"/>
              <w:textAlignment w:val="auto"/>
              <w:rPr>
                <w:rFonts w:ascii="Arial" w:hAnsi="Arial" w:cs="Arial"/>
                <w:sz w:val="16"/>
                <w:szCs w:val="18"/>
              </w:rPr>
            </w:pPr>
            <w:r>
              <w:rPr>
                <w:rFonts w:ascii="Arial" w:hAnsi="Arial" w:cs="Arial"/>
                <w:sz w:val="16"/>
                <w:szCs w:val="18"/>
              </w:rPr>
              <w:t>估价对象与案例均采用民水民电，确定可比实例1、2、3该因素指数分别为100、100、100。</w:t>
            </w:r>
          </w:p>
        </w:tc>
      </w:tr>
    </w:tbl>
    <w:p w14:paraId="09CA9A1A">
      <w:pPr>
        <w:wordWrap w:val="0"/>
        <w:overflowPunct w:val="0"/>
        <w:spacing w:line="480" w:lineRule="auto"/>
        <w:rPr>
          <w:rFonts w:ascii="Arial" w:hAnsi="Arial"/>
          <w:sz w:val="21"/>
          <w:szCs w:val="21"/>
        </w:rPr>
      </w:pPr>
    </w:p>
    <w:p w14:paraId="3C867D36">
      <w:pPr>
        <w:wordWrap w:val="0"/>
        <w:overflowPunct w:val="0"/>
        <w:spacing w:line="480" w:lineRule="auto"/>
        <w:rPr>
          <w:rFonts w:ascii="Arial" w:hAnsi="Arial"/>
          <w:sz w:val="21"/>
          <w:szCs w:val="21"/>
        </w:rPr>
      </w:pPr>
    </w:p>
    <w:p w14:paraId="0E7E5494">
      <w:pPr>
        <w:rPr>
          <w:rFonts w:ascii="Arial" w:hAnsi="Arial"/>
          <w:sz w:val="21"/>
          <w:szCs w:val="21"/>
        </w:rPr>
      </w:pPr>
      <w:r>
        <w:rPr>
          <w:rFonts w:hint="eastAsia" w:ascii="Arial" w:hAnsi="Arial"/>
          <w:sz w:val="21"/>
          <w:szCs w:val="21"/>
        </w:rPr>
        <w:br w:type="page"/>
      </w:r>
    </w:p>
    <w:p w14:paraId="1F7F665E">
      <w:pPr>
        <w:wordWrap w:val="0"/>
        <w:overflowPunct w:val="0"/>
        <w:spacing w:line="480" w:lineRule="auto"/>
        <w:ind w:firstLine="420" w:firstLineChars="200"/>
        <w:rPr>
          <w:rFonts w:ascii="Arial" w:hAnsi="Arial"/>
          <w:sz w:val="21"/>
          <w:szCs w:val="21"/>
        </w:rPr>
      </w:pPr>
      <w:r>
        <w:rPr>
          <w:rFonts w:hint="eastAsia" w:ascii="Arial" w:hAnsi="Arial"/>
          <w:sz w:val="21"/>
          <w:szCs w:val="21"/>
        </w:rPr>
        <w:t>（3）编制因素比较修正系数表</w:t>
      </w:r>
      <w:r>
        <w:rPr>
          <w:rFonts w:ascii="Arial" w:hAnsi="Arial"/>
          <w:sz w:val="21"/>
          <w:szCs w:val="21"/>
        </w:rPr>
        <w:t xml:space="preserve"> </w:t>
      </w:r>
    </w:p>
    <w:p w14:paraId="7586EB41">
      <w:pPr>
        <w:wordWrap w:val="0"/>
        <w:overflowPunct w:val="0"/>
        <w:spacing w:line="480" w:lineRule="auto"/>
        <w:ind w:firstLine="420" w:firstLineChars="200"/>
        <w:rPr>
          <w:rFonts w:ascii="Arial" w:hAnsi="Arial"/>
          <w:sz w:val="21"/>
          <w:szCs w:val="21"/>
        </w:rPr>
      </w:pPr>
      <w:r>
        <w:rPr>
          <w:rFonts w:hint="eastAsia" w:ascii="Arial" w:hAnsi="Arial"/>
          <w:sz w:val="21"/>
          <w:szCs w:val="21"/>
        </w:rPr>
        <w:t>根据比较因素条件指数表，编制因素各项目比较修正系数表，详见下表：</w:t>
      </w:r>
    </w:p>
    <w:p w14:paraId="53FC04EA">
      <w:pPr>
        <w:overflowPunct w:val="0"/>
        <w:spacing w:line="480" w:lineRule="auto"/>
        <w:ind w:firstLine="420" w:firstLineChars="200"/>
        <w:jc w:val="center"/>
        <w:rPr>
          <w:rFonts w:ascii="Arial" w:hAnsi="Arial"/>
          <w:sz w:val="21"/>
          <w:szCs w:val="21"/>
        </w:rPr>
      </w:pPr>
      <w:r>
        <w:rPr>
          <w:rFonts w:hint="eastAsia" w:ascii="Arial" w:hAnsi="Arial"/>
          <w:sz w:val="21"/>
          <w:szCs w:val="21"/>
        </w:rPr>
        <w:t>因素比较修正系数表</w:t>
      </w:r>
    </w:p>
    <w:tbl>
      <w:tblPr>
        <w:tblStyle w:val="33"/>
        <w:tblW w:w="5000" w:type="pct"/>
        <w:tblInd w:w="0" w:type="dxa"/>
        <w:tblLayout w:type="autofit"/>
        <w:tblCellMar>
          <w:top w:w="0" w:type="dxa"/>
          <w:left w:w="108" w:type="dxa"/>
          <w:bottom w:w="0" w:type="dxa"/>
          <w:right w:w="108" w:type="dxa"/>
        </w:tblCellMar>
      </w:tblPr>
      <w:tblGrid>
        <w:gridCol w:w="1506"/>
        <w:gridCol w:w="2887"/>
        <w:gridCol w:w="1707"/>
        <w:gridCol w:w="1707"/>
        <w:gridCol w:w="1708"/>
      </w:tblGrid>
      <w:tr w14:paraId="328CBF57">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065558DB">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897" w:type="pct"/>
            <w:tcBorders>
              <w:top w:val="single" w:color="auto" w:sz="4" w:space="0"/>
              <w:left w:val="nil"/>
              <w:bottom w:val="single" w:color="auto" w:sz="4" w:space="0"/>
              <w:right w:val="single" w:color="auto" w:sz="4" w:space="0"/>
            </w:tcBorders>
            <w:vAlign w:val="center"/>
          </w:tcPr>
          <w:p w14:paraId="133E86DA">
            <w:pPr>
              <w:widowControl/>
              <w:adjustRightInd/>
              <w:spacing w:line="240" w:lineRule="auto"/>
              <w:jc w:val="center"/>
              <w:textAlignment w:val="auto"/>
              <w:rPr>
                <w:rFonts w:ascii="Arial" w:hAnsi="Arial" w:cs="Arial"/>
                <w:sz w:val="16"/>
                <w:szCs w:val="18"/>
              </w:rPr>
            </w:pPr>
            <w:r>
              <w:rPr>
                <w:rFonts w:ascii="Arial" w:hAnsi="Arial" w:cs="Arial"/>
                <w:sz w:val="16"/>
                <w:szCs w:val="18"/>
              </w:rPr>
              <w:t>可比实例1</w:t>
            </w:r>
          </w:p>
        </w:tc>
        <w:tc>
          <w:tcPr>
            <w:tcW w:w="897" w:type="pct"/>
            <w:tcBorders>
              <w:top w:val="single" w:color="auto" w:sz="4" w:space="0"/>
              <w:left w:val="nil"/>
              <w:bottom w:val="single" w:color="auto" w:sz="4" w:space="0"/>
              <w:right w:val="single" w:color="auto" w:sz="4" w:space="0"/>
            </w:tcBorders>
            <w:vAlign w:val="center"/>
          </w:tcPr>
          <w:p w14:paraId="60C822FF">
            <w:pPr>
              <w:widowControl/>
              <w:adjustRightInd/>
              <w:spacing w:line="240" w:lineRule="auto"/>
              <w:jc w:val="center"/>
              <w:textAlignment w:val="auto"/>
              <w:rPr>
                <w:rFonts w:ascii="Arial" w:hAnsi="Arial" w:cs="Arial"/>
                <w:sz w:val="16"/>
                <w:szCs w:val="18"/>
              </w:rPr>
            </w:pPr>
            <w:r>
              <w:rPr>
                <w:rFonts w:ascii="Arial" w:hAnsi="Arial" w:cs="Arial"/>
                <w:sz w:val="16"/>
                <w:szCs w:val="18"/>
              </w:rPr>
              <w:t>可比实例2</w:t>
            </w:r>
          </w:p>
        </w:tc>
        <w:tc>
          <w:tcPr>
            <w:tcW w:w="897" w:type="pct"/>
            <w:tcBorders>
              <w:top w:val="single" w:color="auto" w:sz="4" w:space="0"/>
              <w:left w:val="nil"/>
              <w:bottom w:val="single" w:color="auto" w:sz="4" w:space="0"/>
              <w:right w:val="single" w:color="auto" w:sz="4" w:space="0"/>
            </w:tcBorders>
            <w:vAlign w:val="center"/>
          </w:tcPr>
          <w:p w14:paraId="78F38D9D">
            <w:pPr>
              <w:widowControl/>
              <w:adjustRightInd/>
              <w:spacing w:line="240" w:lineRule="auto"/>
              <w:jc w:val="center"/>
              <w:textAlignment w:val="auto"/>
              <w:rPr>
                <w:rFonts w:ascii="Arial" w:hAnsi="Arial" w:cs="Arial"/>
                <w:sz w:val="16"/>
                <w:szCs w:val="18"/>
              </w:rPr>
            </w:pPr>
            <w:r>
              <w:rPr>
                <w:rFonts w:ascii="Arial" w:hAnsi="Arial" w:cs="Arial"/>
                <w:sz w:val="16"/>
                <w:szCs w:val="18"/>
              </w:rPr>
              <w:t>可比实例3</w:t>
            </w:r>
          </w:p>
        </w:tc>
      </w:tr>
      <w:tr w14:paraId="4F226DF8">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5C953775">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1707" w:type="dxa"/>
            <w:tcBorders>
              <w:top w:val="nil"/>
              <w:left w:val="nil"/>
              <w:bottom w:val="single" w:color="auto" w:sz="4" w:space="0"/>
              <w:right w:val="single" w:color="auto" w:sz="4" w:space="0"/>
            </w:tcBorders>
            <w:vAlign w:val="center"/>
          </w:tcPr>
          <w:p w14:paraId="637D6EF3">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1707" w:type="dxa"/>
            <w:tcBorders>
              <w:top w:val="nil"/>
              <w:left w:val="nil"/>
              <w:bottom w:val="single" w:color="auto" w:sz="4" w:space="0"/>
              <w:right w:val="single" w:color="auto" w:sz="4" w:space="0"/>
            </w:tcBorders>
            <w:vAlign w:val="center"/>
          </w:tcPr>
          <w:p w14:paraId="5E164C3F">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锦华园</w:t>
            </w:r>
          </w:p>
        </w:tc>
        <w:tc>
          <w:tcPr>
            <w:tcW w:w="1708" w:type="dxa"/>
            <w:tcBorders>
              <w:top w:val="nil"/>
              <w:left w:val="nil"/>
              <w:bottom w:val="single" w:color="auto" w:sz="4" w:space="0"/>
              <w:right w:val="single" w:color="auto" w:sz="4" w:space="0"/>
            </w:tcBorders>
            <w:vAlign w:val="center"/>
          </w:tcPr>
          <w:p w14:paraId="18780347">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r>
      <w:tr w14:paraId="2DCA1526">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76E19F41">
            <w:pPr>
              <w:widowControl/>
              <w:adjustRightInd/>
              <w:spacing w:line="240" w:lineRule="auto"/>
              <w:textAlignment w:val="auto"/>
              <w:rPr>
                <w:rFonts w:ascii="Arial" w:hAnsi="Arial" w:cs="Arial"/>
                <w:sz w:val="16"/>
                <w:szCs w:val="18"/>
              </w:rPr>
            </w:pPr>
            <w:r>
              <w:rPr>
                <w:rFonts w:ascii="Arial" w:hAnsi="Arial" w:cs="Arial"/>
                <w:sz w:val="16"/>
                <w:szCs w:val="18"/>
              </w:rPr>
              <w:t>平均租金（元/平方米·月）</w:t>
            </w:r>
          </w:p>
        </w:tc>
        <w:tc>
          <w:tcPr>
            <w:tcW w:w="1707" w:type="dxa"/>
            <w:tcBorders>
              <w:top w:val="nil"/>
              <w:left w:val="nil"/>
              <w:bottom w:val="single" w:color="auto" w:sz="4" w:space="0"/>
              <w:right w:val="single" w:color="auto" w:sz="4" w:space="0"/>
            </w:tcBorders>
            <w:vAlign w:val="center"/>
          </w:tcPr>
          <w:p w14:paraId="48A76A7D">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40.52</w:t>
            </w:r>
          </w:p>
        </w:tc>
        <w:tc>
          <w:tcPr>
            <w:tcW w:w="1707" w:type="dxa"/>
            <w:tcBorders>
              <w:top w:val="nil"/>
              <w:left w:val="nil"/>
              <w:bottom w:val="single" w:color="auto" w:sz="4" w:space="0"/>
              <w:right w:val="single" w:color="auto" w:sz="4" w:space="0"/>
            </w:tcBorders>
            <w:vAlign w:val="center"/>
          </w:tcPr>
          <w:p w14:paraId="59AD0A36">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40.12</w:t>
            </w:r>
          </w:p>
        </w:tc>
        <w:tc>
          <w:tcPr>
            <w:tcW w:w="1708" w:type="dxa"/>
            <w:tcBorders>
              <w:top w:val="nil"/>
              <w:left w:val="nil"/>
              <w:bottom w:val="single" w:color="auto" w:sz="4" w:space="0"/>
              <w:right w:val="single" w:color="auto" w:sz="4" w:space="0"/>
            </w:tcBorders>
            <w:vAlign w:val="center"/>
          </w:tcPr>
          <w:p w14:paraId="5E6D9A6C">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41.28</w:t>
            </w:r>
          </w:p>
        </w:tc>
      </w:tr>
      <w:tr w14:paraId="7AA86409">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3C9A2C92">
            <w:pPr>
              <w:widowControl/>
              <w:adjustRightInd/>
              <w:spacing w:line="240" w:lineRule="auto"/>
              <w:textAlignment w:val="auto"/>
              <w:rPr>
                <w:rFonts w:ascii="Arial" w:hAnsi="Arial" w:cs="Arial"/>
                <w:sz w:val="16"/>
                <w:szCs w:val="18"/>
              </w:rPr>
            </w:pPr>
            <w:r>
              <w:rPr>
                <w:rFonts w:ascii="Arial" w:hAnsi="Arial" w:cs="Arial"/>
                <w:sz w:val="16"/>
                <w:szCs w:val="18"/>
              </w:rPr>
              <w:t>交易时间</w:t>
            </w:r>
          </w:p>
        </w:tc>
        <w:tc>
          <w:tcPr>
            <w:tcW w:w="897" w:type="pct"/>
            <w:tcBorders>
              <w:top w:val="nil"/>
              <w:left w:val="nil"/>
              <w:bottom w:val="single" w:color="auto" w:sz="4" w:space="0"/>
              <w:right w:val="single" w:color="auto" w:sz="4" w:space="0"/>
            </w:tcBorders>
            <w:vAlign w:val="center"/>
          </w:tcPr>
          <w:p w14:paraId="01ACA7B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7AC018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CC3B29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C72B09E">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2912AB3A">
            <w:pPr>
              <w:widowControl/>
              <w:adjustRightInd/>
              <w:spacing w:line="240" w:lineRule="auto"/>
              <w:textAlignment w:val="auto"/>
              <w:rPr>
                <w:rFonts w:ascii="Arial" w:hAnsi="Arial" w:cs="Arial"/>
                <w:sz w:val="16"/>
                <w:szCs w:val="18"/>
              </w:rPr>
            </w:pPr>
            <w:r>
              <w:rPr>
                <w:rFonts w:ascii="Arial" w:hAnsi="Arial" w:cs="Arial"/>
                <w:sz w:val="16"/>
                <w:szCs w:val="18"/>
              </w:rPr>
              <w:t>交易情况</w:t>
            </w:r>
          </w:p>
        </w:tc>
        <w:tc>
          <w:tcPr>
            <w:tcW w:w="897" w:type="pct"/>
            <w:tcBorders>
              <w:top w:val="nil"/>
              <w:left w:val="nil"/>
              <w:bottom w:val="single" w:color="auto" w:sz="4" w:space="0"/>
              <w:right w:val="single" w:color="auto" w:sz="4" w:space="0"/>
            </w:tcBorders>
            <w:vAlign w:val="center"/>
          </w:tcPr>
          <w:p w14:paraId="4C3F909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D9A8D0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D212AC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50C7F08">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46EE6A5A">
            <w:pPr>
              <w:widowControl/>
              <w:adjustRightInd/>
              <w:spacing w:line="240" w:lineRule="auto"/>
              <w:textAlignment w:val="auto"/>
              <w:rPr>
                <w:rFonts w:ascii="Arial" w:hAnsi="Arial" w:cs="Arial"/>
                <w:sz w:val="16"/>
                <w:szCs w:val="18"/>
              </w:rPr>
            </w:pPr>
            <w:r>
              <w:rPr>
                <w:rFonts w:ascii="Arial" w:hAnsi="Arial" w:cs="Arial"/>
                <w:sz w:val="16"/>
                <w:szCs w:val="18"/>
              </w:rPr>
              <w:t>项目类型</w:t>
            </w:r>
          </w:p>
        </w:tc>
        <w:tc>
          <w:tcPr>
            <w:tcW w:w="1707" w:type="dxa"/>
            <w:tcBorders>
              <w:top w:val="nil"/>
              <w:left w:val="nil"/>
              <w:bottom w:val="single" w:color="auto" w:sz="4" w:space="0"/>
              <w:right w:val="single" w:color="auto" w:sz="4" w:space="0"/>
            </w:tcBorders>
            <w:vAlign w:val="center"/>
          </w:tcPr>
          <w:p w14:paraId="4372C71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254C0F9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71FE54E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8BF8FB5">
        <w:tblPrEx>
          <w:tblCellMar>
            <w:top w:w="0" w:type="dxa"/>
            <w:left w:w="108" w:type="dxa"/>
            <w:bottom w:w="0" w:type="dxa"/>
            <w:right w:w="108" w:type="dxa"/>
          </w:tblCellMar>
        </w:tblPrEx>
        <w:trPr>
          <w:trHeight w:val="227" w:hRule="atLeast"/>
        </w:trPr>
        <w:tc>
          <w:tcPr>
            <w:tcW w:w="791" w:type="pct"/>
            <w:vMerge w:val="restart"/>
            <w:tcBorders>
              <w:top w:val="nil"/>
              <w:left w:val="single" w:color="auto" w:sz="4" w:space="0"/>
              <w:bottom w:val="single" w:color="auto" w:sz="4" w:space="0"/>
              <w:right w:val="single" w:color="auto" w:sz="4" w:space="0"/>
            </w:tcBorders>
            <w:vAlign w:val="center"/>
          </w:tcPr>
          <w:p w14:paraId="0B7230A6">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1517" w:type="pct"/>
            <w:tcBorders>
              <w:top w:val="nil"/>
              <w:left w:val="nil"/>
              <w:bottom w:val="single" w:color="auto" w:sz="4" w:space="0"/>
              <w:right w:val="single" w:color="auto" w:sz="4" w:space="0"/>
            </w:tcBorders>
            <w:vAlign w:val="center"/>
          </w:tcPr>
          <w:p w14:paraId="36C10282">
            <w:pPr>
              <w:widowControl/>
              <w:adjustRightInd/>
              <w:spacing w:line="240" w:lineRule="auto"/>
              <w:textAlignment w:val="auto"/>
              <w:rPr>
                <w:rFonts w:ascii="Arial" w:hAnsi="Arial" w:cs="Arial"/>
                <w:sz w:val="16"/>
                <w:szCs w:val="18"/>
              </w:rPr>
            </w:pPr>
            <w:r>
              <w:rPr>
                <w:rFonts w:ascii="Arial" w:hAnsi="Arial" w:cs="Arial"/>
                <w:sz w:val="16"/>
                <w:szCs w:val="18"/>
              </w:rPr>
              <w:t>居住区成熟度</w:t>
            </w:r>
          </w:p>
        </w:tc>
        <w:tc>
          <w:tcPr>
            <w:tcW w:w="1707" w:type="dxa"/>
            <w:tcBorders>
              <w:top w:val="nil"/>
              <w:left w:val="nil"/>
              <w:bottom w:val="single" w:color="auto" w:sz="4" w:space="0"/>
              <w:right w:val="single" w:color="auto" w:sz="4" w:space="0"/>
            </w:tcBorders>
            <w:vAlign w:val="center"/>
          </w:tcPr>
          <w:p w14:paraId="258A038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3AB624C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78AD3B0E">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38FAC4E0">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57F8E3E6">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24BE3E5">
            <w:pPr>
              <w:widowControl/>
              <w:adjustRightInd/>
              <w:spacing w:line="240" w:lineRule="auto"/>
              <w:textAlignment w:val="auto"/>
              <w:rPr>
                <w:rFonts w:ascii="Arial" w:hAnsi="Arial" w:cs="Arial"/>
                <w:sz w:val="16"/>
                <w:szCs w:val="18"/>
              </w:rPr>
            </w:pPr>
            <w:r>
              <w:rPr>
                <w:rFonts w:ascii="Arial" w:hAnsi="Arial" w:cs="Arial"/>
                <w:sz w:val="16"/>
                <w:szCs w:val="18"/>
              </w:rPr>
              <w:t>道路通达度</w:t>
            </w:r>
          </w:p>
        </w:tc>
        <w:tc>
          <w:tcPr>
            <w:tcW w:w="1707" w:type="dxa"/>
            <w:tcBorders>
              <w:top w:val="nil"/>
              <w:left w:val="nil"/>
              <w:bottom w:val="single" w:color="auto" w:sz="4" w:space="0"/>
              <w:right w:val="single" w:color="auto" w:sz="4" w:space="0"/>
            </w:tcBorders>
            <w:vAlign w:val="center"/>
          </w:tcPr>
          <w:p w14:paraId="34728CE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2994430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37DD1EF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EDE27D6">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75F8D9C">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7C8510A">
            <w:pPr>
              <w:widowControl/>
              <w:adjustRightInd/>
              <w:spacing w:line="240" w:lineRule="auto"/>
              <w:textAlignment w:val="auto"/>
              <w:rPr>
                <w:rFonts w:ascii="Arial" w:hAnsi="Arial" w:cs="Arial"/>
                <w:sz w:val="16"/>
                <w:szCs w:val="18"/>
              </w:rPr>
            </w:pPr>
            <w:r>
              <w:rPr>
                <w:rFonts w:ascii="Arial" w:hAnsi="Arial" w:cs="Arial"/>
                <w:sz w:val="16"/>
                <w:szCs w:val="18"/>
              </w:rPr>
              <w:t>距离轨道交通站点距离</w:t>
            </w:r>
          </w:p>
        </w:tc>
        <w:tc>
          <w:tcPr>
            <w:tcW w:w="1707" w:type="dxa"/>
            <w:tcBorders>
              <w:top w:val="nil"/>
              <w:left w:val="nil"/>
              <w:bottom w:val="single" w:color="auto" w:sz="4" w:space="0"/>
              <w:right w:val="single" w:color="auto" w:sz="4" w:space="0"/>
            </w:tcBorders>
            <w:vAlign w:val="center"/>
          </w:tcPr>
          <w:p w14:paraId="5AD9F5C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76B5B02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333477A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22BF042">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2BAB407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3D4FBA8">
            <w:pPr>
              <w:widowControl/>
              <w:adjustRightInd/>
              <w:spacing w:line="240" w:lineRule="auto"/>
              <w:textAlignment w:val="auto"/>
              <w:rPr>
                <w:rFonts w:ascii="Arial" w:hAnsi="Arial" w:cs="Arial"/>
                <w:sz w:val="16"/>
                <w:szCs w:val="18"/>
              </w:rPr>
            </w:pPr>
            <w:r>
              <w:rPr>
                <w:rFonts w:ascii="Arial" w:hAnsi="Arial" w:cs="Arial"/>
                <w:sz w:val="16"/>
                <w:szCs w:val="18"/>
              </w:rPr>
              <w:t>距离公交站点距离</w:t>
            </w:r>
          </w:p>
        </w:tc>
        <w:tc>
          <w:tcPr>
            <w:tcW w:w="1707" w:type="dxa"/>
            <w:tcBorders>
              <w:top w:val="nil"/>
              <w:left w:val="nil"/>
              <w:bottom w:val="single" w:color="auto" w:sz="4" w:space="0"/>
              <w:right w:val="single" w:color="auto" w:sz="4" w:space="0"/>
            </w:tcBorders>
            <w:vAlign w:val="center"/>
          </w:tcPr>
          <w:p w14:paraId="7CC7417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32809A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32069918">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15FBC174">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2AACE9D9">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693E374">
            <w:pPr>
              <w:widowControl/>
              <w:adjustRightInd/>
              <w:spacing w:line="240" w:lineRule="auto"/>
              <w:textAlignment w:val="auto"/>
              <w:rPr>
                <w:rFonts w:ascii="Arial" w:hAnsi="Arial" w:cs="Arial"/>
                <w:sz w:val="16"/>
                <w:szCs w:val="18"/>
              </w:rPr>
            </w:pPr>
            <w:r>
              <w:rPr>
                <w:rFonts w:hint="eastAsia" w:ascii="Arial" w:hAnsi="Arial" w:cs="Arial"/>
                <w:sz w:val="16"/>
                <w:szCs w:val="18"/>
              </w:rPr>
              <w:t>环境质量优劣度</w:t>
            </w:r>
          </w:p>
        </w:tc>
        <w:tc>
          <w:tcPr>
            <w:tcW w:w="1707" w:type="dxa"/>
            <w:tcBorders>
              <w:top w:val="nil"/>
              <w:left w:val="nil"/>
              <w:bottom w:val="single" w:color="auto" w:sz="4" w:space="0"/>
              <w:right w:val="single" w:color="auto" w:sz="4" w:space="0"/>
            </w:tcBorders>
            <w:vAlign w:val="center"/>
          </w:tcPr>
          <w:p w14:paraId="3289A6C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65CF8DE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6684F6C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C01DFF3">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76394977">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EC461A1">
            <w:pPr>
              <w:widowControl/>
              <w:adjustRightInd/>
              <w:spacing w:line="240" w:lineRule="auto"/>
              <w:textAlignment w:val="auto"/>
              <w:rPr>
                <w:rFonts w:ascii="Arial" w:hAnsi="Arial" w:cs="Arial"/>
                <w:sz w:val="16"/>
                <w:szCs w:val="18"/>
              </w:rPr>
            </w:pPr>
            <w:r>
              <w:rPr>
                <w:rFonts w:ascii="Arial" w:hAnsi="Arial" w:cs="Arial"/>
                <w:sz w:val="16"/>
                <w:szCs w:val="18"/>
              </w:rPr>
              <w:t>自然环境</w:t>
            </w:r>
          </w:p>
        </w:tc>
        <w:tc>
          <w:tcPr>
            <w:tcW w:w="1707" w:type="dxa"/>
            <w:tcBorders>
              <w:top w:val="nil"/>
              <w:left w:val="nil"/>
              <w:bottom w:val="single" w:color="auto" w:sz="4" w:space="0"/>
              <w:right w:val="single" w:color="auto" w:sz="4" w:space="0"/>
            </w:tcBorders>
            <w:vAlign w:val="center"/>
          </w:tcPr>
          <w:p w14:paraId="1EE219A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62FF166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6F0B351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F08EC6E">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EF9202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6535ED3">
            <w:pPr>
              <w:widowControl/>
              <w:adjustRightInd/>
              <w:spacing w:line="240" w:lineRule="auto"/>
              <w:textAlignment w:val="auto"/>
              <w:rPr>
                <w:rFonts w:ascii="Arial" w:hAnsi="Arial" w:cs="Arial"/>
                <w:sz w:val="16"/>
                <w:szCs w:val="18"/>
              </w:rPr>
            </w:pPr>
            <w:r>
              <w:rPr>
                <w:rFonts w:hint="eastAsia" w:ascii="Arial" w:hAnsi="Arial" w:cs="Arial"/>
                <w:sz w:val="16"/>
                <w:szCs w:val="18"/>
              </w:rPr>
              <w:t>小区环境</w:t>
            </w:r>
          </w:p>
        </w:tc>
        <w:tc>
          <w:tcPr>
            <w:tcW w:w="1707" w:type="dxa"/>
            <w:tcBorders>
              <w:top w:val="nil"/>
              <w:left w:val="nil"/>
              <w:bottom w:val="single" w:color="auto" w:sz="4" w:space="0"/>
              <w:right w:val="single" w:color="auto" w:sz="4" w:space="0"/>
            </w:tcBorders>
            <w:vAlign w:val="center"/>
          </w:tcPr>
          <w:p w14:paraId="4769724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335225C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717EF84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AF0CD85">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4630A03">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683C498">
            <w:pPr>
              <w:widowControl/>
              <w:adjustRightInd/>
              <w:spacing w:line="240" w:lineRule="auto"/>
              <w:textAlignment w:val="auto"/>
              <w:rPr>
                <w:rFonts w:ascii="Arial" w:hAnsi="Arial" w:cs="Arial"/>
                <w:sz w:val="16"/>
                <w:szCs w:val="18"/>
              </w:rPr>
            </w:pPr>
            <w:r>
              <w:rPr>
                <w:rFonts w:hint="eastAsia" w:ascii="Arial" w:hAnsi="Arial" w:cs="Arial"/>
                <w:sz w:val="16"/>
                <w:szCs w:val="18"/>
              </w:rPr>
              <w:t>公共服务设施状况</w:t>
            </w:r>
          </w:p>
        </w:tc>
        <w:tc>
          <w:tcPr>
            <w:tcW w:w="1707" w:type="dxa"/>
            <w:tcBorders>
              <w:top w:val="nil"/>
              <w:left w:val="nil"/>
              <w:bottom w:val="single" w:color="auto" w:sz="4" w:space="0"/>
              <w:right w:val="single" w:color="auto" w:sz="4" w:space="0"/>
            </w:tcBorders>
            <w:vAlign w:val="center"/>
          </w:tcPr>
          <w:p w14:paraId="6819DB3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42FB278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3827D3B0">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26299B5B">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3094534">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5B0A64C">
            <w:pPr>
              <w:widowControl/>
              <w:adjustRightInd/>
              <w:spacing w:line="240" w:lineRule="auto"/>
              <w:textAlignment w:val="auto"/>
              <w:rPr>
                <w:rFonts w:ascii="Arial" w:hAnsi="Arial" w:cs="Arial"/>
                <w:sz w:val="16"/>
                <w:szCs w:val="18"/>
              </w:rPr>
            </w:pPr>
            <w:r>
              <w:rPr>
                <w:rFonts w:hint="eastAsia" w:ascii="Arial" w:hAnsi="Arial" w:cs="Arial"/>
                <w:sz w:val="16"/>
                <w:szCs w:val="18"/>
              </w:rPr>
              <w:t>建筑类型</w:t>
            </w:r>
          </w:p>
        </w:tc>
        <w:tc>
          <w:tcPr>
            <w:tcW w:w="1707" w:type="dxa"/>
            <w:tcBorders>
              <w:top w:val="nil"/>
              <w:left w:val="nil"/>
              <w:bottom w:val="single" w:color="auto" w:sz="4" w:space="0"/>
              <w:right w:val="single" w:color="auto" w:sz="4" w:space="0"/>
            </w:tcBorders>
            <w:vAlign w:val="center"/>
          </w:tcPr>
          <w:p w14:paraId="64E8733F">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104</w:t>
            </w:r>
          </w:p>
        </w:tc>
        <w:tc>
          <w:tcPr>
            <w:tcW w:w="1707" w:type="dxa"/>
            <w:tcBorders>
              <w:top w:val="nil"/>
              <w:left w:val="nil"/>
              <w:bottom w:val="single" w:color="auto" w:sz="4" w:space="0"/>
              <w:right w:val="single" w:color="auto" w:sz="4" w:space="0"/>
            </w:tcBorders>
            <w:vAlign w:val="center"/>
          </w:tcPr>
          <w:p w14:paraId="449A1639">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4</w:t>
            </w:r>
          </w:p>
        </w:tc>
        <w:tc>
          <w:tcPr>
            <w:tcW w:w="1708" w:type="dxa"/>
            <w:tcBorders>
              <w:top w:val="nil"/>
              <w:left w:val="nil"/>
              <w:bottom w:val="single" w:color="auto" w:sz="4" w:space="0"/>
              <w:right w:val="single" w:color="auto" w:sz="4" w:space="0"/>
            </w:tcBorders>
            <w:vAlign w:val="center"/>
          </w:tcPr>
          <w:p w14:paraId="6653567B">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2</w:t>
            </w:r>
          </w:p>
        </w:tc>
      </w:tr>
      <w:tr w14:paraId="7754B644">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2539B067">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313117B1">
            <w:pPr>
              <w:widowControl/>
              <w:adjustRightInd/>
              <w:spacing w:line="240" w:lineRule="auto"/>
              <w:textAlignment w:val="auto"/>
              <w:rPr>
                <w:rFonts w:ascii="Arial" w:hAnsi="Arial" w:cs="Arial"/>
                <w:sz w:val="16"/>
                <w:szCs w:val="18"/>
              </w:rPr>
            </w:pPr>
            <w:r>
              <w:rPr>
                <w:rFonts w:ascii="Arial" w:hAnsi="Arial" w:cs="Arial"/>
                <w:sz w:val="16"/>
                <w:szCs w:val="18"/>
              </w:rPr>
              <w:t>楼层</w:t>
            </w:r>
          </w:p>
        </w:tc>
        <w:tc>
          <w:tcPr>
            <w:tcW w:w="1707" w:type="dxa"/>
            <w:tcBorders>
              <w:top w:val="nil"/>
              <w:left w:val="nil"/>
              <w:bottom w:val="single" w:color="auto" w:sz="4" w:space="0"/>
              <w:right w:val="single" w:color="auto" w:sz="4" w:space="0"/>
            </w:tcBorders>
            <w:vAlign w:val="center"/>
          </w:tcPr>
          <w:p w14:paraId="4366A496">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7" w:type="dxa"/>
            <w:tcBorders>
              <w:top w:val="nil"/>
              <w:left w:val="nil"/>
              <w:bottom w:val="single" w:color="auto" w:sz="4" w:space="0"/>
              <w:right w:val="single" w:color="auto" w:sz="4" w:space="0"/>
            </w:tcBorders>
            <w:vAlign w:val="center"/>
          </w:tcPr>
          <w:p w14:paraId="53C4ECAD">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8" w:type="dxa"/>
            <w:tcBorders>
              <w:top w:val="nil"/>
              <w:left w:val="nil"/>
              <w:bottom w:val="single" w:color="auto" w:sz="4" w:space="0"/>
              <w:right w:val="single" w:color="auto" w:sz="4" w:space="0"/>
            </w:tcBorders>
            <w:vAlign w:val="center"/>
          </w:tcPr>
          <w:p w14:paraId="44B88F0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0530C8C">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7E15906">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B20FAA4">
            <w:pPr>
              <w:widowControl/>
              <w:adjustRightInd/>
              <w:spacing w:line="240" w:lineRule="auto"/>
              <w:textAlignment w:val="auto"/>
              <w:rPr>
                <w:rFonts w:ascii="Arial" w:hAnsi="Arial" w:cs="Arial"/>
                <w:sz w:val="16"/>
                <w:szCs w:val="18"/>
              </w:rPr>
            </w:pPr>
            <w:r>
              <w:rPr>
                <w:rFonts w:ascii="Arial" w:hAnsi="Arial" w:cs="Arial"/>
                <w:sz w:val="16"/>
                <w:szCs w:val="18"/>
              </w:rPr>
              <w:t>朝向</w:t>
            </w:r>
          </w:p>
        </w:tc>
        <w:tc>
          <w:tcPr>
            <w:tcW w:w="1707" w:type="dxa"/>
            <w:tcBorders>
              <w:top w:val="nil"/>
              <w:left w:val="nil"/>
              <w:bottom w:val="single" w:color="auto" w:sz="4" w:space="0"/>
              <w:right w:val="single" w:color="auto" w:sz="4" w:space="0"/>
            </w:tcBorders>
            <w:vAlign w:val="center"/>
          </w:tcPr>
          <w:p w14:paraId="6B3C600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63C2571">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1</w:t>
            </w:r>
          </w:p>
        </w:tc>
        <w:tc>
          <w:tcPr>
            <w:tcW w:w="1708" w:type="dxa"/>
            <w:tcBorders>
              <w:top w:val="nil"/>
              <w:left w:val="nil"/>
              <w:bottom w:val="single" w:color="auto" w:sz="4" w:space="0"/>
              <w:right w:val="single" w:color="auto" w:sz="4" w:space="0"/>
            </w:tcBorders>
            <w:vAlign w:val="center"/>
          </w:tcPr>
          <w:p w14:paraId="4C75052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74FBF3E">
        <w:tblPrEx>
          <w:tblCellMar>
            <w:top w:w="0" w:type="dxa"/>
            <w:left w:w="108" w:type="dxa"/>
            <w:bottom w:w="0" w:type="dxa"/>
            <w:right w:w="108" w:type="dxa"/>
          </w:tblCellMar>
        </w:tblPrEx>
        <w:trPr>
          <w:trHeight w:val="227" w:hRule="atLeast"/>
        </w:trPr>
        <w:tc>
          <w:tcPr>
            <w:tcW w:w="791" w:type="pct"/>
            <w:vMerge w:val="restart"/>
            <w:tcBorders>
              <w:top w:val="single" w:color="auto" w:sz="4" w:space="0"/>
              <w:left w:val="single" w:color="auto" w:sz="4" w:space="0"/>
              <w:bottom w:val="single" w:color="auto" w:sz="4" w:space="0"/>
              <w:right w:val="single" w:color="auto" w:sz="4" w:space="0"/>
            </w:tcBorders>
            <w:vAlign w:val="center"/>
          </w:tcPr>
          <w:p w14:paraId="4D1521DD">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1517" w:type="pct"/>
            <w:tcBorders>
              <w:top w:val="nil"/>
              <w:left w:val="nil"/>
              <w:bottom w:val="single" w:color="auto" w:sz="4" w:space="0"/>
              <w:right w:val="single" w:color="auto" w:sz="4" w:space="0"/>
            </w:tcBorders>
            <w:vAlign w:val="center"/>
          </w:tcPr>
          <w:p w14:paraId="3EC0EE4E">
            <w:pPr>
              <w:widowControl/>
              <w:adjustRightInd/>
              <w:spacing w:line="240" w:lineRule="auto"/>
              <w:textAlignment w:val="auto"/>
              <w:rPr>
                <w:rFonts w:ascii="Arial" w:hAnsi="Arial" w:cs="Arial"/>
                <w:sz w:val="16"/>
                <w:szCs w:val="18"/>
              </w:rPr>
            </w:pPr>
            <w:r>
              <w:rPr>
                <w:rFonts w:ascii="Arial" w:hAnsi="Arial" w:cs="Arial"/>
                <w:sz w:val="16"/>
                <w:szCs w:val="18"/>
              </w:rPr>
              <w:t>成新度</w:t>
            </w:r>
          </w:p>
        </w:tc>
        <w:tc>
          <w:tcPr>
            <w:tcW w:w="1707" w:type="dxa"/>
            <w:tcBorders>
              <w:top w:val="nil"/>
              <w:left w:val="nil"/>
              <w:bottom w:val="single" w:color="auto" w:sz="4" w:space="0"/>
              <w:right w:val="single" w:color="auto" w:sz="4" w:space="0"/>
            </w:tcBorders>
            <w:vAlign w:val="center"/>
          </w:tcPr>
          <w:p w14:paraId="0A830A12">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94</w:t>
            </w:r>
          </w:p>
        </w:tc>
        <w:tc>
          <w:tcPr>
            <w:tcW w:w="1707" w:type="dxa"/>
            <w:tcBorders>
              <w:top w:val="nil"/>
              <w:left w:val="nil"/>
              <w:bottom w:val="single" w:color="auto" w:sz="4" w:space="0"/>
              <w:right w:val="single" w:color="auto" w:sz="4" w:space="0"/>
            </w:tcBorders>
            <w:vAlign w:val="center"/>
          </w:tcPr>
          <w:p w14:paraId="6025FEF2">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94</w:t>
            </w:r>
          </w:p>
        </w:tc>
        <w:tc>
          <w:tcPr>
            <w:tcW w:w="1708" w:type="dxa"/>
            <w:tcBorders>
              <w:top w:val="nil"/>
              <w:left w:val="nil"/>
              <w:bottom w:val="single" w:color="auto" w:sz="4" w:space="0"/>
              <w:right w:val="single" w:color="auto" w:sz="4" w:space="0"/>
            </w:tcBorders>
            <w:vAlign w:val="center"/>
          </w:tcPr>
          <w:p w14:paraId="2CB282C6">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96</w:t>
            </w:r>
          </w:p>
        </w:tc>
      </w:tr>
      <w:tr w14:paraId="3E349167">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29689B25">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D14AA51">
            <w:pPr>
              <w:widowControl/>
              <w:adjustRightInd/>
              <w:spacing w:line="240" w:lineRule="auto"/>
              <w:textAlignment w:val="auto"/>
              <w:rPr>
                <w:rFonts w:ascii="Arial" w:hAnsi="Arial" w:cs="Arial"/>
                <w:sz w:val="16"/>
                <w:szCs w:val="18"/>
              </w:rPr>
            </w:pPr>
            <w:r>
              <w:rPr>
                <w:rFonts w:ascii="Arial" w:hAnsi="Arial" w:cs="Arial"/>
                <w:sz w:val="16"/>
                <w:szCs w:val="18"/>
              </w:rPr>
              <w:t>公共区域装修</w:t>
            </w:r>
          </w:p>
        </w:tc>
        <w:tc>
          <w:tcPr>
            <w:tcW w:w="1707" w:type="dxa"/>
            <w:tcBorders>
              <w:top w:val="nil"/>
              <w:left w:val="nil"/>
              <w:bottom w:val="single" w:color="auto" w:sz="4" w:space="0"/>
              <w:right w:val="single" w:color="auto" w:sz="4" w:space="0"/>
            </w:tcBorders>
            <w:vAlign w:val="center"/>
          </w:tcPr>
          <w:p w14:paraId="0CD6B108">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7" w:type="dxa"/>
            <w:tcBorders>
              <w:top w:val="nil"/>
              <w:left w:val="nil"/>
              <w:bottom w:val="single" w:color="auto" w:sz="4" w:space="0"/>
              <w:right w:val="single" w:color="auto" w:sz="4" w:space="0"/>
            </w:tcBorders>
            <w:vAlign w:val="center"/>
          </w:tcPr>
          <w:p w14:paraId="23523DF3">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8" w:type="dxa"/>
            <w:tcBorders>
              <w:top w:val="nil"/>
              <w:left w:val="nil"/>
              <w:bottom w:val="single" w:color="auto" w:sz="4" w:space="0"/>
              <w:right w:val="single" w:color="auto" w:sz="4" w:space="0"/>
            </w:tcBorders>
            <w:vAlign w:val="center"/>
          </w:tcPr>
          <w:p w14:paraId="251F560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4C552FC">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1BAF91C">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CF34EBB">
            <w:pPr>
              <w:widowControl/>
              <w:adjustRightInd/>
              <w:spacing w:line="240" w:lineRule="auto"/>
              <w:textAlignment w:val="auto"/>
              <w:rPr>
                <w:rFonts w:ascii="Arial" w:hAnsi="Arial" w:cs="Arial"/>
                <w:sz w:val="16"/>
                <w:szCs w:val="18"/>
              </w:rPr>
            </w:pPr>
            <w:r>
              <w:rPr>
                <w:rFonts w:ascii="Arial" w:hAnsi="Arial" w:cs="Arial"/>
                <w:sz w:val="16"/>
                <w:szCs w:val="18"/>
              </w:rPr>
              <w:t>室内装饰装修</w:t>
            </w:r>
          </w:p>
        </w:tc>
        <w:tc>
          <w:tcPr>
            <w:tcW w:w="1707" w:type="dxa"/>
            <w:tcBorders>
              <w:top w:val="nil"/>
              <w:left w:val="nil"/>
              <w:bottom w:val="single" w:color="auto" w:sz="4" w:space="0"/>
              <w:right w:val="single" w:color="auto" w:sz="4" w:space="0"/>
            </w:tcBorders>
            <w:vAlign w:val="center"/>
          </w:tcPr>
          <w:p w14:paraId="1D20588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7CF1999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5B9E58E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CEE0A0A">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10D68D0">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A7AB02D">
            <w:pPr>
              <w:widowControl/>
              <w:adjustRightInd/>
              <w:spacing w:line="240" w:lineRule="auto"/>
              <w:textAlignment w:val="auto"/>
              <w:rPr>
                <w:rFonts w:ascii="Arial" w:hAnsi="Arial" w:cs="Arial"/>
                <w:sz w:val="16"/>
                <w:szCs w:val="18"/>
              </w:rPr>
            </w:pPr>
            <w:r>
              <w:rPr>
                <w:rFonts w:ascii="Arial" w:hAnsi="Arial" w:cs="Arial"/>
                <w:sz w:val="16"/>
                <w:szCs w:val="18"/>
              </w:rPr>
              <w:t>设施设备</w:t>
            </w:r>
          </w:p>
        </w:tc>
        <w:tc>
          <w:tcPr>
            <w:tcW w:w="1707" w:type="dxa"/>
            <w:tcBorders>
              <w:top w:val="nil"/>
              <w:left w:val="nil"/>
              <w:bottom w:val="single" w:color="auto" w:sz="4" w:space="0"/>
              <w:right w:val="single" w:color="auto" w:sz="4" w:space="0"/>
            </w:tcBorders>
            <w:vAlign w:val="center"/>
          </w:tcPr>
          <w:p w14:paraId="4FC5AC8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6D7897E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4669339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FCAF38E">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63041313">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E5C99E5">
            <w:pPr>
              <w:widowControl/>
              <w:adjustRightInd/>
              <w:spacing w:line="240" w:lineRule="auto"/>
              <w:textAlignment w:val="auto"/>
              <w:rPr>
                <w:rFonts w:ascii="Arial" w:hAnsi="Arial" w:cs="Arial"/>
                <w:sz w:val="16"/>
                <w:szCs w:val="18"/>
              </w:rPr>
            </w:pPr>
            <w:r>
              <w:rPr>
                <w:rFonts w:ascii="Arial" w:hAnsi="Arial" w:cs="Arial"/>
                <w:sz w:val="16"/>
                <w:szCs w:val="18"/>
              </w:rPr>
              <w:t>综合管理服务设施</w:t>
            </w:r>
          </w:p>
        </w:tc>
        <w:tc>
          <w:tcPr>
            <w:tcW w:w="1707" w:type="dxa"/>
            <w:tcBorders>
              <w:top w:val="nil"/>
              <w:left w:val="nil"/>
              <w:bottom w:val="single" w:color="auto" w:sz="4" w:space="0"/>
              <w:right w:val="single" w:color="auto" w:sz="4" w:space="0"/>
            </w:tcBorders>
            <w:vAlign w:val="center"/>
          </w:tcPr>
          <w:p w14:paraId="31889F7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61595CD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3C4B4CB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FC465C8">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17EE57B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DA7EC1C">
            <w:pPr>
              <w:widowControl/>
              <w:adjustRightInd/>
              <w:spacing w:line="240" w:lineRule="auto"/>
              <w:textAlignment w:val="auto"/>
              <w:rPr>
                <w:rFonts w:ascii="Arial" w:hAnsi="Arial" w:cs="Arial"/>
                <w:sz w:val="16"/>
                <w:szCs w:val="18"/>
              </w:rPr>
            </w:pPr>
            <w:r>
              <w:rPr>
                <w:rFonts w:ascii="Arial" w:hAnsi="Arial" w:cs="Arial"/>
                <w:sz w:val="16"/>
                <w:szCs w:val="18"/>
              </w:rPr>
              <w:t>户型布局</w:t>
            </w:r>
          </w:p>
        </w:tc>
        <w:tc>
          <w:tcPr>
            <w:tcW w:w="1707" w:type="dxa"/>
            <w:tcBorders>
              <w:top w:val="nil"/>
              <w:left w:val="nil"/>
              <w:bottom w:val="single" w:color="auto" w:sz="4" w:space="0"/>
              <w:right w:val="single" w:color="auto" w:sz="4" w:space="0"/>
            </w:tcBorders>
            <w:vAlign w:val="center"/>
          </w:tcPr>
          <w:p w14:paraId="1E19C5D7">
            <w:pPr>
              <w:widowControl/>
              <w:adjustRightInd/>
              <w:spacing w:line="240" w:lineRule="auto"/>
              <w:jc w:val="center"/>
              <w:textAlignment w:val="auto"/>
              <w:rPr>
                <w:rFonts w:ascii="Arial" w:hAnsi="Arial" w:cs="Arial"/>
                <w:sz w:val="16"/>
                <w:szCs w:val="18"/>
              </w:rPr>
            </w:pPr>
            <w:r>
              <w:rPr>
                <w:rFonts w:ascii="Arial" w:hAnsi="Arial" w:cs="Arial"/>
                <w:sz w:val="16"/>
                <w:szCs w:val="18"/>
              </w:rPr>
              <w:t>100/1</w:t>
            </w:r>
            <w:r>
              <w:rPr>
                <w:rFonts w:hint="eastAsia" w:ascii="Arial" w:hAnsi="Arial" w:cs="Arial"/>
                <w:sz w:val="16"/>
                <w:szCs w:val="18"/>
              </w:rPr>
              <w:t>10</w:t>
            </w:r>
          </w:p>
        </w:tc>
        <w:tc>
          <w:tcPr>
            <w:tcW w:w="1707" w:type="dxa"/>
            <w:tcBorders>
              <w:top w:val="nil"/>
              <w:left w:val="nil"/>
              <w:bottom w:val="single" w:color="auto" w:sz="4" w:space="0"/>
              <w:right w:val="single" w:color="auto" w:sz="4" w:space="0"/>
            </w:tcBorders>
            <w:vAlign w:val="center"/>
          </w:tcPr>
          <w:p w14:paraId="5DC79083">
            <w:pPr>
              <w:widowControl/>
              <w:adjustRightInd/>
              <w:spacing w:line="240" w:lineRule="auto"/>
              <w:jc w:val="center"/>
              <w:textAlignment w:val="auto"/>
              <w:rPr>
                <w:rFonts w:ascii="Arial" w:hAnsi="Arial" w:cs="Arial"/>
                <w:sz w:val="16"/>
                <w:szCs w:val="18"/>
              </w:rPr>
            </w:pPr>
            <w:r>
              <w:rPr>
                <w:rFonts w:ascii="Arial" w:hAnsi="Arial" w:cs="Arial"/>
                <w:sz w:val="16"/>
                <w:szCs w:val="18"/>
              </w:rPr>
              <w:t>100/1</w:t>
            </w:r>
            <w:r>
              <w:rPr>
                <w:rFonts w:hint="eastAsia" w:ascii="Arial" w:hAnsi="Arial" w:cs="Arial"/>
                <w:sz w:val="16"/>
                <w:szCs w:val="18"/>
              </w:rPr>
              <w:t>10</w:t>
            </w:r>
          </w:p>
        </w:tc>
        <w:tc>
          <w:tcPr>
            <w:tcW w:w="1708" w:type="dxa"/>
            <w:tcBorders>
              <w:top w:val="nil"/>
              <w:left w:val="nil"/>
              <w:bottom w:val="single" w:color="auto" w:sz="4" w:space="0"/>
              <w:right w:val="single" w:color="auto" w:sz="4" w:space="0"/>
            </w:tcBorders>
            <w:vAlign w:val="center"/>
          </w:tcPr>
          <w:p w14:paraId="4BFFCF66">
            <w:pPr>
              <w:widowControl/>
              <w:adjustRightInd/>
              <w:spacing w:line="240" w:lineRule="auto"/>
              <w:jc w:val="center"/>
              <w:textAlignment w:val="auto"/>
              <w:rPr>
                <w:rFonts w:ascii="Arial" w:hAnsi="Arial" w:cs="Arial"/>
                <w:sz w:val="16"/>
                <w:szCs w:val="18"/>
              </w:rPr>
            </w:pPr>
            <w:r>
              <w:rPr>
                <w:rFonts w:ascii="Arial" w:hAnsi="Arial" w:cs="Arial"/>
                <w:sz w:val="16"/>
                <w:szCs w:val="18"/>
              </w:rPr>
              <w:t>100/1</w:t>
            </w:r>
            <w:r>
              <w:rPr>
                <w:rFonts w:hint="eastAsia" w:ascii="Arial" w:hAnsi="Arial" w:cs="Arial"/>
                <w:sz w:val="16"/>
                <w:szCs w:val="18"/>
              </w:rPr>
              <w:t>10</w:t>
            </w:r>
          </w:p>
        </w:tc>
      </w:tr>
      <w:tr w14:paraId="64F47C39">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1C816873">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B90BF7F">
            <w:pPr>
              <w:widowControl/>
              <w:adjustRightInd/>
              <w:spacing w:line="240" w:lineRule="auto"/>
              <w:textAlignment w:val="auto"/>
              <w:rPr>
                <w:rFonts w:ascii="Arial" w:hAnsi="Arial" w:cs="Arial"/>
                <w:sz w:val="16"/>
                <w:szCs w:val="18"/>
              </w:rPr>
            </w:pPr>
            <w:r>
              <w:rPr>
                <w:rFonts w:ascii="Arial" w:hAnsi="Arial" w:cs="Arial"/>
                <w:sz w:val="16"/>
                <w:szCs w:val="18"/>
              </w:rPr>
              <w:t>户型结构</w:t>
            </w:r>
          </w:p>
        </w:tc>
        <w:tc>
          <w:tcPr>
            <w:tcW w:w="1707" w:type="dxa"/>
            <w:tcBorders>
              <w:top w:val="nil"/>
              <w:left w:val="nil"/>
              <w:bottom w:val="single" w:color="auto" w:sz="4" w:space="0"/>
              <w:right w:val="single" w:color="auto" w:sz="4" w:space="0"/>
            </w:tcBorders>
            <w:vAlign w:val="center"/>
          </w:tcPr>
          <w:p w14:paraId="6B0F3C0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427FEBE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40890E4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1A91319">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124E81C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8D59EC9">
            <w:pPr>
              <w:widowControl/>
              <w:adjustRightInd/>
              <w:spacing w:line="240" w:lineRule="auto"/>
              <w:textAlignment w:val="auto"/>
              <w:rPr>
                <w:rFonts w:ascii="Arial" w:hAnsi="Arial" w:cs="Arial"/>
                <w:sz w:val="16"/>
                <w:szCs w:val="18"/>
              </w:rPr>
            </w:pPr>
            <w:r>
              <w:rPr>
                <w:rFonts w:ascii="Arial" w:hAnsi="Arial" w:cs="Arial"/>
                <w:sz w:val="16"/>
                <w:szCs w:val="18"/>
              </w:rPr>
              <w:t>建筑面积</w:t>
            </w:r>
          </w:p>
        </w:tc>
        <w:tc>
          <w:tcPr>
            <w:tcW w:w="1707" w:type="dxa"/>
            <w:tcBorders>
              <w:top w:val="nil"/>
              <w:left w:val="nil"/>
              <w:bottom w:val="single" w:color="auto" w:sz="4" w:space="0"/>
              <w:right w:val="single" w:color="auto" w:sz="4" w:space="0"/>
            </w:tcBorders>
            <w:vAlign w:val="center"/>
          </w:tcPr>
          <w:p w14:paraId="663969A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4396DCF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DA803D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1273996">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4E4E6971">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312FF935">
            <w:pPr>
              <w:widowControl/>
              <w:adjustRightInd/>
              <w:spacing w:line="240" w:lineRule="auto"/>
              <w:textAlignment w:val="auto"/>
              <w:rPr>
                <w:rFonts w:ascii="Arial" w:hAnsi="Arial" w:cs="Arial"/>
                <w:sz w:val="16"/>
                <w:szCs w:val="18"/>
              </w:rPr>
            </w:pPr>
            <w:r>
              <w:rPr>
                <w:rFonts w:ascii="Arial" w:hAnsi="Arial" w:cs="Arial"/>
                <w:sz w:val="16"/>
                <w:szCs w:val="18"/>
              </w:rPr>
              <w:t>家具家电</w:t>
            </w:r>
          </w:p>
        </w:tc>
        <w:tc>
          <w:tcPr>
            <w:tcW w:w="1707" w:type="dxa"/>
            <w:tcBorders>
              <w:top w:val="nil"/>
              <w:left w:val="nil"/>
              <w:bottom w:val="single" w:color="auto" w:sz="4" w:space="0"/>
              <w:right w:val="single" w:color="auto" w:sz="4" w:space="0"/>
            </w:tcBorders>
            <w:vAlign w:val="center"/>
          </w:tcPr>
          <w:p w14:paraId="18782D70">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c>
          <w:tcPr>
            <w:tcW w:w="1707" w:type="dxa"/>
            <w:tcBorders>
              <w:top w:val="nil"/>
              <w:left w:val="nil"/>
              <w:bottom w:val="single" w:color="auto" w:sz="4" w:space="0"/>
              <w:right w:val="single" w:color="auto" w:sz="4" w:space="0"/>
            </w:tcBorders>
            <w:vAlign w:val="center"/>
          </w:tcPr>
          <w:p w14:paraId="5573EA97">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c>
          <w:tcPr>
            <w:tcW w:w="1708" w:type="dxa"/>
            <w:tcBorders>
              <w:top w:val="nil"/>
              <w:left w:val="nil"/>
              <w:bottom w:val="single" w:color="auto" w:sz="4" w:space="0"/>
              <w:right w:val="single" w:color="auto" w:sz="4" w:space="0"/>
            </w:tcBorders>
            <w:vAlign w:val="center"/>
          </w:tcPr>
          <w:p w14:paraId="5AFB98F1">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r>
      <w:tr w14:paraId="49BDED0A">
        <w:tblPrEx>
          <w:tblCellMar>
            <w:top w:w="0" w:type="dxa"/>
            <w:left w:w="108" w:type="dxa"/>
            <w:bottom w:w="0" w:type="dxa"/>
            <w:right w:w="108" w:type="dxa"/>
          </w:tblCellMar>
        </w:tblPrEx>
        <w:trPr>
          <w:trHeight w:val="227" w:hRule="atLeast"/>
        </w:trPr>
        <w:tc>
          <w:tcPr>
            <w:tcW w:w="791" w:type="pct"/>
            <w:vMerge w:val="restart"/>
            <w:tcBorders>
              <w:left w:val="single" w:color="auto" w:sz="4" w:space="0"/>
              <w:bottom w:val="single" w:color="auto" w:sz="4" w:space="0"/>
              <w:right w:val="single" w:color="auto" w:sz="4" w:space="0"/>
            </w:tcBorders>
            <w:vAlign w:val="center"/>
          </w:tcPr>
          <w:p w14:paraId="58D8CF69">
            <w:pPr>
              <w:widowControl/>
              <w:adjustRightInd/>
              <w:spacing w:line="240" w:lineRule="auto"/>
              <w:textAlignment w:val="auto"/>
              <w:rPr>
                <w:rFonts w:ascii="Arial" w:hAnsi="Arial" w:cs="Arial"/>
                <w:sz w:val="16"/>
                <w:szCs w:val="18"/>
              </w:rPr>
            </w:pPr>
            <w:r>
              <w:rPr>
                <w:rFonts w:ascii="Arial" w:hAnsi="Arial" w:cs="Arial"/>
                <w:sz w:val="16"/>
                <w:szCs w:val="18"/>
              </w:rPr>
              <w:t>权益状况</w:t>
            </w:r>
          </w:p>
        </w:tc>
        <w:tc>
          <w:tcPr>
            <w:tcW w:w="1517" w:type="pct"/>
            <w:tcBorders>
              <w:top w:val="nil"/>
              <w:left w:val="nil"/>
              <w:bottom w:val="single" w:color="auto" w:sz="4" w:space="0"/>
              <w:right w:val="single" w:color="auto" w:sz="4" w:space="0"/>
            </w:tcBorders>
            <w:vAlign w:val="center"/>
          </w:tcPr>
          <w:p w14:paraId="1099D786">
            <w:pPr>
              <w:widowControl/>
              <w:adjustRightInd/>
              <w:spacing w:line="240" w:lineRule="auto"/>
              <w:textAlignment w:val="auto"/>
              <w:rPr>
                <w:rFonts w:ascii="Arial" w:hAnsi="Arial" w:cs="Arial"/>
                <w:sz w:val="16"/>
                <w:szCs w:val="18"/>
              </w:rPr>
            </w:pPr>
            <w:r>
              <w:rPr>
                <w:rFonts w:ascii="Arial" w:hAnsi="Arial" w:cs="Arial"/>
                <w:sz w:val="16"/>
                <w:szCs w:val="18"/>
              </w:rPr>
              <w:t>服务及管理水平</w:t>
            </w:r>
          </w:p>
        </w:tc>
        <w:tc>
          <w:tcPr>
            <w:tcW w:w="1707" w:type="dxa"/>
            <w:tcBorders>
              <w:top w:val="nil"/>
              <w:left w:val="nil"/>
              <w:bottom w:val="single" w:color="auto" w:sz="4" w:space="0"/>
              <w:right w:val="single" w:color="auto" w:sz="4" w:space="0"/>
            </w:tcBorders>
            <w:vAlign w:val="center"/>
          </w:tcPr>
          <w:p w14:paraId="78EDEF9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5B0D71B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2DD1192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26A55DE">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163B819C">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3E80382">
            <w:pPr>
              <w:widowControl/>
              <w:adjustRightInd/>
              <w:spacing w:line="240" w:lineRule="auto"/>
              <w:textAlignment w:val="auto"/>
              <w:rPr>
                <w:rFonts w:ascii="Arial" w:hAnsi="Arial" w:cs="Arial"/>
                <w:sz w:val="16"/>
                <w:szCs w:val="18"/>
              </w:rPr>
            </w:pPr>
            <w:r>
              <w:rPr>
                <w:rFonts w:ascii="Arial" w:hAnsi="Arial" w:cs="Arial"/>
                <w:sz w:val="16"/>
                <w:szCs w:val="18"/>
              </w:rPr>
              <w:t>水电气费执行标准</w:t>
            </w:r>
          </w:p>
        </w:tc>
        <w:tc>
          <w:tcPr>
            <w:tcW w:w="897" w:type="pct"/>
            <w:tcBorders>
              <w:top w:val="nil"/>
              <w:left w:val="nil"/>
              <w:bottom w:val="single" w:color="auto" w:sz="4" w:space="0"/>
              <w:right w:val="single" w:color="auto" w:sz="4" w:space="0"/>
            </w:tcBorders>
            <w:vAlign w:val="center"/>
          </w:tcPr>
          <w:p w14:paraId="76DB50C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6B748E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075632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433D504">
        <w:tblPrEx>
          <w:tblCellMar>
            <w:top w:w="0" w:type="dxa"/>
            <w:left w:w="108" w:type="dxa"/>
            <w:bottom w:w="0" w:type="dxa"/>
            <w:right w:w="108" w:type="dxa"/>
          </w:tblCellMar>
        </w:tblPrEx>
        <w:trPr>
          <w:trHeight w:val="23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046CF90C">
            <w:pPr>
              <w:widowControl/>
              <w:adjustRightInd/>
              <w:spacing w:line="240" w:lineRule="auto"/>
              <w:textAlignment w:val="auto"/>
              <w:rPr>
                <w:rFonts w:ascii="Arial" w:hAnsi="Arial" w:cs="Arial"/>
                <w:sz w:val="16"/>
                <w:szCs w:val="18"/>
              </w:rPr>
            </w:pPr>
            <w:r>
              <w:rPr>
                <w:rFonts w:ascii="Arial" w:hAnsi="Arial" w:cs="Arial"/>
                <w:sz w:val="16"/>
                <w:szCs w:val="18"/>
              </w:rPr>
              <w:t>修正系数</w:t>
            </w:r>
          </w:p>
        </w:tc>
        <w:tc>
          <w:tcPr>
            <w:tcW w:w="897" w:type="pct"/>
            <w:tcBorders>
              <w:top w:val="single" w:color="auto" w:sz="4" w:space="0"/>
              <w:left w:val="nil"/>
              <w:bottom w:val="single" w:color="auto" w:sz="4" w:space="0"/>
              <w:right w:val="single" w:color="auto" w:sz="4" w:space="0"/>
            </w:tcBorders>
            <w:vAlign w:val="center"/>
          </w:tcPr>
          <w:p w14:paraId="639AFB34">
            <w:pPr>
              <w:spacing w:line="240" w:lineRule="auto"/>
              <w:jc w:val="center"/>
              <w:rPr>
                <w:rFonts w:ascii="Arial" w:hAnsi="Arial" w:cs="Arial"/>
                <w:sz w:val="16"/>
                <w:szCs w:val="18"/>
              </w:rPr>
            </w:pPr>
            <w:r>
              <w:rPr>
                <w:rFonts w:hint="eastAsia" w:ascii="Arial" w:hAnsi="Arial" w:cs="Arial"/>
                <w:sz w:val="16"/>
                <w:szCs w:val="18"/>
              </w:rPr>
              <w:t>1.0640</w:t>
            </w:r>
          </w:p>
        </w:tc>
        <w:tc>
          <w:tcPr>
            <w:tcW w:w="897" w:type="pct"/>
            <w:tcBorders>
              <w:top w:val="single" w:color="auto" w:sz="4" w:space="0"/>
              <w:left w:val="nil"/>
              <w:bottom w:val="single" w:color="auto" w:sz="4" w:space="0"/>
              <w:right w:val="single" w:color="auto" w:sz="4" w:space="0"/>
            </w:tcBorders>
            <w:vAlign w:val="center"/>
          </w:tcPr>
          <w:p w14:paraId="4BA3DC6C">
            <w:pPr>
              <w:spacing w:line="240" w:lineRule="auto"/>
              <w:jc w:val="center"/>
              <w:rPr>
                <w:rFonts w:ascii="Arial" w:hAnsi="Arial" w:cs="Arial"/>
                <w:sz w:val="16"/>
                <w:szCs w:val="18"/>
              </w:rPr>
            </w:pPr>
            <w:r>
              <w:rPr>
                <w:rFonts w:hint="eastAsia" w:ascii="Arial" w:hAnsi="Arial" w:cs="Arial"/>
                <w:sz w:val="16"/>
                <w:szCs w:val="18"/>
              </w:rPr>
              <w:t>1.0535</w:t>
            </w:r>
          </w:p>
        </w:tc>
        <w:tc>
          <w:tcPr>
            <w:tcW w:w="897" w:type="pct"/>
            <w:tcBorders>
              <w:top w:val="single" w:color="auto" w:sz="4" w:space="0"/>
              <w:left w:val="nil"/>
              <w:bottom w:val="single" w:color="auto" w:sz="4" w:space="0"/>
              <w:right w:val="single" w:color="auto" w:sz="4" w:space="0"/>
            </w:tcBorders>
            <w:vAlign w:val="center"/>
          </w:tcPr>
          <w:p w14:paraId="684BEF9A">
            <w:pPr>
              <w:spacing w:line="240" w:lineRule="auto"/>
              <w:jc w:val="center"/>
              <w:rPr>
                <w:rFonts w:ascii="Arial" w:hAnsi="Arial" w:cs="Arial"/>
                <w:sz w:val="16"/>
                <w:szCs w:val="18"/>
              </w:rPr>
            </w:pPr>
            <w:r>
              <w:rPr>
                <w:rFonts w:hint="eastAsia" w:ascii="Arial" w:hAnsi="Arial" w:cs="Arial"/>
                <w:sz w:val="16"/>
                <w:szCs w:val="18"/>
              </w:rPr>
              <w:t>1.0840</w:t>
            </w:r>
          </w:p>
        </w:tc>
      </w:tr>
      <w:tr w14:paraId="70519BD3">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137FCDC7">
            <w:pPr>
              <w:widowControl/>
              <w:adjustRightInd/>
              <w:spacing w:line="240" w:lineRule="auto"/>
              <w:textAlignment w:val="auto"/>
              <w:rPr>
                <w:rFonts w:ascii="Arial" w:hAnsi="Arial" w:cs="Arial"/>
                <w:sz w:val="16"/>
                <w:szCs w:val="18"/>
              </w:rPr>
            </w:pPr>
            <w:r>
              <w:rPr>
                <w:rFonts w:ascii="Arial" w:hAnsi="Arial" w:cs="Arial"/>
                <w:sz w:val="16"/>
                <w:szCs w:val="18"/>
              </w:rPr>
              <w:t>比准价格（元/平方米·月）</w:t>
            </w:r>
          </w:p>
        </w:tc>
        <w:tc>
          <w:tcPr>
            <w:tcW w:w="897" w:type="pct"/>
            <w:tcBorders>
              <w:top w:val="single" w:color="auto" w:sz="4" w:space="0"/>
              <w:left w:val="nil"/>
              <w:bottom w:val="single" w:color="auto" w:sz="4" w:space="0"/>
              <w:right w:val="single" w:color="auto" w:sz="4" w:space="0"/>
            </w:tcBorders>
            <w:vAlign w:val="center"/>
          </w:tcPr>
          <w:p w14:paraId="2905FE2C">
            <w:pPr>
              <w:spacing w:line="240" w:lineRule="auto"/>
              <w:jc w:val="center"/>
              <w:rPr>
                <w:rFonts w:ascii="Arial" w:hAnsi="Arial" w:cs="Arial"/>
                <w:sz w:val="16"/>
                <w:szCs w:val="18"/>
              </w:rPr>
            </w:pPr>
            <w:r>
              <w:rPr>
                <w:rFonts w:hint="eastAsia" w:ascii="Arial" w:hAnsi="Arial" w:cs="Arial"/>
                <w:sz w:val="16"/>
                <w:szCs w:val="18"/>
              </w:rPr>
              <w:t>43.11</w:t>
            </w:r>
          </w:p>
        </w:tc>
        <w:tc>
          <w:tcPr>
            <w:tcW w:w="897" w:type="pct"/>
            <w:tcBorders>
              <w:top w:val="single" w:color="auto" w:sz="4" w:space="0"/>
              <w:left w:val="nil"/>
              <w:bottom w:val="single" w:color="auto" w:sz="4" w:space="0"/>
              <w:right w:val="single" w:color="auto" w:sz="4" w:space="0"/>
            </w:tcBorders>
            <w:vAlign w:val="center"/>
          </w:tcPr>
          <w:p w14:paraId="65F49E45">
            <w:pPr>
              <w:spacing w:line="240" w:lineRule="auto"/>
              <w:jc w:val="center"/>
              <w:rPr>
                <w:rFonts w:ascii="Arial" w:hAnsi="Arial" w:cs="Arial"/>
                <w:sz w:val="16"/>
                <w:szCs w:val="18"/>
              </w:rPr>
            </w:pPr>
            <w:r>
              <w:rPr>
                <w:rFonts w:hint="eastAsia" w:ascii="Arial" w:hAnsi="Arial" w:cs="Arial"/>
                <w:sz w:val="16"/>
                <w:szCs w:val="18"/>
              </w:rPr>
              <w:t>42.27</w:t>
            </w:r>
          </w:p>
        </w:tc>
        <w:tc>
          <w:tcPr>
            <w:tcW w:w="897" w:type="pct"/>
            <w:tcBorders>
              <w:top w:val="single" w:color="auto" w:sz="4" w:space="0"/>
              <w:left w:val="nil"/>
              <w:bottom w:val="single" w:color="auto" w:sz="4" w:space="0"/>
              <w:right w:val="single" w:color="auto" w:sz="4" w:space="0"/>
            </w:tcBorders>
            <w:vAlign w:val="center"/>
          </w:tcPr>
          <w:p w14:paraId="7468B76C">
            <w:pPr>
              <w:spacing w:line="240" w:lineRule="auto"/>
              <w:jc w:val="center"/>
              <w:rPr>
                <w:rFonts w:ascii="Arial" w:hAnsi="Arial" w:cs="Arial"/>
                <w:sz w:val="16"/>
                <w:szCs w:val="18"/>
              </w:rPr>
            </w:pPr>
            <w:r>
              <w:rPr>
                <w:rFonts w:hint="eastAsia" w:ascii="Arial" w:hAnsi="Arial" w:cs="Arial"/>
                <w:sz w:val="16"/>
                <w:szCs w:val="18"/>
              </w:rPr>
              <w:t>44.75</w:t>
            </w:r>
          </w:p>
        </w:tc>
      </w:tr>
    </w:tbl>
    <w:p w14:paraId="05D3D595">
      <w:pPr>
        <w:wordWrap w:val="0"/>
        <w:overflowPunct w:val="0"/>
        <w:spacing w:before="240" w:beforeLines="100" w:line="480" w:lineRule="auto"/>
        <w:ind w:firstLine="420" w:firstLineChars="200"/>
        <w:rPr>
          <w:rFonts w:ascii="Arial" w:hAnsi="Arial"/>
          <w:sz w:val="21"/>
          <w:szCs w:val="21"/>
        </w:rPr>
      </w:pPr>
      <w:r>
        <w:rPr>
          <w:rFonts w:hint="eastAsia" w:ascii="Arial" w:hAnsi="Arial"/>
          <w:sz w:val="21"/>
          <w:szCs w:val="21"/>
        </w:rPr>
        <w:t>注：</w:t>
      </w:r>
      <w:r>
        <w:rPr>
          <w:rFonts w:ascii="Arial" w:hAnsi="Arial"/>
          <w:sz w:val="21"/>
          <w:szCs w:val="21"/>
        </w:rPr>
        <w:t>比准价格＝比较</w:t>
      </w:r>
      <w:r>
        <w:rPr>
          <w:rFonts w:hint="eastAsia" w:ascii="Arial" w:hAnsi="Arial"/>
          <w:sz w:val="21"/>
          <w:szCs w:val="21"/>
        </w:rPr>
        <w:t>实例</w:t>
      </w:r>
      <w:r>
        <w:rPr>
          <w:rFonts w:ascii="Arial" w:hAnsi="Arial"/>
          <w:sz w:val="21"/>
          <w:szCs w:val="21"/>
        </w:rPr>
        <w:t>平均租金×（待估房地产</w:t>
      </w:r>
      <w:r>
        <w:rPr>
          <w:rFonts w:hint="eastAsia" w:ascii="Arial" w:hAnsi="Arial"/>
          <w:sz w:val="21"/>
          <w:szCs w:val="21"/>
        </w:rPr>
        <w:t>交易时间</w:t>
      </w:r>
      <w:r>
        <w:rPr>
          <w:rFonts w:ascii="Arial" w:hAnsi="Arial"/>
          <w:sz w:val="21"/>
          <w:szCs w:val="21"/>
        </w:rPr>
        <w:t>房地产价租赁格指数/可比实例交易</w:t>
      </w:r>
      <w:r>
        <w:rPr>
          <w:rFonts w:hint="eastAsia" w:ascii="Arial" w:hAnsi="Arial"/>
          <w:sz w:val="21"/>
          <w:szCs w:val="21"/>
        </w:rPr>
        <w:t>时间</w:t>
      </w:r>
      <w:r>
        <w:rPr>
          <w:rFonts w:ascii="Arial" w:hAnsi="Arial"/>
          <w:sz w:val="21"/>
          <w:szCs w:val="21"/>
        </w:rPr>
        <w:t>房地产租赁价格指数）×（待估房地产交易情况指数/可比实例</w:t>
      </w:r>
      <w:r>
        <w:rPr>
          <w:rFonts w:hint="eastAsia" w:ascii="Arial" w:hAnsi="Arial"/>
          <w:sz w:val="21"/>
          <w:szCs w:val="21"/>
        </w:rPr>
        <w:t>交易情况</w:t>
      </w:r>
      <w:r>
        <w:rPr>
          <w:rFonts w:ascii="Arial" w:hAnsi="Arial"/>
          <w:sz w:val="21"/>
          <w:szCs w:val="21"/>
        </w:rPr>
        <w:t>指数）×（待估房地产</w:t>
      </w:r>
      <w:r>
        <w:rPr>
          <w:rFonts w:hint="eastAsia" w:ascii="Arial" w:hAnsi="Arial"/>
          <w:sz w:val="21"/>
          <w:szCs w:val="21"/>
        </w:rPr>
        <w:t>项目类型</w:t>
      </w:r>
      <w:r>
        <w:rPr>
          <w:rFonts w:ascii="Arial" w:hAnsi="Arial"/>
          <w:sz w:val="21"/>
          <w:szCs w:val="21"/>
        </w:rPr>
        <w:t>指数/可比实例</w:t>
      </w:r>
      <w:r>
        <w:rPr>
          <w:rFonts w:hint="eastAsia" w:ascii="Arial" w:hAnsi="Arial"/>
          <w:sz w:val="21"/>
          <w:szCs w:val="21"/>
        </w:rPr>
        <w:t>项目类型</w:t>
      </w:r>
      <w:r>
        <w:rPr>
          <w:rFonts w:ascii="Arial" w:hAnsi="Arial"/>
          <w:sz w:val="21"/>
          <w:szCs w:val="21"/>
        </w:rPr>
        <w:t>指数）×（待估房地产区域状况条件指数/可比实例房地产区域状况条件指数）×（待估房地产实物状况条件指数/可比实例房地产实物状况条件指数）×（待估房地产</w:t>
      </w:r>
      <w:r>
        <w:rPr>
          <w:rFonts w:hint="eastAsia" w:ascii="Arial" w:hAnsi="Arial"/>
          <w:sz w:val="21"/>
          <w:szCs w:val="21"/>
        </w:rPr>
        <w:t>权益</w:t>
      </w:r>
      <w:r>
        <w:rPr>
          <w:rFonts w:ascii="Arial" w:hAnsi="Arial"/>
          <w:sz w:val="21"/>
          <w:szCs w:val="21"/>
        </w:rPr>
        <w:t>状况条件指数/可比实例房地产</w:t>
      </w:r>
      <w:r>
        <w:rPr>
          <w:rFonts w:hint="eastAsia" w:ascii="Arial" w:hAnsi="Arial"/>
          <w:sz w:val="21"/>
          <w:szCs w:val="21"/>
        </w:rPr>
        <w:t>权益</w:t>
      </w:r>
      <w:r>
        <w:rPr>
          <w:rFonts w:ascii="Arial" w:hAnsi="Arial"/>
          <w:sz w:val="21"/>
          <w:szCs w:val="21"/>
        </w:rPr>
        <w:t>状况条件指数）</w:t>
      </w:r>
    </w:p>
    <w:p w14:paraId="2AB56635">
      <w:pPr>
        <w:wordWrap w:val="0"/>
        <w:overflowPunct w:val="0"/>
        <w:spacing w:line="480" w:lineRule="auto"/>
        <w:ind w:firstLine="420" w:firstLineChars="200"/>
        <w:rPr>
          <w:rFonts w:ascii="Arial" w:hAnsi="Arial"/>
          <w:sz w:val="21"/>
          <w:szCs w:val="21"/>
        </w:rPr>
      </w:pPr>
      <w:r>
        <w:rPr>
          <w:rFonts w:hint="eastAsia" w:ascii="Arial" w:hAnsi="Arial"/>
          <w:sz w:val="21"/>
          <w:szCs w:val="21"/>
        </w:rPr>
        <w:t>（4）影响因素选择实例修正后的价值计算</w:t>
      </w:r>
      <w:r>
        <w:rPr>
          <w:rFonts w:ascii="Arial" w:hAnsi="Arial"/>
          <w:sz w:val="21"/>
          <w:szCs w:val="21"/>
        </w:rPr>
        <w:t xml:space="preserve"> </w:t>
      </w:r>
    </w:p>
    <w:p w14:paraId="0C1ED81F">
      <w:pPr>
        <w:overflowPunct w:val="0"/>
        <w:spacing w:line="480" w:lineRule="auto"/>
        <w:ind w:firstLine="420" w:firstLineChars="200"/>
        <w:jc w:val="both"/>
        <w:rPr>
          <w:rFonts w:ascii="Arial" w:hAnsi="Arial"/>
          <w:sz w:val="21"/>
          <w:szCs w:val="21"/>
        </w:rPr>
      </w:pPr>
      <w:r>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hint="eastAsia" w:ascii="Arial" w:hAnsi="Arial"/>
          <w:sz w:val="21"/>
          <w:szCs w:val="21"/>
        </w:rPr>
        <w:t>3</w:t>
      </w:r>
      <w:r>
        <w:rPr>
          <w:rFonts w:ascii="Arial" w:hAnsi="Arial"/>
          <w:sz w:val="21"/>
          <w:szCs w:val="21"/>
        </w:rPr>
        <w:t>个可比案例的比准价格的简单算术平均值作为项目</w:t>
      </w:r>
      <w:r>
        <w:rPr>
          <w:rFonts w:hint="eastAsia" w:ascii="Arial" w:hAnsi="Arial"/>
          <w:sz w:val="21"/>
          <w:szCs w:val="21"/>
        </w:rPr>
        <w:t>典型户型</w:t>
      </w:r>
      <w:r>
        <w:rPr>
          <w:rFonts w:ascii="Arial" w:hAnsi="Arial"/>
          <w:sz w:val="21"/>
          <w:szCs w:val="21"/>
        </w:rPr>
        <w:t>的评估价格</w:t>
      </w:r>
      <w:r>
        <w:rPr>
          <w:rFonts w:hint="eastAsia" w:ascii="Arial" w:hAnsi="Arial"/>
          <w:sz w:val="21"/>
          <w:szCs w:val="21"/>
        </w:rPr>
        <w:t>。</w:t>
      </w:r>
    </w:p>
    <w:p w14:paraId="1655E113">
      <w:pPr>
        <w:wordWrap w:val="0"/>
        <w:overflowPunct w:val="0"/>
        <w:spacing w:line="480" w:lineRule="auto"/>
        <w:ind w:firstLine="420" w:firstLineChars="200"/>
        <w:rPr>
          <w:rFonts w:ascii="Arial" w:hAnsi="Arial"/>
          <w:sz w:val="21"/>
          <w:szCs w:val="21"/>
        </w:rPr>
      </w:pPr>
      <w:r>
        <w:rPr>
          <w:rFonts w:hint="eastAsia" w:ascii="Arial" w:hAnsi="Arial"/>
          <w:sz w:val="21"/>
          <w:szCs w:val="21"/>
        </w:rPr>
        <w:t>即：标准房1</w:t>
      </w:r>
      <w:r>
        <w:rPr>
          <w:rFonts w:hint="eastAsia" w:ascii="Arial" w:hAnsi="Arial"/>
          <w:bCs/>
          <w:sz w:val="21"/>
        </w:rPr>
        <w:t>市场租赁住房租金</w:t>
      </w:r>
      <w:r>
        <w:rPr>
          <w:rFonts w:hint="eastAsia" w:ascii="Arial" w:hAnsi="Arial"/>
          <w:sz w:val="21"/>
          <w:szCs w:val="21"/>
        </w:rPr>
        <w:t>＝（43.11+42.27+44.75）÷</w:t>
      </w:r>
      <w:r>
        <w:rPr>
          <w:rFonts w:ascii="Arial" w:hAnsi="Arial"/>
          <w:sz w:val="21"/>
          <w:szCs w:val="21"/>
        </w:rPr>
        <w:t>3</w:t>
      </w:r>
      <w:r>
        <w:rPr>
          <w:rFonts w:hint="eastAsia" w:ascii="Arial" w:hAnsi="Arial"/>
          <w:sz w:val="21"/>
          <w:szCs w:val="21"/>
        </w:rPr>
        <w:t>+3</w:t>
      </w:r>
    </w:p>
    <w:p w14:paraId="77A85823">
      <w:pPr>
        <w:wordWrap w:val="0"/>
        <w:overflowPunct w:val="0"/>
        <w:spacing w:line="480" w:lineRule="auto"/>
        <w:ind w:firstLine="3360" w:firstLineChars="1600"/>
        <w:rPr>
          <w:rFonts w:ascii="Arial" w:hAnsi="Arial"/>
          <w:sz w:val="21"/>
          <w:szCs w:val="21"/>
        </w:rPr>
      </w:pPr>
      <w:r>
        <w:rPr>
          <w:rFonts w:hint="eastAsia" w:ascii="Arial" w:hAnsi="Arial"/>
          <w:sz w:val="21"/>
          <w:szCs w:val="21"/>
        </w:rPr>
        <w:t>＝43.38+3</w:t>
      </w:r>
    </w:p>
    <w:p w14:paraId="104A2670">
      <w:pPr>
        <w:wordWrap w:val="0"/>
        <w:overflowPunct w:val="0"/>
        <w:spacing w:line="480" w:lineRule="auto"/>
        <w:ind w:firstLine="420" w:firstLineChars="200"/>
        <w:rPr>
          <w:rFonts w:hint="eastAsia" w:ascii="宋体" w:hAnsi="宋体"/>
          <w:sz w:val="21"/>
          <w:szCs w:val="21"/>
        </w:rPr>
      </w:pPr>
      <w:r>
        <w:rPr>
          <w:rFonts w:ascii="Arial" w:hAnsi="Arial"/>
          <w:sz w:val="21"/>
          <w:szCs w:val="21"/>
        </w:rPr>
        <w:t xml:space="preserve">                            </w:t>
      </w:r>
      <w:r>
        <w:rPr>
          <w:rFonts w:hint="eastAsia" w:ascii="Arial" w:hAnsi="Arial"/>
          <w:sz w:val="21"/>
          <w:szCs w:val="21"/>
        </w:rPr>
        <w:t>＝46.38（元/平方米·月）</w:t>
      </w:r>
      <w:r>
        <w:rPr>
          <w:rFonts w:hint="eastAsia" w:ascii="宋体" w:hAnsi="宋体"/>
          <w:sz w:val="21"/>
          <w:szCs w:val="21"/>
        </w:rPr>
        <w:t>（含物业费、不含取暖费）</w:t>
      </w:r>
    </w:p>
    <w:p w14:paraId="07B14393">
      <w:pPr>
        <w:wordWrap w:val="0"/>
        <w:overflowPunct w:val="0"/>
        <w:spacing w:line="480" w:lineRule="auto"/>
        <w:ind w:firstLine="422" w:firstLineChars="200"/>
        <w:rPr>
          <w:rFonts w:ascii="Arial" w:hAnsi="Arial" w:cs="Arial"/>
          <w:b/>
          <w:sz w:val="21"/>
          <w:szCs w:val="21"/>
        </w:rPr>
      </w:pPr>
      <w:r>
        <w:rPr>
          <w:rFonts w:hint="eastAsia" w:ascii="Arial" w:hAnsi="Arial" w:cs="Arial"/>
          <w:b/>
          <w:sz w:val="21"/>
          <w:szCs w:val="21"/>
        </w:rPr>
        <w:t>B.标准房2（一居室-74平方米</w:t>
      </w:r>
      <w:r>
        <w:rPr>
          <w:rFonts w:hint="eastAsia" w:ascii="宋体" w:hAnsi="宋体"/>
          <w:b/>
          <w:sz w:val="21"/>
          <w:szCs w:val="21"/>
        </w:rPr>
        <w:t>标准房市场租金水平）</w:t>
      </w:r>
    </w:p>
    <w:p w14:paraId="367A0A50">
      <w:pPr>
        <w:wordWrap w:val="0"/>
        <w:overflowPunct w:val="0"/>
        <w:spacing w:line="480" w:lineRule="auto"/>
        <w:ind w:firstLine="420" w:firstLineChars="200"/>
        <w:rPr>
          <w:rFonts w:ascii="Arial" w:hAnsi="Arial" w:cs="Arial"/>
          <w:sz w:val="21"/>
          <w:szCs w:val="21"/>
        </w:rPr>
      </w:pPr>
      <w:r>
        <w:rPr>
          <w:rFonts w:ascii="Arial" w:hAnsi="Arial" w:cs="Arial"/>
          <w:sz w:val="21"/>
          <w:szCs w:val="21"/>
        </w:rPr>
        <w:t>1.选取案例并作因素条件说明</w:t>
      </w:r>
    </w:p>
    <w:p w14:paraId="02EA637A">
      <w:pPr>
        <w:wordWrap w:val="0"/>
        <w:overflowPunct w:val="0"/>
        <w:spacing w:line="480" w:lineRule="auto"/>
        <w:ind w:firstLine="420" w:firstLineChars="200"/>
        <w:rPr>
          <w:rFonts w:ascii="Arial" w:hAnsi="Arial" w:cs="Arial"/>
          <w:sz w:val="21"/>
          <w:szCs w:val="21"/>
        </w:rPr>
      </w:pPr>
      <w:r>
        <w:rPr>
          <w:rFonts w:ascii="Arial" w:hAnsi="Arial" w:cs="Arial"/>
          <w:sz w:val="21"/>
          <w:szCs w:val="21"/>
        </w:rPr>
        <w:t>通过对北京市</w:t>
      </w:r>
      <w:r>
        <w:rPr>
          <w:rFonts w:hint="eastAsia" w:ascii="Arial" w:hAnsi="Arial" w:cs="Arial"/>
          <w:sz w:val="21"/>
          <w:szCs w:val="21"/>
        </w:rPr>
        <w:t>大兴</w:t>
      </w:r>
      <w:r>
        <w:rPr>
          <w:rFonts w:ascii="Arial" w:hAnsi="Arial" w:cs="Arial"/>
          <w:sz w:val="21"/>
          <w:szCs w:val="21"/>
        </w:rPr>
        <w:t>区</w:t>
      </w:r>
      <w:r>
        <w:rPr>
          <w:rFonts w:hint="eastAsia" w:ascii="Arial" w:hAnsi="Arial" w:cs="Arial"/>
          <w:sz w:val="21"/>
          <w:szCs w:val="21"/>
        </w:rPr>
        <w:t>周边住宅</w:t>
      </w:r>
      <w:r>
        <w:rPr>
          <w:rFonts w:ascii="Arial" w:hAnsi="Arial" w:cs="Arial"/>
          <w:sz w:val="21"/>
          <w:szCs w:val="21"/>
        </w:rPr>
        <w:t>市场的调查，选取近期同一供需圈内邻近地区的三个租赁</w:t>
      </w:r>
      <w:r>
        <w:rPr>
          <w:rFonts w:hint="eastAsia" w:ascii="Arial" w:hAnsi="Arial" w:cs="Arial"/>
          <w:sz w:val="21"/>
          <w:szCs w:val="21"/>
        </w:rPr>
        <w:t>实例</w:t>
      </w:r>
      <w:r>
        <w:rPr>
          <w:rFonts w:ascii="Arial" w:hAnsi="Arial" w:cs="Arial"/>
          <w:sz w:val="21"/>
          <w:szCs w:val="21"/>
        </w:rPr>
        <w:t>进行比较。</w:t>
      </w:r>
    </w:p>
    <w:p w14:paraId="74F6EC93">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可比实例4</w:t>
      </w:r>
      <w:r>
        <w:rPr>
          <w:rFonts w:ascii="Arial" w:hAnsi="Arial" w:cs="Arial"/>
          <w:sz w:val="21"/>
          <w:szCs w:val="21"/>
        </w:rPr>
        <w:t>：</w:t>
      </w:r>
    </w:p>
    <w:p w14:paraId="3FDEB885">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兴水家园</w:t>
      </w:r>
    </w:p>
    <w:p w14:paraId="5E598D1F">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大兴区林校路69号</w:t>
      </w:r>
    </w:p>
    <w:p w14:paraId="2C87D10E">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716BC40D">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4E4D08E1">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7C5A77C7">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可比实例4周边2公里内有漪景苑、埝坛华庭北区、壹品兴创颐和公馆、矿林庄小区、锦华园小区、义和庄东里等居住项目，居住小区规模适中，入住率较好，综合评价居住区成熟度较好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主干道——林校路</w:t>
      </w:r>
      <w:r>
        <w:rPr>
          <w:rFonts w:ascii="Arial" w:hAnsi="Arial" w:cs="Arial"/>
          <w:sz w:val="21"/>
          <w:szCs w:val="21"/>
        </w:rPr>
        <w:t>，</w:t>
      </w:r>
      <w:r>
        <w:rPr>
          <w:rFonts w:hint="eastAsia" w:ascii="Arial" w:hAnsi="Arial" w:cs="Arial"/>
          <w:kern w:val="2"/>
          <w:sz w:val="21"/>
          <w:szCs w:val="21"/>
        </w:rPr>
        <w:t>周边2公里范围内有轨道交通站点（地铁4号线义和庄站），周边1公里内有827路、829路、840路、兴11路、兴21路等公交线路途径并设立站点，综合评价交通便捷度较好；</w:t>
      </w:r>
      <w:r>
        <w:rPr>
          <w:rFonts w:ascii="Arial" w:hAnsi="Arial" w:cs="Arial"/>
          <w:sz w:val="21"/>
          <w:szCs w:val="21"/>
        </w:rPr>
        <w:t>周边有</w:t>
      </w:r>
      <w:r>
        <w:rPr>
          <w:rFonts w:hint="eastAsia" w:ascii="Arial" w:hAnsi="Arial" w:cs="Arial"/>
          <w:kern w:val="2"/>
          <w:sz w:val="21"/>
          <w:szCs w:val="21"/>
        </w:rPr>
        <w:t>孙村公园、新凤河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w:t>
      </w:r>
      <w:r>
        <w:rPr>
          <w:rFonts w:hint="eastAsia" w:ascii="Arial" w:hAnsi="Arial" w:cs="Arial"/>
          <w:sz w:val="21"/>
          <w:szCs w:val="21"/>
        </w:rPr>
        <w:t>周边2公里有念坛公园、兴良路公园、永定公园、小龙河等自然景观，有中央文化和旅游管理干部学院、国家林业和草原局管理干部学院等人文环境、综合评价自然与人文环境较好</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可比实例4</w:t>
      </w:r>
      <w:r>
        <w:rPr>
          <w:rFonts w:ascii="Arial" w:hAnsi="Arial" w:cs="Arial"/>
          <w:sz w:val="21"/>
          <w:szCs w:val="21"/>
        </w:rPr>
        <w:t>为</w:t>
      </w:r>
      <w:r>
        <w:rPr>
          <w:rFonts w:hint="eastAsia" w:ascii="Arial" w:hAnsi="Arial" w:cs="Arial"/>
          <w:sz w:val="21"/>
          <w:szCs w:val="21"/>
        </w:rPr>
        <w:t>一</w:t>
      </w:r>
      <w:r>
        <w:rPr>
          <w:rFonts w:ascii="Arial" w:hAnsi="Arial" w:cs="Arial"/>
          <w:sz w:val="21"/>
          <w:szCs w:val="21"/>
        </w:rPr>
        <w:t>居室户型，</w:t>
      </w:r>
      <w:r>
        <w:rPr>
          <w:rFonts w:hint="eastAsia" w:ascii="Arial" w:hAnsi="Arial" w:cs="Arial"/>
          <w:sz w:val="21"/>
          <w:szCs w:val="21"/>
        </w:rPr>
        <w:t>中</w:t>
      </w:r>
      <w:r>
        <w:rPr>
          <w:rFonts w:ascii="Arial" w:hAnsi="Arial" w:cs="Arial"/>
          <w:sz w:val="21"/>
          <w:szCs w:val="21"/>
        </w:rPr>
        <w:t>楼层，</w:t>
      </w:r>
      <w:r>
        <w:rPr>
          <w:rFonts w:hint="eastAsia" w:ascii="Arial" w:hAnsi="Arial" w:cs="Arial"/>
          <w:sz w:val="21"/>
          <w:szCs w:val="21"/>
        </w:rPr>
        <w:t>南</w:t>
      </w:r>
      <w:r>
        <w:rPr>
          <w:rFonts w:ascii="Arial" w:hAnsi="Arial" w:cs="Arial"/>
          <w:sz w:val="21"/>
          <w:szCs w:val="21"/>
        </w:rPr>
        <w:t>朝向，建成年份为</w:t>
      </w:r>
      <w:r>
        <w:rPr>
          <w:rFonts w:hint="eastAsia" w:ascii="Arial" w:hAnsi="Arial" w:cs="Arial"/>
          <w:sz w:val="21"/>
          <w:szCs w:val="21"/>
        </w:rPr>
        <w:t>2007</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w:t>
      </w:r>
      <w:r>
        <w:rPr>
          <w:rFonts w:hint="eastAsia" w:ascii="Arial" w:hAnsi="Arial" w:cs="Arial"/>
          <w:sz w:val="21"/>
          <w:szCs w:val="21"/>
        </w:rPr>
        <w:t>装修为</w:t>
      </w:r>
      <w:r>
        <w:rPr>
          <w:rFonts w:hint="eastAsia" w:ascii="Arial" w:hAnsi="Arial" w:cs="Arial"/>
          <w:sz w:val="21"/>
          <w:szCs w:val="21"/>
          <w:lang w:val="en-US" w:eastAsia="zh-CN"/>
        </w:rPr>
        <w:t>低</w:t>
      </w:r>
      <w:r>
        <w:rPr>
          <w:rFonts w:hint="eastAsia" w:ascii="Arial" w:hAnsi="Arial" w:cs="Arial"/>
          <w:sz w:val="21"/>
          <w:szCs w:val="21"/>
        </w:rPr>
        <w:t>档装修</w:t>
      </w:r>
      <w:r>
        <w:rPr>
          <w:rFonts w:ascii="Arial" w:hAnsi="Arial" w:cs="Arial"/>
          <w:sz w:val="21"/>
          <w:szCs w:val="21"/>
        </w:rPr>
        <w:t>，建筑面积为</w:t>
      </w:r>
      <w:r>
        <w:rPr>
          <w:rFonts w:hint="eastAsia" w:ascii="Arial" w:hAnsi="Arial" w:cs="Arial"/>
          <w:sz w:val="21"/>
          <w:szCs w:val="21"/>
        </w:rPr>
        <w:t>68</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为44.12元/平方米·月（含物业费1.1元/平方米·月、取暖费2.5元/平方米·月）。</w:t>
      </w:r>
    </w:p>
    <w:p w14:paraId="35B1F78B">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可比实例5</w:t>
      </w:r>
      <w:r>
        <w:rPr>
          <w:rFonts w:ascii="Arial" w:hAnsi="Arial" w:cs="Arial"/>
          <w:sz w:val="21"/>
          <w:szCs w:val="21"/>
        </w:rPr>
        <w:t>：</w:t>
      </w:r>
    </w:p>
    <w:p w14:paraId="077258DB">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锦华园</w:t>
      </w:r>
    </w:p>
    <w:p w14:paraId="48C7765E">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大兴区义平路92号</w:t>
      </w:r>
    </w:p>
    <w:p w14:paraId="2714BF74">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4</w:t>
      </w:r>
      <w:r>
        <w:rPr>
          <w:rFonts w:ascii="Arial" w:hAnsi="Arial" w:cs="Arial"/>
          <w:sz w:val="21"/>
          <w:szCs w:val="21"/>
        </w:rPr>
        <w:t>月</w:t>
      </w:r>
    </w:p>
    <w:p w14:paraId="62018DAB">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70A4D2BA">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7E352234">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可比实例5周边有义和庄北里、中骏金辉未来云城、漪景苑、埝坛华庭北区、壹品兴创颐和公馆、矿林庄小区、义和庄东里等居住项目，居住小区规模适中，入住率较好，综合评价居住区成熟度较好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主干道——兴华大街</w:t>
      </w:r>
      <w:r>
        <w:rPr>
          <w:rFonts w:ascii="Arial" w:hAnsi="Arial" w:cs="Arial"/>
          <w:sz w:val="21"/>
          <w:szCs w:val="21"/>
        </w:rPr>
        <w:t>，</w:t>
      </w:r>
      <w:r>
        <w:rPr>
          <w:rFonts w:hint="eastAsia" w:ascii="Arial" w:hAnsi="Arial" w:cs="Arial"/>
          <w:kern w:val="2"/>
          <w:sz w:val="21"/>
          <w:szCs w:val="21"/>
        </w:rPr>
        <w:t>周边2公里范围内有轨道交通站点（地铁4号线黄村火车站），周边1公里内有兴12路、兴16路、兴37路、兴77路等公交线路途径并设立站点，综合评价交通便捷度较好；</w:t>
      </w:r>
      <w:r>
        <w:rPr>
          <w:rFonts w:hint="eastAsia" w:ascii="Arial" w:hAnsi="Arial" w:cs="Arial"/>
          <w:sz w:val="21"/>
          <w:szCs w:val="21"/>
        </w:rPr>
        <w:t>周边2公里有念坛公园、兴良路公园、永定公园、小龙河等自然景观，有中央文化和旅游管理干部学院、国家林业和草原局管理干部学院等人文环境、综合评价自然与人文环境较好</w:t>
      </w:r>
      <w:r>
        <w:rPr>
          <w:rFonts w:ascii="Arial" w:hAnsi="Arial" w:cs="Arial"/>
          <w:sz w:val="21"/>
          <w:szCs w:val="21"/>
        </w:rPr>
        <w:t>；</w:t>
      </w:r>
      <w:r>
        <w:rPr>
          <w:rFonts w:hint="eastAsia" w:ascii="Arial" w:hAnsi="Arial" w:cs="Arial"/>
          <w:sz w:val="21"/>
          <w:szCs w:val="21"/>
        </w:rPr>
        <w:t>周边2公里范围内有大兴星城商厦、大兴大悦春风里等商业场所；有北京市大兴区永华实验学校、</w:t>
      </w:r>
      <w:r>
        <w:rPr>
          <w:rFonts w:hint="eastAsia" w:ascii="Arial" w:hAnsi="Arial" w:cs="Arial"/>
          <w:sz w:val="21"/>
          <w:szCs w:val="21"/>
          <w:lang w:eastAsia="zh-CN"/>
        </w:rPr>
        <w:t>北京市</w:t>
      </w:r>
      <w:r>
        <w:rPr>
          <w:rFonts w:hint="eastAsia" w:ascii="Arial" w:hAnsi="Arial" w:cs="Arial"/>
          <w:sz w:val="21"/>
          <w:szCs w:val="21"/>
        </w:rPr>
        <w:t>大兴区第一中学、北京市大兴区第八小学、泰禾幼儿园（大兴园区）等教育机构，有北京市大兴区心康医院、北京市大兴区人民医院等医疗机构；有华夏银行、北京银行等金融网点，公共配套设施状况较好</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可比实例5</w:t>
      </w:r>
      <w:r>
        <w:rPr>
          <w:rFonts w:ascii="Arial" w:hAnsi="Arial" w:cs="Arial"/>
          <w:sz w:val="21"/>
          <w:szCs w:val="21"/>
        </w:rPr>
        <w:t>为</w:t>
      </w:r>
      <w:r>
        <w:rPr>
          <w:rFonts w:hint="eastAsia" w:ascii="Arial" w:hAnsi="Arial" w:cs="Arial"/>
          <w:sz w:val="21"/>
          <w:szCs w:val="21"/>
        </w:rPr>
        <w:t>一</w:t>
      </w:r>
      <w:r>
        <w:rPr>
          <w:rFonts w:ascii="Arial" w:hAnsi="Arial" w:cs="Arial"/>
          <w:sz w:val="21"/>
          <w:szCs w:val="21"/>
        </w:rPr>
        <w:t>居室户型，</w:t>
      </w:r>
      <w:r>
        <w:rPr>
          <w:rFonts w:hint="eastAsia" w:ascii="Arial" w:hAnsi="Arial" w:cs="Arial"/>
          <w:sz w:val="21"/>
          <w:szCs w:val="21"/>
        </w:rPr>
        <w:t>中</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06</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w:t>
      </w:r>
      <w:r>
        <w:rPr>
          <w:rFonts w:hint="eastAsia" w:ascii="Arial" w:hAnsi="Arial" w:cs="Arial"/>
          <w:sz w:val="21"/>
          <w:szCs w:val="21"/>
        </w:rPr>
        <w:t>装修为</w:t>
      </w:r>
      <w:r>
        <w:rPr>
          <w:rFonts w:hint="eastAsia" w:ascii="Arial" w:hAnsi="Arial" w:cs="Arial"/>
          <w:sz w:val="21"/>
          <w:szCs w:val="21"/>
          <w:lang w:val="en-US" w:eastAsia="zh-CN"/>
        </w:rPr>
        <w:t>低</w:t>
      </w:r>
      <w:r>
        <w:rPr>
          <w:rFonts w:hint="eastAsia" w:ascii="Arial" w:hAnsi="Arial" w:cs="Arial"/>
          <w:sz w:val="21"/>
          <w:szCs w:val="21"/>
        </w:rPr>
        <w:t>档装修</w:t>
      </w:r>
      <w:r>
        <w:rPr>
          <w:rFonts w:ascii="Arial" w:hAnsi="Arial" w:cs="Arial"/>
          <w:sz w:val="21"/>
          <w:szCs w:val="21"/>
        </w:rPr>
        <w:t>，建筑面积为</w:t>
      </w:r>
      <w:r>
        <w:rPr>
          <w:rFonts w:hint="eastAsia" w:ascii="Arial" w:hAnsi="Arial" w:cs="Arial"/>
          <w:sz w:val="21"/>
          <w:szCs w:val="21"/>
        </w:rPr>
        <w:t>68.05</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为44.09元/平方米·月（含物业费1.47元/平方米·月、取暖费2.5元/平方米·月）</w:t>
      </w:r>
      <w:r>
        <w:rPr>
          <w:rFonts w:ascii="Arial" w:hAnsi="Arial" w:cs="Arial"/>
          <w:sz w:val="21"/>
          <w:szCs w:val="21"/>
        </w:rPr>
        <w:t>。</w:t>
      </w:r>
    </w:p>
    <w:p w14:paraId="576E0FD0">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可比实例6</w:t>
      </w:r>
      <w:r>
        <w:rPr>
          <w:rFonts w:ascii="Arial" w:hAnsi="Arial" w:cs="Arial"/>
          <w:sz w:val="21"/>
          <w:szCs w:val="21"/>
        </w:rPr>
        <w:t>：</w:t>
      </w:r>
    </w:p>
    <w:p w14:paraId="34618032">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联港嘉园</w:t>
      </w:r>
    </w:p>
    <w:p w14:paraId="1B7FCBA4">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大兴区文新南街272号</w:t>
      </w:r>
    </w:p>
    <w:p w14:paraId="10B42561">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6A0AA2B3">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35108A2A">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48291951">
      <w:pPr>
        <w:wordWrap w:val="0"/>
        <w:overflowPunct w:val="0"/>
        <w:spacing w:line="480" w:lineRule="auto"/>
        <w:ind w:firstLine="420" w:firstLineChars="200"/>
        <w:jc w:val="both"/>
        <w:rPr>
          <w:rFonts w:hint="eastAsia" w:ascii="Arial" w:hAnsi="Arial" w:cs="Arial"/>
          <w:sz w:val="21"/>
          <w:szCs w:val="21"/>
        </w:rPr>
      </w:pPr>
      <w:r>
        <w:rPr>
          <w:rFonts w:hint="eastAsia" w:ascii="Arial" w:hAnsi="Arial" w:cs="Arial"/>
          <w:sz w:val="21"/>
          <w:szCs w:val="21"/>
        </w:rPr>
        <w:t>可比实例6周边有德贤华府、埝坛华庭西区、埝坛华庭北区等居住项目，居住小区规模适中，入住率一般，综合评价居住社区成熟度一般</w:t>
      </w:r>
      <w:r>
        <w:rPr>
          <w:rFonts w:ascii="Arial" w:hAnsi="Arial" w:cs="Arial"/>
          <w:sz w:val="21"/>
          <w:szCs w:val="21"/>
        </w:rPr>
        <w:t>；紧邻城市</w:t>
      </w:r>
      <w:r>
        <w:rPr>
          <w:rFonts w:hint="eastAsia" w:ascii="Arial" w:hAnsi="Arial" w:cs="Arial"/>
          <w:sz w:val="21"/>
          <w:szCs w:val="21"/>
        </w:rPr>
        <w:t>主干道——兴良路</w:t>
      </w:r>
      <w:r>
        <w:rPr>
          <w:rFonts w:ascii="Arial" w:hAnsi="Arial" w:cs="Arial"/>
          <w:sz w:val="21"/>
          <w:szCs w:val="21"/>
        </w:rPr>
        <w:t>，</w:t>
      </w:r>
      <w:r>
        <w:rPr>
          <w:rFonts w:hint="eastAsia" w:ascii="Arial" w:hAnsi="Arial" w:cs="Arial"/>
          <w:kern w:val="2"/>
          <w:sz w:val="21"/>
          <w:szCs w:val="21"/>
        </w:rPr>
        <w:t>周边2公里范围内无轨道交通站点，周边1公里内有兴13路、兴37路、兴53路、840路等公交线路途径并设立站点，综合评价交通便捷度一般；</w:t>
      </w:r>
      <w:r>
        <w:rPr>
          <w:rFonts w:hint="eastAsia" w:ascii="Arial" w:hAnsi="Arial" w:cs="Arial"/>
          <w:sz w:val="21"/>
          <w:szCs w:val="21"/>
        </w:rPr>
        <w:t>周边2公里有念坛公园、兴良路公园、永定公园、小龙河等自然景观，有首都医科大学（大兴校区）、金隅高新产业园等人文环境、综合评价自然与人文环境较好</w:t>
      </w:r>
      <w:r>
        <w:rPr>
          <w:rFonts w:ascii="Arial" w:hAnsi="Arial" w:cs="Arial"/>
          <w:sz w:val="21"/>
          <w:szCs w:val="21"/>
        </w:rPr>
        <w:t>；</w:t>
      </w:r>
      <w:r>
        <w:rPr>
          <w:rFonts w:hint="eastAsia" w:ascii="Arial" w:hAnsi="Arial" w:cs="Arial"/>
          <w:sz w:val="21"/>
          <w:szCs w:val="21"/>
        </w:rPr>
        <w:t>周边2公里范围内无大型购物中心，有世纪华联超市（太福店）超市等生活配套商业；有北京教育学院附属大兴实验小学、联港嘉园幼儿园等教育机构，有北臧村社区卫生服务中心等医疗机构；有北京农商银行（联港嘉园分理处）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可比实例6</w:t>
      </w:r>
      <w:r>
        <w:rPr>
          <w:rFonts w:ascii="Arial" w:hAnsi="Arial" w:cs="Arial"/>
          <w:sz w:val="21"/>
          <w:szCs w:val="21"/>
        </w:rPr>
        <w:t>为</w:t>
      </w:r>
      <w:r>
        <w:rPr>
          <w:rFonts w:hint="eastAsia" w:ascii="Arial" w:hAnsi="Arial" w:cs="Arial"/>
          <w:sz w:val="21"/>
          <w:szCs w:val="21"/>
        </w:rPr>
        <w:t>一</w:t>
      </w:r>
      <w:r>
        <w:rPr>
          <w:rFonts w:ascii="Arial" w:hAnsi="Arial" w:cs="Arial"/>
          <w:sz w:val="21"/>
          <w:szCs w:val="21"/>
        </w:rPr>
        <w:t>居室户型，</w:t>
      </w:r>
      <w:r>
        <w:rPr>
          <w:rFonts w:hint="eastAsia" w:ascii="Arial" w:hAnsi="Arial" w:cs="Arial"/>
          <w:sz w:val="21"/>
          <w:szCs w:val="21"/>
        </w:rPr>
        <w:t>高</w:t>
      </w:r>
      <w:r>
        <w:rPr>
          <w:rFonts w:ascii="Arial" w:hAnsi="Arial" w:cs="Arial"/>
          <w:sz w:val="21"/>
          <w:szCs w:val="21"/>
        </w:rPr>
        <w:t>楼层，</w:t>
      </w:r>
      <w:r>
        <w:rPr>
          <w:rFonts w:hint="eastAsia" w:ascii="Arial" w:hAnsi="Arial" w:cs="Arial"/>
          <w:sz w:val="21"/>
          <w:szCs w:val="21"/>
        </w:rPr>
        <w:t>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13</w:t>
      </w:r>
      <w:r>
        <w:rPr>
          <w:rFonts w:ascii="Arial" w:hAnsi="Arial" w:cs="Arial"/>
          <w:sz w:val="21"/>
          <w:szCs w:val="21"/>
        </w:rPr>
        <w:t>年，建筑结构为钢混结构，</w:t>
      </w:r>
      <w:r>
        <w:rPr>
          <w:rFonts w:hint="eastAsia" w:ascii="Arial" w:hAnsi="Arial" w:cs="Arial"/>
          <w:sz w:val="21"/>
          <w:szCs w:val="21"/>
        </w:rPr>
        <w:t>装修为中档装修</w:t>
      </w:r>
      <w:r>
        <w:rPr>
          <w:rFonts w:ascii="Arial" w:hAnsi="Arial" w:cs="Arial"/>
          <w:sz w:val="21"/>
          <w:szCs w:val="21"/>
        </w:rPr>
        <w:t>，建筑面积为</w:t>
      </w:r>
      <w:r>
        <w:rPr>
          <w:rFonts w:hint="eastAsia" w:ascii="Arial" w:hAnsi="Arial" w:cs="Arial"/>
          <w:sz w:val="21"/>
          <w:szCs w:val="21"/>
        </w:rPr>
        <w:t>66.16</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w:t>
      </w:r>
    </w:p>
    <w:p w14:paraId="56913EA1">
      <w:pPr>
        <w:wordWrap w:val="0"/>
        <w:overflowPunct w:val="0"/>
        <w:spacing w:line="480" w:lineRule="auto"/>
        <w:jc w:val="both"/>
        <w:rPr>
          <w:rFonts w:ascii="Arial" w:hAnsi="Arial" w:cs="Arial"/>
          <w:sz w:val="21"/>
          <w:szCs w:val="21"/>
        </w:rPr>
      </w:pPr>
      <w:r>
        <w:rPr>
          <w:rFonts w:hint="eastAsia" w:ascii="Arial" w:hAnsi="Arial" w:cs="Arial"/>
          <w:sz w:val="21"/>
          <w:szCs w:val="21"/>
        </w:rPr>
        <w:t>45.34元/平方米·月（含物业费1.56元/平方米·月、取暖费2.5元/平方米·月）</w:t>
      </w:r>
      <w:r>
        <w:rPr>
          <w:rFonts w:ascii="Arial" w:hAnsi="Arial" w:cs="Arial"/>
          <w:sz w:val="21"/>
          <w:szCs w:val="21"/>
        </w:rPr>
        <w:t>。</w:t>
      </w:r>
    </w:p>
    <w:p w14:paraId="1D1C8A5F">
      <w:pPr>
        <w:rPr>
          <w:rFonts w:hint="eastAsia" w:ascii="宋体" w:hAnsi="宋体"/>
          <w:sz w:val="21"/>
          <w:szCs w:val="21"/>
        </w:rPr>
      </w:pPr>
      <w:r>
        <w:rPr>
          <w:rFonts w:hint="eastAsia" w:ascii="宋体" w:hAnsi="宋体"/>
          <w:sz w:val="21"/>
          <w:szCs w:val="21"/>
        </w:rPr>
        <w:br w:type="page"/>
      </w:r>
    </w:p>
    <w:p w14:paraId="6AF516DB">
      <w:pPr>
        <w:wordWrap w:val="0"/>
        <w:overflowPunct w:val="0"/>
        <w:spacing w:line="480" w:lineRule="auto"/>
        <w:ind w:firstLine="420" w:firstLineChars="200"/>
        <w:rPr>
          <w:rFonts w:hint="eastAsia" w:ascii="宋体" w:hAnsi="宋体"/>
          <w:sz w:val="21"/>
          <w:szCs w:val="21"/>
        </w:rPr>
      </w:pPr>
      <w:r>
        <w:rPr>
          <w:rFonts w:hint="eastAsia" w:ascii="宋体" w:hAnsi="宋体"/>
          <w:sz w:val="21"/>
          <w:szCs w:val="21"/>
        </w:rPr>
        <w:t>建立比较基础</w:t>
      </w:r>
    </w:p>
    <w:tbl>
      <w:tblPr>
        <w:tblStyle w:val="33"/>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2047"/>
        <w:gridCol w:w="1812"/>
        <w:gridCol w:w="1812"/>
        <w:gridCol w:w="1812"/>
        <w:gridCol w:w="1815"/>
      </w:tblGrid>
      <w:tr w14:paraId="77B5F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577AC02D">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交易案例</w:t>
            </w:r>
          </w:p>
        </w:tc>
        <w:tc>
          <w:tcPr>
            <w:tcW w:w="1812" w:type="dxa"/>
            <w:vAlign w:val="center"/>
          </w:tcPr>
          <w:p w14:paraId="1B2B587D">
            <w:pPr>
              <w:pStyle w:val="61"/>
              <w:autoSpaceDE w:val="0"/>
              <w:autoSpaceDN w:val="0"/>
              <w:spacing w:line="240" w:lineRule="exact"/>
              <w:textAlignment w:val="bottom"/>
              <w:rPr>
                <w:rFonts w:ascii="Arial" w:hAnsi="Arial" w:cs="Arial"/>
                <w:sz w:val="16"/>
                <w:szCs w:val="18"/>
              </w:rPr>
            </w:pPr>
            <w:r>
              <w:rPr>
                <w:rFonts w:ascii="Arial" w:hAnsi="Arial" w:cs="Arial"/>
                <w:sz w:val="16"/>
                <w:szCs w:val="18"/>
              </w:rPr>
              <w:t>估价对象</w:t>
            </w:r>
          </w:p>
        </w:tc>
        <w:tc>
          <w:tcPr>
            <w:tcW w:w="1812" w:type="dxa"/>
            <w:vAlign w:val="center"/>
          </w:tcPr>
          <w:p w14:paraId="68EE7A97">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w:t>
            </w:r>
            <w:r>
              <w:rPr>
                <w:rFonts w:hint="eastAsia" w:ascii="Arial" w:hAnsi="Arial" w:cs="Arial"/>
                <w:sz w:val="16"/>
                <w:szCs w:val="18"/>
              </w:rPr>
              <w:t>4</w:t>
            </w:r>
          </w:p>
        </w:tc>
        <w:tc>
          <w:tcPr>
            <w:tcW w:w="1812" w:type="dxa"/>
            <w:vAlign w:val="center"/>
          </w:tcPr>
          <w:p w14:paraId="1FE1E220">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w:t>
            </w:r>
            <w:r>
              <w:rPr>
                <w:rFonts w:hint="eastAsia" w:ascii="Arial" w:hAnsi="Arial" w:cs="Arial"/>
                <w:sz w:val="16"/>
                <w:szCs w:val="18"/>
              </w:rPr>
              <w:t>5</w:t>
            </w:r>
          </w:p>
        </w:tc>
        <w:tc>
          <w:tcPr>
            <w:tcW w:w="1815" w:type="dxa"/>
            <w:vAlign w:val="center"/>
          </w:tcPr>
          <w:p w14:paraId="37ACB559">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w:t>
            </w:r>
            <w:r>
              <w:rPr>
                <w:rFonts w:hint="eastAsia" w:ascii="Arial" w:hAnsi="Arial" w:cs="Arial"/>
                <w:sz w:val="16"/>
                <w:szCs w:val="18"/>
              </w:rPr>
              <w:t>6</w:t>
            </w:r>
          </w:p>
        </w:tc>
      </w:tr>
      <w:tr w14:paraId="7CAF1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1B78E512">
            <w:pPr>
              <w:pStyle w:val="61"/>
              <w:autoSpaceDE w:val="0"/>
              <w:autoSpaceDN w:val="0"/>
              <w:spacing w:line="240" w:lineRule="exact"/>
              <w:textAlignment w:val="bottom"/>
              <w:rPr>
                <w:rFonts w:ascii="Arial" w:hAnsi="Arial" w:cs="Arial"/>
                <w:sz w:val="16"/>
                <w:szCs w:val="18"/>
              </w:rPr>
            </w:pPr>
            <w:r>
              <w:rPr>
                <w:rFonts w:ascii="Arial" w:hAnsi="Arial" w:cs="Arial"/>
                <w:sz w:val="16"/>
                <w:szCs w:val="18"/>
              </w:rPr>
              <w:t>项目名称</w:t>
            </w:r>
          </w:p>
        </w:tc>
        <w:tc>
          <w:tcPr>
            <w:tcW w:w="1812" w:type="dxa"/>
            <w:vAlign w:val="center"/>
          </w:tcPr>
          <w:p w14:paraId="07F8A5B4">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福兴雅苑</w:t>
            </w:r>
          </w:p>
        </w:tc>
        <w:tc>
          <w:tcPr>
            <w:tcW w:w="1812" w:type="dxa"/>
            <w:vAlign w:val="center"/>
          </w:tcPr>
          <w:p w14:paraId="68F9ACC6">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1812" w:type="dxa"/>
            <w:vAlign w:val="center"/>
          </w:tcPr>
          <w:p w14:paraId="4D662595">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锦华园</w:t>
            </w:r>
          </w:p>
        </w:tc>
        <w:tc>
          <w:tcPr>
            <w:tcW w:w="1815" w:type="dxa"/>
            <w:vAlign w:val="center"/>
          </w:tcPr>
          <w:p w14:paraId="62BCB66B">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r>
      <w:tr w14:paraId="2FE3D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6469ED5E">
            <w:pPr>
              <w:pStyle w:val="61"/>
              <w:autoSpaceDE w:val="0"/>
              <w:autoSpaceDN w:val="0"/>
              <w:spacing w:line="240" w:lineRule="exact"/>
              <w:textAlignment w:val="bottom"/>
              <w:rPr>
                <w:rFonts w:ascii="Arial" w:hAnsi="Arial" w:cs="Arial"/>
                <w:sz w:val="16"/>
                <w:szCs w:val="18"/>
              </w:rPr>
            </w:pPr>
            <w:r>
              <w:rPr>
                <w:rFonts w:ascii="Arial" w:hAnsi="Arial" w:cs="Arial"/>
                <w:sz w:val="16"/>
                <w:szCs w:val="18"/>
              </w:rPr>
              <w:t>租金价格（元/㎡·</w:t>
            </w:r>
            <w:r>
              <w:rPr>
                <w:rFonts w:hint="eastAsia" w:ascii="Arial" w:hAnsi="Arial" w:cs="Arial"/>
                <w:sz w:val="16"/>
                <w:szCs w:val="18"/>
              </w:rPr>
              <w:t>月</w:t>
            </w:r>
            <w:r>
              <w:rPr>
                <w:rFonts w:ascii="Arial" w:hAnsi="Arial" w:cs="Arial"/>
                <w:sz w:val="16"/>
                <w:szCs w:val="18"/>
              </w:rPr>
              <w:t>）</w:t>
            </w:r>
          </w:p>
        </w:tc>
        <w:tc>
          <w:tcPr>
            <w:tcW w:w="1812" w:type="dxa"/>
            <w:vAlign w:val="center"/>
          </w:tcPr>
          <w:p w14:paraId="4EC4260F">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55F4F167">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44.12</w:t>
            </w:r>
          </w:p>
        </w:tc>
        <w:tc>
          <w:tcPr>
            <w:tcW w:w="1812" w:type="dxa"/>
            <w:vAlign w:val="center"/>
          </w:tcPr>
          <w:p w14:paraId="30DDE219">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44.09</w:t>
            </w:r>
          </w:p>
        </w:tc>
        <w:tc>
          <w:tcPr>
            <w:tcW w:w="1815" w:type="dxa"/>
            <w:vAlign w:val="center"/>
          </w:tcPr>
          <w:p w14:paraId="4B379F37">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45.34</w:t>
            </w:r>
          </w:p>
        </w:tc>
      </w:tr>
      <w:tr w14:paraId="5A9E0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2" w:hRule="atLeast"/>
          <w:jc w:val="center"/>
        </w:trPr>
        <w:tc>
          <w:tcPr>
            <w:tcW w:w="2047" w:type="dxa"/>
            <w:vMerge w:val="restart"/>
            <w:vAlign w:val="center"/>
          </w:tcPr>
          <w:p w14:paraId="53657AED">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p>
        </w:tc>
        <w:tc>
          <w:tcPr>
            <w:tcW w:w="1812" w:type="dxa"/>
            <w:vAlign w:val="center"/>
          </w:tcPr>
          <w:p w14:paraId="7729B4E1">
            <w:pPr>
              <w:pStyle w:val="61"/>
              <w:autoSpaceDE w:val="0"/>
              <w:autoSpaceDN w:val="0"/>
              <w:spacing w:line="240" w:lineRule="exact"/>
              <w:textAlignment w:val="bottom"/>
              <w:rPr>
                <w:rFonts w:hint="eastAsia" w:ascii="Arial" w:hAnsi="Arial" w:eastAsia="宋体" w:cs="Arial"/>
                <w:sz w:val="16"/>
                <w:szCs w:val="18"/>
                <w:lang w:eastAsia="zh-CN"/>
              </w:rPr>
            </w:pPr>
            <w:r>
              <w:rPr>
                <w:rFonts w:hint="eastAsia" w:ascii="Arial" w:hAnsi="Arial" w:cs="Arial"/>
                <w:sz w:val="16"/>
                <w:szCs w:val="18"/>
                <w:lang w:eastAsia="zh-CN"/>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p>
        </w:tc>
        <w:tc>
          <w:tcPr>
            <w:tcW w:w="1812" w:type="dxa"/>
            <w:vAlign w:val="center"/>
          </w:tcPr>
          <w:p w14:paraId="160D1354">
            <w:pPr>
              <w:autoSpaceDE w:val="0"/>
              <w:autoSpaceDN w:val="0"/>
              <w:spacing w:line="240" w:lineRule="exact"/>
              <w:jc w:val="center"/>
              <w:textAlignment w:val="bottom"/>
              <w:rPr>
                <w:rFonts w:hint="eastAsia" w:ascii="Arial" w:hAnsi="Arial" w:eastAsia="宋体" w:cs="Arial"/>
                <w:sz w:val="16"/>
                <w:szCs w:val="18"/>
                <w:lang w:eastAsia="zh-CN"/>
              </w:rPr>
            </w:pPr>
            <w:r>
              <w:rPr>
                <w:rFonts w:hint="eastAsia" w:ascii="Arial" w:hAnsi="Arial" w:cs="Arial"/>
                <w:sz w:val="16"/>
                <w:szCs w:val="18"/>
                <w:lang w:eastAsia="zh-CN"/>
              </w:rPr>
              <w:t>含房屋、家具家电使用费及租赁税费、物业费、供暖费、有线电视费，不含增值服务费、制冷费、水电费、天然气费、通信费、上网宽带费、车位使用费等</w:t>
            </w:r>
          </w:p>
        </w:tc>
        <w:tc>
          <w:tcPr>
            <w:tcW w:w="1812" w:type="dxa"/>
            <w:vAlign w:val="center"/>
          </w:tcPr>
          <w:p w14:paraId="0EAB2D19">
            <w:pPr>
              <w:spacing w:line="276" w:lineRule="auto"/>
              <w:rPr>
                <w:rFonts w:hint="eastAsia" w:eastAsia="宋体"/>
                <w:sz w:val="16"/>
                <w:lang w:eastAsia="zh-CN"/>
              </w:rPr>
            </w:pPr>
            <w:r>
              <w:rPr>
                <w:rFonts w:hint="eastAsia" w:ascii="Arial" w:hAnsi="Arial" w:cs="Arial"/>
                <w:sz w:val="16"/>
                <w:szCs w:val="18"/>
                <w:lang w:eastAsia="zh-CN"/>
              </w:rPr>
              <w:t>含房屋、家具家电使用费及租赁税费、物业费、供暖费、有线电视费，不含增值服务费、制冷费、水电费、天然气费、通信费、上网宽带费、车位使用费等</w:t>
            </w:r>
          </w:p>
        </w:tc>
        <w:tc>
          <w:tcPr>
            <w:tcW w:w="1815" w:type="dxa"/>
            <w:vAlign w:val="center"/>
          </w:tcPr>
          <w:p w14:paraId="57EDD8AB">
            <w:pPr>
              <w:spacing w:line="276" w:lineRule="auto"/>
              <w:rPr>
                <w:rFonts w:hint="eastAsia" w:eastAsia="宋体"/>
                <w:sz w:val="16"/>
                <w:lang w:eastAsia="zh-CN"/>
              </w:rPr>
            </w:pPr>
            <w:r>
              <w:rPr>
                <w:rFonts w:hint="eastAsia" w:ascii="Arial" w:hAnsi="Arial" w:cs="Arial"/>
                <w:sz w:val="16"/>
                <w:szCs w:val="18"/>
                <w:lang w:eastAsia="zh-CN"/>
              </w:rPr>
              <w:t>含房屋、家具家电使用费及租赁税费、物业费、供暖费、有线电视费，不含增值服务费、制冷费、水电费、天然气费、通信费、上网宽带费、车位使用费等</w:t>
            </w:r>
          </w:p>
        </w:tc>
      </w:tr>
      <w:tr w14:paraId="73C68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7BA55604">
            <w:pPr>
              <w:pStyle w:val="61"/>
              <w:autoSpaceDE w:val="0"/>
              <w:autoSpaceDN w:val="0"/>
              <w:spacing w:line="240" w:lineRule="exact"/>
              <w:textAlignment w:val="bottom"/>
              <w:rPr>
                <w:rFonts w:ascii="Arial" w:hAnsi="Arial" w:cs="Arial"/>
                <w:sz w:val="16"/>
                <w:szCs w:val="18"/>
              </w:rPr>
            </w:pPr>
          </w:p>
        </w:tc>
        <w:tc>
          <w:tcPr>
            <w:tcW w:w="1812" w:type="dxa"/>
            <w:vAlign w:val="center"/>
          </w:tcPr>
          <w:p w14:paraId="10E1C0E1">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扣减物业费、供暖费</w:t>
            </w:r>
            <w:r>
              <w:rPr>
                <w:rFonts w:ascii="Arial" w:hAnsi="Arial" w:cs="Arial"/>
                <w:sz w:val="16"/>
                <w:szCs w:val="18"/>
              </w:rPr>
              <w:t>（</w:t>
            </w:r>
            <w:r>
              <w:rPr>
                <w:rFonts w:hint="eastAsia" w:ascii="Arial" w:hAnsi="Arial" w:cs="Arial"/>
                <w:sz w:val="16"/>
                <w:szCs w:val="18"/>
                <w:lang w:eastAsia="zh-CN"/>
              </w:rPr>
              <w:t>元/㎡·月</w:t>
            </w:r>
            <w:r>
              <w:rPr>
                <w:rFonts w:ascii="Arial" w:hAnsi="Arial" w:cs="Arial"/>
                <w:sz w:val="16"/>
                <w:szCs w:val="18"/>
              </w:rPr>
              <w:t>）</w:t>
            </w:r>
          </w:p>
        </w:tc>
        <w:tc>
          <w:tcPr>
            <w:tcW w:w="1812" w:type="dxa"/>
            <w:vAlign w:val="center"/>
          </w:tcPr>
          <w:p w14:paraId="3FB14118">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3.60</w:t>
            </w:r>
          </w:p>
        </w:tc>
        <w:tc>
          <w:tcPr>
            <w:tcW w:w="1812" w:type="dxa"/>
            <w:vAlign w:val="center"/>
          </w:tcPr>
          <w:p w14:paraId="0E1B08E4">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3.97</w:t>
            </w:r>
          </w:p>
        </w:tc>
        <w:tc>
          <w:tcPr>
            <w:tcW w:w="1815" w:type="dxa"/>
            <w:vAlign w:val="center"/>
          </w:tcPr>
          <w:p w14:paraId="3E30DE22">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4.06</w:t>
            </w:r>
          </w:p>
        </w:tc>
      </w:tr>
      <w:tr w14:paraId="6A3C3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22315F59">
            <w:pPr>
              <w:pStyle w:val="61"/>
              <w:autoSpaceDE w:val="0"/>
              <w:autoSpaceDN w:val="0"/>
              <w:spacing w:line="240" w:lineRule="exact"/>
              <w:textAlignment w:val="bottom"/>
              <w:rPr>
                <w:rFonts w:ascii="Arial" w:hAnsi="Arial" w:cs="Arial"/>
                <w:sz w:val="16"/>
                <w:szCs w:val="18"/>
              </w:rPr>
            </w:pPr>
          </w:p>
        </w:tc>
        <w:tc>
          <w:tcPr>
            <w:tcW w:w="1812" w:type="dxa"/>
            <w:vAlign w:val="center"/>
          </w:tcPr>
          <w:p w14:paraId="5B23ABAD">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r>
              <w:rPr>
                <w:rFonts w:hint="eastAsia" w:ascii="Arial" w:hAnsi="Arial" w:cs="Arial"/>
                <w:sz w:val="16"/>
                <w:szCs w:val="18"/>
              </w:rPr>
              <w:t>后价格</w:t>
            </w:r>
            <w:r>
              <w:rPr>
                <w:rFonts w:ascii="Arial" w:hAnsi="Arial" w:cs="Arial"/>
                <w:sz w:val="16"/>
                <w:szCs w:val="18"/>
              </w:rPr>
              <w:t>（</w:t>
            </w:r>
            <w:r>
              <w:rPr>
                <w:rFonts w:hint="eastAsia" w:ascii="Arial" w:hAnsi="Arial" w:cs="Arial"/>
                <w:sz w:val="16"/>
                <w:szCs w:val="18"/>
                <w:lang w:eastAsia="zh-CN"/>
              </w:rPr>
              <w:t>元/㎡·月</w:t>
            </w:r>
            <w:r>
              <w:rPr>
                <w:rFonts w:ascii="Arial" w:hAnsi="Arial" w:cs="Arial"/>
                <w:sz w:val="16"/>
                <w:szCs w:val="18"/>
              </w:rPr>
              <w:t>）</w:t>
            </w:r>
          </w:p>
        </w:tc>
        <w:tc>
          <w:tcPr>
            <w:tcW w:w="1812" w:type="dxa"/>
            <w:vAlign w:val="center"/>
          </w:tcPr>
          <w:p w14:paraId="027DFD98">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40.52</w:t>
            </w:r>
          </w:p>
        </w:tc>
        <w:tc>
          <w:tcPr>
            <w:tcW w:w="1812" w:type="dxa"/>
            <w:vAlign w:val="center"/>
          </w:tcPr>
          <w:p w14:paraId="3676595B">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40.12</w:t>
            </w:r>
          </w:p>
        </w:tc>
        <w:tc>
          <w:tcPr>
            <w:tcW w:w="1815" w:type="dxa"/>
            <w:vAlign w:val="center"/>
          </w:tcPr>
          <w:p w14:paraId="754EC72F">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41.28</w:t>
            </w:r>
          </w:p>
        </w:tc>
      </w:tr>
      <w:tr w14:paraId="521AB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24657A8B">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统一租赁行为条件</w:t>
            </w:r>
          </w:p>
        </w:tc>
        <w:tc>
          <w:tcPr>
            <w:tcW w:w="1812" w:type="dxa"/>
            <w:vAlign w:val="center"/>
          </w:tcPr>
          <w:p w14:paraId="641AF445">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7919E9BB">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7228B5FF">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5" w:type="dxa"/>
          </w:tcPr>
          <w:p w14:paraId="1EDAFCA3">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r>
      <w:tr w14:paraId="0DE1D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66C1388E">
            <w:pPr>
              <w:pStyle w:val="61"/>
              <w:autoSpaceDE w:val="0"/>
              <w:autoSpaceDN w:val="0"/>
              <w:spacing w:line="240" w:lineRule="exact"/>
              <w:textAlignment w:val="bottom"/>
              <w:rPr>
                <w:rFonts w:ascii="Arial" w:hAnsi="Arial" w:cs="Arial"/>
                <w:sz w:val="16"/>
                <w:szCs w:val="18"/>
              </w:rPr>
            </w:pPr>
          </w:p>
        </w:tc>
        <w:tc>
          <w:tcPr>
            <w:tcW w:w="1812" w:type="dxa"/>
            <w:vAlign w:val="center"/>
          </w:tcPr>
          <w:p w14:paraId="1DA381AB">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24B24E0C">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6768DC6D">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3CDD3909">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0CBAC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2BE62AA0">
            <w:pPr>
              <w:pStyle w:val="61"/>
              <w:autoSpaceDE w:val="0"/>
              <w:autoSpaceDN w:val="0"/>
              <w:spacing w:line="240" w:lineRule="exact"/>
              <w:textAlignment w:val="bottom"/>
              <w:rPr>
                <w:rFonts w:ascii="Arial" w:hAnsi="Arial" w:cs="Arial"/>
                <w:sz w:val="16"/>
                <w:szCs w:val="18"/>
              </w:rPr>
            </w:pPr>
            <w:r>
              <w:rPr>
                <w:rFonts w:ascii="Arial" w:hAnsi="Arial" w:cs="Arial"/>
                <w:sz w:val="16"/>
                <w:szCs w:val="18"/>
              </w:rPr>
              <w:t>统一计价单位</w:t>
            </w:r>
          </w:p>
        </w:tc>
        <w:tc>
          <w:tcPr>
            <w:tcW w:w="1812" w:type="dxa"/>
            <w:vAlign w:val="center"/>
          </w:tcPr>
          <w:p w14:paraId="37FE04E2">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270E13E4">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621DD7BC">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5" w:type="dxa"/>
            <w:vAlign w:val="center"/>
          </w:tcPr>
          <w:p w14:paraId="2DEA3332">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r>
      <w:tr w14:paraId="37ECC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75861800">
            <w:pPr>
              <w:pStyle w:val="61"/>
              <w:autoSpaceDE w:val="0"/>
              <w:autoSpaceDN w:val="0"/>
              <w:spacing w:line="240" w:lineRule="exact"/>
              <w:textAlignment w:val="bottom"/>
              <w:rPr>
                <w:rFonts w:ascii="Arial" w:hAnsi="Arial" w:cs="Arial"/>
                <w:sz w:val="16"/>
                <w:szCs w:val="18"/>
              </w:rPr>
            </w:pPr>
          </w:p>
        </w:tc>
        <w:tc>
          <w:tcPr>
            <w:tcW w:w="1812" w:type="dxa"/>
            <w:vAlign w:val="center"/>
          </w:tcPr>
          <w:p w14:paraId="3453BA27">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0B193147">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608432BA">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4A9B03C7">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74C62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127F5016">
            <w:pPr>
              <w:pStyle w:val="61"/>
              <w:autoSpaceDE w:val="0"/>
              <w:autoSpaceDN w:val="0"/>
              <w:spacing w:line="240" w:lineRule="exact"/>
              <w:textAlignment w:val="bottom"/>
              <w:rPr>
                <w:rFonts w:ascii="Arial" w:hAnsi="Arial" w:cs="Arial"/>
                <w:sz w:val="16"/>
                <w:szCs w:val="18"/>
              </w:rPr>
            </w:pPr>
            <w:r>
              <w:rPr>
                <w:rFonts w:ascii="Arial" w:hAnsi="Arial" w:cs="Arial"/>
                <w:sz w:val="16"/>
                <w:szCs w:val="18"/>
              </w:rPr>
              <w:t>价格（</w:t>
            </w:r>
            <w:r>
              <w:rPr>
                <w:rFonts w:hint="eastAsia" w:ascii="Arial" w:hAnsi="Arial" w:cs="Arial"/>
                <w:sz w:val="16"/>
                <w:szCs w:val="18"/>
                <w:lang w:eastAsia="zh-CN"/>
              </w:rPr>
              <w:t>元/㎡·月</w:t>
            </w:r>
            <w:r>
              <w:rPr>
                <w:rFonts w:ascii="Arial" w:hAnsi="Arial" w:cs="Arial"/>
                <w:sz w:val="16"/>
                <w:szCs w:val="18"/>
              </w:rPr>
              <w:t>）</w:t>
            </w:r>
          </w:p>
        </w:tc>
        <w:tc>
          <w:tcPr>
            <w:tcW w:w="1812" w:type="dxa"/>
            <w:vAlign w:val="center"/>
          </w:tcPr>
          <w:p w14:paraId="39300C3F">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0352A5D5">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40.52</w:t>
            </w:r>
          </w:p>
        </w:tc>
        <w:tc>
          <w:tcPr>
            <w:tcW w:w="1812" w:type="dxa"/>
            <w:vAlign w:val="center"/>
          </w:tcPr>
          <w:p w14:paraId="14B080CC">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40.12</w:t>
            </w:r>
          </w:p>
        </w:tc>
        <w:tc>
          <w:tcPr>
            <w:tcW w:w="1815" w:type="dxa"/>
            <w:vAlign w:val="center"/>
          </w:tcPr>
          <w:p w14:paraId="5249D03A">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41.28</w:t>
            </w:r>
          </w:p>
        </w:tc>
      </w:tr>
    </w:tbl>
    <w:p w14:paraId="700BA26A">
      <w:pPr>
        <w:wordWrap w:val="0"/>
        <w:overflowPunct w:val="0"/>
        <w:spacing w:line="480" w:lineRule="auto"/>
        <w:ind w:firstLine="420" w:firstLineChars="200"/>
        <w:rPr>
          <w:rFonts w:hint="eastAsia" w:ascii="宋体" w:hAnsi="宋体"/>
          <w:sz w:val="21"/>
          <w:szCs w:val="21"/>
        </w:rPr>
      </w:pPr>
      <w:r>
        <w:rPr>
          <w:rFonts w:ascii="宋体" w:hAnsi="宋体"/>
          <w:sz w:val="21"/>
          <w:szCs w:val="21"/>
        </w:rPr>
        <w:br w:type="page"/>
      </w:r>
      <w:r>
        <w:rPr>
          <w:rFonts w:hint="eastAsia" w:ascii="宋体" w:hAnsi="宋体"/>
          <w:sz w:val="21"/>
          <w:szCs w:val="21"/>
        </w:rPr>
        <w:t>各实例位置如下：</w:t>
      </w:r>
    </w:p>
    <w:tbl>
      <w:tblPr>
        <w:tblStyle w:val="33"/>
        <w:tblW w:w="9300"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28" w:type="dxa"/>
          <w:left w:w="28" w:type="dxa"/>
          <w:bottom w:w="28" w:type="dxa"/>
          <w:right w:w="28" w:type="dxa"/>
        </w:tblCellMar>
      </w:tblPr>
      <w:tblGrid>
        <w:gridCol w:w="9300"/>
      </w:tblGrid>
      <w:tr w14:paraId="2C8F5CA0">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jc w:val="center"/>
        </w:trPr>
        <w:tc>
          <w:tcPr>
            <w:tcW w:w="9300" w:type="dxa"/>
            <w:tcBorders>
              <w:top w:val="dotted" w:color="404040" w:sz="2" w:space="0"/>
              <w:left w:val="dotted" w:color="404040" w:sz="2" w:space="0"/>
              <w:bottom w:val="dotted" w:color="404040" w:sz="2" w:space="0"/>
              <w:right w:val="dotted" w:color="404040" w:sz="2" w:space="0"/>
            </w:tcBorders>
          </w:tcPr>
          <w:p w14:paraId="0962C0E9">
            <w:pPr>
              <w:jc w:val="center"/>
              <w:rPr>
                <w:rFonts w:hint="eastAsia" w:ascii="华文细黑" w:hAnsi="华文细黑" w:eastAsia="华文细黑"/>
              </w:rPr>
            </w:pPr>
            <w:r>
              <w:rPr>
                <w:rFonts w:hint="eastAsia" w:ascii="华文细黑" w:hAnsi="华文细黑" w:eastAsia="华文细黑"/>
              </w:rPr>
              <w:t>实例位置</w:t>
            </w:r>
          </w:p>
        </w:tc>
      </w:tr>
      <w:tr w14:paraId="61831066">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trHeight w:val="6166" w:hRule="atLeast"/>
          <w:jc w:val="center"/>
        </w:trPr>
        <w:tc>
          <w:tcPr>
            <w:tcW w:w="9300" w:type="dxa"/>
            <w:tcBorders>
              <w:top w:val="dotted" w:color="404040" w:sz="2" w:space="0"/>
              <w:left w:val="dotted" w:color="404040" w:sz="2" w:space="0"/>
              <w:bottom w:val="dotted" w:color="404040" w:sz="2" w:space="0"/>
              <w:right w:val="dotted" w:color="404040" w:sz="2" w:space="0"/>
            </w:tcBorders>
          </w:tcPr>
          <w:p w14:paraId="12E11F86">
            <w:pPr>
              <w:jc w:val="center"/>
              <w:rPr>
                <w:rFonts w:ascii="Calibri" w:hAnsi="Calibri"/>
              </w:rPr>
            </w:pPr>
            <w:r>
              <w:drawing>
                <wp:inline distT="0" distB="0" distL="114300" distR="114300">
                  <wp:extent cx="5869940" cy="3662045"/>
                  <wp:effectExtent l="0" t="0" r="12700" b="1079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49"/>
                          <a:stretch>
                            <a:fillRect/>
                          </a:stretch>
                        </pic:blipFill>
                        <pic:spPr>
                          <a:xfrm>
                            <a:off x="0" y="0"/>
                            <a:ext cx="5869940" cy="3662045"/>
                          </a:xfrm>
                          <a:prstGeom prst="rect">
                            <a:avLst/>
                          </a:prstGeom>
                          <a:noFill/>
                          <a:ln>
                            <a:noFill/>
                          </a:ln>
                        </pic:spPr>
                      </pic:pic>
                    </a:graphicData>
                  </a:graphic>
                </wp:inline>
              </w:drawing>
            </w:r>
          </w:p>
        </w:tc>
      </w:tr>
    </w:tbl>
    <w:p w14:paraId="7C190626"/>
    <w:p w14:paraId="670DCBA0">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（1）建立比较因素条件说明表</w:t>
      </w:r>
      <w:r>
        <w:rPr>
          <w:rFonts w:ascii="Arial" w:hAnsi="Arial"/>
          <w:sz w:val="21"/>
          <w:szCs w:val="21"/>
        </w:rPr>
        <w:t xml:space="preserve"> </w:t>
      </w:r>
    </w:p>
    <w:p w14:paraId="1749A1A7">
      <w:pPr>
        <w:wordWrap w:val="0"/>
        <w:overflowPunct w:val="0"/>
        <w:spacing w:line="480" w:lineRule="auto"/>
        <w:ind w:firstLine="420" w:firstLineChars="200"/>
        <w:rPr>
          <w:rFonts w:ascii="Arial" w:hAnsi="Arial"/>
          <w:sz w:val="21"/>
          <w:szCs w:val="21"/>
        </w:rPr>
      </w:pPr>
      <w:r>
        <w:rPr>
          <w:rFonts w:ascii="Arial" w:hAnsi="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Pr>
          <w:rFonts w:hint="eastAsia" w:ascii="Arial" w:hAnsi="Arial"/>
          <w:sz w:val="21"/>
          <w:szCs w:val="21"/>
        </w:rPr>
        <w:t>：</w:t>
      </w:r>
    </w:p>
    <w:p w14:paraId="7ECB460D">
      <w:pPr>
        <w:overflowPunct w:val="0"/>
        <w:spacing w:line="480" w:lineRule="auto"/>
        <w:ind w:firstLine="420" w:firstLineChars="200"/>
        <w:jc w:val="center"/>
        <w:rPr>
          <w:rFonts w:ascii="Arial" w:hAnsi="Arial"/>
          <w:sz w:val="21"/>
          <w:szCs w:val="21"/>
        </w:rPr>
      </w:pPr>
      <w:r>
        <w:rPr>
          <w:rFonts w:hint="eastAsia" w:ascii="Arial" w:hAnsi="Arial"/>
          <w:sz w:val="21"/>
          <w:szCs w:val="21"/>
        </w:rPr>
        <w:t>比较因素情况描述表</w:t>
      </w:r>
    </w:p>
    <w:tbl>
      <w:tblPr>
        <w:tblStyle w:val="33"/>
        <w:tblW w:w="5000" w:type="pct"/>
        <w:jc w:val="center"/>
        <w:tblLayout w:type="autofit"/>
        <w:tblCellMar>
          <w:top w:w="0" w:type="dxa"/>
          <w:left w:w="108" w:type="dxa"/>
          <w:bottom w:w="0" w:type="dxa"/>
          <w:right w:w="108" w:type="dxa"/>
        </w:tblCellMar>
      </w:tblPr>
      <w:tblGrid>
        <w:gridCol w:w="689"/>
        <w:gridCol w:w="1447"/>
        <w:gridCol w:w="1844"/>
        <w:gridCol w:w="1844"/>
        <w:gridCol w:w="1844"/>
        <w:gridCol w:w="1847"/>
      </w:tblGrid>
      <w:tr w14:paraId="022C7D42">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000000" w:sz="4" w:space="0"/>
            </w:tcBorders>
            <w:vAlign w:val="center"/>
          </w:tcPr>
          <w:p w14:paraId="574B5E60">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968" w:type="pct"/>
            <w:tcBorders>
              <w:top w:val="single" w:color="auto" w:sz="4" w:space="0"/>
              <w:left w:val="nil"/>
              <w:bottom w:val="single" w:color="auto" w:sz="4" w:space="0"/>
              <w:right w:val="single" w:color="auto" w:sz="4" w:space="0"/>
            </w:tcBorders>
            <w:vAlign w:val="center"/>
          </w:tcPr>
          <w:p w14:paraId="01707A3F">
            <w:pPr>
              <w:widowControl/>
              <w:adjustRightInd/>
              <w:spacing w:line="240" w:lineRule="auto"/>
              <w:jc w:val="center"/>
              <w:textAlignment w:val="auto"/>
              <w:rPr>
                <w:rFonts w:ascii="Arial" w:hAnsi="Arial" w:cs="Arial"/>
                <w:sz w:val="16"/>
                <w:szCs w:val="18"/>
              </w:rPr>
            </w:pPr>
            <w:r>
              <w:rPr>
                <w:rFonts w:ascii="Arial" w:hAnsi="Arial" w:cs="Arial"/>
                <w:sz w:val="16"/>
                <w:szCs w:val="18"/>
              </w:rPr>
              <w:t>估价对象</w:t>
            </w:r>
          </w:p>
        </w:tc>
        <w:tc>
          <w:tcPr>
            <w:tcW w:w="968" w:type="pct"/>
            <w:tcBorders>
              <w:top w:val="single" w:color="auto" w:sz="4" w:space="0"/>
              <w:left w:val="nil"/>
              <w:bottom w:val="single" w:color="auto" w:sz="4" w:space="0"/>
              <w:right w:val="single" w:color="auto" w:sz="4" w:space="0"/>
            </w:tcBorders>
            <w:vAlign w:val="center"/>
          </w:tcPr>
          <w:p w14:paraId="530E6F8B">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4</w:t>
            </w:r>
          </w:p>
        </w:tc>
        <w:tc>
          <w:tcPr>
            <w:tcW w:w="968" w:type="pct"/>
            <w:tcBorders>
              <w:top w:val="single" w:color="auto" w:sz="4" w:space="0"/>
              <w:left w:val="nil"/>
              <w:bottom w:val="single" w:color="auto" w:sz="4" w:space="0"/>
              <w:right w:val="single" w:color="auto" w:sz="4" w:space="0"/>
            </w:tcBorders>
            <w:vAlign w:val="center"/>
          </w:tcPr>
          <w:p w14:paraId="6BDA0B39">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5</w:t>
            </w:r>
          </w:p>
        </w:tc>
        <w:tc>
          <w:tcPr>
            <w:tcW w:w="970" w:type="pct"/>
            <w:tcBorders>
              <w:top w:val="single" w:color="auto" w:sz="4" w:space="0"/>
              <w:left w:val="nil"/>
              <w:bottom w:val="single" w:color="auto" w:sz="4" w:space="0"/>
              <w:right w:val="single" w:color="auto" w:sz="4" w:space="0"/>
            </w:tcBorders>
            <w:vAlign w:val="center"/>
          </w:tcPr>
          <w:p w14:paraId="26ED8C4F">
            <w:pPr>
              <w:widowControl/>
              <w:adjustRightInd/>
              <w:spacing w:line="240" w:lineRule="auto"/>
              <w:jc w:val="center"/>
              <w:textAlignment w:val="auto"/>
              <w:rPr>
                <w:rFonts w:ascii="Arial" w:hAnsi="Arial" w:cs="Arial"/>
                <w:sz w:val="16"/>
                <w:szCs w:val="18"/>
              </w:rPr>
            </w:pPr>
            <w:r>
              <w:rPr>
                <w:rFonts w:ascii="Arial" w:hAnsi="Arial" w:cs="Arial"/>
                <w:sz w:val="16"/>
                <w:szCs w:val="18"/>
              </w:rPr>
              <w:t>可比案例</w:t>
            </w:r>
            <w:r>
              <w:rPr>
                <w:rFonts w:hint="eastAsia" w:ascii="Arial" w:hAnsi="Arial" w:cs="Arial"/>
                <w:sz w:val="16"/>
                <w:szCs w:val="18"/>
              </w:rPr>
              <w:t>6</w:t>
            </w:r>
          </w:p>
        </w:tc>
      </w:tr>
      <w:tr w14:paraId="7009F076">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7FCDF62F">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968" w:type="pct"/>
            <w:tcBorders>
              <w:top w:val="nil"/>
              <w:left w:val="nil"/>
              <w:bottom w:val="single" w:color="auto" w:sz="4" w:space="0"/>
              <w:right w:val="single" w:color="auto" w:sz="4" w:space="0"/>
            </w:tcBorders>
            <w:vAlign w:val="center"/>
          </w:tcPr>
          <w:p w14:paraId="1B6A6589">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福兴雅苑</w:t>
            </w:r>
          </w:p>
        </w:tc>
        <w:tc>
          <w:tcPr>
            <w:tcW w:w="968" w:type="pct"/>
            <w:tcBorders>
              <w:top w:val="nil"/>
              <w:left w:val="nil"/>
              <w:bottom w:val="single" w:color="auto" w:sz="4" w:space="0"/>
              <w:right w:val="single" w:color="auto" w:sz="4" w:space="0"/>
            </w:tcBorders>
            <w:vAlign w:val="center"/>
          </w:tcPr>
          <w:p w14:paraId="5BC5F7EF">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968" w:type="pct"/>
            <w:tcBorders>
              <w:top w:val="nil"/>
              <w:left w:val="nil"/>
              <w:bottom w:val="single" w:color="auto" w:sz="4" w:space="0"/>
              <w:right w:val="single" w:color="auto" w:sz="4" w:space="0"/>
            </w:tcBorders>
            <w:vAlign w:val="center"/>
          </w:tcPr>
          <w:p w14:paraId="54C56A62">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锦华园</w:t>
            </w:r>
          </w:p>
        </w:tc>
        <w:tc>
          <w:tcPr>
            <w:tcW w:w="970" w:type="pct"/>
            <w:tcBorders>
              <w:top w:val="nil"/>
              <w:left w:val="nil"/>
              <w:bottom w:val="single" w:color="auto" w:sz="4" w:space="0"/>
              <w:right w:val="single" w:color="auto" w:sz="4" w:space="0"/>
            </w:tcBorders>
            <w:vAlign w:val="center"/>
          </w:tcPr>
          <w:p w14:paraId="348F1448">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r>
      <w:tr w14:paraId="3F8E88F9">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485AC4B2">
            <w:pPr>
              <w:widowControl/>
              <w:adjustRightInd/>
              <w:spacing w:line="240" w:lineRule="auto"/>
              <w:jc w:val="center"/>
              <w:textAlignment w:val="auto"/>
              <w:rPr>
                <w:rFonts w:ascii="Arial" w:hAnsi="Arial" w:cs="Arial"/>
                <w:sz w:val="16"/>
                <w:szCs w:val="18"/>
              </w:rPr>
            </w:pPr>
            <w:r>
              <w:rPr>
                <w:rFonts w:ascii="Arial" w:hAnsi="Arial" w:cs="Arial"/>
                <w:sz w:val="16"/>
                <w:szCs w:val="18"/>
              </w:rPr>
              <w:t>平均租金（元/平方米·月）</w:t>
            </w:r>
          </w:p>
        </w:tc>
        <w:tc>
          <w:tcPr>
            <w:tcW w:w="968" w:type="pct"/>
            <w:tcBorders>
              <w:top w:val="nil"/>
              <w:left w:val="nil"/>
              <w:bottom w:val="single" w:color="auto" w:sz="4" w:space="0"/>
              <w:right w:val="single" w:color="auto" w:sz="4" w:space="0"/>
            </w:tcBorders>
            <w:vAlign w:val="center"/>
          </w:tcPr>
          <w:p w14:paraId="5D38B4CF">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968" w:type="pct"/>
            <w:tcBorders>
              <w:top w:val="nil"/>
              <w:left w:val="nil"/>
              <w:bottom w:val="single" w:color="auto" w:sz="4" w:space="0"/>
              <w:right w:val="single" w:color="auto" w:sz="4" w:space="0"/>
            </w:tcBorders>
            <w:vAlign w:val="center"/>
          </w:tcPr>
          <w:p w14:paraId="637D425D">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40.52</w:t>
            </w:r>
          </w:p>
        </w:tc>
        <w:tc>
          <w:tcPr>
            <w:tcW w:w="968" w:type="pct"/>
            <w:tcBorders>
              <w:top w:val="nil"/>
              <w:left w:val="nil"/>
              <w:bottom w:val="single" w:color="auto" w:sz="4" w:space="0"/>
              <w:right w:val="single" w:color="auto" w:sz="4" w:space="0"/>
            </w:tcBorders>
            <w:vAlign w:val="center"/>
          </w:tcPr>
          <w:p w14:paraId="5767C978">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40.12</w:t>
            </w:r>
          </w:p>
        </w:tc>
        <w:tc>
          <w:tcPr>
            <w:tcW w:w="970" w:type="pct"/>
            <w:tcBorders>
              <w:top w:val="nil"/>
              <w:left w:val="nil"/>
              <w:bottom w:val="single" w:color="auto" w:sz="4" w:space="0"/>
              <w:right w:val="single" w:color="auto" w:sz="4" w:space="0"/>
            </w:tcBorders>
            <w:vAlign w:val="center"/>
          </w:tcPr>
          <w:p w14:paraId="43A8D8B6">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41.28</w:t>
            </w:r>
          </w:p>
        </w:tc>
      </w:tr>
      <w:tr w14:paraId="4249D048">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5A297D8A">
            <w:pPr>
              <w:widowControl/>
              <w:adjustRightInd/>
              <w:spacing w:line="240" w:lineRule="auto"/>
              <w:jc w:val="center"/>
              <w:textAlignment w:val="auto"/>
              <w:rPr>
                <w:rFonts w:ascii="Arial" w:hAnsi="Arial" w:cs="Arial"/>
                <w:sz w:val="16"/>
                <w:szCs w:val="18"/>
              </w:rPr>
            </w:pPr>
            <w:r>
              <w:rPr>
                <w:rFonts w:ascii="Arial" w:hAnsi="Arial" w:cs="Arial"/>
                <w:sz w:val="16"/>
                <w:szCs w:val="18"/>
              </w:rPr>
              <w:t>交易时间</w:t>
            </w:r>
          </w:p>
        </w:tc>
        <w:tc>
          <w:tcPr>
            <w:tcW w:w="968" w:type="pct"/>
            <w:tcBorders>
              <w:top w:val="nil"/>
              <w:left w:val="nil"/>
              <w:bottom w:val="single" w:color="auto" w:sz="4" w:space="0"/>
              <w:right w:val="single" w:color="auto" w:sz="4" w:space="0"/>
            </w:tcBorders>
            <w:vAlign w:val="center"/>
          </w:tcPr>
          <w:p w14:paraId="04C2031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2026年4月7日</w:t>
            </w:r>
          </w:p>
        </w:tc>
        <w:tc>
          <w:tcPr>
            <w:tcW w:w="968" w:type="pct"/>
            <w:tcBorders>
              <w:top w:val="nil"/>
              <w:left w:val="nil"/>
              <w:bottom w:val="single" w:color="auto" w:sz="4" w:space="0"/>
              <w:right w:val="single" w:color="auto" w:sz="4" w:space="0"/>
            </w:tcBorders>
            <w:vAlign w:val="center"/>
          </w:tcPr>
          <w:p w14:paraId="21FDF2D6">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c>
          <w:tcPr>
            <w:tcW w:w="968" w:type="pct"/>
            <w:tcBorders>
              <w:top w:val="nil"/>
              <w:left w:val="nil"/>
              <w:bottom w:val="single" w:color="auto" w:sz="4" w:space="0"/>
              <w:right w:val="single" w:color="auto" w:sz="4" w:space="0"/>
            </w:tcBorders>
            <w:vAlign w:val="center"/>
          </w:tcPr>
          <w:p w14:paraId="2659AEEC">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4</w:t>
            </w:r>
            <w:r>
              <w:rPr>
                <w:rFonts w:ascii="Arial" w:hAnsi="Arial" w:cs="Arial"/>
                <w:sz w:val="16"/>
                <w:szCs w:val="18"/>
              </w:rPr>
              <w:t>月</w:t>
            </w:r>
          </w:p>
        </w:tc>
        <w:tc>
          <w:tcPr>
            <w:tcW w:w="970" w:type="pct"/>
            <w:tcBorders>
              <w:top w:val="nil"/>
              <w:left w:val="nil"/>
              <w:bottom w:val="single" w:color="auto" w:sz="4" w:space="0"/>
              <w:right w:val="single" w:color="auto" w:sz="4" w:space="0"/>
            </w:tcBorders>
            <w:vAlign w:val="center"/>
          </w:tcPr>
          <w:p w14:paraId="59984988">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r>
      <w:tr w14:paraId="094D9F75">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24C826E3">
            <w:pPr>
              <w:widowControl/>
              <w:adjustRightInd/>
              <w:spacing w:line="240" w:lineRule="auto"/>
              <w:jc w:val="center"/>
              <w:textAlignment w:val="auto"/>
              <w:rPr>
                <w:rFonts w:ascii="Arial" w:hAnsi="Arial" w:cs="Arial"/>
                <w:sz w:val="16"/>
                <w:szCs w:val="18"/>
              </w:rPr>
            </w:pPr>
            <w:r>
              <w:rPr>
                <w:rFonts w:ascii="Arial" w:hAnsi="Arial" w:cs="Arial"/>
                <w:sz w:val="16"/>
                <w:szCs w:val="18"/>
              </w:rPr>
              <w:t>交易情况</w:t>
            </w:r>
          </w:p>
        </w:tc>
        <w:tc>
          <w:tcPr>
            <w:tcW w:w="968" w:type="pct"/>
            <w:tcBorders>
              <w:top w:val="nil"/>
              <w:left w:val="nil"/>
              <w:bottom w:val="single" w:color="auto" w:sz="4" w:space="0"/>
              <w:right w:val="single" w:color="auto" w:sz="4" w:space="0"/>
            </w:tcBorders>
            <w:vAlign w:val="center"/>
          </w:tcPr>
          <w:p w14:paraId="2D8885F1">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69874038">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04B7A41A">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70" w:type="pct"/>
            <w:tcBorders>
              <w:top w:val="nil"/>
              <w:left w:val="nil"/>
              <w:bottom w:val="single" w:color="auto" w:sz="4" w:space="0"/>
              <w:right w:val="single" w:color="auto" w:sz="4" w:space="0"/>
            </w:tcBorders>
            <w:vAlign w:val="center"/>
          </w:tcPr>
          <w:p w14:paraId="141F214F">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r>
      <w:tr w14:paraId="2D4EFA1F">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01EAF11F">
            <w:pPr>
              <w:widowControl/>
              <w:adjustRightInd/>
              <w:spacing w:line="240" w:lineRule="auto"/>
              <w:jc w:val="center"/>
              <w:textAlignment w:val="auto"/>
              <w:rPr>
                <w:rFonts w:ascii="Arial" w:hAnsi="Arial" w:cs="Arial"/>
                <w:sz w:val="16"/>
                <w:szCs w:val="18"/>
              </w:rPr>
            </w:pPr>
            <w:r>
              <w:rPr>
                <w:rFonts w:ascii="Arial" w:hAnsi="Arial" w:cs="Arial"/>
                <w:sz w:val="16"/>
                <w:szCs w:val="18"/>
              </w:rPr>
              <w:t>项目类型</w:t>
            </w:r>
          </w:p>
        </w:tc>
        <w:tc>
          <w:tcPr>
            <w:tcW w:w="968" w:type="pct"/>
            <w:tcBorders>
              <w:top w:val="nil"/>
              <w:left w:val="nil"/>
              <w:bottom w:val="single" w:color="auto" w:sz="4" w:space="0"/>
              <w:right w:val="single" w:color="auto" w:sz="4" w:space="0"/>
            </w:tcBorders>
            <w:vAlign w:val="center"/>
          </w:tcPr>
          <w:p w14:paraId="2D30ECC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48F8892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01B36FF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70" w:type="pct"/>
            <w:tcBorders>
              <w:top w:val="nil"/>
              <w:left w:val="nil"/>
              <w:bottom w:val="single" w:color="auto" w:sz="4" w:space="0"/>
              <w:right w:val="single" w:color="auto" w:sz="4" w:space="0"/>
            </w:tcBorders>
            <w:vAlign w:val="center"/>
          </w:tcPr>
          <w:p w14:paraId="5BDC4BA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r>
      <w:tr w14:paraId="597B3FDC">
        <w:tblPrEx>
          <w:tblCellMar>
            <w:top w:w="0" w:type="dxa"/>
            <w:left w:w="108" w:type="dxa"/>
            <w:bottom w:w="0" w:type="dxa"/>
            <w:right w:w="108" w:type="dxa"/>
          </w:tblCellMar>
        </w:tblPrEx>
        <w:trPr>
          <w:trHeight w:val="1442" w:hRule="atLeast"/>
          <w:jc w:val="center"/>
        </w:trPr>
        <w:tc>
          <w:tcPr>
            <w:tcW w:w="362" w:type="pct"/>
            <w:vMerge w:val="restart"/>
            <w:tcBorders>
              <w:top w:val="nil"/>
              <w:left w:val="single" w:color="auto" w:sz="4" w:space="0"/>
              <w:bottom w:val="single" w:color="000000" w:sz="4" w:space="0"/>
              <w:right w:val="single" w:color="auto" w:sz="4" w:space="0"/>
            </w:tcBorders>
            <w:vAlign w:val="center"/>
          </w:tcPr>
          <w:p w14:paraId="49DE476F">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759" w:type="pct"/>
            <w:tcBorders>
              <w:top w:val="nil"/>
              <w:left w:val="nil"/>
              <w:bottom w:val="single" w:color="auto" w:sz="4" w:space="0"/>
              <w:right w:val="single" w:color="auto" w:sz="4" w:space="0"/>
            </w:tcBorders>
            <w:vAlign w:val="center"/>
          </w:tcPr>
          <w:p w14:paraId="6F6754CC">
            <w:pPr>
              <w:widowControl/>
              <w:adjustRightInd/>
              <w:spacing w:line="240" w:lineRule="auto"/>
              <w:jc w:val="center"/>
              <w:textAlignment w:val="auto"/>
              <w:rPr>
                <w:rFonts w:ascii="Arial" w:hAnsi="Arial" w:cs="Arial"/>
                <w:sz w:val="16"/>
                <w:szCs w:val="18"/>
              </w:rPr>
            </w:pPr>
            <w:r>
              <w:rPr>
                <w:rFonts w:ascii="Arial" w:hAnsi="Arial" w:cs="Arial"/>
                <w:sz w:val="16"/>
                <w:szCs w:val="18"/>
              </w:rPr>
              <w:t>居住区成熟度</w:t>
            </w:r>
          </w:p>
        </w:tc>
        <w:tc>
          <w:tcPr>
            <w:tcW w:w="968" w:type="pct"/>
            <w:tcBorders>
              <w:top w:val="nil"/>
              <w:left w:val="nil"/>
              <w:bottom w:val="single" w:color="auto" w:sz="4" w:space="0"/>
              <w:right w:val="single" w:color="auto" w:sz="4" w:space="0"/>
            </w:tcBorders>
            <w:vAlign w:val="center"/>
          </w:tcPr>
          <w:p w14:paraId="6A2D106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内有车站中里小区、海悦公馆、海子角小区、物资局小区、义和庄东里、锦华园小区、兴水家园、漪景园、埝坛华庭等居住项目，居住小区规模适中，入住率较好，综合评价居住社区成熟度较好</w:t>
            </w:r>
          </w:p>
        </w:tc>
        <w:tc>
          <w:tcPr>
            <w:tcW w:w="968" w:type="pct"/>
            <w:tcBorders>
              <w:top w:val="nil"/>
              <w:left w:val="nil"/>
              <w:bottom w:val="single" w:color="auto" w:sz="4" w:space="0"/>
              <w:right w:val="single" w:color="auto" w:sz="4" w:space="0"/>
            </w:tcBorders>
            <w:vAlign w:val="center"/>
          </w:tcPr>
          <w:p w14:paraId="5DDAB6F3">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周边2公里内有漪景苑、埝坛华庭北区、壹品兴创颐和公馆、矿林庄小区、锦华园小区、义和庄东里等居住项目，居住小区规模适中，入住率较好，综合评价居住区成熟度较好</w:t>
            </w:r>
          </w:p>
        </w:tc>
        <w:tc>
          <w:tcPr>
            <w:tcW w:w="968" w:type="pct"/>
            <w:tcBorders>
              <w:top w:val="nil"/>
              <w:left w:val="nil"/>
              <w:bottom w:val="single" w:color="auto" w:sz="4" w:space="0"/>
              <w:right w:val="single" w:color="auto" w:sz="4" w:space="0"/>
            </w:tcBorders>
            <w:vAlign w:val="center"/>
          </w:tcPr>
          <w:p w14:paraId="2AA9745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周边2公里内有义和庄北里、中骏金辉未来云城、漪景苑、埝坛华庭北区、壹品兴创颐和公馆、矿林庄小区、义和庄东里等居住项目，居住小区规模适中，入住率较好，综合评价居住区成熟度较好</w:t>
            </w:r>
          </w:p>
        </w:tc>
        <w:tc>
          <w:tcPr>
            <w:tcW w:w="970" w:type="pct"/>
            <w:tcBorders>
              <w:top w:val="nil"/>
              <w:left w:val="nil"/>
              <w:bottom w:val="single" w:color="auto" w:sz="4" w:space="0"/>
              <w:right w:val="single" w:color="auto" w:sz="4" w:space="0"/>
            </w:tcBorders>
            <w:vAlign w:val="center"/>
          </w:tcPr>
          <w:p w14:paraId="41E06B2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周边2公里内有德贤华府、埝坛华庭西区、埝坛华庭北区等居住项目，居住小区规模适中，入住率一般，综合评价居住社区成熟度一般</w:t>
            </w:r>
          </w:p>
        </w:tc>
      </w:tr>
      <w:tr w14:paraId="1A8224DA">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684DB775">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0883E9DC">
            <w:pPr>
              <w:widowControl/>
              <w:adjustRightInd/>
              <w:spacing w:line="240" w:lineRule="auto"/>
              <w:jc w:val="center"/>
              <w:textAlignment w:val="auto"/>
              <w:rPr>
                <w:rFonts w:ascii="Arial" w:hAnsi="Arial" w:cs="Arial"/>
                <w:sz w:val="16"/>
                <w:szCs w:val="18"/>
              </w:rPr>
            </w:pPr>
            <w:r>
              <w:rPr>
                <w:rFonts w:ascii="Arial" w:hAnsi="Arial" w:cs="Arial"/>
                <w:sz w:val="16"/>
                <w:szCs w:val="18"/>
              </w:rPr>
              <w:t>道路通达度</w:t>
            </w:r>
          </w:p>
        </w:tc>
        <w:tc>
          <w:tcPr>
            <w:tcW w:w="968" w:type="pct"/>
            <w:tcBorders>
              <w:top w:val="nil"/>
              <w:left w:val="nil"/>
              <w:bottom w:val="single" w:color="auto" w:sz="4" w:space="0"/>
              <w:right w:val="single" w:color="auto" w:sz="4" w:space="0"/>
            </w:tcBorders>
            <w:vAlign w:val="center"/>
          </w:tcPr>
          <w:p w14:paraId="47AF550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周边500米内有城市主干道——林校路</w:t>
            </w:r>
          </w:p>
        </w:tc>
        <w:tc>
          <w:tcPr>
            <w:tcW w:w="968" w:type="pct"/>
            <w:tcBorders>
              <w:top w:val="nil"/>
              <w:left w:val="nil"/>
              <w:bottom w:val="single" w:color="auto" w:sz="4" w:space="0"/>
              <w:right w:val="single" w:color="auto" w:sz="4" w:space="0"/>
            </w:tcBorders>
            <w:vAlign w:val="center"/>
          </w:tcPr>
          <w:p w14:paraId="2C5E62B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周边500米内有城市主干道——林校路</w:t>
            </w:r>
          </w:p>
        </w:tc>
        <w:tc>
          <w:tcPr>
            <w:tcW w:w="968" w:type="pct"/>
            <w:tcBorders>
              <w:top w:val="nil"/>
              <w:left w:val="nil"/>
              <w:bottom w:val="single" w:color="auto" w:sz="4" w:space="0"/>
              <w:right w:val="single" w:color="auto" w:sz="4" w:space="0"/>
            </w:tcBorders>
            <w:vAlign w:val="center"/>
          </w:tcPr>
          <w:p w14:paraId="3BFDA02E">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周边500米内有城市主干道——兴华大街</w:t>
            </w:r>
          </w:p>
        </w:tc>
        <w:tc>
          <w:tcPr>
            <w:tcW w:w="970" w:type="pct"/>
            <w:tcBorders>
              <w:top w:val="nil"/>
              <w:left w:val="nil"/>
              <w:bottom w:val="single" w:color="auto" w:sz="4" w:space="0"/>
              <w:right w:val="single" w:color="auto" w:sz="4" w:space="0"/>
            </w:tcBorders>
            <w:vAlign w:val="center"/>
          </w:tcPr>
          <w:p w14:paraId="0BF6EA2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周边500米内有城市主干道——兴良路</w:t>
            </w:r>
          </w:p>
        </w:tc>
      </w:tr>
      <w:tr w14:paraId="78F0763E">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0DCC7FA3">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79494BC8">
            <w:pPr>
              <w:widowControl/>
              <w:adjustRightInd/>
              <w:spacing w:line="240" w:lineRule="auto"/>
              <w:jc w:val="center"/>
              <w:textAlignment w:val="auto"/>
              <w:rPr>
                <w:rFonts w:ascii="Arial" w:hAnsi="Arial" w:cs="Arial"/>
                <w:sz w:val="16"/>
                <w:szCs w:val="18"/>
              </w:rPr>
            </w:pPr>
            <w:r>
              <w:rPr>
                <w:rFonts w:ascii="Arial" w:hAnsi="Arial" w:cs="Arial"/>
                <w:sz w:val="16"/>
                <w:szCs w:val="18"/>
              </w:rPr>
              <w:t>距离轨道交通站点距离</w:t>
            </w:r>
          </w:p>
        </w:tc>
        <w:tc>
          <w:tcPr>
            <w:tcW w:w="968" w:type="pct"/>
            <w:tcBorders>
              <w:top w:val="nil"/>
              <w:left w:val="nil"/>
              <w:bottom w:val="single" w:color="auto" w:sz="4" w:space="0"/>
              <w:right w:val="single" w:color="auto" w:sz="4" w:space="0"/>
            </w:tcBorders>
            <w:vAlign w:val="center"/>
          </w:tcPr>
          <w:p w14:paraId="0BED210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周边2公里范围内有轨道交通站点（地铁4号线黄村火车站）</w:t>
            </w:r>
          </w:p>
        </w:tc>
        <w:tc>
          <w:tcPr>
            <w:tcW w:w="968" w:type="pct"/>
            <w:tcBorders>
              <w:top w:val="nil"/>
              <w:left w:val="nil"/>
              <w:bottom w:val="single" w:color="auto" w:sz="4" w:space="0"/>
              <w:right w:val="single" w:color="auto" w:sz="4" w:space="0"/>
            </w:tcBorders>
            <w:vAlign w:val="center"/>
          </w:tcPr>
          <w:p w14:paraId="23180C3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周边2公里范围内有轨道交通站点（地铁4号线义和庄站）</w:t>
            </w:r>
          </w:p>
        </w:tc>
        <w:tc>
          <w:tcPr>
            <w:tcW w:w="968" w:type="pct"/>
            <w:tcBorders>
              <w:top w:val="nil"/>
              <w:left w:val="nil"/>
              <w:bottom w:val="single" w:color="auto" w:sz="4" w:space="0"/>
              <w:right w:val="single" w:color="auto" w:sz="4" w:space="0"/>
            </w:tcBorders>
            <w:vAlign w:val="center"/>
          </w:tcPr>
          <w:p w14:paraId="6C986BB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周边2公里范围内有轨道交通站点（地铁4号线黄村火车站）</w:t>
            </w:r>
          </w:p>
        </w:tc>
        <w:tc>
          <w:tcPr>
            <w:tcW w:w="970" w:type="pct"/>
            <w:tcBorders>
              <w:top w:val="nil"/>
              <w:left w:val="nil"/>
              <w:bottom w:val="single" w:color="auto" w:sz="4" w:space="0"/>
              <w:right w:val="single" w:color="auto" w:sz="4" w:space="0"/>
            </w:tcBorders>
            <w:vAlign w:val="center"/>
          </w:tcPr>
          <w:p w14:paraId="2E6878D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r>
      <w:tr w14:paraId="74DFB750">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3BF513D2">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44063D53">
            <w:pPr>
              <w:widowControl/>
              <w:adjustRightInd/>
              <w:spacing w:line="240" w:lineRule="auto"/>
              <w:jc w:val="center"/>
              <w:textAlignment w:val="auto"/>
              <w:rPr>
                <w:rFonts w:ascii="Arial" w:hAnsi="Arial" w:cs="Arial"/>
                <w:sz w:val="16"/>
                <w:szCs w:val="18"/>
              </w:rPr>
            </w:pPr>
            <w:r>
              <w:rPr>
                <w:rFonts w:ascii="Arial" w:hAnsi="Arial" w:cs="Arial"/>
                <w:sz w:val="16"/>
                <w:szCs w:val="18"/>
              </w:rPr>
              <w:t>距离公交站点距离</w:t>
            </w:r>
          </w:p>
        </w:tc>
        <w:tc>
          <w:tcPr>
            <w:tcW w:w="968" w:type="pct"/>
            <w:tcBorders>
              <w:top w:val="nil"/>
              <w:left w:val="nil"/>
              <w:bottom w:val="single" w:color="auto" w:sz="4" w:space="0"/>
              <w:right w:val="single" w:color="auto" w:sz="4" w:space="0"/>
            </w:tcBorders>
            <w:vAlign w:val="center"/>
          </w:tcPr>
          <w:p w14:paraId="3E6B716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周边1公里内有827路、829路、840路、兴11路、兴21路、兴52路等公交线路途径并设立站点</w:t>
            </w:r>
          </w:p>
        </w:tc>
        <w:tc>
          <w:tcPr>
            <w:tcW w:w="968" w:type="pct"/>
            <w:tcBorders>
              <w:top w:val="nil"/>
              <w:left w:val="nil"/>
              <w:bottom w:val="single" w:color="auto" w:sz="4" w:space="0"/>
              <w:right w:val="single" w:color="auto" w:sz="4" w:space="0"/>
            </w:tcBorders>
            <w:vAlign w:val="center"/>
          </w:tcPr>
          <w:p w14:paraId="3AEAEEA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周边1公里内有827路、829路、840路、兴11路、兴21路等公交线路途径并设立站点</w:t>
            </w:r>
          </w:p>
        </w:tc>
        <w:tc>
          <w:tcPr>
            <w:tcW w:w="968" w:type="pct"/>
            <w:tcBorders>
              <w:top w:val="nil"/>
              <w:left w:val="nil"/>
              <w:bottom w:val="single" w:color="auto" w:sz="4" w:space="0"/>
              <w:right w:val="single" w:color="auto" w:sz="4" w:space="0"/>
            </w:tcBorders>
            <w:vAlign w:val="center"/>
          </w:tcPr>
          <w:p w14:paraId="61D2AC9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周边1公里内有兴12路、兴16路、兴37路、兴77路等公交线路途径并设立站点</w:t>
            </w:r>
          </w:p>
        </w:tc>
        <w:tc>
          <w:tcPr>
            <w:tcW w:w="970" w:type="pct"/>
            <w:tcBorders>
              <w:top w:val="nil"/>
              <w:left w:val="nil"/>
              <w:bottom w:val="single" w:color="auto" w:sz="4" w:space="0"/>
              <w:right w:val="single" w:color="auto" w:sz="4" w:space="0"/>
            </w:tcBorders>
            <w:vAlign w:val="center"/>
          </w:tcPr>
          <w:p w14:paraId="6A34564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周边1公里内有兴13路、兴37路、兴53路、840路等公交线路途径并设立站点</w:t>
            </w:r>
          </w:p>
        </w:tc>
      </w:tr>
      <w:tr w14:paraId="1A30C34F">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4588751E">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1F01DFE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环境质量优劣度</w:t>
            </w:r>
          </w:p>
        </w:tc>
        <w:tc>
          <w:tcPr>
            <w:tcW w:w="968" w:type="pct"/>
            <w:tcBorders>
              <w:top w:val="nil"/>
              <w:left w:val="nil"/>
              <w:bottom w:val="single" w:color="auto" w:sz="4" w:space="0"/>
              <w:right w:val="single" w:color="auto" w:sz="4" w:space="0"/>
            </w:tcBorders>
            <w:vAlign w:val="center"/>
          </w:tcPr>
          <w:p w14:paraId="25F6AEB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68" w:type="pct"/>
            <w:tcBorders>
              <w:top w:val="nil"/>
              <w:left w:val="nil"/>
              <w:bottom w:val="single" w:color="auto" w:sz="4" w:space="0"/>
              <w:right w:val="single" w:color="auto" w:sz="4" w:space="0"/>
            </w:tcBorders>
            <w:vAlign w:val="center"/>
          </w:tcPr>
          <w:p w14:paraId="0399F64F">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周边5km内无污染源</w:t>
            </w:r>
          </w:p>
        </w:tc>
        <w:tc>
          <w:tcPr>
            <w:tcW w:w="968" w:type="pct"/>
            <w:tcBorders>
              <w:top w:val="nil"/>
              <w:left w:val="nil"/>
              <w:bottom w:val="single" w:color="auto" w:sz="4" w:space="0"/>
              <w:right w:val="single" w:color="auto" w:sz="4" w:space="0"/>
            </w:tcBorders>
            <w:vAlign w:val="center"/>
          </w:tcPr>
          <w:p w14:paraId="448AD4E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70" w:type="pct"/>
            <w:tcBorders>
              <w:top w:val="nil"/>
              <w:left w:val="nil"/>
              <w:bottom w:val="single" w:color="auto" w:sz="4" w:space="0"/>
              <w:right w:val="single" w:color="auto" w:sz="4" w:space="0"/>
            </w:tcBorders>
            <w:vAlign w:val="center"/>
          </w:tcPr>
          <w:p w14:paraId="1D17194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r>
      <w:tr w14:paraId="40D32478">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5BC1685E">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25CDC09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自然及人文环境</w:t>
            </w:r>
          </w:p>
        </w:tc>
        <w:tc>
          <w:tcPr>
            <w:tcW w:w="968" w:type="pct"/>
            <w:tcBorders>
              <w:top w:val="nil"/>
              <w:left w:val="nil"/>
              <w:bottom w:val="single" w:color="auto" w:sz="4" w:space="0"/>
              <w:right w:val="single" w:color="auto" w:sz="4" w:space="0"/>
            </w:tcBorders>
            <w:vAlign w:val="center"/>
          </w:tcPr>
          <w:p w14:paraId="6162C7B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估价对象周边2公里有念坛公园、兴良路公园、永定公园、小龙河等自然景观，有中央文化和旅游管理干部学院、国家林业和草原局管理干部学院等人文环境、综合评价自然与人文环境较好</w:t>
            </w:r>
          </w:p>
        </w:tc>
        <w:tc>
          <w:tcPr>
            <w:tcW w:w="968" w:type="pct"/>
            <w:tcBorders>
              <w:top w:val="nil"/>
              <w:left w:val="nil"/>
              <w:bottom w:val="single" w:color="auto" w:sz="4" w:space="0"/>
              <w:right w:val="single" w:color="auto" w:sz="4" w:space="0"/>
            </w:tcBorders>
            <w:vAlign w:val="center"/>
          </w:tcPr>
          <w:p w14:paraId="25945CF2">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周边2公里有念坛公园、兴良路公园、永定公园、小龙河等自然景观，有中央文化和旅游管理干部学院、国家林业和草原局管理干部学院等人文环境、综合评价自然与人文环境较好</w:t>
            </w:r>
          </w:p>
        </w:tc>
        <w:tc>
          <w:tcPr>
            <w:tcW w:w="968" w:type="pct"/>
            <w:tcBorders>
              <w:top w:val="nil"/>
              <w:left w:val="nil"/>
              <w:bottom w:val="single" w:color="auto" w:sz="4" w:space="0"/>
              <w:right w:val="single" w:color="auto" w:sz="4" w:space="0"/>
            </w:tcBorders>
            <w:vAlign w:val="center"/>
          </w:tcPr>
          <w:p w14:paraId="47BE82DC">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周边2公里有念坛公园、兴良路公园、永定公园、小龙河等自然景观，有中央文化和旅游管理干部学院、国家林业和草原局管理干部学院等人文环境、综合评价自然与人文环境较好</w:t>
            </w:r>
          </w:p>
        </w:tc>
        <w:tc>
          <w:tcPr>
            <w:tcW w:w="970" w:type="pct"/>
            <w:tcBorders>
              <w:top w:val="nil"/>
              <w:left w:val="nil"/>
              <w:bottom w:val="single" w:color="auto" w:sz="4" w:space="0"/>
              <w:right w:val="single" w:color="auto" w:sz="4" w:space="0"/>
            </w:tcBorders>
            <w:vAlign w:val="center"/>
          </w:tcPr>
          <w:p w14:paraId="72AF0EAE">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周边2公里有念坛公园、兴良路公园、永定公园、小龙河等自然景观，有首都医科大学（大兴校区）、金隅高新产业园等人文环境、综合评价自然与人文环境较好</w:t>
            </w:r>
          </w:p>
        </w:tc>
      </w:tr>
      <w:tr w14:paraId="25147455">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7F2AE1C9">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2B24E63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小区环境</w:t>
            </w:r>
          </w:p>
        </w:tc>
        <w:tc>
          <w:tcPr>
            <w:tcW w:w="968" w:type="pct"/>
            <w:tcBorders>
              <w:top w:val="nil"/>
              <w:left w:val="nil"/>
              <w:bottom w:val="single" w:color="auto" w:sz="4" w:space="0"/>
              <w:right w:val="single" w:color="auto" w:sz="4" w:space="0"/>
            </w:tcBorders>
            <w:vAlign w:val="center"/>
          </w:tcPr>
          <w:p w14:paraId="419F972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68" w:type="pct"/>
            <w:tcBorders>
              <w:top w:val="nil"/>
              <w:left w:val="nil"/>
              <w:bottom w:val="single" w:color="auto" w:sz="4" w:space="0"/>
              <w:right w:val="single" w:color="auto" w:sz="4" w:space="0"/>
            </w:tcBorders>
            <w:vAlign w:val="center"/>
          </w:tcPr>
          <w:p w14:paraId="22778E17">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小区道路整洁、绿化率高、有景观设计、人车分</w:t>
            </w:r>
            <w:r>
              <w:rPr>
                <w:rFonts w:hint="eastAsia" w:ascii="Arial" w:hAnsi="Arial" w:cs="Arial"/>
                <w:sz w:val="16"/>
                <w:szCs w:val="18"/>
              </w:rPr>
              <w:t>流</w:t>
            </w:r>
          </w:p>
        </w:tc>
        <w:tc>
          <w:tcPr>
            <w:tcW w:w="968" w:type="pct"/>
            <w:tcBorders>
              <w:top w:val="nil"/>
              <w:left w:val="nil"/>
              <w:bottom w:val="single" w:color="auto" w:sz="4" w:space="0"/>
              <w:right w:val="single" w:color="auto" w:sz="4" w:space="0"/>
            </w:tcBorders>
            <w:vAlign w:val="center"/>
          </w:tcPr>
          <w:p w14:paraId="5F92BBA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70" w:type="pct"/>
            <w:tcBorders>
              <w:top w:val="nil"/>
              <w:left w:val="nil"/>
              <w:bottom w:val="single" w:color="auto" w:sz="4" w:space="0"/>
              <w:right w:val="single" w:color="auto" w:sz="4" w:space="0"/>
            </w:tcBorders>
            <w:vAlign w:val="center"/>
          </w:tcPr>
          <w:p w14:paraId="1B36EC5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r>
      <w:tr w14:paraId="778F33FF">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1CBFAE5B">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0090ABD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公共服务设施状况</w:t>
            </w:r>
          </w:p>
        </w:tc>
        <w:tc>
          <w:tcPr>
            <w:tcW w:w="968" w:type="pct"/>
            <w:tcBorders>
              <w:top w:val="nil"/>
              <w:left w:val="nil"/>
              <w:bottom w:val="single" w:color="auto" w:sz="4" w:space="0"/>
              <w:right w:val="single" w:color="auto" w:sz="4" w:space="0"/>
            </w:tcBorders>
            <w:vAlign w:val="center"/>
          </w:tcPr>
          <w:p w14:paraId="491DBF6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估价对象所在区域周边2公里范围内有大兴星城商厦、大兴大悦春风里等商业场所；有北京市大兴区永华实验学校、</w:t>
            </w:r>
            <w:r>
              <w:rPr>
                <w:rFonts w:hint="eastAsia" w:ascii="Arial" w:hAnsi="Arial" w:cs="Arial"/>
                <w:sz w:val="16"/>
                <w:szCs w:val="18"/>
                <w:lang w:eastAsia="zh-CN"/>
              </w:rPr>
              <w:t>北京市</w:t>
            </w:r>
            <w:r>
              <w:rPr>
                <w:rFonts w:hint="eastAsia" w:ascii="Arial" w:hAnsi="Arial" w:cs="Arial"/>
                <w:sz w:val="16"/>
                <w:szCs w:val="18"/>
              </w:rPr>
              <w:t>大兴区第一中学、北京市大兴区第八小学、泰禾幼儿园（大兴园区）等教育机构，有北京市大兴区心康医院、北京市大兴区人民医院等医疗机构；有华夏银行、北京银行等金融网点，公共配套设施状况较好</w:t>
            </w:r>
          </w:p>
        </w:tc>
        <w:tc>
          <w:tcPr>
            <w:tcW w:w="968" w:type="pct"/>
            <w:tcBorders>
              <w:top w:val="nil"/>
              <w:left w:val="nil"/>
              <w:bottom w:val="single" w:color="auto" w:sz="4" w:space="0"/>
              <w:right w:val="single" w:color="auto" w:sz="4" w:space="0"/>
            </w:tcBorders>
            <w:vAlign w:val="center"/>
          </w:tcPr>
          <w:p w14:paraId="1543EFBE">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周边2公里范围内有大兴星城商厦、大兴大悦春风里等商业场所；有北京市大兴区永华实验学校、</w:t>
            </w:r>
            <w:r>
              <w:rPr>
                <w:rFonts w:hint="eastAsia" w:ascii="宋体" w:hAnsi="宋体" w:cs="Arial"/>
                <w:sz w:val="16"/>
                <w:szCs w:val="18"/>
                <w:lang w:eastAsia="zh-CN"/>
              </w:rPr>
              <w:t>北京市</w:t>
            </w:r>
            <w:r>
              <w:rPr>
                <w:rFonts w:hint="eastAsia" w:ascii="宋体" w:hAnsi="宋体" w:cs="Arial"/>
                <w:sz w:val="16"/>
                <w:szCs w:val="18"/>
              </w:rPr>
              <w:t>大兴区第一中学、北京市大兴区第八小学、泰禾幼儿园（大兴园区）等教育机构，有北京市大兴区心康医院、北京市大兴区人民医院等医疗机构；有华夏银行、北京银行等金融网点，公共配套设施状况较好</w:t>
            </w:r>
          </w:p>
        </w:tc>
        <w:tc>
          <w:tcPr>
            <w:tcW w:w="968" w:type="pct"/>
            <w:tcBorders>
              <w:top w:val="nil"/>
              <w:left w:val="nil"/>
              <w:bottom w:val="single" w:color="auto" w:sz="4" w:space="0"/>
              <w:right w:val="single" w:color="auto" w:sz="4" w:space="0"/>
            </w:tcBorders>
            <w:vAlign w:val="center"/>
          </w:tcPr>
          <w:p w14:paraId="6A51027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周边2公里范围内有大兴星城商厦、大兴大悦春风里等商业场所；有北京市大兴区永华实验学校、</w:t>
            </w:r>
            <w:r>
              <w:rPr>
                <w:rFonts w:hint="eastAsia" w:ascii="Arial" w:hAnsi="Arial" w:cs="Arial"/>
                <w:sz w:val="16"/>
                <w:szCs w:val="18"/>
                <w:lang w:eastAsia="zh-CN"/>
              </w:rPr>
              <w:t>北京市</w:t>
            </w:r>
            <w:r>
              <w:rPr>
                <w:rFonts w:hint="eastAsia" w:ascii="Arial" w:hAnsi="Arial" w:cs="Arial"/>
                <w:sz w:val="16"/>
                <w:szCs w:val="18"/>
              </w:rPr>
              <w:t>大兴区第一中学、北京市大兴区第八小学、泰禾幼儿园（大兴园区）等教育机构，有北京市大兴区心康医院、北京市大兴区人民医院等医疗机构；有华夏银行、北京银行等金融网点，公共配套设施状况较好</w:t>
            </w:r>
          </w:p>
        </w:tc>
        <w:tc>
          <w:tcPr>
            <w:tcW w:w="970" w:type="pct"/>
            <w:tcBorders>
              <w:top w:val="nil"/>
              <w:left w:val="nil"/>
              <w:bottom w:val="single" w:color="auto" w:sz="4" w:space="0"/>
              <w:right w:val="single" w:color="auto" w:sz="4" w:space="0"/>
            </w:tcBorders>
            <w:vAlign w:val="center"/>
          </w:tcPr>
          <w:p w14:paraId="40D99E0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大型购物中心，有世纪华联超市（太福店）超市等生活配套商业；有北京教育学院附属大兴实验小学、联港嘉园幼儿园等教育机构，有北臧村社区卫生服务中心等医疗机构；有北京农商银行（联港嘉园分理处）等金融网点，公共配套设施状况一般</w:t>
            </w:r>
          </w:p>
        </w:tc>
      </w:tr>
      <w:tr w14:paraId="64370931">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4BCAC136">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3C630CF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建筑类型</w:t>
            </w:r>
          </w:p>
        </w:tc>
        <w:tc>
          <w:tcPr>
            <w:tcW w:w="968" w:type="pct"/>
            <w:tcBorders>
              <w:top w:val="nil"/>
              <w:left w:val="nil"/>
              <w:bottom w:val="single" w:color="auto" w:sz="4" w:space="0"/>
              <w:right w:val="single" w:color="auto" w:sz="4" w:space="0"/>
            </w:tcBorders>
            <w:vAlign w:val="center"/>
          </w:tcPr>
          <w:p w14:paraId="3EF4F2C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高层板楼</w:t>
            </w:r>
          </w:p>
        </w:tc>
        <w:tc>
          <w:tcPr>
            <w:tcW w:w="968" w:type="pct"/>
            <w:tcBorders>
              <w:top w:val="nil"/>
              <w:left w:val="nil"/>
              <w:bottom w:val="single" w:color="auto" w:sz="4" w:space="0"/>
              <w:right w:val="single" w:color="auto" w:sz="4" w:space="0"/>
            </w:tcBorders>
            <w:vAlign w:val="center"/>
          </w:tcPr>
          <w:p w14:paraId="561201E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68" w:type="pct"/>
            <w:tcBorders>
              <w:top w:val="nil"/>
              <w:left w:val="nil"/>
              <w:bottom w:val="single" w:color="auto" w:sz="4" w:space="0"/>
              <w:right w:val="single" w:color="auto" w:sz="4" w:space="0"/>
            </w:tcBorders>
            <w:vAlign w:val="center"/>
          </w:tcPr>
          <w:p w14:paraId="0BE0A7D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70" w:type="pct"/>
            <w:tcBorders>
              <w:top w:val="nil"/>
              <w:left w:val="nil"/>
              <w:bottom w:val="single" w:color="auto" w:sz="4" w:space="0"/>
              <w:right w:val="single" w:color="auto" w:sz="4" w:space="0"/>
            </w:tcBorders>
            <w:vAlign w:val="center"/>
          </w:tcPr>
          <w:p w14:paraId="44935BD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小高层板楼</w:t>
            </w:r>
          </w:p>
        </w:tc>
      </w:tr>
      <w:tr w14:paraId="6183BED6">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2E687E95">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79CCF58A">
            <w:pPr>
              <w:widowControl/>
              <w:adjustRightInd/>
              <w:spacing w:line="240" w:lineRule="auto"/>
              <w:jc w:val="center"/>
              <w:textAlignment w:val="auto"/>
              <w:rPr>
                <w:rFonts w:ascii="Arial" w:hAnsi="Arial" w:cs="Arial"/>
                <w:sz w:val="16"/>
                <w:szCs w:val="18"/>
              </w:rPr>
            </w:pP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46F4A00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31ACE25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5075339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c>
          <w:tcPr>
            <w:tcW w:w="970" w:type="pct"/>
            <w:tcBorders>
              <w:top w:val="nil"/>
              <w:left w:val="nil"/>
              <w:bottom w:val="single" w:color="auto" w:sz="4" w:space="0"/>
              <w:right w:val="single" w:color="auto" w:sz="4" w:space="0"/>
            </w:tcBorders>
            <w:vAlign w:val="center"/>
          </w:tcPr>
          <w:p w14:paraId="3B4858C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r>
      <w:tr w14:paraId="7355B910">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auto" w:sz="4" w:space="0"/>
              <w:right w:val="single" w:color="auto" w:sz="4" w:space="0"/>
            </w:tcBorders>
            <w:vAlign w:val="center"/>
          </w:tcPr>
          <w:p w14:paraId="163CF614">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3BB92B0B">
            <w:pPr>
              <w:widowControl/>
              <w:adjustRightInd/>
              <w:spacing w:line="240" w:lineRule="auto"/>
              <w:jc w:val="center"/>
              <w:textAlignment w:val="auto"/>
              <w:rPr>
                <w:rFonts w:ascii="Arial" w:hAnsi="Arial" w:cs="Arial"/>
                <w:sz w:val="16"/>
                <w:szCs w:val="18"/>
              </w:rPr>
            </w:pPr>
            <w:r>
              <w:rPr>
                <w:rFonts w:ascii="Arial" w:hAnsi="Arial" w:cs="Arial"/>
                <w:sz w:val="16"/>
                <w:szCs w:val="18"/>
              </w:rPr>
              <w:t>朝向</w:t>
            </w:r>
          </w:p>
        </w:tc>
        <w:tc>
          <w:tcPr>
            <w:tcW w:w="968" w:type="pct"/>
            <w:tcBorders>
              <w:top w:val="nil"/>
              <w:left w:val="nil"/>
              <w:bottom w:val="single" w:color="auto" w:sz="4" w:space="0"/>
              <w:right w:val="single" w:color="auto" w:sz="4" w:space="0"/>
            </w:tcBorders>
            <w:vAlign w:val="center"/>
          </w:tcPr>
          <w:p w14:paraId="49B50D4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68" w:type="pct"/>
            <w:tcBorders>
              <w:top w:val="nil"/>
              <w:left w:val="nil"/>
              <w:bottom w:val="single" w:color="auto" w:sz="4" w:space="0"/>
              <w:right w:val="single" w:color="auto" w:sz="4" w:space="0"/>
            </w:tcBorders>
            <w:vAlign w:val="center"/>
          </w:tcPr>
          <w:p w14:paraId="41CC27A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w:t>
            </w:r>
          </w:p>
        </w:tc>
        <w:tc>
          <w:tcPr>
            <w:tcW w:w="968" w:type="pct"/>
            <w:tcBorders>
              <w:top w:val="nil"/>
              <w:left w:val="nil"/>
              <w:bottom w:val="single" w:color="auto" w:sz="4" w:space="0"/>
              <w:right w:val="single" w:color="auto" w:sz="4" w:space="0"/>
            </w:tcBorders>
            <w:vAlign w:val="center"/>
          </w:tcPr>
          <w:p w14:paraId="501AF67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70" w:type="pct"/>
            <w:tcBorders>
              <w:top w:val="nil"/>
              <w:left w:val="nil"/>
              <w:bottom w:val="single" w:color="auto" w:sz="4" w:space="0"/>
              <w:right w:val="single" w:color="auto" w:sz="4" w:space="0"/>
            </w:tcBorders>
            <w:vAlign w:val="center"/>
          </w:tcPr>
          <w:p w14:paraId="356EB65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w:t>
            </w:r>
          </w:p>
        </w:tc>
      </w:tr>
      <w:tr w14:paraId="1849F60B">
        <w:tblPrEx>
          <w:tblCellMar>
            <w:top w:w="0" w:type="dxa"/>
            <w:left w:w="108" w:type="dxa"/>
            <w:bottom w:w="0" w:type="dxa"/>
            <w:right w:w="108" w:type="dxa"/>
          </w:tblCellMar>
        </w:tblPrEx>
        <w:trPr>
          <w:trHeight w:val="397" w:hRule="atLeast"/>
          <w:jc w:val="center"/>
        </w:trPr>
        <w:tc>
          <w:tcPr>
            <w:tcW w:w="362" w:type="pct"/>
            <w:vMerge w:val="restart"/>
            <w:tcBorders>
              <w:top w:val="single" w:color="auto" w:sz="4" w:space="0"/>
              <w:left w:val="single" w:color="auto" w:sz="4" w:space="0"/>
              <w:bottom w:val="single" w:color="auto" w:sz="4" w:space="0"/>
              <w:right w:val="single" w:color="auto" w:sz="4" w:space="0"/>
            </w:tcBorders>
            <w:vAlign w:val="center"/>
          </w:tcPr>
          <w:p w14:paraId="3AA98104">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759" w:type="pct"/>
            <w:tcBorders>
              <w:top w:val="single" w:color="auto" w:sz="4" w:space="0"/>
              <w:left w:val="nil"/>
              <w:bottom w:val="single" w:color="auto" w:sz="4" w:space="0"/>
              <w:right w:val="single" w:color="auto" w:sz="4" w:space="0"/>
            </w:tcBorders>
            <w:vAlign w:val="center"/>
          </w:tcPr>
          <w:p w14:paraId="13C74701">
            <w:pPr>
              <w:widowControl/>
              <w:adjustRightInd/>
              <w:spacing w:line="240" w:lineRule="auto"/>
              <w:jc w:val="center"/>
              <w:textAlignment w:val="auto"/>
              <w:rPr>
                <w:rFonts w:ascii="Arial" w:hAnsi="Arial" w:cs="Arial"/>
                <w:sz w:val="16"/>
                <w:szCs w:val="18"/>
              </w:rPr>
            </w:pPr>
            <w:r>
              <w:rPr>
                <w:rFonts w:ascii="Arial" w:hAnsi="Arial" w:cs="Arial"/>
                <w:sz w:val="16"/>
                <w:szCs w:val="18"/>
              </w:rPr>
              <w:t>成新度</w:t>
            </w:r>
          </w:p>
        </w:tc>
        <w:tc>
          <w:tcPr>
            <w:tcW w:w="968" w:type="pct"/>
            <w:tcBorders>
              <w:top w:val="single" w:color="auto" w:sz="4" w:space="0"/>
              <w:left w:val="nil"/>
              <w:bottom w:val="single" w:color="auto" w:sz="4" w:space="0"/>
              <w:right w:val="single" w:color="auto" w:sz="4" w:space="0"/>
            </w:tcBorders>
            <w:vAlign w:val="center"/>
          </w:tcPr>
          <w:p w14:paraId="5EFBAEF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9</w:t>
            </w:r>
            <w:r>
              <w:rPr>
                <w:rFonts w:ascii="Arial" w:hAnsi="Arial" w:cs="Arial"/>
                <w:sz w:val="16"/>
                <w:szCs w:val="18"/>
              </w:rPr>
              <w:t>0-</w:t>
            </w:r>
            <w:r>
              <w:rPr>
                <w:rFonts w:hint="eastAsia" w:ascii="Arial" w:hAnsi="Arial" w:cs="Arial"/>
                <w:sz w:val="16"/>
                <w:szCs w:val="18"/>
              </w:rPr>
              <w:t>100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7873AC5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w:t>
            </w:r>
            <w:r>
              <w:rPr>
                <w:rFonts w:ascii="Arial" w:hAnsi="Arial" w:cs="Arial"/>
                <w:sz w:val="16"/>
                <w:szCs w:val="18"/>
              </w:rPr>
              <w:t>0-</w:t>
            </w:r>
            <w:r>
              <w:rPr>
                <w:rFonts w:hint="eastAsia" w:ascii="Arial" w:hAnsi="Arial" w:cs="Arial"/>
                <w:sz w:val="16"/>
                <w:szCs w:val="18"/>
              </w:rPr>
              <w:t>70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08A68BE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w:t>
            </w:r>
            <w:r>
              <w:rPr>
                <w:rFonts w:ascii="Arial" w:hAnsi="Arial" w:cs="Arial"/>
                <w:sz w:val="16"/>
                <w:szCs w:val="18"/>
              </w:rPr>
              <w:t>0-</w:t>
            </w:r>
            <w:r>
              <w:rPr>
                <w:rFonts w:hint="eastAsia" w:ascii="Arial" w:hAnsi="Arial" w:cs="Arial"/>
                <w:sz w:val="16"/>
                <w:szCs w:val="18"/>
              </w:rPr>
              <w:t>70</w:t>
            </w:r>
            <w:r>
              <w:rPr>
                <w:rFonts w:ascii="Arial" w:hAnsi="Arial" w:cs="Arial"/>
                <w:sz w:val="16"/>
                <w:szCs w:val="18"/>
              </w:rPr>
              <w:t>%</w:t>
            </w:r>
          </w:p>
        </w:tc>
        <w:tc>
          <w:tcPr>
            <w:tcW w:w="970" w:type="pct"/>
            <w:tcBorders>
              <w:top w:val="single" w:color="auto" w:sz="4" w:space="0"/>
              <w:left w:val="nil"/>
              <w:bottom w:val="single" w:color="auto" w:sz="4" w:space="0"/>
              <w:right w:val="single" w:color="auto" w:sz="4" w:space="0"/>
            </w:tcBorders>
            <w:vAlign w:val="center"/>
          </w:tcPr>
          <w:p w14:paraId="7852B72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7</w:t>
            </w:r>
            <w:r>
              <w:rPr>
                <w:rFonts w:ascii="Arial" w:hAnsi="Arial" w:cs="Arial"/>
                <w:sz w:val="16"/>
                <w:szCs w:val="18"/>
              </w:rPr>
              <w:t>0-</w:t>
            </w:r>
            <w:r>
              <w:rPr>
                <w:rFonts w:hint="eastAsia" w:ascii="Arial" w:hAnsi="Arial" w:cs="Arial"/>
                <w:sz w:val="16"/>
                <w:szCs w:val="18"/>
              </w:rPr>
              <w:t>80</w:t>
            </w:r>
            <w:r>
              <w:rPr>
                <w:rFonts w:ascii="Arial" w:hAnsi="Arial" w:cs="Arial"/>
                <w:sz w:val="16"/>
                <w:szCs w:val="18"/>
              </w:rPr>
              <w:t>%</w:t>
            </w:r>
          </w:p>
        </w:tc>
      </w:tr>
      <w:tr w14:paraId="63474D90">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6870BC91">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47FEE5D6">
            <w:pPr>
              <w:widowControl/>
              <w:adjustRightInd/>
              <w:spacing w:line="240" w:lineRule="auto"/>
              <w:jc w:val="center"/>
              <w:textAlignment w:val="auto"/>
              <w:rPr>
                <w:rFonts w:ascii="Arial" w:hAnsi="Arial" w:cs="Arial"/>
                <w:sz w:val="16"/>
                <w:szCs w:val="18"/>
              </w:rPr>
            </w:pPr>
            <w:r>
              <w:rPr>
                <w:rFonts w:ascii="Arial" w:hAnsi="Arial" w:cs="Arial"/>
                <w:sz w:val="16"/>
                <w:szCs w:val="18"/>
              </w:rPr>
              <w:t>公共区域装修</w:t>
            </w:r>
          </w:p>
        </w:tc>
        <w:tc>
          <w:tcPr>
            <w:tcW w:w="1844" w:type="dxa"/>
            <w:tcBorders>
              <w:top w:val="single" w:color="auto" w:sz="4" w:space="0"/>
              <w:left w:val="nil"/>
              <w:bottom w:val="single" w:color="auto" w:sz="4" w:space="0"/>
              <w:right w:val="single" w:color="auto" w:sz="4" w:space="0"/>
            </w:tcBorders>
            <w:vAlign w:val="center"/>
          </w:tcPr>
          <w:p w14:paraId="18C4107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1844" w:type="dxa"/>
            <w:tcBorders>
              <w:top w:val="single" w:color="auto" w:sz="4" w:space="0"/>
              <w:left w:val="nil"/>
              <w:bottom w:val="single" w:color="auto" w:sz="4" w:space="0"/>
              <w:right w:val="single" w:color="auto" w:sz="4" w:space="0"/>
            </w:tcBorders>
            <w:vAlign w:val="center"/>
          </w:tcPr>
          <w:p w14:paraId="34B7A6C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低档</w:t>
            </w:r>
            <w:r>
              <w:rPr>
                <w:rFonts w:ascii="Arial" w:hAnsi="Arial" w:cs="Arial"/>
                <w:sz w:val="16"/>
                <w:szCs w:val="18"/>
              </w:rPr>
              <w:t>装修</w:t>
            </w:r>
          </w:p>
        </w:tc>
        <w:tc>
          <w:tcPr>
            <w:tcW w:w="1844" w:type="dxa"/>
            <w:tcBorders>
              <w:top w:val="single" w:color="auto" w:sz="4" w:space="0"/>
              <w:left w:val="nil"/>
              <w:bottom w:val="single" w:color="auto" w:sz="4" w:space="0"/>
              <w:right w:val="single" w:color="auto" w:sz="4" w:space="0"/>
            </w:tcBorders>
            <w:vAlign w:val="center"/>
          </w:tcPr>
          <w:p w14:paraId="0484FC9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低档</w:t>
            </w:r>
            <w:r>
              <w:rPr>
                <w:rFonts w:ascii="Arial" w:hAnsi="Arial" w:cs="Arial"/>
                <w:sz w:val="16"/>
                <w:szCs w:val="18"/>
              </w:rPr>
              <w:t>装修</w:t>
            </w:r>
          </w:p>
        </w:tc>
        <w:tc>
          <w:tcPr>
            <w:tcW w:w="1847" w:type="dxa"/>
            <w:tcBorders>
              <w:top w:val="single" w:color="auto" w:sz="4" w:space="0"/>
              <w:left w:val="nil"/>
              <w:bottom w:val="single" w:color="auto" w:sz="4" w:space="0"/>
              <w:right w:val="single" w:color="auto" w:sz="4" w:space="0"/>
            </w:tcBorders>
            <w:vAlign w:val="center"/>
          </w:tcPr>
          <w:p w14:paraId="7CDA71A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r>
      <w:tr w14:paraId="312E526D">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4177802E">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207D29A6">
            <w:pPr>
              <w:widowControl/>
              <w:adjustRightInd/>
              <w:spacing w:line="240" w:lineRule="auto"/>
              <w:jc w:val="center"/>
              <w:textAlignment w:val="auto"/>
              <w:rPr>
                <w:rFonts w:ascii="Arial" w:hAnsi="Arial" w:cs="Arial"/>
                <w:sz w:val="16"/>
                <w:szCs w:val="18"/>
              </w:rPr>
            </w:pPr>
            <w:r>
              <w:rPr>
                <w:rFonts w:ascii="Arial" w:hAnsi="Arial" w:cs="Arial"/>
                <w:sz w:val="16"/>
                <w:szCs w:val="18"/>
              </w:rPr>
              <w:t>室内装饰装修</w:t>
            </w:r>
          </w:p>
        </w:tc>
        <w:tc>
          <w:tcPr>
            <w:tcW w:w="968" w:type="pct"/>
            <w:tcBorders>
              <w:top w:val="single" w:color="auto" w:sz="4" w:space="0"/>
              <w:left w:val="nil"/>
              <w:bottom w:val="single" w:color="auto" w:sz="4" w:space="0"/>
              <w:right w:val="single" w:color="auto" w:sz="4" w:space="0"/>
            </w:tcBorders>
            <w:vAlign w:val="center"/>
          </w:tcPr>
          <w:p w14:paraId="7CB37CF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968" w:type="pct"/>
            <w:tcBorders>
              <w:top w:val="single" w:color="auto" w:sz="4" w:space="0"/>
              <w:left w:val="nil"/>
              <w:bottom w:val="single" w:color="auto" w:sz="4" w:space="0"/>
              <w:right w:val="single" w:color="auto" w:sz="4" w:space="0"/>
            </w:tcBorders>
            <w:vAlign w:val="center"/>
          </w:tcPr>
          <w:p w14:paraId="0CCE5B1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968" w:type="pct"/>
            <w:tcBorders>
              <w:top w:val="single" w:color="auto" w:sz="4" w:space="0"/>
              <w:left w:val="nil"/>
              <w:bottom w:val="single" w:color="auto" w:sz="4" w:space="0"/>
              <w:right w:val="single" w:color="auto" w:sz="4" w:space="0"/>
            </w:tcBorders>
            <w:vAlign w:val="center"/>
          </w:tcPr>
          <w:p w14:paraId="638933E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970" w:type="pct"/>
            <w:tcBorders>
              <w:top w:val="single" w:color="auto" w:sz="4" w:space="0"/>
              <w:left w:val="nil"/>
              <w:bottom w:val="single" w:color="auto" w:sz="4" w:space="0"/>
              <w:right w:val="single" w:color="auto" w:sz="4" w:space="0"/>
            </w:tcBorders>
            <w:vAlign w:val="center"/>
          </w:tcPr>
          <w:p w14:paraId="219A229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r>
      <w:tr w14:paraId="631502F9">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591CE953">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45300B2A">
            <w:pPr>
              <w:widowControl/>
              <w:adjustRightInd/>
              <w:spacing w:line="240" w:lineRule="auto"/>
              <w:jc w:val="center"/>
              <w:textAlignment w:val="auto"/>
              <w:rPr>
                <w:rFonts w:ascii="Arial" w:hAnsi="Arial" w:cs="Arial"/>
                <w:sz w:val="16"/>
                <w:szCs w:val="18"/>
              </w:rPr>
            </w:pPr>
            <w:r>
              <w:rPr>
                <w:rFonts w:ascii="Arial" w:hAnsi="Arial" w:cs="Arial"/>
                <w:sz w:val="16"/>
                <w:szCs w:val="18"/>
              </w:rPr>
              <w:t>设施设备</w:t>
            </w:r>
          </w:p>
        </w:tc>
        <w:tc>
          <w:tcPr>
            <w:tcW w:w="968" w:type="pct"/>
            <w:tcBorders>
              <w:top w:val="single" w:color="auto" w:sz="4" w:space="0"/>
              <w:left w:val="nil"/>
              <w:bottom w:val="single" w:color="auto" w:sz="4" w:space="0"/>
              <w:right w:val="single" w:color="auto" w:sz="4" w:space="0"/>
            </w:tcBorders>
            <w:vAlign w:val="center"/>
          </w:tcPr>
          <w:p w14:paraId="5F292751">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48D63F31">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5E4322CD">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70" w:type="pct"/>
            <w:tcBorders>
              <w:top w:val="single" w:color="auto" w:sz="4" w:space="0"/>
              <w:left w:val="nil"/>
              <w:bottom w:val="single" w:color="auto" w:sz="4" w:space="0"/>
              <w:right w:val="single" w:color="auto" w:sz="4" w:space="0"/>
            </w:tcBorders>
            <w:vAlign w:val="center"/>
          </w:tcPr>
          <w:p w14:paraId="509AF0CF">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r>
      <w:tr w14:paraId="6472BE9B">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381FF920">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3DA52554">
            <w:pPr>
              <w:widowControl/>
              <w:adjustRightInd/>
              <w:spacing w:line="240" w:lineRule="auto"/>
              <w:jc w:val="center"/>
              <w:textAlignment w:val="auto"/>
              <w:rPr>
                <w:rFonts w:ascii="Arial" w:hAnsi="Arial" w:cs="Arial"/>
                <w:sz w:val="16"/>
                <w:szCs w:val="18"/>
              </w:rPr>
            </w:pPr>
            <w:r>
              <w:rPr>
                <w:rFonts w:ascii="Arial" w:hAnsi="Arial" w:cs="Arial"/>
                <w:sz w:val="16"/>
                <w:szCs w:val="18"/>
              </w:rPr>
              <w:t>综合管理服务设施</w:t>
            </w:r>
          </w:p>
        </w:tc>
        <w:tc>
          <w:tcPr>
            <w:tcW w:w="968" w:type="pct"/>
            <w:tcBorders>
              <w:top w:val="single" w:color="auto" w:sz="4" w:space="0"/>
              <w:left w:val="nil"/>
              <w:bottom w:val="single" w:color="auto" w:sz="4" w:space="0"/>
              <w:right w:val="single" w:color="auto" w:sz="4" w:space="0"/>
            </w:tcBorders>
            <w:vAlign w:val="center"/>
          </w:tcPr>
          <w:p w14:paraId="0395E627">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28AB2975">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49622553">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70" w:type="pct"/>
            <w:tcBorders>
              <w:top w:val="single" w:color="auto" w:sz="4" w:space="0"/>
              <w:left w:val="nil"/>
              <w:bottom w:val="single" w:color="auto" w:sz="4" w:space="0"/>
              <w:right w:val="single" w:color="auto" w:sz="4" w:space="0"/>
            </w:tcBorders>
            <w:vAlign w:val="center"/>
          </w:tcPr>
          <w:p w14:paraId="553EC75B">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r>
      <w:tr w14:paraId="7072CACE">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21072444">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2A070405">
            <w:pPr>
              <w:widowControl/>
              <w:adjustRightInd/>
              <w:spacing w:line="240" w:lineRule="auto"/>
              <w:jc w:val="center"/>
              <w:textAlignment w:val="auto"/>
              <w:rPr>
                <w:rFonts w:ascii="Arial" w:hAnsi="Arial" w:cs="Arial"/>
                <w:sz w:val="16"/>
                <w:szCs w:val="18"/>
              </w:rPr>
            </w:pPr>
            <w:r>
              <w:rPr>
                <w:rFonts w:ascii="Arial" w:hAnsi="Arial" w:cs="Arial"/>
                <w:sz w:val="16"/>
                <w:szCs w:val="18"/>
              </w:rPr>
              <w:t>户型布局</w:t>
            </w:r>
          </w:p>
        </w:tc>
        <w:tc>
          <w:tcPr>
            <w:tcW w:w="968" w:type="pct"/>
            <w:tcBorders>
              <w:top w:val="single" w:color="auto" w:sz="4" w:space="0"/>
              <w:left w:val="nil"/>
              <w:bottom w:val="single" w:color="auto" w:sz="4" w:space="0"/>
              <w:right w:val="single" w:color="auto" w:sz="4" w:space="0"/>
            </w:tcBorders>
            <w:vAlign w:val="center"/>
          </w:tcPr>
          <w:p w14:paraId="6A31F9F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一居室</w:t>
            </w:r>
          </w:p>
        </w:tc>
        <w:tc>
          <w:tcPr>
            <w:tcW w:w="968" w:type="pct"/>
            <w:tcBorders>
              <w:top w:val="single" w:color="auto" w:sz="4" w:space="0"/>
              <w:left w:val="nil"/>
              <w:bottom w:val="single" w:color="auto" w:sz="4" w:space="0"/>
              <w:right w:val="single" w:color="auto" w:sz="4" w:space="0"/>
            </w:tcBorders>
            <w:vAlign w:val="center"/>
          </w:tcPr>
          <w:p w14:paraId="1A4EB9B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一居室</w:t>
            </w:r>
          </w:p>
        </w:tc>
        <w:tc>
          <w:tcPr>
            <w:tcW w:w="968" w:type="pct"/>
            <w:tcBorders>
              <w:top w:val="single" w:color="auto" w:sz="4" w:space="0"/>
              <w:left w:val="nil"/>
              <w:bottom w:val="single" w:color="auto" w:sz="4" w:space="0"/>
              <w:right w:val="single" w:color="auto" w:sz="4" w:space="0"/>
            </w:tcBorders>
            <w:vAlign w:val="center"/>
          </w:tcPr>
          <w:p w14:paraId="5937848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一居室</w:t>
            </w:r>
          </w:p>
        </w:tc>
        <w:tc>
          <w:tcPr>
            <w:tcW w:w="970" w:type="pct"/>
            <w:tcBorders>
              <w:top w:val="single" w:color="auto" w:sz="4" w:space="0"/>
              <w:left w:val="nil"/>
              <w:bottom w:val="single" w:color="auto" w:sz="4" w:space="0"/>
              <w:right w:val="single" w:color="auto" w:sz="4" w:space="0"/>
            </w:tcBorders>
            <w:vAlign w:val="center"/>
          </w:tcPr>
          <w:p w14:paraId="41E45A8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一居室</w:t>
            </w:r>
          </w:p>
        </w:tc>
      </w:tr>
      <w:tr w14:paraId="45197456">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7EDB3D23">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3BC5751B">
            <w:pPr>
              <w:widowControl/>
              <w:adjustRightInd/>
              <w:spacing w:line="240" w:lineRule="auto"/>
              <w:jc w:val="center"/>
              <w:textAlignment w:val="auto"/>
              <w:rPr>
                <w:rFonts w:ascii="Arial" w:hAnsi="Arial" w:cs="Arial"/>
                <w:sz w:val="16"/>
                <w:szCs w:val="18"/>
              </w:rPr>
            </w:pPr>
            <w:r>
              <w:rPr>
                <w:rFonts w:ascii="Arial" w:hAnsi="Arial" w:cs="Arial"/>
                <w:sz w:val="16"/>
                <w:szCs w:val="18"/>
              </w:rPr>
              <w:t>户型结构</w:t>
            </w:r>
          </w:p>
        </w:tc>
        <w:tc>
          <w:tcPr>
            <w:tcW w:w="968" w:type="pct"/>
            <w:tcBorders>
              <w:top w:val="single" w:color="auto" w:sz="4" w:space="0"/>
              <w:left w:val="nil"/>
              <w:bottom w:val="single" w:color="auto" w:sz="4" w:space="0"/>
              <w:right w:val="single" w:color="auto" w:sz="4" w:space="0"/>
            </w:tcBorders>
            <w:vAlign w:val="center"/>
          </w:tcPr>
          <w:p w14:paraId="212A5D5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714C500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17A668C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70" w:type="pct"/>
            <w:tcBorders>
              <w:top w:val="single" w:color="auto" w:sz="4" w:space="0"/>
              <w:left w:val="nil"/>
              <w:bottom w:val="single" w:color="auto" w:sz="4" w:space="0"/>
              <w:right w:val="single" w:color="auto" w:sz="4" w:space="0"/>
            </w:tcBorders>
            <w:vAlign w:val="center"/>
          </w:tcPr>
          <w:p w14:paraId="660E13C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r>
      <w:tr w14:paraId="7787CC89">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7C90E62C">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5DDB2B81">
            <w:pPr>
              <w:widowControl/>
              <w:adjustRightInd/>
              <w:spacing w:line="240" w:lineRule="auto"/>
              <w:jc w:val="center"/>
              <w:textAlignment w:val="auto"/>
              <w:rPr>
                <w:rFonts w:ascii="Arial" w:hAnsi="Arial" w:cs="Arial"/>
                <w:sz w:val="16"/>
                <w:szCs w:val="18"/>
              </w:rPr>
            </w:pPr>
            <w:r>
              <w:rPr>
                <w:rFonts w:ascii="Arial" w:hAnsi="Arial" w:cs="Arial"/>
                <w:sz w:val="16"/>
                <w:szCs w:val="18"/>
              </w:rPr>
              <w:t>建筑面积（㎡）</w:t>
            </w:r>
          </w:p>
        </w:tc>
        <w:tc>
          <w:tcPr>
            <w:tcW w:w="968" w:type="pct"/>
            <w:tcBorders>
              <w:top w:val="single" w:color="auto" w:sz="4" w:space="0"/>
              <w:left w:val="nil"/>
              <w:bottom w:val="single" w:color="auto" w:sz="4" w:space="0"/>
              <w:right w:val="single" w:color="auto" w:sz="4" w:space="0"/>
            </w:tcBorders>
            <w:vAlign w:val="center"/>
          </w:tcPr>
          <w:p w14:paraId="3C20E81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74</w:t>
            </w:r>
          </w:p>
        </w:tc>
        <w:tc>
          <w:tcPr>
            <w:tcW w:w="968" w:type="pct"/>
            <w:tcBorders>
              <w:top w:val="single" w:color="auto" w:sz="4" w:space="0"/>
              <w:left w:val="nil"/>
              <w:bottom w:val="single" w:color="auto" w:sz="4" w:space="0"/>
              <w:right w:val="single" w:color="auto" w:sz="4" w:space="0"/>
            </w:tcBorders>
            <w:vAlign w:val="center"/>
          </w:tcPr>
          <w:p w14:paraId="5574168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68</w:t>
            </w:r>
          </w:p>
        </w:tc>
        <w:tc>
          <w:tcPr>
            <w:tcW w:w="968" w:type="pct"/>
            <w:tcBorders>
              <w:top w:val="single" w:color="auto" w:sz="4" w:space="0"/>
              <w:left w:val="nil"/>
              <w:bottom w:val="single" w:color="auto" w:sz="4" w:space="0"/>
              <w:right w:val="single" w:color="auto" w:sz="4" w:space="0"/>
            </w:tcBorders>
            <w:vAlign w:val="center"/>
          </w:tcPr>
          <w:p w14:paraId="61918CB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68.05</w:t>
            </w:r>
          </w:p>
        </w:tc>
        <w:tc>
          <w:tcPr>
            <w:tcW w:w="970" w:type="pct"/>
            <w:tcBorders>
              <w:top w:val="single" w:color="auto" w:sz="4" w:space="0"/>
              <w:left w:val="nil"/>
              <w:bottom w:val="single" w:color="auto" w:sz="4" w:space="0"/>
              <w:right w:val="single" w:color="auto" w:sz="4" w:space="0"/>
            </w:tcBorders>
            <w:vAlign w:val="center"/>
          </w:tcPr>
          <w:p w14:paraId="27D0277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66.16</w:t>
            </w:r>
          </w:p>
        </w:tc>
      </w:tr>
      <w:tr w14:paraId="133DFFDC">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2FBE93B7">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3D359558">
            <w:pPr>
              <w:widowControl/>
              <w:adjustRightInd/>
              <w:spacing w:line="240" w:lineRule="auto"/>
              <w:jc w:val="center"/>
              <w:textAlignment w:val="auto"/>
              <w:rPr>
                <w:rFonts w:ascii="Arial" w:hAnsi="Arial" w:cs="Arial"/>
                <w:sz w:val="16"/>
                <w:szCs w:val="18"/>
              </w:rPr>
            </w:pPr>
            <w:r>
              <w:rPr>
                <w:rFonts w:ascii="Arial" w:hAnsi="Arial" w:cs="Arial"/>
                <w:sz w:val="16"/>
                <w:szCs w:val="18"/>
              </w:rPr>
              <w:t>家具家电</w:t>
            </w:r>
          </w:p>
        </w:tc>
        <w:tc>
          <w:tcPr>
            <w:tcW w:w="1844" w:type="dxa"/>
            <w:tcBorders>
              <w:top w:val="single" w:color="auto" w:sz="4" w:space="0"/>
              <w:left w:val="nil"/>
              <w:bottom w:val="single" w:color="auto" w:sz="4" w:space="0"/>
              <w:right w:val="single" w:color="auto" w:sz="4" w:space="0"/>
            </w:tcBorders>
            <w:vAlign w:val="center"/>
          </w:tcPr>
          <w:p w14:paraId="4BAF1DD8">
            <w:pPr>
              <w:widowControl/>
              <w:adjustRightInd/>
              <w:spacing w:line="240" w:lineRule="auto"/>
              <w:jc w:val="center"/>
              <w:textAlignment w:val="auto"/>
              <w:rPr>
                <w:rFonts w:ascii="Arial" w:hAnsi="Arial" w:cs="Arial"/>
                <w:sz w:val="16"/>
                <w:szCs w:val="18"/>
              </w:rPr>
            </w:pPr>
            <w:r>
              <w:rPr>
                <w:rFonts w:ascii="Arial" w:hAnsi="Arial" w:cs="Arial"/>
                <w:sz w:val="16"/>
                <w:szCs w:val="18"/>
              </w:rPr>
              <w:t>配备</w:t>
            </w:r>
            <w:r>
              <w:rPr>
                <w:rFonts w:hint="eastAsia" w:ascii="Arial" w:hAnsi="Arial" w:cs="Arial"/>
                <w:sz w:val="16"/>
                <w:szCs w:val="18"/>
              </w:rPr>
              <w:t>品牌</w:t>
            </w:r>
            <w:r>
              <w:rPr>
                <w:rFonts w:ascii="Arial" w:hAnsi="Arial" w:cs="Arial"/>
                <w:sz w:val="16"/>
                <w:szCs w:val="18"/>
              </w:rPr>
              <w:t>家具、</w:t>
            </w:r>
            <w:r>
              <w:rPr>
                <w:rFonts w:hint="eastAsia" w:ascii="Arial" w:hAnsi="Arial" w:cs="Arial"/>
                <w:sz w:val="16"/>
                <w:szCs w:val="18"/>
              </w:rPr>
              <w:t>品牌</w:t>
            </w:r>
            <w:r>
              <w:rPr>
                <w:rFonts w:ascii="Arial" w:hAnsi="Arial" w:cs="Arial"/>
                <w:sz w:val="16"/>
                <w:szCs w:val="18"/>
              </w:rPr>
              <w:t>家电齐全；功能正常，质量有保证</w:t>
            </w:r>
            <w:r>
              <w:rPr>
                <w:rFonts w:hint="eastAsia" w:ascii="Arial" w:hAnsi="Arial" w:cs="Arial"/>
                <w:sz w:val="16"/>
                <w:szCs w:val="18"/>
              </w:rPr>
              <w:t>；配备网络设施；</w:t>
            </w:r>
            <w:r>
              <w:rPr>
                <w:rFonts w:ascii="Arial" w:hAnsi="Arial" w:cs="Arial"/>
                <w:sz w:val="16"/>
                <w:szCs w:val="18"/>
              </w:rPr>
              <w:t>好</w:t>
            </w:r>
          </w:p>
        </w:tc>
        <w:tc>
          <w:tcPr>
            <w:tcW w:w="1844" w:type="dxa"/>
            <w:tcBorders>
              <w:top w:val="single" w:color="auto" w:sz="4" w:space="0"/>
              <w:left w:val="nil"/>
              <w:bottom w:val="single" w:color="auto" w:sz="4" w:space="0"/>
              <w:right w:val="single" w:color="auto" w:sz="4" w:space="0"/>
            </w:tcBorders>
            <w:vAlign w:val="center"/>
          </w:tcPr>
          <w:p w14:paraId="1818CF3F">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1844" w:type="dxa"/>
            <w:tcBorders>
              <w:top w:val="single" w:color="auto" w:sz="4" w:space="0"/>
              <w:left w:val="nil"/>
              <w:bottom w:val="single" w:color="auto" w:sz="4" w:space="0"/>
              <w:right w:val="single" w:color="auto" w:sz="4" w:space="0"/>
            </w:tcBorders>
            <w:vAlign w:val="center"/>
          </w:tcPr>
          <w:p w14:paraId="0AD36D52">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1847" w:type="dxa"/>
            <w:tcBorders>
              <w:top w:val="single" w:color="auto" w:sz="4" w:space="0"/>
              <w:left w:val="nil"/>
              <w:bottom w:val="single" w:color="auto" w:sz="4" w:space="0"/>
              <w:right w:val="single" w:color="auto" w:sz="4" w:space="0"/>
            </w:tcBorders>
            <w:vAlign w:val="center"/>
          </w:tcPr>
          <w:p w14:paraId="6C159690">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r>
      <w:tr w14:paraId="6FA8BCD6">
        <w:tblPrEx>
          <w:tblCellMar>
            <w:top w:w="0" w:type="dxa"/>
            <w:left w:w="108" w:type="dxa"/>
            <w:bottom w:w="0" w:type="dxa"/>
            <w:right w:w="108" w:type="dxa"/>
          </w:tblCellMar>
        </w:tblPrEx>
        <w:trPr>
          <w:trHeight w:val="397" w:hRule="atLeast"/>
          <w:jc w:val="center"/>
        </w:trPr>
        <w:tc>
          <w:tcPr>
            <w:tcW w:w="362" w:type="pct"/>
            <w:vMerge w:val="restart"/>
            <w:tcBorders>
              <w:left w:val="single" w:color="auto" w:sz="4" w:space="0"/>
              <w:bottom w:val="single" w:color="auto" w:sz="4" w:space="0"/>
              <w:right w:val="single" w:color="auto" w:sz="4" w:space="0"/>
            </w:tcBorders>
            <w:vAlign w:val="center"/>
          </w:tcPr>
          <w:p w14:paraId="4C8D63FA">
            <w:pPr>
              <w:widowControl/>
              <w:adjustRightInd/>
              <w:spacing w:line="240" w:lineRule="auto"/>
              <w:jc w:val="center"/>
              <w:textAlignment w:val="auto"/>
              <w:rPr>
                <w:rFonts w:ascii="Arial" w:hAnsi="Arial" w:cs="Arial"/>
                <w:sz w:val="16"/>
                <w:szCs w:val="18"/>
              </w:rPr>
            </w:pPr>
            <w:r>
              <w:rPr>
                <w:rFonts w:ascii="Arial" w:hAnsi="Arial" w:cs="Arial"/>
                <w:sz w:val="16"/>
                <w:szCs w:val="18"/>
              </w:rPr>
              <w:t>权益状况</w:t>
            </w:r>
          </w:p>
        </w:tc>
        <w:tc>
          <w:tcPr>
            <w:tcW w:w="759" w:type="pct"/>
            <w:tcBorders>
              <w:top w:val="single" w:color="auto" w:sz="4" w:space="0"/>
              <w:left w:val="nil"/>
              <w:bottom w:val="single" w:color="auto" w:sz="4" w:space="0"/>
              <w:right w:val="single" w:color="auto" w:sz="4" w:space="0"/>
            </w:tcBorders>
            <w:vAlign w:val="center"/>
          </w:tcPr>
          <w:p w14:paraId="67414B7B">
            <w:pPr>
              <w:widowControl/>
              <w:adjustRightInd/>
              <w:spacing w:line="240" w:lineRule="auto"/>
              <w:jc w:val="center"/>
              <w:textAlignment w:val="auto"/>
              <w:rPr>
                <w:rFonts w:ascii="Arial" w:hAnsi="Arial" w:cs="Arial"/>
                <w:sz w:val="16"/>
                <w:szCs w:val="18"/>
              </w:rPr>
            </w:pPr>
            <w:r>
              <w:rPr>
                <w:rFonts w:ascii="Arial" w:hAnsi="Arial" w:cs="Arial"/>
                <w:sz w:val="16"/>
                <w:szCs w:val="18"/>
              </w:rPr>
              <w:t>服务及管理水平</w:t>
            </w:r>
          </w:p>
        </w:tc>
        <w:tc>
          <w:tcPr>
            <w:tcW w:w="968" w:type="pct"/>
            <w:tcBorders>
              <w:top w:val="single" w:color="auto" w:sz="4" w:space="0"/>
              <w:left w:val="nil"/>
              <w:bottom w:val="single" w:color="auto" w:sz="4" w:space="0"/>
              <w:right w:val="single" w:color="auto" w:sz="4" w:space="0"/>
            </w:tcBorders>
            <w:vAlign w:val="center"/>
          </w:tcPr>
          <w:p w14:paraId="4EF98978">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561BADFD">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7EEEA43D">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70" w:type="pct"/>
            <w:tcBorders>
              <w:top w:val="single" w:color="auto" w:sz="4" w:space="0"/>
              <w:left w:val="nil"/>
              <w:bottom w:val="single" w:color="auto" w:sz="4" w:space="0"/>
              <w:right w:val="single" w:color="auto" w:sz="4" w:space="0"/>
            </w:tcBorders>
            <w:vAlign w:val="center"/>
          </w:tcPr>
          <w:p w14:paraId="241FB67E">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r>
      <w:tr w14:paraId="0ABA9DB4">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37615F5E">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2D947C48">
            <w:pPr>
              <w:widowControl/>
              <w:adjustRightInd/>
              <w:spacing w:line="240" w:lineRule="auto"/>
              <w:jc w:val="center"/>
              <w:textAlignment w:val="auto"/>
              <w:rPr>
                <w:rFonts w:ascii="Arial" w:hAnsi="Arial" w:cs="Arial"/>
                <w:sz w:val="16"/>
                <w:szCs w:val="18"/>
              </w:rPr>
            </w:pPr>
            <w:r>
              <w:rPr>
                <w:rFonts w:ascii="Arial" w:hAnsi="Arial" w:cs="Arial"/>
                <w:sz w:val="16"/>
                <w:szCs w:val="18"/>
              </w:rPr>
              <w:t>水电气费执行标准</w:t>
            </w:r>
          </w:p>
        </w:tc>
        <w:tc>
          <w:tcPr>
            <w:tcW w:w="968" w:type="pct"/>
            <w:tcBorders>
              <w:top w:val="single" w:color="auto" w:sz="4" w:space="0"/>
              <w:left w:val="nil"/>
              <w:bottom w:val="single" w:color="auto" w:sz="4" w:space="0"/>
              <w:right w:val="single" w:color="auto" w:sz="4" w:space="0"/>
            </w:tcBorders>
            <w:vAlign w:val="center"/>
          </w:tcPr>
          <w:p w14:paraId="3470958C">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5E25E8F6">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6F66FBAF">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70" w:type="pct"/>
            <w:tcBorders>
              <w:top w:val="single" w:color="auto" w:sz="4" w:space="0"/>
              <w:left w:val="nil"/>
              <w:bottom w:val="single" w:color="auto" w:sz="4" w:space="0"/>
              <w:right w:val="single" w:color="auto" w:sz="4" w:space="0"/>
            </w:tcBorders>
            <w:vAlign w:val="center"/>
          </w:tcPr>
          <w:p w14:paraId="5CD24C01">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r>
    </w:tbl>
    <w:p w14:paraId="3440C5FA">
      <w:pPr>
        <w:overflowPunct w:val="0"/>
        <w:spacing w:line="480" w:lineRule="auto"/>
        <w:ind w:firstLine="420" w:firstLineChars="200"/>
        <w:jc w:val="center"/>
        <w:rPr>
          <w:rFonts w:ascii="Arial" w:hAnsi="Arial"/>
          <w:sz w:val="21"/>
          <w:szCs w:val="21"/>
        </w:rPr>
      </w:pPr>
    </w:p>
    <w:p w14:paraId="33F7DB84">
      <w:pPr>
        <w:overflowPunct w:val="0"/>
        <w:spacing w:line="480" w:lineRule="auto"/>
        <w:ind w:firstLine="420" w:firstLineChars="200"/>
        <w:jc w:val="center"/>
        <w:rPr>
          <w:rFonts w:ascii="Arial" w:hAnsi="Arial"/>
          <w:sz w:val="21"/>
          <w:szCs w:val="21"/>
        </w:rPr>
      </w:pPr>
    </w:p>
    <w:p w14:paraId="46AD2CAC">
      <w:pPr>
        <w:overflowPunct w:val="0"/>
        <w:spacing w:line="480" w:lineRule="auto"/>
        <w:ind w:firstLine="420" w:firstLineChars="200"/>
        <w:jc w:val="center"/>
        <w:rPr>
          <w:rFonts w:ascii="Arial" w:hAnsi="Arial"/>
          <w:sz w:val="21"/>
          <w:szCs w:val="21"/>
        </w:rPr>
      </w:pPr>
    </w:p>
    <w:p w14:paraId="7C979487">
      <w:pPr>
        <w:overflowPunct w:val="0"/>
        <w:spacing w:line="480" w:lineRule="auto"/>
        <w:ind w:firstLine="420" w:firstLineChars="200"/>
        <w:jc w:val="center"/>
        <w:rPr>
          <w:rFonts w:ascii="Arial" w:hAnsi="Arial"/>
          <w:sz w:val="21"/>
          <w:szCs w:val="21"/>
        </w:rPr>
      </w:pPr>
    </w:p>
    <w:p w14:paraId="5E29FB46">
      <w:pPr>
        <w:overflowPunct w:val="0"/>
        <w:spacing w:line="480" w:lineRule="auto"/>
        <w:ind w:firstLine="420" w:firstLineChars="200"/>
        <w:jc w:val="center"/>
        <w:rPr>
          <w:rFonts w:ascii="Arial" w:hAnsi="Arial"/>
          <w:sz w:val="21"/>
          <w:szCs w:val="21"/>
        </w:rPr>
      </w:pPr>
    </w:p>
    <w:p w14:paraId="0B998C91">
      <w:pPr>
        <w:overflowPunct w:val="0"/>
        <w:spacing w:line="480" w:lineRule="auto"/>
        <w:ind w:firstLine="420" w:firstLineChars="200"/>
        <w:jc w:val="center"/>
        <w:rPr>
          <w:rFonts w:ascii="Arial" w:hAnsi="Arial"/>
          <w:sz w:val="21"/>
          <w:szCs w:val="21"/>
        </w:rPr>
      </w:pPr>
    </w:p>
    <w:p w14:paraId="1CB24BE1">
      <w:pPr>
        <w:overflowPunct w:val="0"/>
        <w:spacing w:line="480" w:lineRule="auto"/>
        <w:ind w:firstLine="420" w:firstLineChars="200"/>
        <w:jc w:val="center"/>
        <w:rPr>
          <w:rFonts w:ascii="Arial" w:hAnsi="Arial"/>
          <w:sz w:val="21"/>
          <w:szCs w:val="21"/>
        </w:rPr>
      </w:pPr>
    </w:p>
    <w:p w14:paraId="7F15A8DD">
      <w:pPr>
        <w:overflowPunct w:val="0"/>
        <w:spacing w:line="480" w:lineRule="auto"/>
        <w:ind w:firstLine="420" w:firstLineChars="200"/>
        <w:jc w:val="center"/>
        <w:rPr>
          <w:rFonts w:ascii="Arial" w:hAnsi="Arial"/>
          <w:sz w:val="21"/>
          <w:szCs w:val="21"/>
        </w:rPr>
      </w:pPr>
    </w:p>
    <w:p w14:paraId="7CFC13FA">
      <w:pPr>
        <w:overflowPunct w:val="0"/>
        <w:spacing w:line="480" w:lineRule="auto"/>
        <w:ind w:firstLine="420" w:firstLineChars="200"/>
        <w:jc w:val="center"/>
        <w:rPr>
          <w:rFonts w:ascii="Arial" w:hAnsi="Arial"/>
          <w:sz w:val="21"/>
          <w:szCs w:val="21"/>
        </w:rPr>
      </w:pPr>
    </w:p>
    <w:p w14:paraId="6D975B06">
      <w:pPr>
        <w:wordWrap w:val="0"/>
        <w:overflowPunct w:val="0"/>
        <w:spacing w:line="480" w:lineRule="auto"/>
        <w:rPr>
          <w:rFonts w:ascii="Arial" w:hAnsi="Arial"/>
          <w:sz w:val="21"/>
          <w:szCs w:val="21"/>
        </w:rPr>
      </w:pPr>
    </w:p>
    <w:p w14:paraId="628BE319">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（2）</w:t>
      </w:r>
      <w:r>
        <w:rPr>
          <w:rFonts w:ascii="Arial" w:hAnsi="Arial"/>
          <w:sz w:val="21"/>
          <w:szCs w:val="21"/>
        </w:rPr>
        <w:t xml:space="preserve"> </w:t>
      </w:r>
      <w:r>
        <w:rPr>
          <w:rFonts w:hint="eastAsia" w:ascii="Arial" w:hAnsi="Arial"/>
          <w:sz w:val="21"/>
          <w:szCs w:val="21"/>
        </w:rPr>
        <w:t>建立比较因素条件指数表和因素比较修正系数表</w:t>
      </w:r>
      <w:r>
        <w:rPr>
          <w:rFonts w:ascii="Arial" w:hAnsi="Arial"/>
          <w:sz w:val="21"/>
          <w:szCs w:val="21"/>
        </w:rPr>
        <w:t xml:space="preserve"> </w:t>
      </w:r>
    </w:p>
    <w:p w14:paraId="2B9421E8">
      <w:pPr>
        <w:wordWrap w:val="0"/>
        <w:overflowPunct w:val="0"/>
        <w:spacing w:line="480" w:lineRule="auto"/>
        <w:ind w:firstLine="420" w:firstLineChars="200"/>
        <w:rPr>
          <w:rFonts w:ascii="Arial" w:hAnsi="Arial"/>
          <w:sz w:val="21"/>
          <w:szCs w:val="21"/>
        </w:rPr>
      </w:pPr>
      <w:r>
        <w:rPr>
          <w:rFonts w:ascii="Arial" w:hAnsi="Arial"/>
          <w:sz w:val="21"/>
          <w:szCs w:val="21"/>
        </w:rPr>
        <w:t>根据对估价对象和可比案例情况的分析，把各可比案例的自身状况按照参比因素分别与估价对象的相应状况进行比较，编制比较因素条件指数表。具体如下</w:t>
      </w:r>
      <w:r>
        <w:rPr>
          <w:rFonts w:hint="eastAsia" w:ascii="Arial" w:hAnsi="Arial"/>
          <w:sz w:val="21"/>
          <w:szCs w:val="21"/>
        </w:rPr>
        <w:t>：</w:t>
      </w:r>
    </w:p>
    <w:p w14:paraId="6CE5835E">
      <w:pPr>
        <w:overflowPunct w:val="0"/>
        <w:spacing w:line="480" w:lineRule="auto"/>
        <w:ind w:firstLine="420" w:firstLineChars="200"/>
        <w:jc w:val="center"/>
        <w:rPr>
          <w:rFonts w:ascii="Arial" w:hAnsi="Arial"/>
          <w:sz w:val="21"/>
          <w:szCs w:val="21"/>
        </w:rPr>
      </w:pPr>
      <w:r>
        <w:rPr>
          <w:rFonts w:hint="eastAsia" w:ascii="Arial" w:hAnsi="Arial"/>
          <w:sz w:val="21"/>
          <w:szCs w:val="21"/>
        </w:rPr>
        <w:t>福兴雅苑</w:t>
      </w:r>
      <w:r>
        <w:rPr>
          <w:rFonts w:ascii="Arial" w:hAnsi="Arial"/>
          <w:sz w:val="21"/>
          <w:szCs w:val="21"/>
        </w:rPr>
        <w:t>比较因素条件指数表</w:t>
      </w:r>
    </w:p>
    <w:tbl>
      <w:tblPr>
        <w:tblStyle w:val="33"/>
        <w:tblW w:w="4936" w:type="pct"/>
        <w:jc w:val="center"/>
        <w:tblLayout w:type="autofit"/>
        <w:tblCellMar>
          <w:top w:w="57" w:type="dxa"/>
          <w:left w:w="57" w:type="dxa"/>
          <w:bottom w:w="57" w:type="dxa"/>
          <w:right w:w="57" w:type="dxa"/>
        </w:tblCellMar>
      </w:tblPr>
      <w:tblGrid>
        <w:gridCol w:w="568"/>
        <w:gridCol w:w="996"/>
        <w:gridCol w:w="988"/>
        <w:gridCol w:w="988"/>
        <w:gridCol w:w="988"/>
        <w:gridCol w:w="988"/>
        <w:gridCol w:w="3777"/>
      </w:tblGrid>
      <w:tr w14:paraId="621D3CC1">
        <w:tblPrEx>
          <w:tblCellMar>
            <w:top w:w="57" w:type="dxa"/>
            <w:left w:w="57" w:type="dxa"/>
            <w:bottom w:w="57" w:type="dxa"/>
            <w:right w:w="57" w:type="dxa"/>
          </w:tblCellMar>
        </w:tblPrEx>
        <w:trPr>
          <w:trHeight w:val="20" w:hRule="atLeast"/>
          <w:tblHeader/>
          <w:jc w:val="center"/>
        </w:trPr>
        <w:tc>
          <w:tcPr>
            <w:tcW w:w="842" w:type="pct"/>
            <w:gridSpan w:val="2"/>
            <w:vMerge w:val="restart"/>
            <w:tcBorders>
              <w:top w:val="single" w:color="auto" w:sz="4" w:space="0"/>
              <w:left w:val="single" w:color="auto" w:sz="4" w:space="0"/>
              <w:bottom w:val="single" w:color="000000" w:sz="4" w:space="0"/>
              <w:right w:val="single" w:color="000000" w:sz="4" w:space="0"/>
              <w:tl2br w:val="single" w:color="auto" w:sz="4" w:space="0"/>
            </w:tcBorders>
            <w:vAlign w:val="center"/>
          </w:tcPr>
          <w:p w14:paraId="3BED8EEE">
            <w:pPr>
              <w:snapToGrid w:val="0"/>
              <w:spacing w:line="240" w:lineRule="exact"/>
              <w:jc w:val="right"/>
              <w:rPr>
                <w:rFonts w:hint="eastAsia" w:ascii="宋体" w:hAnsi="宋体" w:cs="Arial"/>
                <w:sz w:val="16"/>
                <w:szCs w:val="18"/>
              </w:rPr>
            </w:pPr>
            <w:r>
              <w:rPr>
                <w:rFonts w:ascii="宋体" w:hAnsi="宋体" w:cs="Arial"/>
                <w:sz w:val="16"/>
                <w:szCs w:val="18"/>
              </w:rPr>
              <w:t>估价对象及</w:t>
            </w:r>
          </w:p>
          <w:p w14:paraId="23911BF3">
            <w:pPr>
              <w:snapToGrid w:val="0"/>
              <w:spacing w:line="240" w:lineRule="exact"/>
              <w:jc w:val="right"/>
              <w:rPr>
                <w:rFonts w:hint="eastAsia" w:ascii="宋体" w:hAnsi="宋体" w:cs="Arial"/>
                <w:sz w:val="16"/>
                <w:szCs w:val="18"/>
              </w:rPr>
            </w:pPr>
            <w:r>
              <w:rPr>
                <w:rFonts w:ascii="宋体" w:hAnsi="宋体" w:cs="Arial"/>
                <w:sz w:val="16"/>
                <w:szCs w:val="18"/>
              </w:rPr>
              <w:t>可比实例</w:t>
            </w:r>
          </w:p>
          <w:p w14:paraId="10EA0ACD">
            <w:pPr>
              <w:snapToGrid w:val="0"/>
              <w:spacing w:line="240" w:lineRule="exact"/>
              <w:jc w:val="both"/>
              <w:rPr>
                <w:rFonts w:hint="eastAsia" w:ascii="宋体" w:hAnsi="宋体" w:cs="Arial"/>
                <w:sz w:val="16"/>
                <w:szCs w:val="18"/>
              </w:rPr>
            </w:pPr>
          </w:p>
          <w:p w14:paraId="7DAD25EC">
            <w:pPr>
              <w:snapToGrid w:val="0"/>
              <w:spacing w:line="240" w:lineRule="exact"/>
              <w:jc w:val="both"/>
              <w:rPr>
                <w:rFonts w:hint="eastAsia" w:ascii="宋体" w:hAnsi="宋体" w:cs="Arial"/>
                <w:sz w:val="16"/>
                <w:szCs w:val="18"/>
              </w:rPr>
            </w:pPr>
          </w:p>
          <w:p w14:paraId="7694CB90">
            <w:pPr>
              <w:snapToGrid w:val="0"/>
              <w:spacing w:line="240" w:lineRule="exact"/>
              <w:jc w:val="both"/>
              <w:rPr>
                <w:rFonts w:hint="eastAsia" w:ascii="宋体" w:hAnsi="宋体" w:cs="Arial"/>
                <w:sz w:val="16"/>
                <w:szCs w:val="18"/>
              </w:rPr>
            </w:pPr>
            <w:r>
              <w:rPr>
                <w:rFonts w:ascii="宋体" w:hAnsi="宋体" w:cs="Arial"/>
                <w:sz w:val="16"/>
                <w:szCs w:val="18"/>
              </w:rPr>
              <w:t>比较因素</w:t>
            </w:r>
          </w:p>
        </w:tc>
        <w:tc>
          <w:tcPr>
            <w:tcW w:w="531" w:type="pct"/>
            <w:tcBorders>
              <w:top w:val="single" w:color="auto" w:sz="4" w:space="0"/>
              <w:left w:val="nil"/>
              <w:bottom w:val="single" w:color="auto" w:sz="4" w:space="0"/>
              <w:right w:val="single" w:color="auto" w:sz="4" w:space="0"/>
            </w:tcBorders>
            <w:vAlign w:val="center"/>
          </w:tcPr>
          <w:p w14:paraId="455244D4">
            <w:pPr>
              <w:snapToGrid w:val="0"/>
              <w:spacing w:line="240" w:lineRule="exact"/>
              <w:jc w:val="both"/>
              <w:rPr>
                <w:rFonts w:hint="eastAsia" w:ascii="宋体" w:hAnsi="宋体" w:cs="Arial"/>
                <w:sz w:val="16"/>
                <w:szCs w:val="18"/>
              </w:rPr>
            </w:pPr>
            <w:r>
              <w:rPr>
                <w:rFonts w:ascii="宋体" w:hAnsi="宋体" w:cs="Arial"/>
                <w:sz w:val="16"/>
                <w:szCs w:val="18"/>
              </w:rPr>
              <w:t>估价对象</w:t>
            </w:r>
          </w:p>
        </w:tc>
        <w:tc>
          <w:tcPr>
            <w:tcW w:w="531" w:type="pct"/>
            <w:tcBorders>
              <w:top w:val="single" w:color="auto" w:sz="4" w:space="0"/>
              <w:left w:val="nil"/>
              <w:bottom w:val="single" w:color="auto" w:sz="4" w:space="0"/>
              <w:right w:val="single" w:color="auto" w:sz="4" w:space="0"/>
            </w:tcBorders>
            <w:vAlign w:val="center"/>
          </w:tcPr>
          <w:p w14:paraId="00275A0D">
            <w:pPr>
              <w:snapToGrid w:val="0"/>
              <w:spacing w:line="240" w:lineRule="exact"/>
              <w:jc w:val="both"/>
              <w:rPr>
                <w:rFonts w:hint="eastAsia" w:ascii="宋体" w:hAnsi="宋体" w:cs="Arial"/>
                <w:sz w:val="16"/>
                <w:szCs w:val="18"/>
              </w:rPr>
            </w:pPr>
            <w:r>
              <w:rPr>
                <w:rFonts w:ascii="宋体" w:hAnsi="宋体" w:cs="Arial"/>
                <w:sz w:val="16"/>
                <w:szCs w:val="18"/>
              </w:rPr>
              <w:t>可比实例</w:t>
            </w:r>
            <w:r>
              <w:rPr>
                <w:rFonts w:hint="eastAsia" w:ascii="宋体" w:hAnsi="宋体" w:cs="Arial"/>
                <w:sz w:val="16"/>
                <w:szCs w:val="18"/>
              </w:rPr>
              <w:t>4</w:t>
            </w:r>
          </w:p>
        </w:tc>
        <w:tc>
          <w:tcPr>
            <w:tcW w:w="531" w:type="pct"/>
            <w:tcBorders>
              <w:top w:val="single" w:color="auto" w:sz="4" w:space="0"/>
              <w:left w:val="nil"/>
              <w:bottom w:val="single" w:color="auto" w:sz="4" w:space="0"/>
              <w:right w:val="single" w:color="auto" w:sz="4" w:space="0"/>
            </w:tcBorders>
            <w:vAlign w:val="center"/>
          </w:tcPr>
          <w:p w14:paraId="00B660D2">
            <w:pPr>
              <w:snapToGrid w:val="0"/>
              <w:spacing w:line="240" w:lineRule="exact"/>
              <w:jc w:val="both"/>
              <w:rPr>
                <w:rFonts w:hint="eastAsia" w:ascii="宋体" w:hAnsi="宋体" w:cs="Arial"/>
                <w:sz w:val="16"/>
                <w:szCs w:val="18"/>
              </w:rPr>
            </w:pPr>
            <w:r>
              <w:rPr>
                <w:rFonts w:ascii="宋体" w:hAnsi="宋体" w:cs="Arial"/>
                <w:sz w:val="16"/>
                <w:szCs w:val="18"/>
              </w:rPr>
              <w:t>可比实例</w:t>
            </w:r>
            <w:r>
              <w:rPr>
                <w:rFonts w:hint="eastAsia" w:ascii="宋体" w:hAnsi="宋体" w:cs="Arial"/>
                <w:sz w:val="16"/>
                <w:szCs w:val="18"/>
              </w:rPr>
              <w:t>5</w:t>
            </w:r>
          </w:p>
        </w:tc>
        <w:tc>
          <w:tcPr>
            <w:tcW w:w="531" w:type="pct"/>
            <w:tcBorders>
              <w:top w:val="single" w:color="auto" w:sz="4" w:space="0"/>
              <w:left w:val="nil"/>
              <w:bottom w:val="single" w:color="auto" w:sz="4" w:space="0"/>
              <w:right w:val="single" w:color="auto" w:sz="4" w:space="0"/>
            </w:tcBorders>
            <w:vAlign w:val="center"/>
          </w:tcPr>
          <w:p w14:paraId="6FACFF53">
            <w:pPr>
              <w:snapToGrid w:val="0"/>
              <w:spacing w:line="240" w:lineRule="exact"/>
              <w:jc w:val="both"/>
              <w:rPr>
                <w:rFonts w:hint="eastAsia" w:ascii="宋体" w:hAnsi="宋体" w:cs="Arial"/>
                <w:sz w:val="16"/>
                <w:szCs w:val="18"/>
              </w:rPr>
            </w:pPr>
            <w:r>
              <w:rPr>
                <w:rFonts w:ascii="宋体" w:hAnsi="宋体" w:cs="Arial"/>
                <w:sz w:val="16"/>
                <w:szCs w:val="18"/>
              </w:rPr>
              <w:t>可比实例</w:t>
            </w:r>
            <w:r>
              <w:rPr>
                <w:rFonts w:hint="eastAsia" w:ascii="宋体" w:hAnsi="宋体" w:cs="Arial"/>
                <w:sz w:val="16"/>
                <w:szCs w:val="18"/>
              </w:rPr>
              <w:t>6</w:t>
            </w:r>
          </w:p>
        </w:tc>
        <w:tc>
          <w:tcPr>
            <w:tcW w:w="2031" w:type="pct"/>
            <w:tcBorders>
              <w:top w:val="single" w:color="auto" w:sz="4" w:space="0"/>
              <w:left w:val="nil"/>
              <w:bottom w:val="single" w:color="auto" w:sz="4" w:space="0"/>
              <w:right w:val="single" w:color="auto" w:sz="4" w:space="0"/>
            </w:tcBorders>
            <w:vAlign w:val="center"/>
          </w:tcPr>
          <w:p w14:paraId="5ACC13B7">
            <w:pPr>
              <w:snapToGrid w:val="0"/>
              <w:spacing w:line="240" w:lineRule="exact"/>
              <w:jc w:val="both"/>
              <w:rPr>
                <w:rFonts w:hint="eastAsia" w:ascii="宋体" w:hAnsi="宋体" w:cs="Arial"/>
                <w:sz w:val="16"/>
                <w:szCs w:val="18"/>
              </w:rPr>
            </w:pPr>
            <w:r>
              <w:rPr>
                <w:rFonts w:ascii="宋体" w:hAnsi="宋体" w:cs="Arial"/>
                <w:sz w:val="16"/>
                <w:szCs w:val="18"/>
              </w:rPr>
              <w:t>比较因素调整说明</w:t>
            </w:r>
          </w:p>
        </w:tc>
      </w:tr>
      <w:tr w14:paraId="18EE594C">
        <w:tblPrEx>
          <w:tblCellMar>
            <w:top w:w="57" w:type="dxa"/>
            <w:left w:w="57" w:type="dxa"/>
            <w:bottom w:w="57" w:type="dxa"/>
            <w:right w:w="57" w:type="dxa"/>
          </w:tblCellMar>
        </w:tblPrEx>
        <w:trPr>
          <w:trHeight w:val="20" w:hRule="atLeast"/>
          <w:tblHeader/>
          <w:jc w:val="center"/>
        </w:trPr>
        <w:tc>
          <w:tcPr>
            <w:tcW w:w="842" w:type="pct"/>
            <w:gridSpan w:val="2"/>
            <w:vMerge w:val="continue"/>
            <w:tcBorders>
              <w:top w:val="single" w:color="auto" w:sz="4" w:space="0"/>
              <w:left w:val="single" w:color="auto" w:sz="4" w:space="0"/>
              <w:bottom w:val="single" w:color="000000" w:sz="4" w:space="0"/>
              <w:right w:val="single" w:color="000000" w:sz="4" w:space="0"/>
            </w:tcBorders>
            <w:vAlign w:val="center"/>
          </w:tcPr>
          <w:p w14:paraId="16B099D3">
            <w:pPr>
              <w:snapToGrid w:val="0"/>
              <w:spacing w:line="240" w:lineRule="exact"/>
              <w:jc w:val="both"/>
              <w:rPr>
                <w:rFonts w:hint="eastAsia" w:ascii="宋体" w:hAnsi="宋体" w:cs="Arial"/>
                <w:sz w:val="16"/>
                <w:szCs w:val="18"/>
              </w:rPr>
            </w:pPr>
          </w:p>
        </w:tc>
        <w:tc>
          <w:tcPr>
            <w:tcW w:w="531" w:type="pct"/>
            <w:tcBorders>
              <w:top w:val="nil"/>
              <w:left w:val="nil"/>
              <w:bottom w:val="single" w:color="auto" w:sz="4" w:space="0"/>
              <w:right w:val="single" w:color="auto" w:sz="4" w:space="0"/>
            </w:tcBorders>
            <w:vAlign w:val="center"/>
          </w:tcPr>
          <w:p w14:paraId="1009E1BD">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福兴雅苑</w:t>
            </w:r>
          </w:p>
        </w:tc>
        <w:tc>
          <w:tcPr>
            <w:tcW w:w="531" w:type="pct"/>
            <w:tcBorders>
              <w:top w:val="nil"/>
              <w:left w:val="nil"/>
              <w:bottom w:val="single" w:color="auto" w:sz="4" w:space="0"/>
              <w:right w:val="single" w:color="auto" w:sz="4" w:space="0"/>
            </w:tcBorders>
            <w:vAlign w:val="center"/>
          </w:tcPr>
          <w:p w14:paraId="6625B7F8">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531" w:type="pct"/>
            <w:tcBorders>
              <w:top w:val="nil"/>
              <w:left w:val="nil"/>
              <w:bottom w:val="single" w:color="auto" w:sz="4" w:space="0"/>
              <w:right w:val="single" w:color="auto" w:sz="4" w:space="0"/>
            </w:tcBorders>
            <w:vAlign w:val="center"/>
          </w:tcPr>
          <w:p w14:paraId="500F9AA8">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锦华园</w:t>
            </w:r>
          </w:p>
        </w:tc>
        <w:tc>
          <w:tcPr>
            <w:tcW w:w="531" w:type="pct"/>
            <w:tcBorders>
              <w:top w:val="nil"/>
              <w:left w:val="nil"/>
              <w:bottom w:val="single" w:color="auto" w:sz="4" w:space="0"/>
              <w:right w:val="single" w:color="auto" w:sz="4" w:space="0"/>
            </w:tcBorders>
            <w:vAlign w:val="center"/>
          </w:tcPr>
          <w:p w14:paraId="01ACF8A6">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c>
          <w:tcPr>
            <w:tcW w:w="2031" w:type="pct"/>
            <w:tcBorders>
              <w:top w:val="nil"/>
              <w:left w:val="nil"/>
              <w:bottom w:val="single" w:color="auto" w:sz="4" w:space="0"/>
              <w:right w:val="single" w:color="auto" w:sz="4" w:space="0"/>
            </w:tcBorders>
            <w:vAlign w:val="center"/>
          </w:tcPr>
          <w:p w14:paraId="63CBB512">
            <w:pPr>
              <w:snapToGrid w:val="0"/>
              <w:spacing w:line="240" w:lineRule="exact"/>
              <w:jc w:val="both"/>
              <w:rPr>
                <w:rFonts w:hint="eastAsia" w:ascii="宋体" w:hAnsi="宋体" w:cs="Arial"/>
                <w:sz w:val="16"/>
                <w:szCs w:val="18"/>
              </w:rPr>
            </w:pPr>
            <w:r>
              <w:rPr>
                <w:rFonts w:ascii="宋体" w:hAnsi="宋体" w:cs="Arial"/>
                <w:sz w:val="16"/>
                <w:szCs w:val="18"/>
              </w:rPr>
              <w:t>——</w:t>
            </w:r>
          </w:p>
        </w:tc>
      </w:tr>
      <w:tr w14:paraId="6814EBF5">
        <w:tblPrEx>
          <w:tblCellMar>
            <w:top w:w="57" w:type="dxa"/>
            <w:left w:w="57" w:type="dxa"/>
            <w:bottom w:w="57" w:type="dxa"/>
            <w:right w:w="57" w:type="dxa"/>
          </w:tblCellMar>
        </w:tblPrEx>
        <w:trPr>
          <w:trHeight w:val="20" w:hRule="atLeast"/>
          <w:jc w:val="center"/>
        </w:trPr>
        <w:tc>
          <w:tcPr>
            <w:tcW w:w="842" w:type="pct"/>
            <w:gridSpan w:val="2"/>
            <w:tcBorders>
              <w:top w:val="single" w:color="auto" w:sz="4" w:space="0"/>
              <w:left w:val="single" w:color="auto" w:sz="4" w:space="0"/>
              <w:bottom w:val="single" w:color="auto" w:sz="4" w:space="0"/>
              <w:right w:val="single" w:color="000000" w:sz="4" w:space="0"/>
            </w:tcBorders>
            <w:vAlign w:val="center"/>
          </w:tcPr>
          <w:p w14:paraId="0AE4765B">
            <w:pPr>
              <w:snapToGrid w:val="0"/>
              <w:spacing w:line="240" w:lineRule="exact"/>
              <w:jc w:val="both"/>
              <w:rPr>
                <w:rFonts w:hint="eastAsia" w:ascii="宋体" w:hAnsi="宋体" w:cs="Arial"/>
                <w:sz w:val="16"/>
                <w:szCs w:val="18"/>
              </w:rPr>
            </w:pPr>
            <w:r>
              <w:rPr>
                <w:rFonts w:ascii="宋体" w:hAnsi="宋体" w:cs="Arial"/>
                <w:sz w:val="16"/>
                <w:szCs w:val="18"/>
              </w:rPr>
              <w:t>确定的租金价格（元/平方米·天）</w:t>
            </w:r>
          </w:p>
        </w:tc>
        <w:tc>
          <w:tcPr>
            <w:tcW w:w="531" w:type="pct"/>
            <w:tcBorders>
              <w:top w:val="nil"/>
              <w:left w:val="nil"/>
              <w:bottom w:val="single" w:color="auto" w:sz="4" w:space="0"/>
              <w:right w:val="single" w:color="auto" w:sz="4" w:space="0"/>
            </w:tcBorders>
            <w:noWrap/>
            <w:vAlign w:val="center"/>
          </w:tcPr>
          <w:p w14:paraId="799D27F1">
            <w:pPr>
              <w:pStyle w:val="61"/>
              <w:autoSpaceDE w:val="0"/>
              <w:autoSpaceDN w:val="0"/>
              <w:spacing w:line="240" w:lineRule="exact"/>
              <w:jc w:val="left"/>
              <w:textAlignment w:val="bottom"/>
              <w:rPr>
                <w:rFonts w:hint="eastAsia" w:hAnsi="宋体" w:cs="Arial"/>
                <w:sz w:val="16"/>
                <w:szCs w:val="18"/>
              </w:rPr>
            </w:pPr>
            <w:r>
              <w:rPr>
                <w:rFonts w:ascii="Arial" w:hAnsi="Arial" w:cs="Arial"/>
                <w:sz w:val="16"/>
                <w:szCs w:val="18"/>
              </w:rPr>
              <w:t>待估</w:t>
            </w:r>
          </w:p>
        </w:tc>
        <w:tc>
          <w:tcPr>
            <w:tcW w:w="531" w:type="pct"/>
            <w:tcBorders>
              <w:top w:val="nil"/>
              <w:left w:val="nil"/>
              <w:bottom w:val="single" w:color="auto" w:sz="4" w:space="0"/>
              <w:right w:val="single" w:color="auto" w:sz="4" w:space="0"/>
            </w:tcBorders>
            <w:noWrap/>
            <w:vAlign w:val="center"/>
          </w:tcPr>
          <w:p w14:paraId="1D12532C">
            <w:pPr>
              <w:autoSpaceDE w:val="0"/>
              <w:autoSpaceDN w:val="0"/>
              <w:spacing w:line="240" w:lineRule="exact"/>
              <w:textAlignment w:val="bottom"/>
              <w:rPr>
                <w:rFonts w:ascii="Arial" w:hAnsi="Arial" w:cs="Arial"/>
                <w:sz w:val="16"/>
                <w:szCs w:val="18"/>
              </w:rPr>
            </w:pPr>
            <w:r>
              <w:rPr>
                <w:rFonts w:hint="eastAsia" w:ascii="Arial" w:hAnsi="Arial" w:cs="Arial"/>
                <w:sz w:val="16"/>
                <w:szCs w:val="18"/>
              </w:rPr>
              <w:t>40.52</w:t>
            </w:r>
          </w:p>
        </w:tc>
        <w:tc>
          <w:tcPr>
            <w:tcW w:w="531" w:type="pct"/>
            <w:tcBorders>
              <w:top w:val="nil"/>
              <w:left w:val="nil"/>
              <w:bottom w:val="single" w:color="auto" w:sz="4" w:space="0"/>
              <w:right w:val="single" w:color="auto" w:sz="4" w:space="0"/>
            </w:tcBorders>
            <w:noWrap/>
            <w:vAlign w:val="center"/>
          </w:tcPr>
          <w:p w14:paraId="630D73F5">
            <w:pPr>
              <w:autoSpaceDE w:val="0"/>
              <w:autoSpaceDN w:val="0"/>
              <w:spacing w:line="240" w:lineRule="exact"/>
              <w:textAlignment w:val="bottom"/>
              <w:rPr>
                <w:rFonts w:ascii="Arial" w:hAnsi="Arial" w:cs="Arial"/>
                <w:sz w:val="16"/>
                <w:szCs w:val="18"/>
              </w:rPr>
            </w:pPr>
            <w:r>
              <w:rPr>
                <w:rFonts w:hint="eastAsia" w:ascii="Arial" w:hAnsi="Arial" w:cs="Arial"/>
                <w:sz w:val="16"/>
                <w:szCs w:val="18"/>
              </w:rPr>
              <w:t>40.12</w:t>
            </w:r>
          </w:p>
        </w:tc>
        <w:tc>
          <w:tcPr>
            <w:tcW w:w="531" w:type="pct"/>
            <w:tcBorders>
              <w:top w:val="nil"/>
              <w:left w:val="nil"/>
              <w:bottom w:val="single" w:color="auto" w:sz="4" w:space="0"/>
              <w:right w:val="single" w:color="auto" w:sz="4" w:space="0"/>
            </w:tcBorders>
            <w:noWrap/>
            <w:vAlign w:val="center"/>
          </w:tcPr>
          <w:p w14:paraId="162667F5">
            <w:pPr>
              <w:autoSpaceDE w:val="0"/>
              <w:autoSpaceDN w:val="0"/>
              <w:spacing w:line="240" w:lineRule="exact"/>
              <w:textAlignment w:val="bottom"/>
              <w:rPr>
                <w:rFonts w:ascii="Arial" w:hAnsi="Arial" w:cs="Arial"/>
                <w:sz w:val="16"/>
                <w:szCs w:val="18"/>
              </w:rPr>
            </w:pPr>
            <w:r>
              <w:rPr>
                <w:rFonts w:hint="eastAsia" w:ascii="Arial" w:hAnsi="Arial" w:cs="Arial"/>
                <w:sz w:val="16"/>
                <w:szCs w:val="18"/>
              </w:rPr>
              <w:t>41.28</w:t>
            </w:r>
          </w:p>
        </w:tc>
        <w:tc>
          <w:tcPr>
            <w:tcW w:w="2031" w:type="pct"/>
            <w:tcBorders>
              <w:top w:val="nil"/>
              <w:left w:val="nil"/>
              <w:bottom w:val="single" w:color="auto" w:sz="4" w:space="0"/>
              <w:right w:val="single" w:color="auto" w:sz="4" w:space="0"/>
            </w:tcBorders>
            <w:vAlign w:val="center"/>
          </w:tcPr>
          <w:p w14:paraId="5A6ECF56">
            <w:pPr>
              <w:snapToGrid w:val="0"/>
              <w:spacing w:line="240" w:lineRule="exact"/>
              <w:jc w:val="both"/>
              <w:rPr>
                <w:rFonts w:hint="eastAsia" w:ascii="宋体" w:hAnsi="宋体" w:cs="Arial"/>
                <w:sz w:val="16"/>
                <w:szCs w:val="18"/>
              </w:rPr>
            </w:pPr>
            <w:r>
              <w:rPr>
                <w:rFonts w:ascii="宋体" w:hAnsi="宋体" w:cs="Arial"/>
                <w:sz w:val="16"/>
                <w:szCs w:val="18"/>
              </w:rPr>
              <w:t>——</w:t>
            </w:r>
          </w:p>
        </w:tc>
      </w:tr>
      <w:tr w14:paraId="20E0335C">
        <w:tblPrEx>
          <w:tblCellMar>
            <w:top w:w="57" w:type="dxa"/>
            <w:left w:w="57" w:type="dxa"/>
            <w:bottom w:w="57" w:type="dxa"/>
            <w:right w:w="57" w:type="dxa"/>
          </w:tblCellMar>
        </w:tblPrEx>
        <w:trPr>
          <w:trHeight w:val="20" w:hRule="atLeast"/>
          <w:jc w:val="center"/>
        </w:trPr>
        <w:tc>
          <w:tcPr>
            <w:tcW w:w="842" w:type="pct"/>
            <w:gridSpan w:val="2"/>
            <w:tcBorders>
              <w:top w:val="single" w:color="auto" w:sz="4" w:space="0"/>
              <w:left w:val="single" w:color="auto" w:sz="4" w:space="0"/>
              <w:bottom w:val="single" w:color="auto" w:sz="4" w:space="0"/>
              <w:right w:val="single" w:color="auto" w:sz="4" w:space="0"/>
            </w:tcBorders>
            <w:vAlign w:val="center"/>
          </w:tcPr>
          <w:p w14:paraId="05AD0E6B">
            <w:pPr>
              <w:snapToGrid w:val="0"/>
              <w:spacing w:line="240" w:lineRule="exact"/>
              <w:jc w:val="both"/>
              <w:rPr>
                <w:rFonts w:hint="eastAsia" w:ascii="宋体" w:hAnsi="宋体" w:cs="Arial"/>
                <w:sz w:val="16"/>
                <w:szCs w:val="18"/>
              </w:rPr>
            </w:pPr>
            <w:r>
              <w:rPr>
                <w:rFonts w:ascii="宋体" w:hAnsi="宋体" w:cs="Arial"/>
                <w:sz w:val="16"/>
                <w:szCs w:val="18"/>
              </w:rPr>
              <w:t>交易时间</w:t>
            </w:r>
          </w:p>
        </w:tc>
        <w:tc>
          <w:tcPr>
            <w:tcW w:w="531" w:type="pct"/>
            <w:tcBorders>
              <w:top w:val="nil"/>
              <w:left w:val="nil"/>
              <w:bottom w:val="single" w:color="auto" w:sz="4" w:space="0"/>
              <w:right w:val="single" w:color="auto" w:sz="4" w:space="0"/>
            </w:tcBorders>
            <w:noWrap/>
            <w:vAlign w:val="center"/>
          </w:tcPr>
          <w:p w14:paraId="5B0ECE6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21018D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E967D8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E5B4498">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5E6341CD">
            <w:pPr>
              <w:snapToGrid w:val="0"/>
              <w:spacing w:line="240" w:lineRule="exact"/>
              <w:jc w:val="both"/>
              <w:rPr>
                <w:rFonts w:ascii="Arial" w:hAnsi="Arial" w:cs="Arial"/>
                <w:sz w:val="16"/>
                <w:szCs w:val="18"/>
              </w:rPr>
            </w:pPr>
            <w:r>
              <w:rPr>
                <w:rFonts w:ascii="Arial" w:hAnsi="Arial" w:cs="Arial"/>
                <w:sz w:val="16"/>
                <w:szCs w:val="18"/>
              </w:rPr>
              <w:t>估价对象与可比实例的交易时间一致，因此确定估价对象与可比实例该因素指数均为100；</w:t>
            </w:r>
          </w:p>
        </w:tc>
      </w:tr>
      <w:tr w14:paraId="083C38D2">
        <w:tblPrEx>
          <w:tblCellMar>
            <w:top w:w="57" w:type="dxa"/>
            <w:left w:w="57" w:type="dxa"/>
            <w:bottom w:w="57" w:type="dxa"/>
            <w:right w:w="57" w:type="dxa"/>
          </w:tblCellMar>
        </w:tblPrEx>
        <w:trPr>
          <w:trHeight w:val="20" w:hRule="atLeast"/>
          <w:jc w:val="center"/>
        </w:trPr>
        <w:tc>
          <w:tcPr>
            <w:tcW w:w="842" w:type="pct"/>
            <w:gridSpan w:val="2"/>
            <w:tcBorders>
              <w:top w:val="single" w:color="auto" w:sz="4" w:space="0"/>
              <w:left w:val="single" w:color="auto" w:sz="4" w:space="0"/>
              <w:bottom w:val="single" w:color="auto" w:sz="4" w:space="0"/>
              <w:right w:val="single" w:color="auto" w:sz="4" w:space="0"/>
            </w:tcBorders>
            <w:vAlign w:val="center"/>
          </w:tcPr>
          <w:p w14:paraId="541F1AC0">
            <w:pPr>
              <w:snapToGrid w:val="0"/>
              <w:spacing w:line="240" w:lineRule="exact"/>
              <w:jc w:val="both"/>
              <w:rPr>
                <w:rFonts w:hint="eastAsia" w:ascii="宋体" w:hAnsi="宋体" w:cs="Arial"/>
                <w:sz w:val="16"/>
                <w:szCs w:val="18"/>
              </w:rPr>
            </w:pPr>
            <w:r>
              <w:rPr>
                <w:rFonts w:ascii="宋体" w:hAnsi="宋体" w:cs="Arial"/>
                <w:sz w:val="16"/>
                <w:szCs w:val="18"/>
              </w:rPr>
              <w:t>交易情况</w:t>
            </w:r>
          </w:p>
        </w:tc>
        <w:tc>
          <w:tcPr>
            <w:tcW w:w="531" w:type="pct"/>
            <w:tcBorders>
              <w:top w:val="nil"/>
              <w:left w:val="nil"/>
              <w:bottom w:val="single" w:color="auto" w:sz="4" w:space="0"/>
              <w:right w:val="single" w:color="auto" w:sz="4" w:space="0"/>
            </w:tcBorders>
            <w:noWrap/>
            <w:vAlign w:val="center"/>
          </w:tcPr>
          <w:p w14:paraId="485218C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08D931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2518CF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D989F04">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53192F66">
            <w:pPr>
              <w:snapToGrid w:val="0"/>
              <w:spacing w:line="240" w:lineRule="exact"/>
              <w:jc w:val="both"/>
              <w:rPr>
                <w:rFonts w:ascii="Arial" w:hAnsi="Arial" w:cs="Arial"/>
                <w:sz w:val="16"/>
                <w:szCs w:val="18"/>
              </w:rPr>
            </w:pPr>
            <w:r>
              <w:rPr>
                <w:rFonts w:ascii="Arial" w:hAnsi="Arial" w:cs="Arial"/>
                <w:sz w:val="16"/>
                <w:szCs w:val="18"/>
              </w:rPr>
              <w:t>可比实例均为正常交易或已修正为正常交易，故不予修正，交易情况指数均100；</w:t>
            </w:r>
          </w:p>
        </w:tc>
      </w:tr>
      <w:tr w14:paraId="2A659C32">
        <w:tblPrEx>
          <w:tblCellMar>
            <w:top w:w="57" w:type="dxa"/>
            <w:left w:w="57" w:type="dxa"/>
            <w:bottom w:w="57" w:type="dxa"/>
            <w:right w:w="57" w:type="dxa"/>
          </w:tblCellMar>
        </w:tblPrEx>
        <w:trPr>
          <w:trHeight w:val="20" w:hRule="atLeast"/>
          <w:jc w:val="center"/>
        </w:trPr>
        <w:tc>
          <w:tcPr>
            <w:tcW w:w="842" w:type="pct"/>
            <w:gridSpan w:val="2"/>
            <w:tcBorders>
              <w:top w:val="single" w:color="auto" w:sz="4" w:space="0"/>
              <w:left w:val="single" w:color="auto" w:sz="4" w:space="0"/>
              <w:bottom w:val="single" w:color="auto" w:sz="4" w:space="0"/>
              <w:right w:val="single" w:color="auto" w:sz="4" w:space="0"/>
            </w:tcBorders>
            <w:vAlign w:val="center"/>
          </w:tcPr>
          <w:p w14:paraId="095C7ED3">
            <w:pPr>
              <w:snapToGrid w:val="0"/>
              <w:spacing w:line="240" w:lineRule="exact"/>
              <w:jc w:val="both"/>
              <w:rPr>
                <w:rFonts w:hint="eastAsia" w:ascii="宋体" w:hAnsi="宋体" w:cs="Arial"/>
                <w:sz w:val="16"/>
                <w:szCs w:val="18"/>
              </w:rPr>
            </w:pPr>
            <w:r>
              <w:rPr>
                <w:rFonts w:ascii="宋体" w:hAnsi="宋体" w:cs="Arial"/>
                <w:sz w:val="16"/>
                <w:szCs w:val="18"/>
              </w:rPr>
              <w:t>项目类型</w:t>
            </w:r>
          </w:p>
        </w:tc>
        <w:tc>
          <w:tcPr>
            <w:tcW w:w="531" w:type="pct"/>
            <w:tcBorders>
              <w:top w:val="nil"/>
              <w:left w:val="nil"/>
              <w:bottom w:val="single" w:color="auto" w:sz="4" w:space="0"/>
              <w:right w:val="single" w:color="auto" w:sz="4" w:space="0"/>
            </w:tcBorders>
            <w:noWrap/>
            <w:vAlign w:val="center"/>
          </w:tcPr>
          <w:p w14:paraId="3C7A106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1D468F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CCC410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2E8375D">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21A0A1A3">
            <w:pPr>
              <w:snapToGrid w:val="0"/>
              <w:spacing w:line="240" w:lineRule="exact"/>
              <w:jc w:val="both"/>
              <w:rPr>
                <w:rFonts w:ascii="Arial" w:hAnsi="Arial" w:cs="Arial"/>
                <w:sz w:val="16"/>
                <w:szCs w:val="18"/>
              </w:rPr>
            </w:pPr>
            <w:r>
              <w:rPr>
                <w:rFonts w:ascii="Arial" w:hAnsi="Arial" w:cs="Arial"/>
                <w:sz w:val="16"/>
                <w:szCs w:val="18"/>
              </w:rPr>
              <w:t>可比实例均为</w:t>
            </w:r>
            <w:r>
              <w:rPr>
                <w:rFonts w:hint="eastAsia" w:ascii="Arial" w:hAnsi="Arial" w:cs="Arial"/>
                <w:sz w:val="16"/>
                <w:szCs w:val="18"/>
              </w:rPr>
              <w:t>住宅</w:t>
            </w:r>
            <w:r>
              <w:rPr>
                <w:rFonts w:ascii="Arial" w:hAnsi="Arial" w:cs="Arial"/>
                <w:sz w:val="16"/>
                <w:szCs w:val="18"/>
              </w:rPr>
              <w:t>，故不予修正，交易情况指数均100；</w:t>
            </w:r>
          </w:p>
        </w:tc>
      </w:tr>
      <w:tr w14:paraId="15F40688">
        <w:tblPrEx>
          <w:tblCellMar>
            <w:top w:w="57" w:type="dxa"/>
            <w:left w:w="57" w:type="dxa"/>
            <w:bottom w:w="57" w:type="dxa"/>
            <w:right w:w="57" w:type="dxa"/>
          </w:tblCellMar>
        </w:tblPrEx>
        <w:trPr>
          <w:trHeight w:val="20" w:hRule="atLeast"/>
          <w:jc w:val="center"/>
        </w:trPr>
        <w:tc>
          <w:tcPr>
            <w:tcW w:w="306" w:type="pct"/>
            <w:vMerge w:val="restart"/>
            <w:tcBorders>
              <w:top w:val="single" w:color="auto" w:sz="4" w:space="0"/>
              <w:left w:val="single" w:color="auto" w:sz="4" w:space="0"/>
              <w:bottom w:val="single" w:color="auto" w:sz="4" w:space="0"/>
              <w:right w:val="single" w:color="auto" w:sz="4" w:space="0"/>
            </w:tcBorders>
            <w:noWrap/>
            <w:vAlign w:val="center"/>
          </w:tcPr>
          <w:p w14:paraId="1725FA91">
            <w:pPr>
              <w:snapToGrid w:val="0"/>
              <w:spacing w:line="240" w:lineRule="exact"/>
              <w:jc w:val="both"/>
              <w:rPr>
                <w:rFonts w:hint="eastAsia" w:ascii="宋体" w:hAnsi="宋体" w:cs="Arial"/>
                <w:sz w:val="16"/>
                <w:szCs w:val="18"/>
              </w:rPr>
            </w:pPr>
            <w:r>
              <w:rPr>
                <w:rFonts w:ascii="宋体" w:hAnsi="宋体" w:cs="Arial"/>
                <w:sz w:val="16"/>
                <w:szCs w:val="18"/>
              </w:rPr>
              <w:t>区域</w:t>
            </w:r>
          </w:p>
          <w:p w14:paraId="270A3C55">
            <w:pPr>
              <w:snapToGrid w:val="0"/>
              <w:spacing w:line="240" w:lineRule="exact"/>
              <w:jc w:val="both"/>
              <w:rPr>
                <w:rFonts w:hint="eastAsia"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4EB9506F">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居住区成熟度</w:t>
            </w:r>
          </w:p>
        </w:tc>
        <w:tc>
          <w:tcPr>
            <w:tcW w:w="531" w:type="pct"/>
            <w:tcBorders>
              <w:top w:val="nil"/>
              <w:left w:val="nil"/>
              <w:bottom w:val="single" w:color="auto" w:sz="4" w:space="0"/>
              <w:right w:val="single" w:color="auto" w:sz="4" w:space="0"/>
            </w:tcBorders>
            <w:noWrap/>
            <w:vAlign w:val="center"/>
          </w:tcPr>
          <w:p w14:paraId="364F9E1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76FFA0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DD777B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E18A8E2">
            <w:pPr>
              <w:snapToGrid w:val="0"/>
              <w:spacing w:line="240" w:lineRule="exact"/>
              <w:jc w:val="both"/>
              <w:rPr>
                <w:rFonts w:ascii="Arial" w:hAnsi="Arial" w:cs="Arial"/>
                <w:sz w:val="16"/>
                <w:szCs w:val="18"/>
              </w:rPr>
            </w:pPr>
            <w:r>
              <w:rPr>
                <w:rFonts w:hint="eastAsia" w:ascii="Arial" w:hAnsi="Arial" w:cs="Arial"/>
                <w:sz w:val="16"/>
                <w:szCs w:val="18"/>
              </w:rPr>
              <w:t>98</w:t>
            </w:r>
          </w:p>
        </w:tc>
        <w:tc>
          <w:tcPr>
            <w:tcW w:w="2031" w:type="pct"/>
            <w:tcBorders>
              <w:top w:val="nil"/>
              <w:left w:val="nil"/>
              <w:bottom w:val="single" w:color="auto" w:sz="4" w:space="0"/>
              <w:right w:val="single" w:color="auto" w:sz="4" w:space="0"/>
            </w:tcBorders>
            <w:vAlign w:val="center"/>
          </w:tcPr>
          <w:p w14:paraId="3313B42E">
            <w:pPr>
              <w:snapToGrid w:val="0"/>
              <w:spacing w:line="240" w:lineRule="exact"/>
              <w:jc w:val="both"/>
              <w:rPr>
                <w:rFonts w:ascii="Arial" w:hAnsi="Arial" w:cs="Arial"/>
                <w:sz w:val="16"/>
                <w:szCs w:val="18"/>
              </w:rPr>
            </w:pPr>
            <w:r>
              <w:rPr>
                <w:rFonts w:ascii="Arial" w:hAnsi="Arial" w:cs="Arial"/>
                <w:sz w:val="16"/>
                <w:szCs w:val="18"/>
              </w:rPr>
              <w:t>从好到差划分为优、较优、一般、较劣、劣五个等级，每个等级相差</w:t>
            </w:r>
            <w:r>
              <w:rPr>
                <w:rFonts w:hint="eastAsia" w:ascii="Arial" w:hAnsi="Arial" w:cs="Arial"/>
                <w:sz w:val="16"/>
                <w:szCs w:val="18"/>
              </w:rPr>
              <w:t>2</w:t>
            </w:r>
            <w:r>
              <w:rPr>
                <w:rFonts w:ascii="Arial" w:hAnsi="Arial" w:cs="Arial"/>
                <w:sz w:val="16"/>
                <w:szCs w:val="18"/>
              </w:rPr>
              <w:t>分，确定可比实例1、2、3该因素指数分别为10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w:t>
            </w:r>
            <w:r>
              <w:rPr>
                <w:rFonts w:hint="eastAsia" w:ascii="Arial" w:hAnsi="Arial" w:cs="Arial"/>
                <w:sz w:val="16"/>
                <w:szCs w:val="18"/>
              </w:rPr>
              <w:t>98</w:t>
            </w:r>
            <w:r>
              <w:rPr>
                <w:rFonts w:ascii="Arial" w:hAnsi="Arial" w:cs="Arial"/>
                <w:sz w:val="16"/>
                <w:szCs w:val="18"/>
              </w:rPr>
              <w:t>；</w:t>
            </w:r>
          </w:p>
        </w:tc>
      </w:tr>
      <w:tr w14:paraId="380B9E95">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4DAB3D43">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3D5A1379">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道路通达度</w:t>
            </w:r>
          </w:p>
        </w:tc>
        <w:tc>
          <w:tcPr>
            <w:tcW w:w="531" w:type="pct"/>
            <w:tcBorders>
              <w:top w:val="nil"/>
              <w:left w:val="nil"/>
              <w:bottom w:val="single" w:color="auto" w:sz="4" w:space="0"/>
              <w:right w:val="single" w:color="auto" w:sz="4" w:space="0"/>
            </w:tcBorders>
            <w:noWrap/>
            <w:vAlign w:val="center"/>
          </w:tcPr>
          <w:p w14:paraId="43A9E48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7B09AC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D2FBE8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BAD3E40">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3039E4CF">
            <w:pPr>
              <w:snapToGrid w:val="0"/>
              <w:spacing w:line="240" w:lineRule="exact"/>
              <w:jc w:val="both"/>
              <w:rPr>
                <w:rFonts w:ascii="Arial" w:hAnsi="Arial" w:cs="Arial"/>
                <w:sz w:val="16"/>
                <w:szCs w:val="18"/>
              </w:rPr>
            </w:pPr>
            <w:r>
              <w:rPr>
                <w:rFonts w:ascii="Arial" w:hAnsi="Arial" w:cs="Arial"/>
                <w:sz w:val="16"/>
                <w:szCs w:val="18"/>
              </w:rPr>
              <w:t>按照距离干道的距离和干道等级分为优、较优、一般、较劣、劣五个等级，每个等级相差2分，确定可比实例1、2、3该因素指数分别为100、100、100；</w:t>
            </w:r>
          </w:p>
        </w:tc>
      </w:tr>
      <w:tr w14:paraId="05DFBEE9">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30CF9B9D">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27919593">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距离轨道交通站点距离</w:t>
            </w:r>
          </w:p>
        </w:tc>
        <w:tc>
          <w:tcPr>
            <w:tcW w:w="531" w:type="pct"/>
            <w:tcBorders>
              <w:top w:val="nil"/>
              <w:left w:val="nil"/>
              <w:bottom w:val="single" w:color="auto" w:sz="4" w:space="0"/>
              <w:right w:val="single" w:color="auto" w:sz="4" w:space="0"/>
            </w:tcBorders>
            <w:noWrap/>
            <w:vAlign w:val="center"/>
          </w:tcPr>
          <w:p w14:paraId="1724037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BA4D42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D6AB3C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180BA0E">
            <w:pPr>
              <w:snapToGrid w:val="0"/>
              <w:spacing w:line="240" w:lineRule="exact"/>
              <w:jc w:val="both"/>
              <w:rPr>
                <w:rFonts w:ascii="Arial" w:hAnsi="Arial" w:cs="Arial"/>
                <w:sz w:val="16"/>
                <w:szCs w:val="18"/>
              </w:rPr>
            </w:pPr>
            <w:r>
              <w:rPr>
                <w:rFonts w:hint="eastAsia" w:ascii="Arial" w:hAnsi="Arial" w:cs="Arial"/>
                <w:sz w:val="16"/>
                <w:szCs w:val="18"/>
              </w:rPr>
              <w:t>98</w:t>
            </w:r>
          </w:p>
        </w:tc>
        <w:tc>
          <w:tcPr>
            <w:tcW w:w="2031" w:type="pct"/>
            <w:tcBorders>
              <w:top w:val="nil"/>
              <w:left w:val="nil"/>
              <w:bottom w:val="single" w:color="auto" w:sz="4" w:space="0"/>
              <w:right w:val="single" w:color="auto" w:sz="4" w:space="0"/>
            </w:tcBorders>
            <w:vAlign w:val="center"/>
          </w:tcPr>
          <w:p w14:paraId="226E8B39">
            <w:pPr>
              <w:snapToGrid w:val="0"/>
              <w:spacing w:line="240" w:lineRule="exact"/>
              <w:jc w:val="both"/>
              <w:rPr>
                <w:rFonts w:ascii="Arial" w:hAnsi="Arial" w:cs="Arial"/>
                <w:sz w:val="16"/>
                <w:szCs w:val="18"/>
              </w:rPr>
            </w:pPr>
            <w:r>
              <w:rPr>
                <w:rFonts w:ascii="Arial" w:hAnsi="Arial" w:cs="Arial"/>
                <w:sz w:val="16"/>
                <w:szCs w:val="18"/>
              </w:rPr>
              <w:t>按照距离轨道交通的距离，0.5km为一档，每个等级相差</w:t>
            </w:r>
            <w:r>
              <w:rPr>
                <w:rFonts w:hint="eastAsia" w:ascii="Arial" w:hAnsi="Arial" w:cs="Arial"/>
                <w:sz w:val="16"/>
                <w:szCs w:val="18"/>
              </w:rPr>
              <w:t>2</w:t>
            </w:r>
            <w:r>
              <w:rPr>
                <w:rFonts w:ascii="Arial" w:hAnsi="Arial" w:cs="Arial"/>
                <w:sz w:val="16"/>
                <w:szCs w:val="18"/>
              </w:rPr>
              <w:t>分，确定可比实例1、2、3该因素指数分别为100、100、</w:t>
            </w:r>
            <w:r>
              <w:rPr>
                <w:rFonts w:hint="eastAsia" w:ascii="Arial" w:hAnsi="Arial" w:cs="Arial"/>
                <w:sz w:val="16"/>
                <w:szCs w:val="18"/>
              </w:rPr>
              <w:t>98</w:t>
            </w:r>
            <w:r>
              <w:rPr>
                <w:rFonts w:ascii="Arial" w:hAnsi="Arial" w:cs="Arial"/>
                <w:sz w:val="16"/>
                <w:szCs w:val="18"/>
              </w:rPr>
              <w:t>；</w:t>
            </w:r>
          </w:p>
        </w:tc>
      </w:tr>
      <w:tr w14:paraId="0E100C56">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73ABA2C5">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1A904D44">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距离公交站点距离</w:t>
            </w:r>
          </w:p>
        </w:tc>
        <w:tc>
          <w:tcPr>
            <w:tcW w:w="531" w:type="pct"/>
            <w:tcBorders>
              <w:top w:val="nil"/>
              <w:left w:val="nil"/>
              <w:bottom w:val="single" w:color="auto" w:sz="4" w:space="0"/>
              <w:right w:val="single" w:color="auto" w:sz="4" w:space="0"/>
            </w:tcBorders>
            <w:noWrap/>
            <w:vAlign w:val="center"/>
          </w:tcPr>
          <w:p w14:paraId="2CF0DA2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EEF048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28EA05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4AAF563">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3D94BC7E">
            <w:pPr>
              <w:snapToGrid w:val="0"/>
              <w:spacing w:line="240" w:lineRule="exact"/>
              <w:jc w:val="both"/>
              <w:rPr>
                <w:rFonts w:ascii="Arial" w:hAnsi="Arial" w:cs="Arial"/>
                <w:sz w:val="16"/>
                <w:szCs w:val="18"/>
              </w:rPr>
            </w:pPr>
            <w:r>
              <w:rPr>
                <w:rFonts w:ascii="Arial" w:hAnsi="Arial" w:cs="Arial"/>
                <w:sz w:val="16"/>
                <w:szCs w:val="18"/>
              </w:rPr>
              <w:t>按照距离公交站点的距离，0.5km为一档，每个等级相差2分，确定可比实例1、2、3该因素指数分别为100、100、100；</w:t>
            </w:r>
          </w:p>
        </w:tc>
      </w:tr>
      <w:tr w14:paraId="73FDAA6D">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18B5FB90">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18807F42">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环境质量优劣度</w:t>
            </w:r>
          </w:p>
        </w:tc>
        <w:tc>
          <w:tcPr>
            <w:tcW w:w="531" w:type="pct"/>
            <w:tcBorders>
              <w:top w:val="nil"/>
              <w:left w:val="nil"/>
              <w:bottom w:val="single" w:color="auto" w:sz="4" w:space="0"/>
              <w:right w:val="single" w:color="auto" w:sz="4" w:space="0"/>
            </w:tcBorders>
            <w:noWrap/>
            <w:vAlign w:val="center"/>
          </w:tcPr>
          <w:p w14:paraId="149EC67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A2FB11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2AAC47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C3FA04E">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5FF5CE71">
            <w:pPr>
              <w:snapToGrid w:val="0"/>
              <w:spacing w:line="240" w:lineRule="exact"/>
              <w:jc w:val="both"/>
              <w:rPr>
                <w:rFonts w:ascii="Arial" w:hAnsi="Arial" w:cs="Arial"/>
                <w:sz w:val="16"/>
                <w:szCs w:val="18"/>
              </w:rPr>
            </w:pPr>
            <w:r>
              <w:rPr>
                <w:rFonts w:hint="eastAsia" w:ascii="Arial" w:hAnsi="Arial" w:cs="Arial"/>
                <w:sz w:val="16"/>
                <w:szCs w:val="18"/>
              </w:rPr>
              <w:t>根据周边污染源的范围，判断优劣，每档相差2分</w:t>
            </w:r>
            <w:r>
              <w:rPr>
                <w:rFonts w:ascii="Arial" w:hAnsi="Arial" w:cs="Arial"/>
                <w:sz w:val="16"/>
                <w:szCs w:val="18"/>
              </w:rPr>
              <w:t>，确定可比实例1、2、3该因素指数分别为100、100、100</w:t>
            </w:r>
            <w:r>
              <w:rPr>
                <w:rFonts w:hint="eastAsia" w:ascii="Arial" w:hAnsi="Arial" w:cs="Arial"/>
                <w:sz w:val="16"/>
                <w:szCs w:val="18"/>
              </w:rPr>
              <w:t>；</w:t>
            </w:r>
          </w:p>
        </w:tc>
      </w:tr>
      <w:tr w14:paraId="6D06DD49">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65800E95">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7CBC550C">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自然环境</w:t>
            </w:r>
          </w:p>
        </w:tc>
        <w:tc>
          <w:tcPr>
            <w:tcW w:w="531" w:type="pct"/>
            <w:tcBorders>
              <w:top w:val="nil"/>
              <w:left w:val="nil"/>
              <w:bottom w:val="single" w:color="auto" w:sz="4" w:space="0"/>
              <w:right w:val="single" w:color="auto" w:sz="4" w:space="0"/>
            </w:tcBorders>
            <w:noWrap/>
            <w:vAlign w:val="center"/>
          </w:tcPr>
          <w:p w14:paraId="6017B54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89251D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0597D6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42D3814">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45CD38BF">
            <w:pPr>
              <w:snapToGrid w:val="0"/>
              <w:spacing w:line="240" w:lineRule="exact"/>
              <w:jc w:val="both"/>
              <w:rPr>
                <w:rFonts w:ascii="Arial" w:hAnsi="Arial" w:cs="Arial"/>
                <w:sz w:val="16"/>
                <w:szCs w:val="18"/>
              </w:rPr>
            </w:pPr>
            <w:r>
              <w:rPr>
                <w:rFonts w:ascii="Arial" w:hAnsi="Arial" w:cs="Arial"/>
                <w:sz w:val="16"/>
                <w:szCs w:val="18"/>
              </w:rPr>
              <w:t>从好到差划分为好、较好、一般、较差、差五个等级，每个等级相差2分，确定可比实例1、2、3该因素指数分别为100、100、100；</w:t>
            </w:r>
          </w:p>
        </w:tc>
      </w:tr>
      <w:tr w14:paraId="50888F81">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3B643AEC">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0F353DE3">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小区环境</w:t>
            </w:r>
          </w:p>
        </w:tc>
        <w:tc>
          <w:tcPr>
            <w:tcW w:w="531" w:type="pct"/>
            <w:tcBorders>
              <w:top w:val="nil"/>
              <w:left w:val="nil"/>
              <w:bottom w:val="single" w:color="auto" w:sz="4" w:space="0"/>
              <w:right w:val="single" w:color="auto" w:sz="4" w:space="0"/>
            </w:tcBorders>
            <w:noWrap/>
            <w:vAlign w:val="center"/>
          </w:tcPr>
          <w:p w14:paraId="0893F24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EC1515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95AA3D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54C4726">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4A5240B0">
            <w:pPr>
              <w:snapToGrid w:val="0"/>
              <w:spacing w:line="240" w:lineRule="exact"/>
              <w:jc w:val="both"/>
              <w:rPr>
                <w:rFonts w:ascii="Arial" w:hAnsi="Arial" w:cs="Arial"/>
                <w:sz w:val="16"/>
                <w:szCs w:val="18"/>
              </w:rPr>
            </w:pPr>
            <w:r>
              <w:rPr>
                <w:rFonts w:hint="eastAsia" w:ascii="Arial" w:hAnsi="Arial" w:cs="Arial"/>
                <w:sz w:val="16"/>
                <w:szCs w:val="18"/>
              </w:rPr>
              <w:t>根据小区道路、绿化率、景观设计及人车分流情况分为一档，每级相差1分，</w:t>
            </w:r>
            <w:r>
              <w:rPr>
                <w:rFonts w:ascii="Arial" w:hAnsi="Arial" w:cs="Arial"/>
                <w:sz w:val="16"/>
                <w:szCs w:val="18"/>
              </w:rPr>
              <w:t>确定可比实例1、2、3该因素指数分别为100、100、100；</w:t>
            </w:r>
          </w:p>
        </w:tc>
      </w:tr>
      <w:tr w14:paraId="539E52A1">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21F63376">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7D210969">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公共服务设施状况</w:t>
            </w:r>
          </w:p>
        </w:tc>
        <w:tc>
          <w:tcPr>
            <w:tcW w:w="531" w:type="pct"/>
            <w:tcBorders>
              <w:top w:val="nil"/>
              <w:left w:val="nil"/>
              <w:bottom w:val="single" w:color="auto" w:sz="4" w:space="0"/>
              <w:right w:val="single" w:color="auto" w:sz="4" w:space="0"/>
            </w:tcBorders>
            <w:noWrap/>
            <w:vAlign w:val="center"/>
          </w:tcPr>
          <w:p w14:paraId="7772EF4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F52C45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54260E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E8CFD21">
            <w:pPr>
              <w:snapToGrid w:val="0"/>
              <w:spacing w:line="240" w:lineRule="exact"/>
              <w:jc w:val="both"/>
              <w:rPr>
                <w:rFonts w:ascii="Arial" w:hAnsi="Arial" w:cs="Arial"/>
                <w:sz w:val="16"/>
                <w:szCs w:val="18"/>
              </w:rPr>
            </w:pPr>
            <w:r>
              <w:rPr>
                <w:rFonts w:hint="eastAsia" w:ascii="Arial" w:hAnsi="Arial" w:cs="Arial"/>
                <w:sz w:val="16"/>
                <w:szCs w:val="18"/>
              </w:rPr>
              <w:t>98</w:t>
            </w:r>
          </w:p>
        </w:tc>
        <w:tc>
          <w:tcPr>
            <w:tcW w:w="2031" w:type="pct"/>
            <w:tcBorders>
              <w:top w:val="nil"/>
              <w:left w:val="nil"/>
              <w:bottom w:val="single" w:color="auto" w:sz="4" w:space="0"/>
              <w:right w:val="single" w:color="auto" w:sz="4" w:space="0"/>
            </w:tcBorders>
            <w:vAlign w:val="center"/>
          </w:tcPr>
          <w:p w14:paraId="51D781E0">
            <w:pPr>
              <w:snapToGrid w:val="0"/>
              <w:spacing w:line="240" w:lineRule="exact"/>
              <w:jc w:val="both"/>
              <w:rPr>
                <w:rFonts w:ascii="Arial" w:hAnsi="Arial" w:cs="Arial"/>
                <w:sz w:val="16"/>
                <w:szCs w:val="18"/>
              </w:rPr>
            </w:pPr>
            <w:r>
              <w:rPr>
                <w:rFonts w:ascii="Arial" w:hAnsi="Arial" w:cs="Arial"/>
                <w:sz w:val="16"/>
                <w:szCs w:val="18"/>
              </w:rPr>
              <w:t>从好到差划分为齐全、较齐全、一般、较不齐全、不齐全五个等级，每个等级相差</w:t>
            </w:r>
            <w:r>
              <w:rPr>
                <w:rFonts w:hint="eastAsia" w:ascii="Arial" w:hAnsi="Arial" w:cs="Arial"/>
                <w:sz w:val="16"/>
                <w:szCs w:val="18"/>
              </w:rPr>
              <w:t>2</w:t>
            </w:r>
            <w:r>
              <w:rPr>
                <w:rFonts w:ascii="Arial" w:hAnsi="Arial" w:cs="Arial"/>
                <w:sz w:val="16"/>
                <w:szCs w:val="18"/>
              </w:rPr>
              <w:t>分，确定可比实例1、2、3该因素指数分别为100、100、</w:t>
            </w:r>
            <w:r>
              <w:rPr>
                <w:rFonts w:hint="eastAsia" w:ascii="Arial" w:hAnsi="Arial" w:cs="Arial"/>
                <w:sz w:val="16"/>
                <w:szCs w:val="18"/>
              </w:rPr>
              <w:t>98</w:t>
            </w:r>
            <w:r>
              <w:rPr>
                <w:rFonts w:ascii="Arial" w:hAnsi="Arial" w:cs="Arial"/>
                <w:sz w:val="16"/>
                <w:szCs w:val="18"/>
              </w:rPr>
              <w:t>；</w:t>
            </w:r>
          </w:p>
        </w:tc>
      </w:tr>
      <w:tr w14:paraId="7E5AC6CD">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7BD4C5AC">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2CB059DC">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建筑类型</w:t>
            </w:r>
          </w:p>
        </w:tc>
        <w:tc>
          <w:tcPr>
            <w:tcW w:w="531" w:type="pct"/>
            <w:tcBorders>
              <w:top w:val="nil"/>
              <w:left w:val="nil"/>
              <w:bottom w:val="single" w:color="auto" w:sz="4" w:space="0"/>
              <w:right w:val="single" w:color="auto" w:sz="4" w:space="0"/>
            </w:tcBorders>
            <w:noWrap/>
            <w:vAlign w:val="center"/>
          </w:tcPr>
          <w:p w14:paraId="047428D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75054E3">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4</w:t>
            </w:r>
          </w:p>
        </w:tc>
        <w:tc>
          <w:tcPr>
            <w:tcW w:w="531" w:type="pct"/>
            <w:tcBorders>
              <w:top w:val="nil"/>
              <w:left w:val="nil"/>
              <w:bottom w:val="single" w:color="auto" w:sz="4" w:space="0"/>
              <w:right w:val="single" w:color="auto" w:sz="4" w:space="0"/>
            </w:tcBorders>
            <w:noWrap/>
            <w:vAlign w:val="center"/>
          </w:tcPr>
          <w:p w14:paraId="5FD587EB">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4</w:t>
            </w:r>
          </w:p>
        </w:tc>
        <w:tc>
          <w:tcPr>
            <w:tcW w:w="531" w:type="pct"/>
            <w:tcBorders>
              <w:top w:val="nil"/>
              <w:left w:val="nil"/>
              <w:bottom w:val="single" w:color="auto" w:sz="4" w:space="0"/>
              <w:right w:val="single" w:color="auto" w:sz="4" w:space="0"/>
            </w:tcBorders>
            <w:noWrap/>
            <w:vAlign w:val="center"/>
          </w:tcPr>
          <w:p w14:paraId="1DCC1B2A">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2</w:t>
            </w:r>
          </w:p>
        </w:tc>
        <w:tc>
          <w:tcPr>
            <w:tcW w:w="2031" w:type="pct"/>
            <w:tcBorders>
              <w:top w:val="nil"/>
              <w:left w:val="nil"/>
              <w:bottom w:val="single" w:color="auto" w:sz="4" w:space="0"/>
              <w:right w:val="single" w:color="auto" w:sz="4" w:space="0"/>
            </w:tcBorders>
            <w:vAlign w:val="center"/>
          </w:tcPr>
          <w:p w14:paraId="3A3AD71A">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多层板楼、小高层板楼、高层板楼、板塔结合、塔楼五</w:t>
            </w:r>
            <w:r>
              <w:rPr>
                <w:rFonts w:ascii="Arial" w:hAnsi="Arial" w:cs="Arial"/>
                <w:sz w:val="16"/>
                <w:szCs w:val="18"/>
              </w:rPr>
              <w:t>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104</w:t>
            </w:r>
            <w:r>
              <w:rPr>
                <w:rFonts w:ascii="Arial" w:hAnsi="Arial" w:cs="Arial"/>
                <w:sz w:val="16"/>
                <w:szCs w:val="18"/>
              </w:rPr>
              <w:t>、</w:t>
            </w:r>
            <w:r>
              <w:rPr>
                <w:rFonts w:hint="eastAsia" w:ascii="Arial" w:hAnsi="Arial" w:cs="Arial"/>
                <w:sz w:val="16"/>
                <w:szCs w:val="18"/>
              </w:rPr>
              <w:t>104</w:t>
            </w:r>
            <w:r>
              <w:rPr>
                <w:rFonts w:ascii="Arial" w:hAnsi="Arial" w:cs="Arial"/>
                <w:sz w:val="16"/>
                <w:szCs w:val="18"/>
              </w:rPr>
              <w:t>、10</w:t>
            </w:r>
            <w:r>
              <w:rPr>
                <w:rFonts w:hint="eastAsia" w:ascii="Arial" w:hAnsi="Arial" w:cs="Arial"/>
                <w:sz w:val="16"/>
                <w:szCs w:val="18"/>
              </w:rPr>
              <w:t>2</w:t>
            </w:r>
            <w:r>
              <w:rPr>
                <w:rFonts w:ascii="Arial" w:hAnsi="Arial" w:cs="Arial"/>
                <w:sz w:val="16"/>
                <w:szCs w:val="18"/>
              </w:rPr>
              <w:t>；</w:t>
            </w:r>
          </w:p>
        </w:tc>
      </w:tr>
      <w:tr w14:paraId="47F30430">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7B8995D0">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684549C4">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楼层</w:t>
            </w:r>
          </w:p>
        </w:tc>
        <w:tc>
          <w:tcPr>
            <w:tcW w:w="531" w:type="pct"/>
            <w:tcBorders>
              <w:top w:val="nil"/>
              <w:left w:val="nil"/>
              <w:bottom w:val="single" w:color="auto" w:sz="4" w:space="0"/>
              <w:right w:val="single" w:color="auto" w:sz="4" w:space="0"/>
            </w:tcBorders>
            <w:noWrap/>
            <w:vAlign w:val="center"/>
          </w:tcPr>
          <w:p w14:paraId="452BD21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D28DB02">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6366BD35">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77758027">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71C25991">
            <w:pPr>
              <w:snapToGrid w:val="0"/>
              <w:spacing w:line="240" w:lineRule="exact"/>
              <w:jc w:val="both"/>
              <w:rPr>
                <w:rFonts w:ascii="Arial" w:hAnsi="Arial" w:cs="Arial"/>
                <w:sz w:val="16"/>
                <w:szCs w:val="18"/>
              </w:rPr>
            </w:pPr>
            <w:r>
              <w:rPr>
                <w:rFonts w:ascii="Arial" w:hAnsi="Arial" w:cs="Arial"/>
                <w:sz w:val="16"/>
                <w:szCs w:val="18"/>
              </w:rPr>
              <w:t>分为高楼层、中楼层、低楼层两个等级，以估价对象指数为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98</w:t>
            </w:r>
            <w:r>
              <w:rPr>
                <w:rFonts w:ascii="Arial" w:hAnsi="Arial" w:cs="Arial"/>
                <w:sz w:val="16"/>
                <w:szCs w:val="18"/>
              </w:rPr>
              <w:t>、100；</w:t>
            </w:r>
          </w:p>
        </w:tc>
      </w:tr>
      <w:tr w14:paraId="79FA3D64">
        <w:tblPrEx>
          <w:tblCellMar>
            <w:top w:w="57" w:type="dxa"/>
            <w:left w:w="57" w:type="dxa"/>
            <w:bottom w:w="57" w:type="dxa"/>
            <w:right w:w="57" w:type="dxa"/>
          </w:tblCellMar>
        </w:tblPrEx>
        <w:trPr>
          <w:trHeight w:val="20" w:hRule="atLeast"/>
          <w:jc w:val="center"/>
        </w:trPr>
        <w:tc>
          <w:tcPr>
            <w:tcW w:w="306" w:type="pct"/>
            <w:vMerge w:val="continue"/>
            <w:tcBorders>
              <w:top w:val="single" w:color="auto" w:sz="4" w:space="0"/>
              <w:left w:val="single" w:color="auto" w:sz="4" w:space="0"/>
              <w:bottom w:val="single" w:color="auto" w:sz="4" w:space="0"/>
              <w:right w:val="single" w:color="auto" w:sz="4" w:space="0"/>
            </w:tcBorders>
            <w:vAlign w:val="center"/>
          </w:tcPr>
          <w:p w14:paraId="50F490A9">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515E7A76">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朝向</w:t>
            </w:r>
          </w:p>
        </w:tc>
        <w:tc>
          <w:tcPr>
            <w:tcW w:w="531" w:type="pct"/>
            <w:tcBorders>
              <w:top w:val="nil"/>
              <w:left w:val="nil"/>
              <w:bottom w:val="single" w:color="auto" w:sz="4" w:space="0"/>
              <w:right w:val="single" w:color="auto" w:sz="4" w:space="0"/>
            </w:tcBorders>
            <w:noWrap/>
            <w:vAlign w:val="center"/>
          </w:tcPr>
          <w:p w14:paraId="308CDD4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710DF08">
            <w:pPr>
              <w:snapToGrid w:val="0"/>
              <w:spacing w:line="240" w:lineRule="exact"/>
              <w:jc w:val="both"/>
              <w:rPr>
                <w:rFonts w:ascii="Arial" w:hAnsi="Arial" w:cs="Arial"/>
                <w:sz w:val="16"/>
                <w:szCs w:val="18"/>
              </w:rPr>
            </w:pPr>
            <w:r>
              <w:rPr>
                <w:rFonts w:hint="eastAsia" w:ascii="Arial" w:hAnsi="Arial" w:cs="Arial"/>
                <w:sz w:val="16"/>
                <w:szCs w:val="18"/>
              </w:rPr>
              <w:t>99</w:t>
            </w:r>
          </w:p>
        </w:tc>
        <w:tc>
          <w:tcPr>
            <w:tcW w:w="531" w:type="pct"/>
            <w:tcBorders>
              <w:top w:val="nil"/>
              <w:left w:val="nil"/>
              <w:bottom w:val="single" w:color="auto" w:sz="4" w:space="0"/>
              <w:right w:val="single" w:color="auto" w:sz="4" w:space="0"/>
            </w:tcBorders>
            <w:noWrap/>
            <w:vAlign w:val="center"/>
          </w:tcPr>
          <w:p w14:paraId="4D48F645">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531" w:type="pct"/>
            <w:tcBorders>
              <w:top w:val="nil"/>
              <w:left w:val="nil"/>
              <w:bottom w:val="single" w:color="auto" w:sz="4" w:space="0"/>
              <w:right w:val="single" w:color="auto" w:sz="4" w:space="0"/>
            </w:tcBorders>
            <w:noWrap/>
            <w:vAlign w:val="center"/>
          </w:tcPr>
          <w:p w14:paraId="031C9009">
            <w:pPr>
              <w:snapToGrid w:val="0"/>
              <w:spacing w:line="240" w:lineRule="exact"/>
              <w:jc w:val="both"/>
              <w:rPr>
                <w:rFonts w:ascii="Arial" w:hAnsi="Arial" w:cs="Arial"/>
                <w:sz w:val="16"/>
                <w:szCs w:val="18"/>
              </w:rPr>
            </w:pPr>
            <w:r>
              <w:rPr>
                <w:rFonts w:hint="eastAsia" w:ascii="Arial" w:hAnsi="Arial" w:cs="Arial"/>
                <w:sz w:val="16"/>
                <w:szCs w:val="18"/>
              </w:rPr>
              <w:t>99</w:t>
            </w:r>
          </w:p>
        </w:tc>
        <w:tc>
          <w:tcPr>
            <w:tcW w:w="2031" w:type="pct"/>
            <w:tcBorders>
              <w:top w:val="nil"/>
              <w:left w:val="nil"/>
              <w:bottom w:val="single" w:color="auto" w:sz="4" w:space="0"/>
              <w:right w:val="single" w:color="auto" w:sz="4" w:space="0"/>
            </w:tcBorders>
            <w:vAlign w:val="center"/>
          </w:tcPr>
          <w:p w14:paraId="79CE4A03">
            <w:pPr>
              <w:snapToGrid w:val="0"/>
              <w:spacing w:line="240" w:lineRule="exact"/>
              <w:jc w:val="both"/>
              <w:rPr>
                <w:rFonts w:ascii="Arial" w:hAnsi="Arial" w:cs="Arial"/>
                <w:sz w:val="16"/>
                <w:szCs w:val="18"/>
              </w:rPr>
            </w:pPr>
            <w:r>
              <w:rPr>
                <w:rFonts w:ascii="Arial" w:hAnsi="Arial" w:cs="Arial"/>
                <w:sz w:val="16"/>
                <w:szCs w:val="18"/>
              </w:rPr>
              <w:t>从优到劣依次为：为南北向；南向；东、南；西、南；东、西；东；西；东、北；西、北；北。每档相差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99、100、99</w:t>
            </w:r>
            <w:r>
              <w:rPr>
                <w:rFonts w:ascii="Arial" w:hAnsi="Arial" w:cs="Arial"/>
                <w:sz w:val="16"/>
                <w:szCs w:val="18"/>
              </w:rPr>
              <w:t>；</w:t>
            </w:r>
          </w:p>
        </w:tc>
      </w:tr>
      <w:tr w14:paraId="2167DD4C">
        <w:tblPrEx>
          <w:tblCellMar>
            <w:top w:w="57" w:type="dxa"/>
            <w:left w:w="57" w:type="dxa"/>
            <w:bottom w:w="57" w:type="dxa"/>
            <w:right w:w="57" w:type="dxa"/>
          </w:tblCellMar>
        </w:tblPrEx>
        <w:trPr>
          <w:trHeight w:val="20" w:hRule="atLeast"/>
          <w:jc w:val="center"/>
        </w:trPr>
        <w:tc>
          <w:tcPr>
            <w:tcW w:w="306" w:type="pct"/>
            <w:vMerge w:val="restart"/>
            <w:tcBorders>
              <w:top w:val="single" w:color="auto" w:sz="4" w:space="0"/>
              <w:left w:val="single" w:color="auto" w:sz="4" w:space="0"/>
              <w:bottom w:val="single" w:color="auto" w:sz="4" w:space="0"/>
              <w:right w:val="single" w:color="auto" w:sz="4" w:space="0"/>
            </w:tcBorders>
            <w:noWrap/>
            <w:vAlign w:val="center"/>
          </w:tcPr>
          <w:p w14:paraId="10121041">
            <w:pPr>
              <w:snapToGrid w:val="0"/>
              <w:spacing w:line="240" w:lineRule="exact"/>
              <w:jc w:val="both"/>
              <w:rPr>
                <w:rFonts w:hint="eastAsia" w:ascii="宋体" w:hAnsi="宋体" w:cs="Arial"/>
                <w:sz w:val="16"/>
                <w:szCs w:val="18"/>
              </w:rPr>
            </w:pPr>
            <w:r>
              <w:rPr>
                <w:rFonts w:ascii="宋体" w:hAnsi="宋体" w:cs="Arial"/>
                <w:sz w:val="16"/>
                <w:szCs w:val="18"/>
              </w:rPr>
              <w:t>实物</w:t>
            </w:r>
          </w:p>
          <w:p w14:paraId="200648E2">
            <w:pPr>
              <w:snapToGrid w:val="0"/>
              <w:spacing w:line="240" w:lineRule="exact"/>
              <w:jc w:val="both"/>
              <w:rPr>
                <w:rFonts w:hint="eastAsia"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2C26D394">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成新度</w:t>
            </w:r>
          </w:p>
        </w:tc>
        <w:tc>
          <w:tcPr>
            <w:tcW w:w="531" w:type="pct"/>
            <w:tcBorders>
              <w:top w:val="nil"/>
              <w:left w:val="nil"/>
              <w:bottom w:val="single" w:color="auto" w:sz="4" w:space="0"/>
              <w:right w:val="single" w:color="auto" w:sz="4" w:space="0"/>
            </w:tcBorders>
            <w:noWrap/>
            <w:vAlign w:val="center"/>
          </w:tcPr>
          <w:p w14:paraId="688FA78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A1C0E23">
            <w:pPr>
              <w:snapToGrid w:val="0"/>
              <w:spacing w:line="240" w:lineRule="exact"/>
              <w:jc w:val="both"/>
              <w:rPr>
                <w:rFonts w:ascii="Arial" w:hAnsi="Arial" w:cs="Arial"/>
                <w:sz w:val="16"/>
                <w:szCs w:val="18"/>
              </w:rPr>
            </w:pPr>
            <w:r>
              <w:rPr>
                <w:rFonts w:hint="eastAsia" w:ascii="Arial" w:hAnsi="Arial" w:cs="Arial"/>
                <w:sz w:val="16"/>
                <w:szCs w:val="18"/>
              </w:rPr>
              <w:t>94</w:t>
            </w:r>
          </w:p>
        </w:tc>
        <w:tc>
          <w:tcPr>
            <w:tcW w:w="531" w:type="pct"/>
            <w:tcBorders>
              <w:top w:val="nil"/>
              <w:left w:val="nil"/>
              <w:bottom w:val="single" w:color="auto" w:sz="4" w:space="0"/>
              <w:right w:val="single" w:color="auto" w:sz="4" w:space="0"/>
            </w:tcBorders>
            <w:noWrap/>
            <w:vAlign w:val="center"/>
          </w:tcPr>
          <w:p w14:paraId="515731DA">
            <w:pPr>
              <w:snapToGrid w:val="0"/>
              <w:spacing w:line="240" w:lineRule="exact"/>
              <w:jc w:val="both"/>
              <w:rPr>
                <w:rFonts w:ascii="Arial" w:hAnsi="Arial" w:cs="Arial"/>
                <w:sz w:val="16"/>
                <w:szCs w:val="18"/>
              </w:rPr>
            </w:pPr>
            <w:r>
              <w:rPr>
                <w:rFonts w:hint="eastAsia" w:ascii="Arial" w:hAnsi="Arial" w:cs="Arial"/>
                <w:sz w:val="16"/>
                <w:szCs w:val="18"/>
              </w:rPr>
              <w:t>94</w:t>
            </w:r>
          </w:p>
        </w:tc>
        <w:tc>
          <w:tcPr>
            <w:tcW w:w="531" w:type="pct"/>
            <w:tcBorders>
              <w:top w:val="nil"/>
              <w:left w:val="nil"/>
              <w:bottom w:val="single" w:color="auto" w:sz="4" w:space="0"/>
              <w:right w:val="single" w:color="auto" w:sz="4" w:space="0"/>
            </w:tcBorders>
            <w:noWrap/>
            <w:vAlign w:val="center"/>
          </w:tcPr>
          <w:p w14:paraId="19204992">
            <w:pPr>
              <w:snapToGrid w:val="0"/>
              <w:spacing w:line="240" w:lineRule="exact"/>
              <w:jc w:val="both"/>
              <w:rPr>
                <w:rFonts w:ascii="Arial" w:hAnsi="Arial" w:cs="Arial"/>
                <w:sz w:val="16"/>
                <w:szCs w:val="18"/>
              </w:rPr>
            </w:pPr>
            <w:r>
              <w:rPr>
                <w:rFonts w:hint="eastAsia" w:ascii="Arial" w:hAnsi="Arial" w:cs="Arial"/>
                <w:sz w:val="16"/>
                <w:szCs w:val="18"/>
              </w:rPr>
              <w:t>96</w:t>
            </w:r>
          </w:p>
        </w:tc>
        <w:tc>
          <w:tcPr>
            <w:tcW w:w="2031" w:type="pct"/>
            <w:tcBorders>
              <w:top w:val="nil"/>
              <w:left w:val="nil"/>
              <w:bottom w:val="single" w:color="auto" w:sz="4" w:space="0"/>
              <w:right w:val="single" w:color="auto" w:sz="4" w:space="0"/>
            </w:tcBorders>
            <w:vAlign w:val="center"/>
          </w:tcPr>
          <w:p w14:paraId="06B3238F">
            <w:pPr>
              <w:snapToGrid w:val="0"/>
              <w:spacing w:line="240" w:lineRule="exact"/>
              <w:jc w:val="both"/>
              <w:rPr>
                <w:rFonts w:ascii="Arial" w:hAnsi="Arial" w:cs="Arial"/>
                <w:sz w:val="16"/>
                <w:szCs w:val="18"/>
              </w:rPr>
            </w:pPr>
            <w:r>
              <w:rPr>
                <w:rFonts w:ascii="Arial" w:hAnsi="Arial" w:cs="Arial"/>
                <w:sz w:val="16"/>
                <w:szCs w:val="18"/>
              </w:rPr>
              <w:t>根据90%（含）-100%、80%（含）-90%、70%（含）-80%、60%（含）-70%、60%以下分为五个等级，每级相差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94、94、96</w:t>
            </w:r>
            <w:r>
              <w:rPr>
                <w:rFonts w:ascii="Arial" w:hAnsi="Arial" w:cs="Arial"/>
                <w:sz w:val="16"/>
                <w:szCs w:val="18"/>
              </w:rPr>
              <w:t>；</w:t>
            </w:r>
          </w:p>
        </w:tc>
      </w:tr>
      <w:tr w14:paraId="2F7131D6">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28A176DD">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5559D659">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公共区域装修</w:t>
            </w:r>
          </w:p>
        </w:tc>
        <w:tc>
          <w:tcPr>
            <w:tcW w:w="531" w:type="pct"/>
            <w:tcBorders>
              <w:top w:val="nil"/>
              <w:left w:val="nil"/>
              <w:bottom w:val="single" w:color="auto" w:sz="4" w:space="0"/>
              <w:right w:val="single" w:color="auto" w:sz="4" w:space="0"/>
            </w:tcBorders>
            <w:noWrap/>
            <w:vAlign w:val="center"/>
          </w:tcPr>
          <w:p w14:paraId="7280FAE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92689AB">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367C5AD6">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5BB584EE">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5DB97959">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 100，每级相差2分，确定可比实例1、2、3该因素指数分别为</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98</w:t>
            </w:r>
            <w:r>
              <w:rPr>
                <w:rFonts w:ascii="Arial" w:hAnsi="Arial" w:cs="Arial"/>
                <w:sz w:val="16"/>
                <w:szCs w:val="18"/>
              </w:rPr>
              <w:t>、100；</w:t>
            </w:r>
          </w:p>
        </w:tc>
      </w:tr>
      <w:tr w14:paraId="43136A6D">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2491A4CD">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026C1FF2">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室内装饰装修</w:t>
            </w:r>
          </w:p>
        </w:tc>
        <w:tc>
          <w:tcPr>
            <w:tcW w:w="531" w:type="pct"/>
            <w:tcBorders>
              <w:top w:val="nil"/>
              <w:left w:val="nil"/>
              <w:bottom w:val="single" w:color="auto" w:sz="4" w:space="0"/>
              <w:right w:val="single" w:color="auto" w:sz="4" w:space="0"/>
            </w:tcBorders>
            <w:noWrap/>
            <w:vAlign w:val="center"/>
          </w:tcPr>
          <w:p w14:paraId="091247B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D5688F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BD1F0E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0145FF7">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08B28134">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 100，每级相差3分，确定可比实例1、2、3该因素指数分别为</w:t>
            </w:r>
            <w:r>
              <w:rPr>
                <w:rFonts w:hint="eastAsia" w:ascii="Arial" w:hAnsi="Arial" w:cs="Arial"/>
                <w:sz w:val="16"/>
                <w:szCs w:val="18"/>
              </w:rPr>
              <w:t>100、100、100</w:t>
            </w:r>
            <w:r>
              <w:rPr>
                <w:rFonts w:ascii="Arial" w:hAnsi="Arial" w:cs="Arial"/>
                <w:sz w:val="16"/>
                <w:szCs w:val="18"/>
              </w:rPr>
              <w:t>；</w:t>
            </w:r>
          </w:p>
        </w:tc>
      </w:tr>
      <w:tr w14:paraId="38F2B7B9">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5AE6BCD3">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60E6D3B3">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设施设备</w:t>
            </w:r>
          </w:p>
        </w:tc>
        <w:tc>
          <w:tcPr>
            <w:tcW w:w="531" w:type="pct"/>
            <w:tcBorders>
              <w:top w:val="nil"/>
              <w:left w:val="nil"/>
              <w:bottom w:val="single" w:color="auto" w:sz="4" w:space="0"/>
              <w:right w:val="single" w:color="auto" w:sz="4" w:space="0"/>
            </w:tcBorders>
            <w:noWrap/>
            <w:vAlign w:val="center"/>
          </w:tcPr>
          <w:p w14:paraId="12546D3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BEDD19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D8F1B3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6143378">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000773D1">
            <w:pPr>
              <w:snapToGrid w:val="0"/>
              <w:spacing w:line="240" w:lineRule="exact"/>
              <w:jc w:val="both"/>
              <w:rPr>
                <w:rFonts w:ascii="Arial" w:hAnsi="Arial" w:cs="Arial"/>
                <w:sz w:val="16"/>
                <w:szCs w:val="18"/>
              </w:rPr>
            </w:pPr>
            <w:r>
              <w:rPr>
                <w:rFonts w:ascii="Arial" w:hAnsi="Arial" w:cs="Arial"/>
                <w:sz w:val="16"/>
                <w:szCs w:val="18"/>
              </w:rPr>
              <w:t>根据实际配备情况，分为完善、较完善、一般、较不完善、不完善五个等级，每级相差</w:t>
            </w:r>
            <w:r>
              <w:rPr>
                <w:rFonts w:hint="eastAsia" w:ascii="Arial" w:hAnsi="Arial" w:cs="Arial"/>
                <w:sz w:val="16"/>
                <w:szCs w:val="18"/>
              </w:rPr>
              <w:t>3</w:t>
            </w:r>
            <w:r>
              <w:rPr>
                <w:rFonts w:ascii="Arial" w:hAnsi="Arial" w:cs="Arial"/>
                <w:sz w:val="16"/>
                <w:szCs w:val="18"/>
              </w:rPr>
              <w:t>分，确定可比实例1、2、3该因素指数分别为</w:t>
            </w:r>
            <w:r>
              <w:rPr>
                <w:rFonts w:hint="eastAsia" w:ascii="Arial" w:hAnsi="Arial" w:cs="Arial"/>
                <w:sz w:val="16"/>
                <w:szCs w:val="18"/>
              </w:rPr>
              <w:t>100、100、100</w:t>
            </w:r>
            <w:r>
              <w:rPr>
                <w:rFonts w:ascii="Arial" w:hAnsi="Arial" w:cs="Arial"/>
                <w:sz w:val="16"/>
                <w:szCs w:val="18"/>
              </w:rPr>
              <w:t>；</w:t>
            </w:r>
          </w:p>
        </w:tc>
      </w:tr>
      <w:tr w14:paraId="4A6A97A2">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527F00C9">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6D4DF88E">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综合管理服务设施</w:t>
            </w:r>
          </w:p>
        </w:tc>
        <w:tc>
          <w:tcPr>
            <w:tcW w:w="531" w:type="pct"/>
            <w:tcBorders>
              <w:top w:val="nil"/>
              <w:left w:val="nil"/>
              <w:bottom w:val="single" w:color="auto" w:sz="4" w:space="0"/>
              <w:right w:val="single" w:color="auto" w:sz="4" w:space="0"/>
            </w:tcBorders>
            <w:noWrap/>
            <w:vAlign w:val="center"/>
          </w:tcPr>
          <w:p w14:paraId="6345621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7D1B63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34776D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7A674C4">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37DA3D33">
            <w:pPr>
              <w:snapToGrid w:val="0"/>
              <w:spacing w:line="240" w:lineRule="exact"/>
              <w:jc w:val="both"/>
              <w:rPr>
                <w:rFonts w:ascii="Arial" w:hAnsi="Arial" w:cs="Arial"/>
                <w:sz w:val="16"/>
                <w:szCs w:val="18"/>
              </w:rPr>
            </w:pPr>
            <w:r>
              <w:rPr>
                <w:rFonts w:ascii="Arial" w:hAnsi="Arial" w:cs="Arial"/>
                <w:sz w:val="16"/>
                <w:szCs w:val="18"/>
              </w:rPr>
              <w:t>根据实际管理服务，确定可比实例1、2、3该因素指数分别为100、100、100；</w:t>
            </w:r>
          </w:p>
        </w:tc>
      </w:tr>
      <w:tr w14:paraId="163517E9">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7647EDFA">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40817EA4">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户型布局</w:t>
            </w:r>
          </w:p>
        </w:tc>
        <w:tc>
          <w:tcPr>
            <w:tcW w:w="531" w:type="pct"/>
            <w:tcBorders>
              <w:top w:val="nil"/>
              <w:left w:val="nil"/>
              <w:bottom w:val="single" w:color="auto" w:sz="4" w:space="0"/>
              <w:right w:val="single" w:color="auto" w:sz="4" w:space="0"/>
            </w:tcBorders>
            <w:noWrap/>
            <w:vAlign w:val="center"/>
          </w:tcPr>
          <w:p w14:paraId="42E425E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58FF8D2">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531" w:type="pct"/>
            <w:tcBorders>
              <w:top w:val="nil"/>
              <w:left w:val="nil"/>
              <w:bottom w:val="single" w:color="auto" w:sz="4" w:space="0"/>
              <w:right w:val="single" w:color="auto" w:sz="4" w:space="0"/>
            </w:tcBorders>
            <w:noWrap/>
            <w:vAlign w:val="center"/>
          </w:tcPr>
          <w:p w14:paraId="3F497691">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531" w:type="pct"/>
            <w:tcBorders>
              <w:top w:val="nil"/>
              <w:left w:val="nil"/>
              <w:bottom w:val="single" w:color="auto" w:sz="4" w:space="0"/>
              <w:right w:val="single" w:color="auto" w:sz="4" w:space="0"/>
            </w:tcBorders>
            <w:noWrap/>
            <w:vAlign w:val="center"/>
          </w:tcPr>
          <w:p w14:paraId="00567032">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2031" w:type="pct"/>
            <w:tcBorders>
              <w:top w:val="nil"/>
              <w:left w:val="nil"/>
              <w:bottom w:val="single" w:color="auto" w:sz="4" w:space="0"/>
              <w:right w:val="single" w:color="auto" w:sz="4" w:space="0"/>
            </w:tcBorders>
            <w:vAlign w:val="center"/>
          </w:tcPr>
          <w:p w14:paraId="0F1AE7A3">
            <w:pPr>
              <w:snapToGrid w:val="0"/>
              <w:spacing w:line="240" w:lineRule="exact"/>
              <w:jc w:val="both"/>
              <w:rPr>
                <w:rFonts w:ascii="Arial" w:hAnsi="Arial" w:cs="Arial"/>
                <w:sz w:val="16"/>
                <w:szCs w:val="18"/>
              </w:rPr>
            </w:pPr>
            <w:r>
              <w:rPr>
                <w:rFonts w:ascii="Arial" w:hAnsi="Arial" w:cs="Arial"/>
                <w:sz w:val="16"/>
                <w:szCs w:val="18"/>
              </w:rPr>
              <w:t>根据布局对于使用率的影响，确定可比实例1、2、3该因素指数分别为10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w:t>
            </w:r>
          </w:p>
        </w:tc>
      </w:tr>
      <w:tr w14:paraId="4499C3A2">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0DE2F043">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5628033A">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户型结构</w:t>
            </w:r>
          </w:p>
        </w:tc>
        <w:tc>
          <w:tcPr>
            <w:tcW w:w="531" w:type="pct"/>
            <w:tcBorders>
              <w:top w:val="nil"/>
              <w:left w:val="nil"/>
              <w:bottom w:val="single" w:color="auto" w:sz="4" w:space="0"/>
              <w:right w:val="single" w:color="auto" w:sz="4" w:space="0"/>
            </w:tcBorders>
            <w:noWrap/>
            <w:vAlign w:val="center"/>
          </w:tcPr>
          <w:p w14:paraId="58109FA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0C9454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472669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3D68D7E">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58FEDE0F">
            <w:pPr>
              <w:snapToGrid w:val="0"/>
              <w:spacing w:line="240" w:lineRule="exact"/>
              <w:jc w:val="both"/>
              <w:rPr>
                <w:rFonts w:ascii="Arial" w:hAnsi="Arial" w:cs="Arial"/>
                <w:sz w:val="16"/>
                <w:szCs w:val="18"/>
              </w:rPr>
            </w:pPr>
            <w:r>
              <w:rPr>
                <w:rFonts w:ascii="Arial" w:hAnsi="Arial" w:cs="Arial"/>
                <w:sz w:val="16"/>
                <w:szCs w:val="18"/>
              </w:rPr>
              <w:t>估价对象与案例均为</w:t>
            </w:r>
            <w:r>
              <w:rPr>
                <w:rFonts w:hint="eastAsia" w:ascii="Arial" w:hAnsi="Arial" w:cs="Arial"/>
                <w:sz w:val="16"/>
                <w:szCs w:val="18"/>
              </w:rPr>
              <w:t>平层，</w:t>
            </w:r>
            <w:r>
              <w:rPr>
                <w:rFonts w:ascii="Arial" w:hAnsi="Arial" w:cs="Arial"/>
                <w:sz w:val="16"/>
                <w:szCs w:val="18"/>
              </w:rPr>
              <w:t>确定可比实例1、2、3该因素指数分别为100、100、100；</w:t>
            </w:r>
          </w:p>
        </w:tc>
      </w:tr>
      <w:tr w14:paraId="47EB721C">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59F3040D">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5AEF5DA2">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建筑面积</w:t>
            </w:r>
          </w:p>
        </w:tc>
        <w:tc>
          <w:tcPr>
            <w:tcW w:w="531" w:type="pct"/>
            <w:tcBorders>
              <w:top w:val="nil"/>
              <w:left w:val="nil"/>
              <w:bottom w:val="single" w:color="auto" w:sz="4" w:space="0"/>
              <w:right w:val="single" w:color="auto" w:sz="4" w:space="0"/>
            </w:tcBorders>
            <w:noWrap/>
            <w:vAlign w:val="center"/>
          </w:tcPr>
          <w:p w14:paraId="2BE7F3C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C810B83">
            <w:pPr>
              <w:snapToGrid w:val="0"/>
              <w:spacing w:line="240" w:lineRule="exact"/>
              <w:jc w:val="both"/>
              <w:rPr>
                <w:rFonts w:ascii="Arial" w:hAnsi="Arial" w:cs="Arial"/>
                <w:sz w:val="16"/>
                <w:szCs w:val="18"/>
              </w:rPr>
            </w:pPr>
            <w:r>
              <w:rPr>
                <w:rFonts w:hint="eastAsia" w:ascii="Arial" w:hAnsi="Arial" w:cs="Arial"/>
                <w:sz w:val="16"/>
                <w:szCs w:val="18"/>
              </w:rPr>
              <w:t>102</w:t>
            </w:r>
          </w:p>
        </w:tc>
        <w:tc>
          <w:tcPr>
            <w:tcW w:w="531" w:type="pct"/>
            <w:tcBorders>
              <w:top w:val="nil"/>
              <w:left w:val="nil"/>
              <w:bottom w:val="single" w:color="auto" w:sz="4" w:space="0"/>
              <w:right w:val="single" w:color="auto" w:sz="4" w:space="0"/>
            </w:tcBorders>
            <w:noWrap/>
            <w:vAlign w:val="center"/>
          </w:tcPr>
          <w:p w14:paraId="7DA38D15">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2</w:t>
            </w:r>
          </w:p>
        </w:tc>
        <w:tc>
          <w:tcPr>
            <w:tcW w:w="531" w:type="pct"/>
            <w:tcBorders>
              <w:top w:val="nil"/>
              <w:left w:val="nil"/>
              <w:bottom w:val="single" w:color="auto" w:sz="4" w:space="0"/>
              <w:right w:val="single" w:color="auto" w:sz="4" w:space="0"/>
            </w:tcBorders>
            <w:noWrap/>
            <w:vAlign w:val="center"/>
          </w:tcPr>
          <w:p w14:paraId="06685F6F">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2</w:t>
            </w:r>
          </w:p>
        </w:tc>
        <w:tc>
          <w:tcPr>
            <w:tcW w:w="2031" w:type="pct"/>
            <w:tcBorders>
              <w:top w:val="nil"/>
              <w:left w:val="nil"/>
              <w:bottom w:val="single" w:color="auto" w:sz="4" w:space="0"/>
              <w:right w:val="single" w:color="auto" w:sz="4" w:space="0"/>
            </w:tcBorders>
            <w:vAlign w:val="center"/>
          </w:tcPr>
          <w:p w14:paraId="6D21E217">
            <w:pPr>
              <w:snapToGrid w:val="0"/>
              <w:spacing w:line="240" w:lineRule="exact"/>
              <w:jc w:val="both"/>
              <w:rPr>
                <w:rFonts w:ascii="Arial" w:hAnsi="Arial"/>
              </w:rPr>
            </w:pPr>
            <w:r>
              <w:rPr>
                <w:rFonts w:ascii="Arial" w:hAnsi="Arial" w:cs="Arial"/>
                <w:sz w:val="16"/>
                <w:szCs w:val="18"/>
              </w:rPr>
              <w:t>根据建筑面积对其价值的影响，从好到差划分为</w:t>
            </w:r>
            <w:r>
              <w:rPr>
                <w:rFonts w:hint="eastAsia" w:ascii="Arial" w:hAnsi="Arial" w:cs="Arial"/>
                <w:sz w:val="16"/>
                <w:szCs w:val="18"/>
              </w:rPr>
              <w:t>60</w:t>
            </w:r>
            <w:r>
              <w:rPr>
                <w:rFonts w:ascii="Arial" w:hAnsi="Arial" w:cs="Arial"/>
                <w:sz w:val="16"/>
                <w:szCs w:val="18"/>
              </w:rPr>
              <w:t>（含）平方米及以下、</w:t>
            </w:r>
            <w:r>
              <w:rPr>
                <w:rFonts w:hint="eastAsia" w:ascii="Arial" w:hAnsi="Arial" w:cs="Arial"/>
                <w:sz w:val="16"/>
                <w:szCs w:val="18"/>
              </w:rPr>
              <w:t>60</w:t>
            </w:r>
            <w:r>
              <w:rPr>
                <w:rFonts w:ascii="Arial" w:hAnsi="Arial" w:cs="Arial"/>
                <w:sz w:val="16"/>
                <w:szCs w:val="18"/>
              </w:rPr>
              <w:t>-</w:t>
            </w:r>
            <w:r>
              <w:rPr>
                <w:rFonts w:hint="eastAsia" w:ascii="Arial" w:hAnsi="Arial" w:cs="Arial"/>
                <w:sz w:val="16"/>
                <w:szCs w:val="18"/>
              </w:rPr>
              <w:t>7</w:t>
            </w:r>
            <w:r>
              <w:rPr>
                <w:rFonts w:ascii="Arial" w:hAnsi="Arial" w:cs="Arial"/>
                <w:sz w:val="16"/>
                <w:szCs w:val="18"/>
              </w:rPr>
              <w:t>0（含）平方米、</w:t>
            </w:r>
            <w:r>
              <w:rPr>
                <w:rFonts w:hint="eastAsia" w:ascii="Arial" w:hAnsi="Arial" w:cs="Arial"/>
                <w:sz w:val="16"/>
                <w:szCs w:val="18"/>
              </w:rPr>
              <w:t>7</w:t>
            </w:r>
            <w:r>
              <w:rPr>
                <w:rFonts w:ascii="Arial" w:hAnsi="Arial" w:cs="Arial"/>
                <w:sz w:val="16"/>
                <w:szCs w:val="18"/>
              </w:rPr>
              <w:t>0-</w:t>
            </w:r>
            <w:r>
              <w:rPr>
                <w:rFonts w:hint="eastAsia" w:ascii="Arial" w:hAnsi="Arial" w:cs="Arial"/>
                <w:sz w:val="16"/>
                <w:szCs w:val="18"/>
              </w:rPr>
              <w:t>8</w:t>
            </w:r>
            <w:r>
              <w:rPr>
                <w:rFonts w:ascii="Arial" w:hAnsi="Arial" w:cs="Arial"/>
                <w:sz w:val="16"/>
                <w:szCs w:val="18"/>
              </w:rPr>
              <w:t>0（含）</w:t>
            </w: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w:t>
            </w:r>
            <w:r>
              <w:rPr>
                <w:rFonts w:ascii="Arial" w:hAnsi="Arial" w:cs="Arial"/>
                <w:sz w:val="16"/>
                <w:szCs w:val="18"/>
              </w:rPr>
              <w:t>0（含）</w:t>
            </w:r>
            <w:r>
              <w:rPr>
                <w:rFonts w:hint="eastAsia" w:ascii="Arial" w:hAnsi="Arial" w:cs="Arial"/>
                <w:sz w:val="16"/>
                <w:szCs w:val="18"/>
              </w:rPr>
              <w:t>、90</w:t>
            </w:r>
            <w:r>
              <w:rPr>
                <w:rFonts w:ascii="Arial" w:hAnsi="Arial" w:cs="Arial"/>
                <w:sz w:val="16"/>
                <w:szCs w:val="18"/>
              </w:rPr>
              <w:t>-</w:t>
            </w:r>
            <w:r>
              <w:rPr>
                <w:rFonts w:hint="eastAsia" w:ascii="Arial" w:hAnsi="Arial" w:cs="Arial"/>
                <w:sz w:val="16"/>
                <w:szCs w:val="18"/>
              </w:rPr>
              <w:t>10</w:t>
            </w:r>
            <w:r>
              <w:rPr>
                <w:rFonts w:ascii="Arial" w:hAnsi="Arial" w:cs="Arial"/>
                <w:sz w:val="16"/>
                <w:szCs w:val="18"/>
              </w:rPr>
              <w:t>0（含）</w:t>
            </w:r>
            <w:r>
              <w:rPr>
                <w:rFonts w:hint="eastAsia" w:ascii="Arial" w:hAnsi="Arial" w:cs="Arial"/>
                <w:sz w:val="16"/>
                <w:szCs w:val="18"/>
              </w:rPr>
              <w:t>、100</w:t>
            </w:r>
            <w:r>
              <w:rPr>
                <w:rFonts w:ascii="Arial" w:hAnsi="Arial" w:cs="Arial"/>
                <w:sz w:val="16"/>
                <w:szCs w:val="18"/>
              </w:rPr>
              <w:t>-</w:t>
            </w:r>
            <w:r>
              <w:rPr>
                <w:rFonts w:hint="eastAsia" w:ascii="Arial" w:hAnsi="Arial" w:cs="Arial"/>
                <w:sz w:val="16"/>
                <w:szCs w:val="18"/>
              </w:rPr>
              <w:t>11</w:t>
            </w:r>
            <w:r>
              <w:rPr>
                <w:rFonts w:ascii="Arial" w:hAnsi="Arial" w:cs="Arial"/>
                <w:sz w:val="16"/>
                <w:szCs w:val="18"/>
              </w:rPr>
              <w:t>0（含）</w:t>
            </w:r>
            <w:r>
              <w:rPr>
                <w:rFonts w:hint="eastAsia" w:ascii="Arial" w:hAnsi="Arial" w:cs="Arial"/>
                <w:sz w:val="16"/>
                <w:szCs w:val="18"/>
              </w:rPr>
              <w:t>、110</w:t>
            </w:r>
            <w:r>
              <w:rPr>
                <w:rFonts w:ascii="Arial" w:hAnsi="Arial" w:cs="Arial"/>
                <w:sz w:val="16"/>
                <w:szCs w:val="18"/>
              </w:rPr>
              <w:t>-</w:t>
            </w:r>
            <w:r>
              <w:rPr>
                <w:rFonts w:hint="eastAsia" w:ascii="Arial" w:hAnsi="Arial" w:cs="Arial"/>
                <w:sz w:val="16"/>
                <w:szCs w:val="18"/>
              </w:rPr>
              <w:t>12</w:t>
            </w:r>
            <w:r>
              <w:rPr>
                <w:rFonts w:ascii="Arial" w:hAnsi="Arial" w:cs="Arial"/>
                <w:sz w:val="16"/>
                <w:szCs w:val="18"/>
              </w:rPr>
              <w:t>0（含）</w:t>
            </w:r>
            <w:r>
              <w:rPr>
                <w:rFonts w:hint="eastAsia" w:ascii="Arial" w:hAnsi="Arial" w:cs="Arial"/>
                <w:sz w:val="16"/>
                <w:szCs w:val="18"/>
              </w:rPr>
              <w:t>、120</w:t>
            </w:r>
            <w:r>
              <w:rPr>
                <w:rFonts w:ascii="Arial" w:hAnsi="Arial" w:cs="Arial"/>
                <w:sz w:val="16"/>
                <w:szCs w:val="18"/>
              </w:rPr>
              <w:t>-</w:t>
            </w:r>
            <w:r>
              <w:rPr>
                <w:rFonts w:hint="eastAsia" w:ascii="Arial" w:hAnsi="Arial" w:cs="Arial"/>
                <w:sz w:val="16"/>
                <w:szCs w:val="18"/>
              </w:rPr>
              <w:t>13</w:t>
            </w:r>
            <w:r>
              <w:rPr>
                <w:rFonts w:ascii="Arial" w:hAnsi="Arial" w:cs="Arial"/>
                <w:sz w:val="16"/>
                <w:szCs w:val="18"/>
              </w:rPr>
              <w:t>0（含）</w:t>
            </w:r>
            <w:r>
              <w:rPr>
                <w:rFonts w:hint="eastAsia" w:ascii="Arial" w:hAnsi="Arial" w:cs="Arial"/>
                <w:sz w:val="16"/>
                <w:szCs w:val="18"/>
              </w:rPr>
              <w:t>、130</w:t>
            </w:r>
            <w:r>
              <w:rPr>
                <w:rFonts w:ascii="Arial" w:hAnsi="Arial" w:cs="Arial"/>
                <w:sz w:val="16"/>
                <w:szCs w:val="18"/>
              </w:rPr>
              <w:t>-</w:t>
            </w:r>
            <w:r>
              <w:rPr>
                <w:rFonts w:hint="eastAsia" w:ascii="Arial" w:hAnsi="Arial" w:cs="Arial"/>
                <w:sz w:val="16"/>
                <w:szCs w:val="18"/>
              </w:rPr>
              <w:t>14</w:t>
            </w:r>
            <w:r>
              <w:rPr>
                <w:rFonts w:ascii="Arial" w:hAnsi="Arial" w:cs="Arial"/>
                <w:sz w:val="16"/>
                <w:szCs w:val="18"/>
              </w:rPr>
              <w:t>0（含）平方米及以上。以估价对象该因素指数为100，各可比实例与之相比，确定可比实例1、2、3该因素指数分别为</w:t>
            </w:r>
            <w:r>
              <w:rPr>
                <w:rFonts w:hint="eastAsia" w:ascii="Arial" w:hAnsi="Arial" w:cs="Arial"/>
                <w:sz w:val="16"/>
                <w:szCs w:val="18"/>
              </w:rPr>
              <w:t>102、102、102</w:t>
            </w:r>
            <w:r>
              <w:rPr>
                <w:rFonts w:ascii="Arial" w:hAnsi="Arial" w:cs="Arial"/>
                <w:sz w:val="16"/>
                <w:szCs w:val="18"/>
              </w:rPr>
              <w:t>；</w:t>
            </w:r>
          </w:p>
        </w:tc>
      </w:tr>
      <w:tr w14:paraId="148A0D51">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2E85696D">
            <w:pPr>
              <w:snapToGrid w:val="0"/>
              <w:spacing w:line="240" w:lineRule="exact"/>
              <w:jc w:val="both"/>
              <w:rPr>
                <w:rFonts w:hint="eastAsia" w:ascii="宋体" w:hAnsi="宋体" w:cs="Arial"/>
                <w:sz w:val="16"/>
                <w:szCs w:val="18"/>
              </w:rPr>
            </w:pPr>
          </w:p>
        </w:tc>
        <w:tc>
          <w:tcPr>
            <w:tcW w:w="996" w:type="dxa"/>
            <w:tcBorders>
              <w:top w:val="nil"/>
              <w:left w:val="nil"/>
              <w:bottom w:val="single" w:color="auto" w:sz="4" w:space="0"/>
              <w:right w:val="single" w:color="auto" w:sz="4" w:space="0"/>
            </w:tcBorders>
            <w:vAlign w:val="center"/>
          </w:tcPr>
          <w:p w14:paraId="4F2A387D">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家具家电</w:t>
            </w:r>
          </w:p>
        </w:tc>
        <w:tc>
          <w:tcPr>
            <w:tcW w:w="988" w:type="dxa"/>
            <w:tcBorders>
              <w:top w:val="nil"/>
              <w:left w:val="nil"/>
              <w:bottom w:val="single" w:color="auto" w:sz="4" w:space="0"/>
              <w:right w:val="single" w:color="auto" w:sz="4" w:space="0"/>
            </w:tcBorders>
            <w:noWrap/>
            <w:vAlign w:val="center"/>
          </w:tcPr>
          <w:p w14:paraId="21C5EE9A">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415F3F98">
            <w:pPr>
              <w:snapToGrid w:val="0"/>
              <w:spacing w:line="240" w:lineRule="exact"/>
              <w:jc w:val="both"/>
              <w:rPr>
                <w:rFonts w:ascii="Arial" w:hAnsi="Arial" w:cs="Arial"/>
                <w:sz w:val="16"/>
                <w:szCs w:val="18"/>
              </w:rPr>
            </w:pPr>
            <w:r>
              <w:rPr>
                <w:rFonts w:hint="eastAsia" w:ascii="Arial" w:hAnsi="Arial" w:cs="Arial"/>
                <w:sz w:val="16"/>
                <w:szCs w:val="18"/>
              </w:rPr>
              <w:t>91</w:t>
            </w:r>
          </w:p>
        </w:tc>
        <w:tc>
          <w:tcPr>
            <w:tcW w:w="988" w:type="dxa"/>
            <w:tcBorders>
              <w:top w:val="nil"/>
              <w:left w:val="nil"/>
              <w:bottom w:val="single" w:color="auto" w:sz="4" w:space="0"/>
              <w:right w:val="single" w:color="auto" w:sz="4" w:space="0"/>
            </w:tcBorders>
            <w:noWrap/>
            <w:vAlign w:val="center"/>
          </w:tcPr>
          <w:p w14:paraId="7E178627">
            <w:pPr>
              <w:snapToGrid w:val="0"/>
              <w:spacing w:line="240" w:lineRule="exact"/>
              <w:jc w:val="both"/>
              <w:rPr>
                <w:rFonts w:ascii="Arial" w:hAnsi="Arial" w:cs="Arial"/>
                <w:sz w:val="16"/>
                <w:szCs w:val="18"/>
              </w:rPr>
            </w:pPr>
            <w:r>
              <w:rPr>
                <w:rFonts w:hint="eastAsia" w:ascii="Arial" w:hAnsi="Arial" w:cs="Arial"/>
                <w:sz w:val="16"/>
                <w:szCs w:val="18"/>
              </w:rPr>
              <w:t>91</w:t>
            </w:r>
          </w:p>
        </w:tc>
        <w:tc>
          <w:tcPr>
            <w:tcW w:w="988" w:type="dxa"/>
            <w:tcBorders>
              <w:top w:val="nil"/>
              <w:left w:val="nil"/>
              <w:bottom w:val="single" w:color="auto" w:sz="4" w:space="0"/>
              <w:right w:val="single" w:color="auto" w:sz="4" w:space="0"/>
            </w:tcBorders>
            <w:noWrap/>
            <w:vAlign w:val="center"/>
          </w:tcPr>
          <w:p w14:paraId="6782817F">
            <w:pPr>
              <w:snapToGrid w:val="0"/>
              <w:spacing w:line="240" w:lineRule="exact"/>
              <w:jc w:val="both"/>
              <w:rPr>
                <w:rFonts w:ascii="Arial" w:hAnsi="Arial" w:cs="Arial"/>
                <w:sz w:val="16"/>
                <w:szCs w:val="18"/>
              </w:rPr>
            </w:pPr>
            <w:r>
              <w:rPr>
                <w:rFonts w:hint="eastAsia" w:ascii="Arial" w:hAnsi="Arial" w:cs="Arial"/>
                <w:sz w:val="16"/>
                <w:szCs w:val="18"/>
              </w:rPr>
              <w:t>91</w:t>
            </w:r>
          </w:p>
        </w:tc>
        <w:tc>
          <w:tcPr>
            <w:tcW w:w="3777" w:type="dxa"/>
            <w:tcBorders>
              <w:top w:val="nil"/>
              <w:left w:val="nil"/>
              <w:bottom w:val="single" w:color="auto" w:sz="4" w:space="0"/>
              <w:right w:val="single" w:color="auto" w:sz="4" w:space="0"/>
            </w:tcBorders>
            <w:vAlign w:val="center"/>
          </w:tcPr>
          <w:p w14:paraId="14AEE4BE">
            <w:pPr>
              <w:widowControl/>
              <w:adjustRightInd/>
              <w:spacing w:line="240" w:lineRule="auto"/>
              <w:textAlignment w:val="auto"/>
              <w:rPr>
                <w:rFonts w:ascii="Arial" w:hAnsi="Arial"/>
              </w:rPr>
            </w:pPr>
            <w:r>
              <w:rPr>
                <w:rFonts w:ascii="Arial" w:hAnsi="Arial" w:cs="Arial"/>
                <w:sz w:val="16"/>
                <w:szCs w:val="18"/>
              </w:rPr>
              <w:t>根据家具家电配备齐全程度，以估价对象该因素指数为100，各可比实例与之相比，确定可比实例1、2、3该因素指数分别为</w:t>
            </w:r>
            <w:r>
              <w:rPr>
                <w:rFonts w:hint="eastAsia" w:ascii="Arial" w:hAnsi="Arial" w:cs="Arial"/>
                <w:sz w:val="16"/>
                <w:szCs w:val="18"/>
              </w:rPr>
              <w:t>91、91、91</w:t>
            </w:r>
          </w:p>
        </w:tc>
      </w:tr>
      <w:tr w14:paraId="3BCE945B">
        <w:tblPrEx>
          <w:tblCellMar>
            <w:top w:w="57" w:type="dxa"/>
            <w:left w:w="57" w:type="dxa"/>
            <w:bottom w:w="57" w:type="dxa"/>
            <w:right w:w="57" w:type="dxa"/>
          </w:tblCellMar>
        </w:tblPrEx>
        <w:trPr>
          <w:trHeight w:val="20" w:hRule="atLeast"/>
          <w:jc w:val="center"/>
        </w:trPr>
        <w:tc>
          <w:tcPr>
            <w:tcW w:w="306" w:type="pct"/>
            <w:vMerge w:val="restart"/>
            <w:tcBorders>
              <w:top w:val="single" w:color="auto" w:sz="4" w:space="0"/>
              <w:left w:val="single" w:color="auto" w:sz="4" w:space="0"/>
              <w:bottom w:val="single" w:color="auto" w:sz="4" w:space="0"/>
              <w:right w:val="single" w:color="auto" w:sz="4" w:space="0"/>
            </w:tcBorders>
            <w:vAlign w:val="center"/>
          </w:tcPr>
          <w:p w14:paraId="0F2D8A0F">
            <w:pPr>
              <w:snapToGrid w:val="0"/>
              <w:spacing w:line="240" w:lineRule="exact"/>
              <w:jc w:val="both"/>
              <w:rPr>
                <w:rFonts w:hint="eastAsia" w:ascii="宋体" w:hAnsi="宋体" w:cs="Arial"/>
                <w:sz w:val="16"/>
                <w:szCs w:val="18"/>
              </w:rPr>
            </w:pPr>
            <w:r>
              <w:rPr>
                <w:rFonts w:ascii="宋体" w:hAnsi="宋体" w:cs="Arial"/>
                <w:sz w:val="16"/>
                <w:szCs w:val="18"/>
              </w:rPr>
              <w:t>权益状况</w:t>
            </w:r>
          </w:p>
        </w:tc>
        <w:tc>
          <w:tcPr>
            <w:tcW w:w="535" w:type="pct"/>
            <w:tcBorders>
              <w:top w:val="single" w:color="auto" w:sz="4" w:space="0"/>
              <w:left w:val="nil"/>
              <w:bottom w:val="single" w:color="auto" w:sz="4" w:space="0"/>
              <w:right w:val="single" w:color="auto" w:sz="4" w:space="0"/>
            </w:tcBorders>
            <w:vAlign w:val="center"/>
          </w:tcPr>
          <w:p w14:paraId="61162CAD">
            <w:pPr>
              <w:snapToGrid w:val="0"/>
              <w:spacing w:line="240" w:lineRule="exact"/>
              <w:jc w:val="both"/>
              <w:rPr>
                <w:rFonts w:hint="eastAsia" w:ascii="宋体" w:hAnsi="宋体" w:cs="Arial"/>
                <w:sz w:val="16"/>
                <w:szCs w:val="18"/>
              </w:rPr>
            </w:pPr>
            <w:r>
              <w:rPr>
                <w:rFonts w:ascii="宋体" w:hAnsi="宋体" w:cs="Arial"/>
                <w:sz w:val="16"/>
                <w:szCs w:val="18"/>
              </w:rPr>
              <w:t>服务及管理水平</w:t>
            </w:r>
          </w:p>
        </w:tc>
        <w:tc>
          <w:tcPr>
            <w:tcW w:w="531" w:type="pct"/>
            <w:tcBorders>
              <w:top w:val="nil"/>
              <w:left w:val="nil"/>
              <w:bottom w:val="single" w:color="auto" w:sz="4" w:space="0"/>
              <w:right w:val="single" w:color="auto" w:sz="4" w:space="0"/>
            </w:tcBorders>
            <w:noWrap/>
            <w:vAlign w:val="center"/>
          </w:tcPr>
          <w:p w14:paraId="2ABCD0C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8A2134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CCB1C8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7116F28">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02E239C3">
            <w:pPr>
              <w:widowControl/>
              <w:adjustRightInd/>
              <w:spacing w:line="240" w:lineRule="auto"/>
              <w:textAlignment w:val="auto"/>
              <w:rPr>
                <w:rFonts w:ascii="Arial" w:hAnsi="Arial" w:cs="Arial"/>
                <w:sz w:val="16"/>
                <w:szCs w:val="18"/>
              </w:rPr>
            </w:pPr>
            <w:r>
              <w:rPr>
                <w:rFonts w:ascii="Arial" w:hAnsi="Arial" w:cs="Arial"/>
                <w:sz w:val="16"/>
                <w:szCs w:val="18"/>
              </w:rPr>
              <w:t>根据是否配置服务管家、是否封闭式管理，以估价对象该因素指数为100，各可比实例与之相比，确定可比实例1、2、3该因素指数分别为</w:t>
            </w:r>
            <w:r>
              <w:rPr>
                <w:rFonts w:hint="eastAsia" w:ascii="Arial" w:hAnsi="Arial" w:cs="Arial"/>
                <w:sz w:val="16"/>
                <w:szCs w:val="18"/>
              </w:rPr>
              <w:t>100、100、100</w:t>
            </w:r>
            <w:r>
              <w:rPr>
                <w:rFonts w:ascii="Arial" w:hAnsi="Arial" w:cs="Arial"/>
                <w:sz w:val="16"/>
                <w:szCs w:val="18"/>
              </w:rPr>
              <w:t>。</w:t>
            </w:r>
          </w:p>
        </w:tc>
      </w:tr>
      <w:tr w14:paraId="395D9813">
        <w:tblPrEx>
          <w:tblCellMar>
            <w:top w:w="57" w:type="dxa"/>
            <w:left w:w="57" w:type="dxa"/>
            <w:bottom w:w="57" w:type="dxa"/>
            <w:right w:w="57" w:type="dxa"/>
          </w:tblCellMar>
        </w:tblPrEx>
        <w:trPr>
          <w:trHeight w:val="20" w:hRule="atLeast"/>
          <w:jc w:val="center"/>
        </w:trPr>
        <w:tc>
          <w:tcPr>
            <w:tcW w:w="306" w:type="pct"/>
            <w:vMerge w:val="continue"/>
            <w:tcBorders>
              <w:top w:val="nil"/>
              <w:left w:val="single" w:color="auto" w:sz="4" w:space="0"/>
              <w:bottom w:val="single" w:color="auto" w:sz="4" w:space="0"/>
              <w:right w:val="single" w:color="auto" w:sz="4" w:space="0"/>
            </w:tcBorders>
            <w:vAlign w:val="center"/>
          </w:tcPr>
          <w:p w14:paraId="7F1E2878">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43038A64">
            <w:pPr>
              <w:snapToGrid w:val="0"/>
              <w:spacing w:line="240" w:lineRule="exact"/>
              <w:jc w:val="both"/>
              <w:rPr>
                <w:rFonts w:hint="eastAsia" w:ascii="宋体" w:hAnsi="宋体" w:cs="Arial"/>
                <w:sz w:val="16"/>
                <w:szCs w:val="18"/>
              </w:rPr>
            </w:pPr>
            <w:r>
              <w:rPr>
                <w:rFonts w:ascii="宋体" w:hAnsi="宋体" w:cs="Arial"/>
                <w:sz w:val="16"/>
                <w:szCs w:val="18"/>
              </w:rPr>
              <w:t>水电气费执行标准</w:t>
            </w:r>
          </w:p>
        </w:tc>
        <w:tc>
          <w:tcPr>
            <w:tcW w:w="531" w:type="pct"/>
            <w:tcBorders>
              <w:top w:val="nil"/>
              <w:left w:val="nil"/>
              <w:bottom w:val="single" w:color="auto" w:sz="4" w:space="0"/>
              <w:right w:val="single" w:color="auto" w:sz="4" w:space="0"/>
            </w:tcBorders>
            <w:noWrap/>
            <w:vAlign w:val="center"/>
          </w:tcPr>
          <w:p w14:paraId="79E0EF7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54FEA4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5DC2A7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A5614AA">
            <w:pPr>
              <w:snapToGrid w:val="0"/>
              <w:spacing w:line="240" w:lineRule="exact"/>
              <w:jc w:val="both"/>
              <w:rPr>
                <w:rFonts w:ascii="Arial" w:hAnsi="Arial" w:cs="Arial"/>
                <w:sz w:val="16"/>
                <w:szCs w:val="18"/>
              </w:rPr>
            </w:pPr>
            <w:r>
              <w:rPr>
                <w:rFonts w:ascii="Arial" w:hAnsi="Arial" w:cs="Arial"/>
                <w:sz w:val="16"/>
                <w:szCs w:val="18"/>
              </w:rPr>
              <w:t>100</w:t>
            </w:r>
          </w:p>
        </w:tc>
        <w:tc>
          <w:tcPr>
            <w:tcW w:w="2031" w:type="pct"/>
            <w:tcBorders>
              <w:top w:val="nil"/>
              <w:left w:val="nil"/>
              <w:bottom w:val="single" w:color="auto" w:sz="4" w:space="0"/>
              <w:right w:val="single" w:color="auto" w:sz="4" w:space="0"/>
            </w:tcBorders>
            <w:vAlign w:val="center"/>
          </w:tcPr>
          <w:p w14:paraId="236373C8">
            <w:pPr>
              <w:widowControl/>
              <w:adjustRightInd/>
              <w:spacing w:line="240" w:lineRule="auto"/>
              <w:textAlignment w:val="auto"/>
              <w:rPr>
                <w:rFonts w:ascii="Arial" w:hAnsi="Arial" w:cs="Arial"/>
                <w:sz w:val="16"/>
                <w:szCs w:val="18"/>
              </w:rPr>
            </w:pPr>
            <w:r>
              <w:rPr>
                <w:rFonts w:ascii="Arial" w:hAnsi="Arial" w:cs="Arial"/>
                <w:sz w:val="16"/>
                <w:szCs w:val="18"/>
              </w:rPr>
              <w:t>估价对象与案例均采用民水民电，确定可比实例1、2、3该因素指数分别为100、100、100。</w:t>
            </w:r>
          </w:p>
        </w:tc>
      </w:tr>
    </w:tbl>
    <w:p w14:paraId="569FD144">
      <w:pPr>
        <w:wordWrap w:val="0"/>
        <w:overflowPunct w:val="0"/>
        <w:spacing w:line="480" w:lineRule="auto"/>
        <w:rPr>
          <w:rFonts w:ascii="Arial" w:hAnsi="Arial"/>
          <w:sz w:val="21"/>
          <w:szCs w:val="21"/>
        </w:rPr>
      </w:pPr>
    </w:p>
    <w:p w14:paraId="4C2BF8AA">
      <w:pPr>
        <w:wordWrap w:val="0"/>
        <w:overflowPunct w:val="0"/>
        <w:spacing w:line="480" w:lineRule="auto"/>
        <w:rPr>
          <w:rFonts w:ascii="Arial" w:hAnsi="Arial"/>
          <w:sz w:val="21"/>
          <w:szCs w:val="21"/>
        </w:rPr>
      </w:pPr>
    </w:p>
    <w:p w14:paraId="4DEF7F3A">
      <w:pPr>
        <w:rPr>
          <w:rFonts w:ascii="Arial" w:hAnsi="Arial"/>
          <w:sz w:val="21"/>
          <w:szCs w:val="21"/>
        </w:rPr>
      </w:pPr>
      <w:r>
        <w:rPr>
          <w:rFonts w:hint="eastAsia" w:ascii="Arial" w:hAnsi="Arial"/>
          <w:sz w:val="21"/>
          <w:szCs w:val="21"/>
        </w:rPr>
        <w:br w:type="page"/>
      </w:r>
    </w:p>
    <w:p w14:paraId="77F0BC5E">
      <w:pPr>
        <w:wordWrap w:val="0"/>
        <w:overflowPunct w:val="0"/>
        <w:spacing w:line="480" w:lineRule="auto"/>
        <w:ind w:firstLine="420" w:firstLineChars="200"/>
        <w:rPr>
          <w:rFonts w:ascii="Arial" w:hAnsi="Arial"/>
          <w:sz w:val="21"/>
          <w:szCs w:val="21"/>
        </w:rPr>
      </w:pPr>
      <w:r>
        <w:rPr>
          <w:rFonts w:hint="eastAsia" w:ascii="Arial" w:hAnsi="Arial"/>
          <w:sz w:val="21"/>
          <w:szCs w:val="21"/>
        </w:rPr>
        <w:t>（3）编制因素比较修正系数表</w:t>
      </w:r>
      <w:r>
        <w:rPr>
          <w:rFonts w:ascii="Arial" w:hAnsi="Arial"/>
          <w:sz w:val="21"/>
          <w:szCs w:val="21"/>
        </w:rPr>
        <w:t xml:space="preserve"> </w:t>
      </w:r>
    </w:p>
    <w:p w14:paraId="69775C5B">
      <w:pPr>
        <w:wordWrap w:val="0"/>
        <w:overflowPunct w:val="0"/>
        <w:spacing w:line="480" w:lineRule="auto"/>
        <w:ind w:firstLine="420" w:firstLineChars="200"/>
        <w:rPr>
          <w:rFonts w:ascii="Arial" w:hAnsi="Arial"/>
          <w:sz w:val="21"/>
          <w:szCs w:val="21"/>
        </w:rPr>
      </w:pPr>
      <w:r>
        <w:rPr>
          <w:rFonts w:hint="eastAsia" w:ascii="Arial" w:hAnsi="Arial"/>
          <w:sz w:val="21"/>
          <w:szCs w:val="21"/>
        </w:rPr>
        <w:t>根据比较因素条件指数表，编制因素各项目比较修正系数表，详见下表：</w:t>
      </w:r>
    </w:p>
    <w:p w14:paraId="231EF2CA">
      <w:pPr>
        <w:overflowPunct w:val="0"/>
        <w:spacing w:line="480" w:lineRule="auto"/>
        <w:ind w:firstLine="420" w:firstLineChars="200"/>
        <w:jc w:val="center"/>
        <w:rPr>
          <w:rFonts w:ascii="Arial" w:hAnsi="Arial"/>
          <w:sz w:val="21"/>
          <w:szCs w:val="21"/>
        </w:rPr>
      </w:pPr>
      <w:r>
        <w:rPr>
          <w:rFonts w:hint="eastAsia" w:ascii="Arial" w:hAnsi="Arial"/>
          <w:sz w:val="21"/>
          <w:szCs w:val="21"/>
        </w:rPr>
        <w:t>因素比较修正系数表</w:t>
      </w:r>
    </w:p>
    <w:tbl>
      <w:tblPr>
        <w:tblStyle w:val="33"/>
        <w:tblW w:w="5000" w:type="pct"/>
        <w:tblInd w:w="0" w:type="dxa"/>
        <w:tblLayout w:type="autofit"/>
        <w:tblCellMar>
          <w:top w:w="0" w:type="dxa"/>
          <w:left w:w="108" w:type="dxa"/>
          <w:bottom w:w="0" w:type="dxa"/>
          <w:right w:w="108" w:type="dxa"/>
        </w:tblCellMar>
      </w:tblPr>
      <w:tblGrid>
        <w:gridCol w:w="1506"/>
        <w:gridCol w:w="2887"/>
        <w:gridCol w:w="1707"/>
        <w:gridCol w:w="1707"/>
        <w:gridCol w:w="1708"/>
      </w:tblGrid>
      <w:tr w14:paraId="0957637B">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75550027">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897" w:type="pct"/>
            <w:tcBorders>
              <w:top w:val="single" w:color="auto" w:sz="4" w:space="0"/>
              <w:left w:val="nil"/>
              <w:bottom w:val="single" w:color="auto" w:sz="4" w:space="0"/>
              <w:right w:val="single" w:color="auto" w:sz="4" w:space="0"/>
            </w:tcBorders>
            <w:vAlign w:val="center"/>
          </w:tcPr>
          <w:p w14:paraId="58F3D107">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4</w:t>
            </w:r>
          </w:p>
        </w:tc>
        <w:tc>
          <w:tcPr>
            <w:tcW w:w="897" w:type="pct"/>
            <w:tcBorders>
              <w:top w:val="single" w:color="auto" w:sz="4" w:space="0"/>
              <w:left w:val="nil"/>
              <w:bottom w:val="single" w:color="auto" w:sz="4" w:space="0"/>
              <w:right w:val="single" w:color="auto" w:sz="4" w:space="0"/>
            </w:tcBorders>
            <w:vAlign w:val="center"/>
          </w:tcPr>
          <w:p w14:paraId="1CA6D2EF">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5</w:t>
            </w:r>
          </w:p>
        </w:tc>
        <w:tc>
          <w:tcPr>
            <w:tcW w:w="897" w:type="pct"/>
            <w:tcBorders>
              <w:top w:val="single" w:color="auto" w:sz="4" w:space="0"/>
              <w:left w:val="nil"/>
              <w:bottom w:val="single" w:color="auto" w:sz="4" w:space="0"/>
              <w:right w:val="single" w:color="auto" w:sz="4" w:space="0"/>
            </w:tcBorders>
            <w:vAlign w:val="center"/>
          </w:tcPr>
          <w:p w14:paraId="46F6E90D">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6</w:t>
            </w:r>
          </w:p>
        </w:tc>
      </w:tr>
      <w:tr w14:paraId="3DC31ECC">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78900B4B">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1707" w:type="dxa"/>
            <w:tcBorders>
              <w:top w:val="nil"/>
              <w:left w:val="nil"/>
              <w:bottom w:val="single" w:color="auto" w:sz="4" w:space="0"/>
              <w:right w:val="single" w:color="auto" w:sz="4" w:space="0"/>
            </w:tcBorders>
            <w:vAlign w:val="center"/>
          </w:tcPr>
          <w:p w14:paraId="490E437E">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1707" w:type="dxa"/>
            <w:tcBorders>
              <w:top w:val="nil"/>
              <w:left w:val="nil"/>
              <w:bottom w:val="single" w:color="auto" w:sz="4" w:space="0"/>
              <w:right w:val="single" w:color="auto" w:sz="4" w:space="0"/>
            </w:tcBorders>
            <w:vAlign w:val="center"/>
          </w:tcPr>
          <w:p w14:paraId="43400D5E">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锦华园</w:t>
            </w:r>
          </w:p>
        </w:tc>
        <w:tc>
          <w:tcPr>
            <w:tcW w:w="1708" w:type="dxa"/>
            <w:tcBorders>
              <w:top w:val="nil"/>
              <w:left w:val="nil"/>
              <w:bottom w:val="single" w:color="auto" w:sz="4" w:space="0"/>
              <w:right w:val="single" w:color="auto" w:sz="4" w:space="0"/>
            </w:tcBorders>
            <w:vAlign w:val="center"/>
          </w:tcPr>
          <w:p w14:paraId="0B4DABC3">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r>
      <w:tr w14:paraId="12DEAAE2">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0181527A">
            <w:pPr>
              <w:widowControl/>
              <w:adjustRightInd/>
              <w:spacing w:line="240" w:lineRule="auto"/>
              <w:textAlignment w:val="auto"/>
              <w:rPr>
                <w:rFonts w:ascii="Arial" w:hAnsi="Arial" w:cs="Arial"/>
                <w:sz w:val="16"/>
                <w:szCs w:val="18"/>
              </w:rPr>
            </w:pPr>
            <w:r>
              <w:rPr>
                <w:rFonts w:ascii="Arial" w:hAnsi="Arial" w:cs="Arial"/>
                <w:sz w:val="16"/>
                <w:szCs w:val="18"/>
              </w:rPr>
              <w:t>平均租金（元/平方米·月）</w:t>
            </w:r>
          </w:p>
        </w:tc>
        <w:tc>
          <w:tcPr>
            <w:tcW w:w="1707" w:type="dxa"/>
            <w:tcBorders>
              <w:top w:val="nil"/>
              <w:left w:val="nil"/>
              <w:bottom w:val="single" w:color="auto" w:sz="4" w:space="0"/>
              <w:right w:val="single" w:color="auto" w:sz="4" w:space="0"/>
            </w:tcBorders>
            <w:vAlign w:val="center"/>
          </w:tcPr>
          <w:p w14:paraId="5945C80B">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40.52</w:t>
            </w:r>
          </w:p>
        </w:tc>
        <w:tc>
          <w:tcPr>
            <w:tcW w:w="1707" w:type="dxa"/>
            <w:tcBorders>
              <w:top w:val="nil"/>
              <w:left w:val="nil"/>
              <w:bottom w:val="single" w:color="auto" w:sz="4" w:space="0"/>
              <w:right w:val="single" w:color="auto" w:sz="4" w:space="0"/>
            </w:tcBorders>
            <w:vAlign w:val="center"/>
          </w:tcPr>
          <w:p w14:paraId="651830E7">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40.12</w:t>
            </w:r>
          </w:p>
        </w:tc>
        <w:tc>
          <w:tcPr>
            <w:tcW w:w="1708" w:type="dxa"/>
            <w:tcBorders>
              <w:top w:val="nil"/>
              <w:left w:val="nil"/>
              <w:bottom w:val="single" w:color="auto" w:sz="4" w:space="0"/>
              <w:right w:val="single" w:color="auto" w:sz="4" w:space="0"/>
            </w:tcBorders>
            <w:vAlign w:val="center"/>
          </w:tcPr>
          <w:p w14:paraId="6C18EA3A">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41.28</w:t>
            </w:r>
          </w:p>
        </w:tc>
      </w:tr>
      <w:tr w14:paraId="5E195EF4">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034E64AA">
            <w:pPr>
              <w:widowControl/>
              <w:adjustRightInd/>
              <w:spacing w:line="240" w:lineRule="auto"/>
              <w:textAlignment w:val="auto"/>
              <w:rPr>
                <w:rFonts w:ascii="Arial" w:hAnsi="Arial" w:cs="Arial"/>
                <w:sz w:val="16"/>
                <w:szCs w:val="18"/>
              </w:rPr>
            </w:pPr>
            <w:r>
              <w:rPr>
                <w:rFonts w:ascii="Arial" w:hAnsi="Arial" w:cs="Arial"/>
                <w:sz w:val="16"/>
                <w:szCs w:val="18"/>
              </w:rPr>
              <w:t>交易时间</w:t>
            </w:r>
          </w:p>
        </w:tc>
        <w:tc>
          <w:tcPr>
            <w:tcW w:w="897" w:type="pct"/>
            <w:tcBorders>
              <w:top w:val="nil"/>
              <w:left w:val="nil"/>
              <w:bottom w:val="single" w:color="auto" w:sz="4" w:space="0"/>
              <w:right w:val="single" w:color="auto" w:sz="4" w:space="0"/>
            </w:tcBorders>
            <w:vAlign w:val="center"/>
          </w:tcPr>
          <w:p w14:paraId="717888F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82ABF2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AF402B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0FD8FC2">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0E5C9820">
            <w:pPr>
              <w:widowControl/>
              <w:adjustRightInd/>
              <w:spacing w:line="240" w:lineRule="auto"/>
              <w:textAlignment w:val="auto"/>
              <w:rPr>
                <w:rFonts w:ascii="Arial" w:hAnsi="Arial" w:cs="Arial"/>
                <w:sz w:val="16"/>
                <w:szCs w:val="18"/>
              </w:rPr>
            </w:pPr>
            <w:r>
              <w:rPr>
                <w:rFonts w:ascii="Arial" w:hAnsi="Arial" w:cs="Arial"/>
                <w:sz w:val="16"/>
                <w:szCs w:val="18"/>
              </w:rPr>
              <w:t>交易情况</w:t>
            </w:r>
          </w:p>
        </w:tc>
        <w:tc>
          <w:tcPr>
            <w:tcW w:w="897" w:type="pct"/>
            <w:tcBorders>
              <w:top w:val="nil"/>
              <w:left w:val="nil"/>
              <w:bottom w:val="single" w:color="auto" w:sz="4" w:space="0"/>
              <w:right w:val="single" w:color="auto" w:sz="4" w:space="0"/>
            </w:tcBorders>
            <w:vAlign w:val="center"/>
          </w:tcPr>
          <w:p w14:paraId="1144C32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5FFFD4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8A51AB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536614D">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6A80B355">
            <w:pPr>
              <w:widowControl/>
              <w:adjustRightInd/>
              <w:spacing w:line="240" w:lineRule="auto"/>
              <w:textAlignment w:val="auto"/>
              <w:rPr>
                <w:rFonts w:ascii="Arial" w:hAnsi="Arial" w:cs="Arial"/>
                <w:sz w:val="16"/>
                <w:szCs w:val="18"/>
              </w:rPr>
            </w:pPr>
            <w:r>
              <w:rPr>
                <w:rFonts w:ascii="Arial" w:hAnsi="Arial" w:cs="Arial"/>
                <w:sz w:val="16"/>
                <w:szCs w:val="18"/>
              </w:rPr>
              <w:t>项目类型</w:t>
            </w:r>
          </w:p>
        </w:tc>
        <w:tc>
          <w:tcPr>
            <w:tcW w:w="1707" w:type="dxa"/>
            <w:tcBorders>
              <w:top w:val="nil"/>
              <w:left w:val="nil"/>
              <w:bottom w:val="single" w:color="auto" w:sz="4" w:space="0"/>
              <w:right w:val="single" w:color="auto" w:sz="4" w:space="0"/>
            </w:tcBorders>
            <w:vAlign w:val="center"/>
          </w:tcPr>
          <w:p w14:paraId="666CA40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70DCE2A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64EFF92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A34BFCF">
        <w:tblPrEx>
          <w:tblCellMar>
            <w:top w:w="0" w:type="dxa"/>
            <w:left w:w="108" w:type="dxa"/>
            <w:bottom w:w="0" w:type="dxa"/>
            <w:right w:w="108" w:type="dxa"/>
          </w:tblCellMar>
        </w:tblPrEx>
        <w:trPr>
          <w:trHeight w:val="227" w:hRule="atLeast"/>
        </w:trPr>
        <w:tc>
          <w:tcPr>
            <w:tcW w:w="791" w:type="pct"/>
            <w:vMerge w:val="restart"/>
            <w:tcBorders>
              <w:top w:val="nil"/>
              <w:left w:val="single" w:color="auto" w:sz="4" w:space="0"/>
              <w:bottom w:val="single" w:color="auto" w:sz="4" w:space="0"/>
              <w:right w:val="single" w:color="auto" w:sz="4" w:space="0"/>
            </w:tcBorders>
            <w:vAlign w:val="center"/>
          </w:tcPr>
          <w:p w14:paraId="723FA4C8">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1517" w:type="pct"/>
            <w:tcBorders>
              <w:top w:val="nil"/>
              <w:left w:val="nil"/>
              <w:bottom w:val="single" w:color="auto" w:sz="4" w:space="0"/>
              <w:right w:val="single" w:color="auto" w:sz="4" w:space="0"/>
            </w:tcBorders>
            <w:vAlign w:val="center"/>
          </w:tcPr>
          <w:p w14:paraId="0EA17662">
            <w:pPr>
              <w:widowControl/>
              <w:adjustRightInd/>
              <w:spacing w:line="240" w:lineRule="auto"/>
              <w:textAlignment w:val="auto"/>
              <w:rPr>
                <w:rFonts w:ascii="Arial" w:hAnsi="Arial" w:cs="Arial"/>
                <w:sz w:val="16"/>
                <w:szCs w:val="18"/>
              </w:rPr>
            </w:pPr>
            <w:r>
              <w:rPr>
                <w:rFonts w:ascii="Arial" w:hAnsi="Arial" w:cs="Arial"/>
                <w:sz w:val="16"/>
                <w:szCs w:val="18"/>
              </w:rPr>
              <w:t>居住区成熟度</w:t>
            </w:r>
          </w:p>
        </w:tc>
        <w:tc>
          <w:tcPr>
            <w:tcW w:w="1707" w:type="dxa"/>
            <w:tcBorders>
              <w:top w:val="nil"/>
              <w:left w:val="nil"/>
              <w:bottom w:val="single" w:color="auto" w:sz="4" w:space="0"/>
              <w:right w:val="single" w:color="auto" w:sz="4" w:space="0"/>
            </w:tcBorders>
            <w:vAlign w:val="center"/>
          </w:tcPr>
          <w:p w14:paraId="63474C7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414D5A4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4F8D48F5">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568B3B12">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54AF5C1D">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66D9E5F">
            <w:pPr>
              <w:widowControl/>
              <w:adjustRightInd/>
              <w:spacing w:line="240" w:lineRule="auto"/>
              <w:textAlignment w:val="auto"/>
              <w:rPr>
                <w:rFonts w:ascii="Arial" w:hAnsi="Arial" w:cs="Arial"/>
                <w:sz w:val="16"/>
                <w:szCs w:val="18"/>
              </w:rPr>
            </w:pPr>
            <w:r>
              <w:rPr>
                <w:rFonts w:ascii="Arial" w:hAnsi="Arial" w:cs="Arial"/>
                <w:sz w:val="16"/>
                <w:szCs w:val="18"/>
              </w:rPr>
              <w:t>道路通达度</w:t>
            </w:r>
          </w:p>
        </w:tc>
        <w:tc>
          <w:tcPr>
            <w:tcW w:w="1707" w:type="dxa"/>
            <w:tcBorders>
              <w:top w:val="nil"/>
              <w:left w:val="nil"/>
              <w:bottom w:val="single" w:color="auto" w:sz="4" w:space="0"/>
              <w:right w:val="single" w:color="auto" w:sz="4" w:space="0"/>
            </w:tcBorders>
            <w:vAlign w:val="center"/>
          </w:tcPr>
          <w:p w14:paraId="16619A8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3972C64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32C537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8D0A67F">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66613E2">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51596A1">
            <w:pPr>
              <w:widowControl/>
              <w:adjustRightInd/>
              <w:spacing w:line="240" w:lineRule="auto"/>
              <w:textAlignment w:val="auto"/>
              <w:rPr>
                <w:rFonts w:ascii="Arial" w:hAnsi="Arial" w:cs="Arial"/>
                <w:sz w:val="16"/>
                <w:szCs w:val="18"/>
              </w:rPr>
            </w:pPr>
            <w:r>
              <w:rPr>
                <w:rFonts w:ascii="Arial" w:hAnsi="Arial" w:cs="Arial"/>
                <w:sz w:val="16"/>
                <w:szCs w:val="18"/>
              </w:rPr>
              <w:t>距离轨道交通站点距离</w:t>
            </w:r>
          </w:p>
        </w:tc>
        <w:tc>
          <w:tcPr>
            <w:tcW w:w="1707" w:type="dxa"/>
            <w:tcBorders>
              <w:top w:val="nil"/>
              <w:left w:val="nil"/>
              <w:bottom w:val="single" w:color="auto" w:sz="4" w:space="0"/>
              <w:right w:val="single" w:color="auto" w:sz="4" w:space="0"/>
            </w:tcBorders>
            <w:vAlign w:val="center"/>
          </w:tcPr>
          <w:p w14:paraId="2840439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446D5B3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3251D7C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D7DF0C4">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47901381">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D490CA2">
            <w:pPr>
              <w:widowControl/>
              <w:adjustRightInd/>
              <w:spacing w:line="240" w:lineRule="auto"/>
              <w:textAlignment w:val="auto"/>
              <w:rPr>
                <w:rFonts w:ascii="Arial" w:hAnsi="Arial" w:cs="Arial"/>
                <w:sz w:val="16"/>
                <w:szCs w:val="18"/>
              </w:rPr>
            </w:pPr>
            <w:r>
              <w:rPr>
                <w:rFonts w:ascii="Arial" w:hAnsi="Arial" w:cs="Arial"/>
                <w:sz w:val="16"/>
                <w:szCs w:val="18"/>
              </w:rPr>
              <w:t>距离公交站点距离</w:t>
            </w:r>
          </w:p>
        </w:tc>
        <w:tc>
          <w:tcPr>
            <w:tcW w:w="1707" w:type="dxa"/>
            <w:tcBorders>
              <w:top w:val="nil"/>
              <w:left w:val="nil"/>
              <w:bottom w:val="single" w:color="auto" w:sz="4" w:space="0"/>
              <w:right w:val="single" w:color="auto" w:sz="4" w:space="0"/>
            </w:tcBorders>
            <w:vAlign w:val="center"/>
          </w:tcPr>
          <w:p w14:paraId="76769BB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3F406E8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25DC3F87">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0A3E8EB9">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38A570F">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D3ABBB4">
            <w:pPr>
              <w:widowControl/>
              <w:adjustRightInd/>
              <w:spacing w:line="240" w:lineRule="auto"/>
              <w:textAlignment w:val="auto"/>
              <w:rPr>
                <w:rFonts w:ascii="Arial" w:hAnsi="Arial" w:cs="Arial"/>
                <w:sz w:val="16"/>
                <w:szCs w:val="18"/>
              </w:rPr>
            </w:pPr>
            <w:r>
              <w:rPr>
                <w:rFonts w:hint="eastAsia" w:ascii="Arial" w:hAnsi="Arial" w:cs="Arial"/>
                <w:sz w:val="16"/>
                <w:szCs w:val="18"/>
              </w:rPr>
              <w:t>环境质量优劣度</w:t>
            </w:r>
          </w:p>
        </w:tc>
        <w:tc>
          <w:tcPr>
            <w:tcW w:w="1707" w:type="dxa"/>
            <w:tcBorders>
              <w:top w:val="nil"/>
              <w:left w:val="nil"/>
              <w:bottom w:val="single" w:color="auto" w:sz="4" w:space="0"/>
              <w:right w:val="single" w:color="auto" w:sz="4" w:space="0"/>
            </w:tcBorders>
            <w:vAlign w:val="center"/>
          </w:tcPr>
          <w:p w14:paraId="313FDFC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7A77B02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5CAD951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8B9A6F3">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1CF5F520">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2C97CA8">
            <w:pPr>
              <w:widowControl/>
              <w:adjustRightInd/>
              <w:spacing w:line="240" w:lineRule="auto"/>
              <w:textAlignment w:val="auto"/>
              <w:rPr>
                <w:rFonts w:ascii="Arial" w:hAnsi="Arial" w:cs="Arial"/>
                <w:sz w:val="16"/>
                <w:szCs w:val="18"/>
              </w:rPr>
            </w:pPr>
            <w:r>
              <w:rPr>
                <w:rFonts w:ascii="Arial" w:hAnsi="Arial" w:cs="Arial"/>
                <w:sz w:val="16"/>
                <w:szCs w:val="18"/>
              </w:rPr>
              <w:t>自然环境</w:t>
            </w:r>
          </w:p>
        </w:tc>
        <w:tc>
          <w:tcPr>
            <w:tcW w:w="1707" w:type="dxa"/>
            <w:tcBorders>
              <w:top w:val="nil"/>
              <w:left w:val="nil"/>
              <w:bottom w:val="single" w:color="auto" w:sz="4" w:space="0"/>
              <w:right w:val="single" w:color="auto" w:sz="4" w:space="0"/>
            </w:tcBorders>
            <w:vAlign w:val="center"/>
          </w:tcPr>
          <w:p w14:paraId="26BFFD1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2E5C4C5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25E8A2C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CA458FF">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5469F61">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15D23AD">
            <w:pPr>
              <w:widowControl/>
              <w:adjustRightInd/>
              <w:spacing w:line="240" w:lineRule="auto"/>
              <w:textAlignment w:val="auto"/>
              <w:rPr>
                <w:rFonts w:ascii="Arial" w:hAnsi="Arial" w:cs="Arial"/>
                <w:sz w:val="16"/>
                <w:szCs w:val="18"/>
              </w:rPr>
            </w:pPr>
            <w:r>
              <w:rPr>
                <w:rFonts w:hint="eastAsia" w:ascii="Arial" w:hAnsi="Arial" w:cs="Arial"/>
                <w:sz w:val="16"/>
                <w:szCs w:val="18"/>
              </w:rPr>
              <w:t>小区环境</w:t>
            </w:r>
          </w:p>
        </w:tc>
        <w:tc>
          <w:tcPr>
            <w:tcW w:w="1707" w:type="dxa"/>
            <w:tcBorders>
              <w:top w:val="nil"/>
              <w:left w:val="nil"/>
              <w:bottom w:val="single" w:color="auto" w:sz="4" w:space="0"/>
              <w:right w:val="single" w:color="auto" w:sz="4" w:space="0"/>
            </w:tcBorders>
            <w:vAlign w:val="center"/>
          </w:tcPr>
          <w:p w14:paraId="1D2EA31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2132FA3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3BB6533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92B9070">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27F728EC">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FE9A9FE">
            <w:pPr>
              <w:widowControl/>
              <w:adjustRightInd/>
              <w:spacing w:line="240" w:lineRule="auto"/>
              <w:textAlignment w:val="auto"/>
              <w:rPr>
                <w:rFonts w:ascii="Arial" w:hAnsi="Arial" w:cs="Arial"/>
                <w:sz w:val="16"/>
                <w:szCs w:val="18"/>
              </w:rPr>
            </w:pPr>
            <w:r>
              <w:rPr>
                <w:rFonts w:hint="eastAsia" w:ascii="Arial" w:hAnsi="Arial" w:cs="Arial"/>
                <w:sz w:val="16"/>
                <w:szCs w:val="18"/>
              </w:rPr>
              <w:t>公共服务设施状况</w:t>
            </w:r>
          </w:p>
        </w:tc>
        <w:tc>
          <w:tcPr>
            <w:tcW w:w="1707" w:type="dxa"/>
            <w:tcBorders>
              <w:top w:val="nil"/>
              <w:left w:val="nil"/>
              <w:bottom w:val="single" w:color="auto" w:sz="4" w:space="0"/>
              <w:right w:val="single" w:color="auto" w:sz="4" w:space="0"/>
            </w:tcBorders>
            <w:vAlign w:val="center"/>
          </w:tcPr>
          <w:p w14:paraId="522B615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65415DC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17B79714">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4C23D3F8">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1750FF0B">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19550145">
            <w:pPr>
              <w:widowControl/>
              <w:adjustRightInd/>
              <w:spacing w:line="240" w:lineRule="auto"/>
              <w:textAlignment w:val="auto"/>
              <w:rPr>
                <w:rFonts w:ascii="Arial" w:hAnsi="Arial" w:cs="Arial"/>
                <w:sz w:val="16"/>
                <w:szCs w:val="18"/>
              </w:rPr>
            </w:pPr>
            <w:r>
              <w:rPr>
                <w:rFonts w:hint="eastAsia" w:ascii="Arial" w:hAnsi="Arial" w:cs="Arial"/>
                <w:sz w:val="16"/>
                <w:szCs w:val="18"/>
              </w:rPr>
              <w:t>建筑类型</w:t>
            </w:r>
          </w:p>
        </w:tc>
        <w:tc>
          <w:tcPr>
            <w:tcW w:w="1707" w:type="dxa"/>
            <w:tcBorders>
              <w:top w:val="nil"/>
              <w:left w:val="nil"/>
              <w:bottom w:val="single" w:color="auto" w:sz="4" w:space="0"/>
              <w:right w:val="single" w:color="auto" w:sz="4" w:space="0"/>
            </w:tcBorders>
            <w:vAlign w:val="center"/>
          </w:tcPr>
          <w:p w14:paraId="6D1E7759">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104</w:t>
            </w:r>
          </w:p>
        </w:tc>
        <w:tc>
          <w:tcPr>
            <w:tcW w:w="1707" w:type="dxa"/>
            <w:tcBorders>
              <w:top w:val="nil"/>
              <w:left w:val="nil"/>
              <w:bottom w:val="single" w:color="auto" w:sz="4" w:space="0"/>
              <w:right w:val="single" w:color="auto" w:sz="4" w:space="0"/>
            </w:tcBorders>
            <w:vAlign w:val="center"/>
          </w:tcPr>
          <w:p w14:paraId="44D595E1">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4</w:t>
            </w:r>
          </w:p>
        </w:tc>
        <w:tc>
          <w:tcPr>
            <w:tcW w:w="1708" w:type="dxa"/>
            <w:tcBorders>
              <w:top w:val="nil"/>
              <w:left w:val="nil"/>
              <w:bottom w:val="single" w:color="auto" w:sz="4" w:space="0"/>
              <w:right w:val="single" w:color="auto" w:sz="4" w:space="0"/>
            </w:tcBorders>
            <w:vAlign w:val="center"/>
          </w:tcPr>
          <w:p w14:paraId="50E3BF04">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2</w:t>
            </w:r>
          </w:p>
        </w:tc>
      </w:tr>
      <w:tr w14:paraId="6AE3A0C8">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1587B0EE">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119B5A27">
            <w:pPr>
              <w:widowControl/>
              <w:adjustRightInd/>
              <w:spacing w:line="240" w:lineRule="auto"/>
              <w:textAlignment w:val="auto"/>
              <w:rPr>
                <w:rFonts w:ascii="Arial" w:hAnsi="Arial" w:cs="Arial"/>
                <w:sz w:val="16"/>
                <w:szCs w:val="18"/>
              </w:rPr>
            </w:pPr>
            <w:r>
              <w:rPr>
                <w:rFonts w:ascii="Arial" w:hAnsi="Arial" w:cs="Arial"/>
                <w:sz w:val="16"/>
                <w:szCs w:val="18"/>
              </w:rPr>
              <w:t>楼层</w:t>
            </w:r>
          </w:p>
        </w:tc>
        <w:tc>
          <w:tcPr>
            <w:tcW w:w="1707" w:type="dxa"/>
            <w:tcBorders>
              <w:top w:val="nil"/>
              <w:left w:val="nil"/>
              <w:bottom w:val="single" w:color="auto" w:sz="4" w:space="0"/>
              <w:right w:val="single" w:color="auto" w:sz="4" w:space="0"/>
            </w:tcBorders>
            <w:vAlign w:val="center"/>
          </w:tcPr>
          <w:p w14:paraId="0FDE4CC8">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7" w:type="dxa"/>
            <w:tcBorders>
              <w:top w:val="nil"/>
              <w:left w:val="nil"/>
              <w:bottom w:val="single" w:color="auto" w:sz="4" w:space="0"/>
              <w:right w:val="single" w:color="auto" w:sz="4" w:space="0"/>
            </w:tcBorders>
            <w:vAlign w:val="center"/>
          </w:tcPr>
          <w:p w14:paraId="5E345A7D">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8" w:type="dxa"/>
            <w:tcBorders>
              <w:top w:val="nil"/>
              <w:left w:val="nil"/>
              <w:bottom w:val="single" w:color="auto" w:sz="4" w:space="0"/>
              <w:right w:val="single" w:color="auto" w:sz="4" w:space="0"/>
            </w:tcBorders>
            <w:vAlign w:val="center"/>
          </w:tcPr>
          <w:p w14:paraId="1980525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3267584">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99BF5F1">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F36FDF0">
            <w:pPr>
              <w:widowControl/>
              <w:adjustRightInd/>
              <w:spacing w:line="240" w:lineRule="auto"/>
              <w:textAlignment w:val="auto"/>
              <w:rPr>
                <w:rFonts w:ascii="Arial" w:hAnsi="Arial" w:cs="Arial"/>
                <w:sz w:val="16"/>
                <w:szCs w:val="18"/>
              </w:rPr>
            </w:pPr>
            <w:r>
              <w:rPr>
                <w:rFonts w:ascii="Arial" w:hAnsi="Arial" w:cs="Arial"/>
                <w:sz w:val="16"/>
                <w:szCs w:val="18"/>
              </w:rPr>
              <w:t>朝向</w:t>
            </w:r>
          </w:p>
        </w:tc>
        <w:tc>
          <w:tcPr>
            <w:tcW w:w="1707" w:type="dxa"/>
            <w:tcBorders>
              <w:top w:val="nil"/>
              <w:left w:val="nil"/>
              <w:bottom w:val="single" w:color="auto" w:sz="4" w:space="0"/>
              <w:right w:val="single" w:color="auto" w:sz="4" w:space="0"/>
            </w:tcBorders>
            <w:vAlign w:val="center"/>
          </w:tcPr>
          <w:p w14:paraId="6BB89C6D">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99</w:t>
            </w:r>
          </w:p>
        </w:tc>
        <w:tc>
          <w:tcPr>
            <w:tcW w:w="1707" w:type="dxa"/>
            <w:tcBorders>
              <w:top w:val="nil"/>
              <w:left w:val="nil"/>
              <w:bottom w:val="single" w:color="auto" w:sz="4" w:space="0"/>
              <w:right w:val="single" w:color="auto" w:sz="4" w:space="0"/>
            </w:tcBorders>
            <w:vAlign w:val="center"/>
          </w:tcPr>
          <w:p w14:paraId="2456034D">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1708" w:type="dxa"/>
            <w:tcBorders>
              <w:top w:val="nil"/>
              <w:left w:val="nil"/>
              <w:bottom w:val="single" w:color="auto" w:sz="4" w:space="0"/>
              <w:right w:val="single" w:color="auto" w:sz="4" w:space="0"/>
            </w:tcBorders>
            <w:vAlign w:val="center"/>
          </w:tcPr>
          <w:p w14:paraId="12C964A3">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99</w:t>
            </w:r>
          </w:p>
        </w:tc>
      </w:tr>
      <w:tr w14:paraId="7F3D7F3A">
        <w:tblPrEx>
          <w:tblCellMar>
            <w:top w:w="0" w:type="dxa"/>
            <w:left w:w="108" w:type="dxa"/>
            <w:bottom w:w="0" w:type="dxa"/>
            <w:right w:w="108" w:type="dxa"/>
          </w:tblCellMar>
        </w:tblPrEx>
        <w:trPr>
          <w:trHeight w:val="227" w:hRule="atLeast"/>
        </w:trPr>
        <w:tc>
          <w:tcPr>
            <w:tcW w:w="791" w:type="pct"/>
            <w:vMerge w:val="restart"/>
            <w:tcBorders>
              <w:top w:val="single" w:color="auto" w:sz="4" w:space="0"/>
              <w:left w:val="single" w:color="auto" w:sz="4" w:space="0"/>
              <w:bottom w:val="single" w:color="auto" w:sz="4" w:space="0"/>
              <w:right w:val="single" w:color="auto" w:sz="4" w:space="0"/>
            </w:tcBorders>
            <w:vAlign w:val="center"/>
          </w:tcPr>
          <w:p w14:paraId="05771A8E">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1517" w:type="pct"/>
            <w:tcBorders>
              <w:top w:val="nil"/>
              <w:left w:val="nil"/>
              <w:bottom w:val="single" w:color="auto" w:sz="4" w:space="0"/>
              <w:right w:val="single" w:color="auto" w:sz="4" w:space="0"/>
            </w:tcBorders>
            <w:vAlign w:val="center"/>
          </w:tcPr>
          <w:p w14:paraId="454265A5">
            <w:pPr>
              <w:widowControl/>
              <w:adjustRightInd/>
              <w:spacing w:line="240" w:lineRule="auto"/>
              <w:textAlignment w:val="auto"/>
              <w:rPr>
                <w:rFonts w:ascii="Arial" w:hAnsi="Arial" w:cs="Arial"/>
                <w:sz w:val="16"/>
                <w:szCs w:val="18"/>
              </w:rPr>
            </w:pPr>
            <w:r>
              <w:rPr>
                <w:rFonts w:ascii="Arial" w:hAnsi="Arial" w:cs="Arial"/>
                <w:sz w:val="16"/>
                <w:szCs w:val="18"/>
              </w:rPr>
              <w:t>成新度</w:t>
            </w:r>
          </w:p>
        </w:tc>
        <w:tc>
          <w:tcPr>
            <w:tcW w:w="1707" w:type="dxa"/>
            <w:tcBorders>
              <w:top w:val="nil"/>
              <w:left w:val="nil"/>
              <w:bottom w:val="single" w:color="auto" w:sz="4" w:space="0"/>
              <w:right w:val="single" w:color="auto" w:sz="4" w:space="0"/>
            </w:tcBorders>
            <w:vAlign w:val="center"/>
          </w:tcPr>
          <w:p w14:paraId="1F423D4A">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94</w:t>
            </w:r>
          </w:p>
        </w:tc>
        <w:tc>
          <w:tcPr>
            <w:tcW w:w="1707" w:type="dxa"/>
            <w:tcBorders>
              <w:top w:val="nil"/>
              <w:left w:val="nil"/>
              <w:bottom w:val="single" w:color="auto" w:sz="4" w:space="0"/>
              <w:right w:val="single" w:color="auto" w:sz="4" w:space="0"/>
            </w:tcBorders>
            <w:vAlign w:val="center"/>
          </w:tcPr>
          <w:p w14:paraId="4B360B43">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94</w:t>
            </w:r>
          </w:p>
        </w:tc>
        <w:tc>
          <w:tcPr>
            <w:tcW w:w="1708" w:type="dxa"/>
            <w:tcBorders>
              <w:top w:val="nil"/>
              <w:left w:val="nil"/>
              <w:bottom w:val="single" w:color="auto" w:sz="4" w:space="0"/>
              <w:right w:val="single" w:color="auto" w:sz="4" w:space="0"/>
            </w:tcBorders>
            <w:vAlign w:val="center"/>
          </w:tcPr>
          <w:p w14:paraId="735AD8D6">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96</w:t>
            </w:r>
          </w:p>
        </w:tc>
      </w:tr>
      <w:tr w14:paraId="64F9F25C">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7546CD14">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38365F98">
            <w:pPr>
              <w:widowControl/>
              <w:adjustRightInd/>
              <w:spacing w:line="240" w:lineRule="auto"/>
              <w:textAlignment w:val="auto"/>
              <w:rPr>
                <w:rFonts w:ascii="Arial" w:hAnsi="Arial" w:cs="Arial"/>
                <w:sz w:val="16"/>
                <w:szCs w:val="18"/>
              </w:rPr>
            </w:pPr>
            <w:r>
              <w:rPr>
                <w:rFonts w:ascii="Arial" w:hAnsi="Arial" w:cs="Arial"/>
                <w:sz w:val="16"/>
                <w:szCs w:val="18"/>
              </w:rPr>
              <w:t>公共区域装修</w:t>
            </w:r>
          </w:p>
        </w:tc>
        <w:tc>
          <w:tcPr>
            <w:tcW w:w="1707" w:type="dxa"/>
            <w:tcBorders>
              <w:top w:val="nil"/>
              <w:left w:val="nil"/>
              <w:bottom w:val="single" w:color="auto" w:sz="4" w:space="0"/>
              <w:right w:val="single" w:color="auto" w:sz="4" w:space="0"/>
            </w:tcBorders>
            <w:vAlign w:val="center"/>
          </w:tcPr>
          <w:p w14:paraId="18FE104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65C3474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F91BC8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BD8FA7E">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63D3AE87">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ADB5B97">
            <w:pPr>
              <w:widowControl/>
              <w:adjustRightInd/>
              <w:spacing w:line="240" w:lineRule="auto"/>
              <w:textAlignment w:val="auto"/>
              <w:rPr>
                <w:rFonts w:ascii="Arial" w:hAnsi="Arial" w:cs="Arial"/>
                <w:sz w:val="16"/>
                <w:szCs w:val="18"/>
              </w:rPr>
            </w:pPr>
            <w:r>
              <w:rPr>
                <w:rFonts w:ascii="Arial" w:hAnsi="Arial" w:cs="Arial"/>
                <w:sz w:val="16"/>
                <w:szCs w:val="18"/>
              </w:rPr>
              <w:t>室内装饰装修</w:t>
            </w:r>
          </w:p>
        </w:tc>
        <w:tc>
          <w:tcPr>
            <w:tcW w:w="1707" w:type="dxa"/>
            <w:tcBorders>
              <w:top w:val="nil"/>
              <w:left w:val="nil"/>
              <w:bottom w:val="single" w:color="auto" w:sz="4" w:space="0"/>
              <w:right w:val="single" w:color="auto" w:sz="4" w:space="0"/>
            </w:tcBorders>
            <w:vAlign w:val="center"/>
          </w:tcPr>
          <w:p w14:paraId="5C5594E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5A3F6FF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4EB61F3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2940FE6">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E0E885F">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E925AC2">
            <w:pPr>
              <w:widowControl/>
              <w:adjustRightInd/>
              <w:spacing w:line="240" w:lineRule="auto"/>
              <w:textAlignment w:val="auto"/>
              <w:rPr>
                <w:rFonts w:ascii="Arial" w:hAnsi="Arial" w:cs="Arial"/>
                <w:sz w:val="16"/>
                <w:szCs w:val="18"/>
              </w:rPr>
            </w:pPr>
            <w:r>
              <w:rPr>
                <w:rFonts w:ascii="Arial" w:hAnsi="Arial" w:cs="Arial"/>
                <w:sz w:val="16"/>
                <w:szCs w:val="18"/>
              </w:rPr>
              <w:t>设施设备</w:t>
            </w:r>
          </w:p>
        </w:tc>
        <w:tc>
          <w:tcPr>
            <w:tcW w:w="1707" w:type="dxa"/>
            <w:tcBorders>
              <w:top w:val="nil"/>
              <w:left w:val="nil"/>
              <w:bottom w:val="single" w:color="auto" w:sz="4" w:space="0"/>
              <w:right w:val="single" w:color="auto" w:sz="4" w:space="0"/>
            </w:tcBorders>
            <w:vAlign w:val="center"/>
          </w:tcPr>
          <w:p w14:paraId="2FB0B1C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28A1B97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5F55330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218CFB9">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6532E1C3">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C0BF5AA">
            <w:pPr>
              <w:widowControl/>
              <w:adjustRightInd/>
              <w:spacing w:line="240" w:lineRule="auto"/>
              <w:textAlignment w:val="auto"/>
              <w:rPr>
                <w:rFonts w:ascii="Arial" w:hAnsi="Arial" w:cs="Arial"/>
                <w:sz w:val="16"/>
                <w:szCs w:val="18"/>
              </w:rPr>
            </w:pPr>
            <w:r>
              <w:rPr>
                <w:rFonts w:ascii="Arial" w:hAnsi="Arial" w:cs="Arial"/>
                <w:sz w:val="16"/>
                <w:szCs w:val="18"/>
              </w:rPr>
              <w:t>综合管理服务设施</w:t>
            </w:r>
          </w:p>
        </w:tc>
        <w:tc>
          <w:tcPr>
            <w:tcW w:w="1707" w:type="dxa"/>
            <w:tcBorders>
              <w:top w:val="nil"/>
              <w:left w:val="nil"/>
              <w:bottom w:val="single" w:color="auto" w:sz="4" w:space="0"/>
              <w:right w:val="single" w:color="auto" w:sz="4" w:space="0"/>
            </w:tcBorders>
            <w:vAlign w:val="center"/>
          </w:tcPr>
          <w:p w14:paraId="21DC765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21B3C92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937F0A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FFBDA94">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4CE5D2DC">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7D715EB">
            <w:pPr>
              <w:widowControl/>
              <w:adjustRightInd/>
              <w:spacing w:line="240" w:lineRule="auto"/>
              <w:textAlignment w:val="auto"/>
              <w:rPr>
                <w:rFonts w:ascii="Arial" w:hAnsi="Arial" w:cs="Arial"/>
                <w:sz w:val="16"/>
                <w:szCs w:val="18"/>
              </w:rPr>
            </w:pPr>
            <w:r>
              <w:rPr>
                <w:rFonts w:ascii="Arial" w:hAnsi="Arial" w:cs="Arial"/>
                <w:sz w:val="16"/>
                <w:szCs w:val="18"/>
              </w:rPr>
              <w:t>户型布局</w:t>
            </w:r>
          </w:p>
        </w:tc>
        <w:tc>
          <w:tcPr>
            <w:tcW w:w="1707" w:type="dxa"/>
            <w:tcBorders>
              <w:top w:val="nil"/>
              <w:left w:val="nil"/>
              <w:bottom w:val="single" w:color="auto" w:sz="4" w:space="0"/>
              <w:right w:val="single" w:color="auto" w:sz="4" w:space="0"/>
            </w:tcBorders>
            <w:vAlign w:val="center"/>
          </w:tcPr>
          <w:p w14:paraId="0170A39A">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1707" w:type="dxa"/>
            <w:tcBorders>
              <w:top w:val="nil"/>
              <w:left w:val="nil"/>
              <w:bottom w:val="single" w:color="auto" w:sz="4" w:space="0"/>
              <w:right w:val="single" w:color="auto" w:sz="4" w:space="0"/>
            </w:tcBorders>
            <w:vAlign w:val="center"/>
          </w:tcPr>
          <w:p w14:paraId="59410C82">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1708" w:type="dxa"/>
            <w:tcBorders>
              <w:top w:val="nil"/>
              <w:left w:val="nil"/>
              <w:bottom w:val="single" w:color="auto" w:sz="4" w:space="0"/>
              <w:right w:val="single" w:color="auto" w:sz="4" w:space="0"/>
            </w:tcBorders>
            <w:vAlign w:val="center"/>
          </w:tcPr>
          <w:p w14:paraId="2F89AE98">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r>
      <w:tr w14:paraId="61C17FF8">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BFD460C">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E74EB84">
            <w:pPr>
              <w:widowControl/>
              <w:adjustRightInd/>
              <w:spacing w:line="240" w:lineRule="auto"/>
              <w:textAlignment w:val="auto"/>
              <w:rPr>
                <w:rFonts w:ascii="Arial" w:hAnsi="Arial" w:cs="Arial"/>
                <w:sz w:val="16"/>
                <w:szCs w:val="18"/>
              </w:rPr>
            </w:pPr>
            <w:r>
              <w:rPr>
                <w:rFonts w:ascii="Arial" w:hAnsi="Arial" w:cs="Arial"/>
                <w:sz w:val="16"/>
                <w:szCs w:val="18"/>
              </w:rPr>
              <w:t>户型结构</w:t>
            </w:r>
          </w:p>
        </w:tc>
        <w:tc>
          <w:tcPr>
            <w:tcW w:w="1707" w:type="dxa"/>
            <w:tcBorders>
              <w:top w:val="nil"/>
              <w:left w:val="nil"/>
              <w:bottom w:val="single" w:color="auto" w:sz="4" w:space="0"/>
              <w:right w:val="single" w:color="auto" w:sz="4" w:space="0"/>
            </w:tcBorders>
            <w:vAlign w:val="center"/>
          </w:tcPr>
          <w:p w14:paraId="367BE06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495D754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21695A7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A33326C">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57573205">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726DD5B">
            <w:pPr>
              <w:widowControl/>
              <w:adjustRightInd/>
              <w:spacing w:line="240" w:lineRule="auto"/>
              <w:textAlignment w:val="auto"/>
              <w:rPr>
                <w:rFonts w:ascii="Arial" w:hAnsi="Arial" w:cs="Arial"/>
                <w:sz w:val="16"/>
                <w:szCs w:val="18"/>
              </w:rPr>
            </w:pPr>
            <w:r>
              <w:rPr>
                <w:rFonts w:ascii="Arial" w:hAnsi="Arial" w:cs="Arial"/>
                <w:sz w:val="16"/>
                <w:szCs w:val="18"/>
              </w:rPr>
              <w:t>建筑面积</w:t>
            </w:r>
          </w:p>
        </w:tc>
        <w:tc>
          <w:tcPr>
            <w:tcW w:w="1707" w:type="dxa"/>
            <w:tcBorders>
              <w:top w:val="nil"/>
              <w:left w:val="nil"/>
              <w:bottom w:val="single" w:color="auto" w:sz="4" w:space="0"/>
              <w:right w:val="single" w:color="auto" w:sz="4" w:space="0"/>
            </w:tcBorders>
            <w:vAlign w:val="center"/>
          </w:tcPr>
          <w:p w14:paraId="3906C958">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2</w:t>
            </w:r>
          </w:p>
        </w:tc>
        <w:tc>
          <w:tcPr>
            <w:tcW w:w="1707" w:type="dxa"/>
            <w:tcBorders>
              <w:top w:val="nil"/>
              <w:left w:val="nil"/>
              <w:bottom w:val="single" w:color="auto" w:sz="4" w:space="0"/>
              <w:right w:val="single" w:color="auto" w:sz="4" w:space="0"/>
            </w:tcBorders>
            <w:vAlign w:val="center"/>
          </w:tcPr>
          <w:p w14:paraId="54671447">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2</w:t>
            </w:r>
          </w:p>
        </w:tc>
        <w:tc>
          <w:tcPr>
            <w:tcW w:w="1708" w:type="dxa"/>
            <w:tcBorders>
              <w:top w:val="nil"/>
              <w:left w:val="nil"/>
              <w:bottom w:val="single" w:color="auto" w:sz="4" w:space="0"/>
              <w:right w:val="single" w:color="auto" w:sz="4" w:space="0"/>
            </w:tcBorders>
            <w:vAlign w:val="center"/>
          </w:tcPr>
          <w:p w14:paraId="1181C36F">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2</w:t>
            </w:r>
          </w:p>
        </w:tc>
      </w:tr>
      <w:tr w14:paraId="20D40398">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59221C72">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CAA18A2">
            <w:pPr>
              <w:widowControl/>
              <w:adjustRightInd/>
              <w:spacing w:line="240" w:lineRule="auto"/>
              <w:textAlignment w:val="auto"/>
              <w:rPr>
                <w:rFonts w:ascii="Arial" w:hAnsi="Arial" w:cs="Arial"/>
                <w:sz w:val="16"/>
                <w:szCs w:val="18"/>
              </w:rPr>
            </w:pPr>
            <w:r>
              <w:rPr>
                <w:rFonts w:ascii="Arial" w:hAnsi="Arial" w:cs="Arial"/>
                <w:sz w:val="16"/>
                <w:szCs w:val="18"/>
              </w:rPr>
              <w:t>家具家电</w:t>
            </w:r>
          </w:p>
        </w:tc>
        <w:tc>
          <w:tcPr>
            <w:tcW w:w="1707" w:type="dxa"/>
            <w:tcBorders>
              <w:top w:val="nil"/>
              <w:left w:val="nil"/>
              <w:bottom w:val="single" w:color="auto" w:sz="4" w:space="0"/>
              <w:right w:val="single" w:color="auto" w:sz="4" w:space="0"/>
            </w:tcBorders>
            <w:vAlign w:val="center"/>
          </w:tcPr>
          <w:p w14:paraId="747FC2CF">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c>
          <w:tcPr>
            <w:tcW w:w="1707" w:type="dxa"/>
            <w:tcBorders>
              <w:top w:val="nil"/>
              <w:left w:val="nil"/>
              <w:bottom w:val="single" w:color="auto" w:sz="4" w:space="0"/>
              <w:right w:val="single" w:color="auto" w:sz="4" w:space="0"/>
            </w:tcBorders>
            <w:vAlign w:val="center"/>
          </w:tcPr>
          <w:p w14:paraId="646175BC">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c>
          <w:tcPr>
            <w:tcW w:w="1708" w:type="dxa"/>
            <w:tcBorders>
              <w:top w:val="nil"/>
              <w:left w:val="nil"/>
              <w:bottom w:val="single" w:color="auto" w:sz="4" w:space="0"/>
              <w:right w:val="single" w:color="auto" w:sz="4" w:space="0"/>
            </w:tcBorders>
            <w:vAlign w:val="center"/>
          </w:tcPr>
          <w:p w14:paraId="09EE94ED">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r>
      <w:tr w14:paraId="4E0EA366">
        <w:tblPrEx>
          <w:tblCellMar>
            <w:top w:w="0" w:type="dxa"/>
            <w:left w:w="108" w:type="dxa"/>
            <w:bottom w:w="0" w:type="dxa"/>
            <w:right w:w="108" w:type="dxa"/>
          </w:tblCellMar>
        </w:tblPrEx>
        <w:trPr>
          <w:trHeight w:val="227" w:hRule="atLeast"/>
        </w:trPr>
        <w:tc>
          <w:tcPr>
            <w:tcW w:w="791" w:type="pct"/>
            <w:vMerge w:val="restart"/>
            <w:tcBorders>
              <w:left w:val="single" w:color="auto" w:sz="4" w:space="0"/>
              <w:bottom w:val="single" w:color="auto" w:sz="4" w:space="0"/>
              <w:right w:val="single" w:color="auto" w:sz="4" w:space="0"/>
            </w:tcBorders>
            <w:vAlign w:val="center"/>
          </w:tcPr>
          <w:p w14:paraId="009A9A3E">
            <w:pPr>
              <w:widowControl/>
              <w:adjustRightInd/>
              <w:spacing w:line="240" w:lineRule="auto"/>
              <w:textAlignment w:val="auto"/>
              <w:rPr>
                <w:rFonts w:ascii="Arial" w:hAnsi="Arial" w:cs="Arial"/>
                <w:sz w:val="16"/>
                <w:szCs w:val="18"/>
              </w:rPr>
            </w:pPr>
            <w:r>
              <w:rPr>
                <w:rFonts w:ascii="Arial" w:hAnsi="Arial" w:cs="Arial"/>
                <w:sz w:val="16"/>
                <w:szCs w:val="18"/>
              </w:rPr>
              <w:t>权益状况</w:t>
            </w:r>
          </w:p>
        </w:tc>
        <w:tc>
          <w:tcPr>
            <w:tcW w:w="1517" w:type="pct"/>
            <w:tcBorders>
              <w:top w:val="nil"/>
              <w:left w:val="nil"/>
              <w:bottom w:val="single" w:color="auto" w:sz="4" w:space="0"/>
              <w:right w:val="single" w:color="auto" w:sz="4" w:space="0"/>
            </w:tcBorders>
            <w:vAlign w:val="center"/>
          </w:tcPr>
          <w:p w14:paraId="461BDC98">
            <w:pPr>
              <w:widowControl/>
              <w:adjustRightInd/>
              <w:spacing w:line="240" w:lineRule="auto"/>
              <w:textAlignment w:val="auto"/>
              <w:rPr>
                <w:rFonts w:ascii="Arial" w:hAnsi="Arial" w:cs="Arial"/>
                <w:sz w:val="16"/>
                <w:szCs w:val="18"/>
              </w:rPr>
            </w:pPr>
            <w:r>
              <w:rPr>
                <w:rFonts w:ascii="Arial" w:hAnsi="Arial" w:cs="Arial"/>
                <w:sz w:val="16"/>
                <w:szCs w:val="18"/>
              </w:rPr>
              <w:t>服务及管理水平</w:t>
            </w:r>
          </w:p>
        </w:tc>
        <w:tc>
          <w:tcPr>
            <w:tcW w:w="1707" w:type="dxa"/>
            <w:tcBorders>
              <w:top w:val="nil"/>
              <w:left w:val="nil"/>
              <w:bottom w:val="single" w:color="auto" w:sz="4" w:space="0"/>
              <w:right w:val="single" w:color="auto" w:sz="4" w:space="0"/>
            </w:tcBorders>
            <w:vAlign w:val="center"/>
          </w:tcPr>
          <w:p w14:paraId="35EA832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0B6E6A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3BB934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0580294">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229F6EC2">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968D5E0">
            <w:pPr>
              <w:widowControl/>
              <w:adjustRightInd/>
              <w:spacing w:line="240" w:lineRule="auto"/>
              <w:textAlignment w:val="auto"/>
              <w:rPr>
                <w:rFonts w:ascii="Arial" w:hAnsi="Arial" w:cs="Arial"/>
                <w:sz w:val="16"/>
                <w:szCs w:val="18"/>
              </w:rPr>
            </w:pPr>
            <w:r>
              <w:rPr>
                <w:rFonts w:ascii="Arial" w:hAnsi="Arial" w:cs="Arial"/>
                <w:sz w:val="16"/>
                <w:szCs w:val="18"/>
              </w:rPr>
              <w:t>水电气费执行标准</w:t>
            </w:r>
          </w:p>
        </w:tc>
        <w:tc>
          <w:tcPr>
            <w:tcW w:w="897" w:type="pct"/>
            <w:tcBorders>
              <w:top w:val="nil"/>
              <w:left w:val="nil"/>
              <w:bottom w:val="single" w:color="auto" w:sz="4" w:space="0"/>
              <w:right w:val="single" w:color="auto" w:sz="4" w:space="0"/>
            </w:tcBorders>
            <w:vAlign w:val="center"/>
          </w:tcPr>
          <w:p w14:paraId="25E1E49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60A619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74FED8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B6F170D">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1B679387">
            <w:pPr>
              <w:widowControl/>
              <w:adjustRightInd/>
              <w:spacing w:line="240" w:lineRule="auto"/>
              <w:textAlignment w:val="auto"/>
              <w:rPr>
                <w:rFonts w:ascii="Arial" w:hAnsi="Arial" w:cs="Arial"/>
                <w:sz w:val="16"/>
                <w:szCs w:val="18"/>
              </w:rPr>
            </w:pPr>
            <w:r>
              <w:rPr>
                <w:rFonts w:ascii="Arial" w:hAnsi="Arial" w:cs="Arial"/>
                <w:sz w:val="16"/>
                <w:szCs w:val="18"/>
              </w:rPr>
              <w:t>修正系数</w:t>
            </w:r>
          </w:p>
        </w:tc>
        <w:tc>
          <w:tcPr>
            <w:tcW w:w="897" w:type="pct"/>
            <w:tcBorders>
              <w:top w:val="single" w:color="auto" w:sz="4" w:space="0"/>
              <w:left w:val="nil"/>
              <w:bottom w:val="single" w:color="auto" w:sz="4" w:space="0"/>
              <w:right w:val="single" w:color="auto" w:sz="4" w:space="0"/>
            </w:tcBorders>
            <w:vAlign w:val="center"/>
          </w:tcPr>
          <w:p w14:paraId="6F935883">
            <w:pPr>
              <w:spacing w:line="240" w:lineRule="auto"/>
              <w:jc w:val="center"/>
              <w:rPr>
                <w:rFonts w:ascii="Arial" w:hAnsi="Arial" w:cs="Arial"/>
                <w:sz w:val="16"/>
                <w:szCs w:val="18"/>
              </w:rPr>
            </w:pPr>
            <w:r>
              <w:rPr>
                <w:rFonts w:hint="eastAsia" w:ascii="Arial" w:hAnsi="Arial" w:cs="Arial"/>
                <w:sz w:val="16"/>
                <w:szCs w:val="18"/>
              </w:rPr>
              <w:t>1.1591</w:t>
            </w:r>
          </w:p>
        </w:tc>
        <w:tc>
          <w:tcPr>
            <w:tcW w:w="897" w:type="pct"/>
            <w:tcBorders>
              <w:top w:val="single" w:color="auto" w:sz="4" w:space="0"/>
              <w:left w:val="nil"/>
              <w:bottom w:val="single" w:color="auto" w:sz="4" w:space="0"/>
              <w:right w:val="single" w:color="auto" w:sz="4" w:space="0"/>
            </w:tcBorders>
            <w:vAlign w:val="center"/>
          </w:tcPr>
          <w:p w14:paraId="02B79BD2">
            <w:pPr>
              <w:spacing w:line="240" w:lineRule="auto"/>
              <w:jc w:val="center"/>
              <w:rPr>
                <w:rFonts w:ascii="Arial" w:hAnsi="Arial" w:cs="Arial"/>
                <w:sz w:val="16"/>
                <w:szCs w:val="18"/>
              </w:rPr>
            </w:pPr>
            <w:r>
              <w:rPr>
                <w:rFonts w:hint="eastAsia" w:ascii="Arial" w:hAnsi="Arial" w:cs="Arial"/>
                <w:sz w:val="16"/>
                <w:szCs w:val="18"/>
              </w:rPr>
              <w:t>1.1475</w:t>
            </w:r>
          </w:p>
        </w:tc>
        <w:tc>
          <w:tcPr>
            <w:tcW w:w="897" w:type="pct"/>
            <w:tcBorders>
              <w:top w:val="single" w:color="auto" w:sz="4" w:space="0"/>
              <w:left w:val="nil"/>
              <w:bottom w:val="single" w:color="auto" w:sz="4" w:space="0"/>
              <w:right w:val="single" w:color="auto" w:sz="4" w:space="0"/>
            </w:tcBorders>
            <w:vAlign w:val="center"/>
          </w:tcPr>
          <w:p w14:paraId="58E16F13">
            <w:pPr>
              <w:spacing w:line="240" w:lineRule="auto"/>
              <w:jc w:val="center"/>
              <w:rPr>
                <w:rFonts w:ascii="Arial" w:hAnsi="Arial" w:cs="Arial"/>
                <w:sz w:val="16"/>
                <w:szCs w:val="18"/>
              </w:rPr>
            </w:pPr>
            <w:r>
              <w:rPr>
                <w:rFonts w:hint="eastAsia" w:ascii="Arial" w:hAnsi="Arial" w:cs="Arial"/>
                <w:sz w:val="16"/>
                <w:szCs w:val="18"/>
              </w:rPr>
              <w:t>1.1808</w:t>
            </w:r>
          </w:p>
        </w:tc>
      </w:tr>
      <w:tr w14:paraId="77A87392">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4FD434D3">
            <w:pPr>
              <w:widowControl/>
              <w:adjustRightInd/>
              <w:spacing w:line="240" w:lineRule="auto"/>
              <w:textAlignment w:val="auto"/>
              <w:rPr>
                <w:rFonts w:ascii="Arial" w:hAnsi="Arial" w:cs="Arial"/>
                <w:sz w:val="16"/>
                <w:szCs w:val="18"/>
              </w:rPr>
            </w:pPr>
            <w:r>
              <w:rPr>
                <w:rFonts w:ascii="Arial" w:hAnsi="Arial" w:cs="Arial"/>
                <w:sz w:val="16"/>
                <w:szCs w:val="18"/>
              </w:rPr>
              <w:t>比准价格（元/平方米·月）</w:t>
            </w:r>
          </w:p>
        </w:tc>
        <w:tc>
          <w:tcPr>
            <w:tcW w:w="897" w:type="pct"/>
            <w:tcBorders>
              <w:top w:val="single" w:color="auto" w:sz="4" w:space="0"/>
              <w:left w:val="nil"/>
              <w:bottom w:val="single" w:color="auto" w:sz="4" w:space="0"/>
              <w:right w:val="single" w:color="auto" w:sz="4" w:space="0"/>
            </w:tcBorders>
            <w:vAlign w:val="center"/>
          </w:tcPr>
          <w:p w14:paraId="1AFB5A19">
            <w:pPr>
              <w:spacing w:line="240" w:lineRule="auto"/>
              <w:jc w:val="center"/>
              <w:rPr>
                <w:rFonts w:ascii="Arial" w:hAnsi="Arial" w:cs="Arial"/>
                <w:sz w:val="16"/>
                <w:szCs w:val="18"/>
              </w:rPr>
            </w:pPr>
            <w:r>
              <w:rPr>
                <w:rFonts w:hint="eastAsia" w:ascii="Arial" w:hAnsi="Arial" w:cs="Arial"/>
                <w:sz w:val="16"/>
                <w:szCs w:val="18"/>
              </w:rPr>
              <w:t>46.97</w:t>
            </w:r>
          </w:p>
        </w:tc>
        <w:tc>
          <w:tcPr>
            <w:tcW w:w="897" w:type="pct"/>
            <w:tcBorders>
              <w:top w:val="single" w:color="auto" w:sz="4" w:space="0"/>
              <w:left w:val="nil"/>
              <w:bottom w:val="single" w:color="auto" w:sz="4" w:space="0"/>
              <w:right w:val="single" w:color="auto" w:sz="4" w:space="0"/>
            </w:tcBorders>
            <w:vAlign w:val="center"/>
          </w:tcPr>
          <w:p w14:paraId="37BC2396">
            <w:pPr>
              <w:spacing w:line="240" w:lineRule="auto"/>
              <w:jc w:val="center"/>
              <w:rPr>
                <w:rFonts w:ascii="Arial" w:hAnsi="Arial" w:cs="Arial"/>
                <w:sz w:val="16"/>
                <w:szCs w:val="18"/>
              </w:rPr>
            </w:pPr>
            <w:r>
              <w:rPr>
                <w:rFonts w:hint="eastAsia" w:ascii="Arial" w:hAnsi="Arial" w:cs="Arial"/>
                <w:sz w:val="16"/>
                <w:szCs w:val="18"/>
              </w:rPr>
              <w:t>46.04</w:t>
            </w:r>
          </w:p>
        </w:tc>
        <w:tc>
          <w:tcPr>
            <w:tcW w:w="897" w:type="pct"/>
            <w:tcBorders>
              <w:top w:val="single" w:color="auto" w:sz="4" w:space="0"/>
              <w:left w:val="nil"/>
              <w:bottom w:val="single" w:color="auto" w:sz="4" w:space="0"/>
              <w:right w:val="single" w:color="auto" w:sz="4" w:space="0"/>
            </w:tcBorders>
            <w:vAlign w:val="center"/>
          </w:tcPr>
          <w:p w14:paraId="47ADF54D">
            <w:pPr>
              <w:spacing w:line="240" w:lineRule="auto"/>
              <w:jc w:val="center"/>
              <w:rPr>
                <w:rFonts w:ascii="Arial" w:hAnsi="Arial" w:cs="Arial"/>
                <w:sz w:val="16"/>
                <w:szCs w:val="18"/>
              </w:rPr>
            </w:pPr>
            <w:r>
              <w:rPr>
                <w:rFonts w:hint="eastAsia" w:ascii="Arial" w:hAnsi="Arial" w:cs="Arial"/>
                <w:sz w:val="16"/>
                <w:szCs w:val="18"/>
              </w:rPr>
              <w:t>48.74</w:t>
            </w:r>
          </w:p>
        </w:tc>
      </w:tr>
    </w:tbl>
    <w:p w14:paraId="146697C3">
      <w:pPr>
        <w:wordWrap w:val="0"/>
        <w:overflowPunct w:val="0"/>
        <w:spacing w:before="240" w:beforeLines="100" w:line="480" w:lineRule="auto"/>
        <w:ind w:firstLine="420" w:firstLineChars="200"/>
        <w:rPr>
          <w:rFonts w:ascii="Arial" w:hAnsi="Arial"/>
          <w:sz w:val="21"/>
          <w:szCs w:val="21"/>
        </w:rPr>
      </w:pPr>
      <w:r>
        <w:rPr>
          <w:rFonts w:hint="eastAsia" w:ascii="Arial" w:hAnsi="Arial"/>
          <w:sz w:val="21"/>
          <w:szCs w:val="21"/>
        </w:rPr>
        <w:t>注：</w:t>
      </w:r>
      <w:r>
        <w:rPr>
          <w:rFonts w:ascii="Arial" w:hAnsi="Arial"/>
          <w:sz w:val="21"/>
          <w:szCs w:val="21"/>
        </w:rPr>
        <w:t>比准价格＝比较</w:t>
      </w:r>
      <w:r>
        <w:rPr>
          <w:rFonts w:hint="eastAsia" w:ascii="Arial" w:hAnsi="Arial"/>
          <w:sz w:val="21"/>
          <w:szCs w:val="21"/>
        </w:rPr>
        <w:t>实例</w:t>
      </w:r>
      <w:r>
        <w:rPr>
          <w:rFonts w:ascii="Arial" w:hAnsi="Arial"/>
          <w:sz w:val="21"/>
          <w:szCs w:val="21"/>
        </w:rPr>
        <w:t>平均租金×（待估房地产</w:t>
      </w:r>
      <w:r>
        <w:rPr>
          <w:rFonts w:hint="eastAsia" w:ascii="Arial" w:hAnsi="Arial"/>
          <w:sz w:val="21"/>
          <w:szCs w:val="21"/>
        </w:rPr>
        <w:t>交易时间</w:t>
      </w:r>
      <w:r>
        <w:rPr>
          <w:rFonts w:ascii="Arial" w:hAnsi="Arial"/>
          <w:sz w:val="21"/>
          <w:szCs w:val="21"/>
        </w:rPr>
        <w:t>房地产价租赁格指数/可比实例交易</w:t>
      </w:r>
      <w:r>
        <w:rPr>
          <w:rFonts w:hint="eastAsia" w:ascii="Arial" w:hAnsi="Arial"/>
          <w:sz w:val="21"/>
          <w:szCs w:val="21"/>
        </w:rPr>
        <w:t>时间</w:t>
      </w:r>
      <w:r>
        <w:rPr>
          <w:rFonts w:ascii="Arial" w:hAnsi="Arial"/>
          <w:sz w:val="21"/>
          <w:szCs w:val="21"/>
        </w:rPr>
        <w:t>房地产租赁价格指数）×（待估房地产交易情况指数/可比实例</w:t>
      </w:r>
      <w:r>
        <w:rPr>
          <w:rFonts w:hint="eastAsia" w:ascii="Arial" w:hAnsi="Arial"/>
          <w:sz w:val="21"/>
          <w:szCs w:val="21"/>
        </w:rPr>
        <w:t>交易情况</w:t>
      </w:r>
      <w:r>
        <w:rPr>
          <w:rFonts w:ascii="Arial" w:hAnsi="Arial"/>
          <w:sz w:val="21"/>
          <w:szCs w:val="21"/>
        </w:rPr>
        <w:t>指数）×（待估房地产</w:t>
      </w:r>
      <w:r>
        <w:rPr>
          <w:rFonts w:hint="eastAsia" w:ascii="Arial" w:hAnsi="Arial"/>
          <w:sz w:val="21"/>
          <w:szCs w:val="21"/>
        </w:rPr>
        <w:t>项目类型</w:t>
      </w:r>
      <w:r>
        <w:rPr>
          <w:rFonts w:ascii="Arial" w:hAnsi="Arial"/>
          <w:sz w:val="21"/>
          <w:szCs w:val="21"/>
        </w:rPr>
        <w:t>指数/可比实例</w:t>
      </w:r>
      <w:r>
        <w:rPr>
          <w:rFonts w:hint="eastAsia" w:ascii="Arial" w:hAnsi="Arial"/>
          <w:sz w:val="21"/>
          <w:szCs w:val="21"/>
        </w:rPr>
        <w:t>项目类型</w:t>
      </w:r>
      <w:r>
        <w:rPr>
          <w:rFonts w:ascii="Arial" w:hAnsi="Arial"/>
          <w:sz w:val="21"/>
          <w:szCs w:val="21"/>
        </w:rPr>
        <w:t>指数）×（待估房地产区域状况条件指数/可比实例房地产区域状况条件指数）×（待估房地产实物状况条件指数/可比实例房地产实物状况条件指数）×（待估房地产</w:t>
      </w:r>
      <w:r>
        <w:rPr>
          <w:rFonts w:hint="eastAsia" w:ascii="Arial" w:hAnsi="Arial"/>
          <w:sz w:val="21"/>
          <w:szCs w:val="21"/>
        </w:rPr>
        <w:t>权益</w:t>
      </w:r>
      <w:r>
        <w:rPr>
          <w:rFonts w:ascii="Arial" w:hAnsi="Arial"/>
          <w:sz w:val="21"/>
          <w:szCs w:val="21"/>
        </w:rPr>
        <w:t>状况条件指数/可比实例房地产</w:t>
      </w:r>
      <w:r>
        <w:rPr>
          <w:rFonts w:hint="eastAsia" w:ascii="Arial" w:hAnsi="Arial"/>
          <w:sz w:val="21"/>
          <w:szCs w:val="21"/>
        </w:rPr>
        <w:t>权益</w:t>
      </w:r>
      <w:r>
        <w:rPr>
          <w:rFonts w:ascii="Arial" w:hAnsi="Arial"/>
          <w:sz w:val="21"/>
          <w:szCs w:val="21"/>
        </w:rPr>
        <w:t>状况条件指数）</w:t>
      </w:r>
    </w:p>
    <w:p w14:paraId="3ED8C0B9">
      <w:pPr>
        <w:wordWrap w:val="0"/>
        <w:overflowPunct w:val="0"/>
        <w:spacing w:line="480" w:lineRule="auto"/>
        <w:ind w:firstLine="420" w:firstLineChars="200"/>
        <w:rPr>
          <w:rFonts w:ascii="Arial" w:hAnsi="Arial"/>
          <w:sz w:val="21"/>
          <w:szCs w:val="21"/>
        </w:rPr>
      </w:pPr>
      <w:r>
        <w:rPr>
          <w:rFonts w:hint="eastAsia" w:ascii="Arial" w:hAnsi="Arial"/>
          <w:sz w:val="21"/>
          <w:szCs w:val="21"/>
        </w:rPr>
        <w:t>（4）影响因素选择实例修正后的价值计算</w:t>
      </w:r>
      <w:r>
        <w:rPr>
          <w:rFonts w:ascii="Arial" w:hAnsi="Arial"/>
          <w:sz w:val="21"/>
          <w:szCs w:val="21"/>
        </w:rPr>
        <w:t xml:space="preserve"> </w:t>
      </w:r>
    </w:p>
    <w:p w14:paraId="1C664B7B">
      <w:pPr>
        <w:overflowPunct w:val="0"/>
        <w:spacing w:line="480" w:lineRule="auto"/>
        <w:ind w:firstLine="420" w:firstLineChars="200"/>
        <w:jc w:val="both"/>
        <w:rPr>
          <w:rFonts w:ascii="Arial" w:hAnsi="Arial"/>
          <w:sz w:val="21"/>
          <w:szCs w:val="21"/>
        </w:rPr>
      </w:pPr>
      <w:r>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hint="eastAsia" w:ascii="Arial" w:hAnsi="Arial"/>
          <w:sz w:val="21"/>
          <w:szCs w:val="21"/>
        </w:rPr>
        <w:t>3</w:t>
      </w:r>
      <w:r>
        <w:rPr>
          <w:rFonts w:ascii="Arial" w:hAnsi="Arial"/>
          <w:sz w:val="21"/>
          <w:szCs w:val="21"/>
        </w:rPr>
        <w:t>个可比案例的比准价格的简单算术平均值作为项目</w:t>
      </w:r>
      <w:r>
        <w:rPr>
          <w:rFonts w:hint="eastAsia" w:ascii="Arial" w:hAnsi="Arial"/>
          <w:sz w:val="21"/>
          <w:szCs w:val="21"/>
        </w:rPr>
        <w:t>典型户型</w:t>
      </w:r>
      <w:r>
        <w:rPr>
          <w:rFonts w:ascii="Arial" w:hAnsi="Arial"/>
          <w:sz w:val="21"/>
          <w:szCs w:val="21"/>
        </w:rPr>
        <w:t>的评估价格</w:t>
      </w:r>
      <w:r>
        <w:rPr>
          <w:rFonts w:hint="eastAsia" w:ascii="Arial" w:hAnsi="Arial"/>
          <w:sz w:val="21"/>
          <w:szCs w:val="21"/>
        </w:rPr>
        <w:t>。</w:t>
      </w:r>
    </w:p>
    <w:p w14:paraId="1B6A7218">
      <w:pPr>
        <w:wordWrap w:val="0"/>
        <w:overflowPunct w:val="0"/>
        <w:spacing w:line="480" w:lineRule="auto"/>
        <w:ind w:firstLine="420" w:firstLineChars="200"/>
        <w:rPr>
          <w:rFonts w:ascii="Arial" w:hAnsi="Arial"/>
          <w:sz w:val="21"/>
          <w:szCs w:val="21"/>
        </w:rPr>
      </w:pPr>
      <w:r>
        <w:rPr>
          <w:rFonts w:hint="eastAsia" w:ascii="Arial" w:hAnsi="Arial"/>
          <w:sz w:val="21"/>
          <w:szCs w:val="21"/>
        </w:rPr>
        <w:t>即：标准房2</w:t>
      </w:r>
      <w:r>
        <w:rPr>
          <w:rFonts w:hint="eastAsia" w:ascii="Arial" w:hAnsi="Arial"/>
          <w:bCs/>
          <w:sz w:val="21"/>
        </w:rPr>
        <w:t>市场租赁住房租金</w:t>
      </w:r>
      <w:r>
        <w:rPr>
          <w:rFonts w:hint="eastAsia" w:ascii="Arial" w:hAnsi="Arial"/>
          <w:sz w:val="21"/>
          <w:szCs w:val="21"/>
        </w:rPr>
        <w:t>＝（46.97+46.04+48.74）÷</w:t>
      </w:r>
      <w:r>
        <w:rPr>
          <w:rFonts w:ascii="Arial" w:hAnsi="Arial"/>
          <w:sz w:val="21"/>
          <w:szCs w:val="21"/>
        </w:rPr>
        <w:t>3</w:t>
      </w:r>
      <w:r>
        <w:rPr>
          <w:rFonts w:hint="eastAsia" w:ascii="Arial" w:hAnsi="Arial"/>
          <w:sz w:val="21"/>
          <w:szCs w:val="21"/>
        </w:rPr>
        <w:t>+3</w:t>
      </w:r>
    </w:p>
    <w:p w14:paraId="5DA7D656">
      <w:pPr>
        <w:wordWrap w:val="0"/>
        <w:overflowPunct w:val="0"/>
        <w:spacing w:line="480" w:lineRule="auto"/>
        <w:ind w:firstLine="3360" w:firstLineChars="1600"/>
        <w:rPr>
          <w:rFonts w:ascii="Arial" w:hAnsi="Arial"/>
          <w:sz w:val="21"/>
          <w:szCs w:val="21"/>
        </w:rPr>
      </w:pPr>
      <w:r>
        <w:rPr>
          <w:rFonts w:hint="eastAsia" w:ascii="Arial" w:hAnsi="Arial"/>
          <w:sz w:val="21"/>
          <w:szCs w:val="21"/>
        </w:rPr>
        <w:t>＝47.25+3</w:t>
      </w:r>
    </w:p>
    <w:p w14:paraId="0AD6965C">
      <w:pPr>
        <w:wordWrap w:val="0"/>
        <w:overflowPunct w:val="0"/>
        <w:spacing w:line="480" w:lineRule="auto"/>
        <w:ind w:firstLine="420" w:firstLineChars="200"/>
        <w:rPr>
          <w:rFonts w:hint="eastAsia" w:ascii="宋体" w:hAnsi="宋体"/>
          <w:sz w:val="21"/>
          <w:szCs w:val="21"/>
        </w:rPr>
      </w:pPr>
      <w:r>
        <w:rPr>
          <w:rFonts w:ascii="Arial" w:hAnsi="Arial"/>
          <w:sz w:val="21"/>
          <w:szCs w:val="21"/>
        </w:rPr>
        <w:t xml:space="preserve">                            </w:t>
      </w:r>
      <w:r>
        <w:rPr>
          <w:rFonts w:hint="eastAsia" w:ascii="Arial" w:hAnsi="Arial"/>
          <w:sz w:val="21"/>
          <w:szCs w:val="21"/>
        </w:rPr>
        <w:t>＝50.25（元/平方米·月）</w:t>
      </w:r>
      <w:r>
        <w:rPr>
          <w:rFonts w:hint="eastAsia" w:ascii="宋体" w:hAnsi="宋体"/>
          <w:sz w:val="21"/>
          <w:szCs w:val="21"/>
        </w:rPr>
        <w:t>（含物业费、不含取暖费）</w:t>
      </w:r>
    </w:p>
    <w:p w14:paraId="6552F739">
      <w:pPr>
        <w:wordWrap w:val="0"/>
        <w:overflowPunct w:val="0"/>
        <w:spacing w:line="480" w:lineRule="auto"/>
        <w:ind w:firstLine="422" w:firstLineChars="200"/>
        <w:rPr>
          <w:rFonts w:ascii="Arial" w:hAnsi="Arial" w:cs="Arial"/>
          <w:b/>
          <w:sz w:val="21"/>
          <w:szCs w:val="21"/>
        </w:rPr>
      </w:pPr>
      <w:r>
        <w:rPr>
          <w:rFonts w:hint="eastAsia" w:ascii="Arial" w:hAnsi="Arial" w:cs="Arial"/>
          <w:b/>
          <w:sz w:val="21"/>
          <w:szCs w:val="21"/>
        </w:rPr>
        <w:t>C.标准房3（一居室-82.85平方米</w:t>
      </w:r>
      <w:r>
        <w:rPr>
          <w:rFonts w:hint="eastAsia" w:ascii="宋体" w:hAnsi="宋体"/>
          <w:b/>
          <w:sz w:val="21"/>
          <w:szCs w:val="21"/>
        </w:rPr>
        <w:t>标准房市场租金水平）</w:t>
      </w:r>
    </w:p>
    <w:p w14:paraId="3AE34190">
      <w:pPr>
        <w:wordWrap w:val="0"/>
        <w:overflowPunct w:val="0"/>
        <w:spacing w:line="480" w:lineRule="auto"/>
        <w:ind w:firstLine="420" w:firstLineChars="200"/>
        <w:rPr>
          <w:rFonts w:ascii="Arial" w:hAnsi="Arial" w:cs="Arial"/>
          <w:sz w:val="21"/>
          <w:szCs w:val="21"/>
        </w:rPr>
      </w:pPr>
      <w:r>
        <w:rPr>
          <w:rFonts w:ascii="Arial" w:hAnsi="Arial" w:cs="Arial"/>
          <w:sz w:val="21"/>
          <w:szCs w:val="21"/>
        </w:rPr>
        <w:t>1.选取案例并作因素条件说明</w:t>
      </w:r>
    </w:p>
    <w:p w14:paraId="3B5714D1">
      <w:pPr>
        <w:wordWrap w:val="0"/>
        <w:overflowPunct w:val="0"/>
        <w:spacing w:line="480" w:lineRule="auto"/>
        <w:ind w:firstLine="420" w:firstLineChars="200"/>
        <w:rPr>
          <w:rFonts w:ascii="Arial" w:hAnsi="Arial" w:cs="Arial"/>
          <w:sz w:val="21"/>
          <w:szCs w:val="21"/>
        </w:rPr>
      </w:pPr>
      <w:r>
        <w:rPr>
          <w:rFonts w:ascii="Arial" w:hAnsi="Arial" w:cs="Arial"/>
          <w:sz w:val="21"/>
          <w:szCs w:val="21"/>
        </w:rPr>
        <w:t>通过对北京市</w:t>
      </w:r>
      <w:r>
        <w:rPr>
          <w:rFonts w:hint="eastAsia" w:ascii="Arial" w:hAnsi="Arial" w:cs="Arial"/>
          <w:sz w:val="21"/>
          <w:szCs w:val="21"/>
        </w:rPr>
        <w:t>大兴</w:t>
      </w:r>
      <w:r>
        <w:rPr>
          <w:rFonts w:ascii="Arial" w:hAnsi="Arial" w:cs="Arial"/>
          <w:sz w:val="21"/>
          <w:szCs w:val="21"/>
        </w:rPr>
        <w:t>区</w:t>
      </w:r>
      <w:r>
        <w:rPr>
          <w:rFonts w:hint="eastAsia" w:ascii="Arial" w:hAnsi="Arial" w:cs="Arial"/>
          <w:sz w:val="21"/>
          <w:szCs w:val="21"/>
        </w:rPr>
        <w:t>周边住宅</w:t>
      </w:r>
      <w:r>
        <w:rPr>
          <w:rFonts w:ascii="Arial" w:hAnsi="Arial" w:cs="Arial"/>
          <w:sz w:val="21"/>
          <w:szCs w:val="21"/>
        </w:rPr>
        <w:t>市场的调查，选取近期同一供需圈内邻近地区的三个租赁</w:t>
      </w:r>
      <w:r>
        <w:rPr>
          <w:rFonts w:hint="eastAsia" w:ascii="Arial" w:hAnsi="Arial" w:cs="Arial"/>
          <w:sz w:val="21"/>
          <w:szCs w:val="21"/>
        </w:rPr>
        <w:t>实例</w:t>
      </w:r>
      <w:r>
        <w:rPr>
          <w:rFonts w:ascii="Arial" w:hAnsi="Arial" w:cs="Arial"/>
          <w:sz w:val="21"/>
          <w:szCs w:val="21"/>
        </w:rPr>
        <w:t>进行比较。</w:t>
      </w:r>
    </w:p>
    <w:p w14:paraId="16C67829">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可比实例7</w:t>
      </w:r>
      <w:r>
        <w:rPr>
          <w:rFonts w:ascii="Arial" w:hAnsi="Arial" w:cs="Arial"/>
          <w:sz w:val="21"/>
          <w:szCs w:val="21"/>
        </w:rPr>
        <w:t>：</w:t>
      </w:r>
    </w:p>
    <w:p w14:paraId="56FC7564">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兴水家园</w:t>
      </w:r>
    </w:p>
    <w:p w14:paraId="2E305585">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大兴区林校路69号</w:t>
      </w:r>
    </w:p>
    <w:p w14:paraId="0F4DA124">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302BA30B">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151AA2FB">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39EB43B0">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可比实例7周边2公里内有漪景苑、埝坛华庭北区、壹品兴创颐和公馆、矿林庄小区、锦华园小区、义和庄东里等居住项目，居住小区规模适中，入住率较好，综合评价居住区成熟度较好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主干道——林校路</w:t>
      </w:r>
      <w:r>
        <w:rPr>
          <w:rFonts w:ascii="Arial" w:hAnsi="Arial" w:cs="Arial"/>
          <w:sz w:val="21"/>
          <w:szCs w:val="21"/>
        </w:rPr>
        <w:t>，</w:t>
      </w:r>
      <w:r>
        <w:rPr>
          <w:rFonts w:hint="eastAsia" w:ascii="Arial" w:hAnsi="Arial" w:cs="Arial"/>
          <w:kern w:val="2"/>
          <w:sz w:val="21"/>
          <w:szCs w:val="21"/>
        </w:rPr>
        <w:t>周边2公里范围内有轨道交通站点（地铁4号线义和庄站），周边1公里内有827路、829路、840路、兴11路、兴21路等公交线路途径并设立站点，综合评价交通便捷度较好；</w:t>
      </w:r>
      <w:r>
        <w:rPr>
          <w:rFonts w:ascii="Arial" w:hAnsi="Arial" w:cs="Arial"/>
          <w:sz w:val="21"/>
          <w:szCs w:val="21"/>
        </w:rPr>
        <w:t>周边有</w:t>
      </w:r>
      <w:r>
        <w:rPr>
          <w:rFonts w:hint="eastAsia" w:ascii="Arial" w:hAnsi="Arial" w:cs="Arial"/>
          <w:kern w:val="2"/>
          <w:sz w:val="21"/>
          <w:szCs w:val="21"/>
        </w:rPr>
        <w:t>孙村公园、新凤河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w:t>
      </w:r>
      <w:r>
        <w:rPr>
          <w:rFonts w:hint="eastAsia" w:ascii="Arial" w:hAnsi="Arial" w:cs="Arial"/>
          <w:sz w:val="21"/>
          <w:szCs w:val="21"/>
        </w:rPr>
        <w:t>周边2公里有念坛公园、兴良路公园、永定公园、小龙河等自然景观，有中央文化和旅游管理干部学院、国家林业和草原局管理干部学院等人文环境、综合评价自然与人文环境较好</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可比实例7</w:t>
      </w:r>
      <w:r>
        <w:rPr>
          <w:rFonts w:ascii="Arial" w:hAnsi="Arial" w:cs="Arial"/>
          <w:sz w:val="21"/>
          <w:szCs w:val="21"/>
        </w:rPr>
        <w:t>为</w:t>
      </w:r>
      <w:r>
        <w:rPr>
          <w:rFonts w:hint="eastAsia" w:ascii="Arial" w:hAnsi="Arial" w:cs="Arial"/>
          <w:sz w:val="21"/>
          <w:szCs w:val="21"/>
        </w:rPr>
        <w:t>一</w:t>
      </w:r>
      <w:r>
        <w:rPr>
          <w:rFonts w:ascii="Arial" w:hAnsi="Arial" w:cs="Arial"/>
          <w:sz w:val="21"/>
          <w:szCs w:val="21"/>
        </w:rPr>
        <w:t>居室户型，</w:t>
      </w:r>
      <w:r>
        <w:rPr>
          <w:rFonts w:hint="eastAsia" w:ascii="Arial" w:hAnsi="Arial" w:cs="Arial"/>
          <w:sz w:val="21"/>
          <w:szCs w:val="21"/>
        </w:rPr>
        <w:t>中</w:t>
      </w:r>
      <w:r>
        <w:rPr>
          <w:rFonts w:ascii="Arial" w:hAnsi="Arial" w:cs="Arial"/>
          <w:sz w:val="21"/>
          <w:szCs w:val="21"/>
        </w:rPr>
        <w:t>楼层，</w:t>
      </w:r>
      <w:r>
        <w:rPr>
          <w:rFonts w:hint="eastAsia" w:ascii="Arial" w:hAnsi="Arial" w:cs="Arial"/>
          <w:sz w:val="21"/>
          <w:szCs w:val="21"/>
        </w:rPr>
        <w:t>南</w:t>
      </w:r>
      <w:r>
        <w:rPr>
          <w:rFonts w:ascii="Arial" w:hAnsi="Arial" w:cs="Arial"/>
          <w:sz w:val="21"/>
          <w:szCs w:val="21"/>
        </w:rPr>
        <w:t>朝向，建成年份为</w:t>
      </w:r>
      <w:r>
        <w:rPr>
          <w:rFonts w:hint="eastAsia" w:ascii="Arial" w:hAnsi="Arial" w:cs="Arial"/>
          <w:sz w:val="21"/>
          <w:szCs w:val="21"/>
        </w:rPr>
        <w:t>2007</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w:t>
      </w:r>
      <w:r>
        <w:rPr>
          <w:rFonts w:hint="eastAsia" w:ascii="Arial" w:hAnsi="Arial" w:cs="Arial"/>
          <w:sz w:val="21"/>
          <w:szCs w:val="21"/>
        </w:rPr>
        <w:t>装修为</w:t>
      </w:r>
      <w:r>
        <w:rPr>
          <w:rFonts w:hint="eastAsia" w:ascii="Arial" w:hAnsi="Arial" w:cs="Arial"/>
          <w:sz w:val="21"/>
          <w:szCs w:val="21"/>
          <w:lang w:val="en-US" w:eastAsia="zh-CN"/>
        </w:rPr>
        <w:t>低</w:t>
      </w:r>
      <w:r>
        <w:rPr>
          <w:rFonts w:hint="eastAsia" w:ascii="Arial" w:hAnsi="Arial" w:cs="Arial"/>
          <w:sz w:val="21"/>
          <w:szCs w:val="21"/>
        </w:rPr>
        <w:t>档装修</w:t>
      </w:r>
      <w:r>
        <w:rPr>
          <w:rFonts w:ascii="Arial" w:hAnsi="Arial" w:cs="Arial"/>
          <w:sz w:val="21"/>
          <w:szCs w:val="21"/>
        </w:rPr>
        <w:t>，建筑面积为</w:t>
      </w:r>
      <w:r>
        <w:rPr>
          <w:rFonts w:hint="eastAsia" w:ascii="Arial" w:hAnsi="Arial" w:cs="Arial"/>
          <w:sz w:val="21"/>
          <w:szCs w:val="21"/>
        </w:rPr>
        <w:t>68</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为44.12元/平方米·月（含物业费1.1元/平方米·月、取暖费2.5元/平方米·月）。</w:t>
      </w:r>
    </w:p>
    <w:p w14:paraId="11907BE0">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可比实例8</w:t>
      </w:r>
      <w:r>
        <w:rPr>
          <w:rFonts w:ascii="Arial" w:hAnsi="Arial" w:cs="Arial"/>
          <w:sz w:val="21"/>
          <w:szCs w:val="21"/>
        </w:rPr>
        <w:t>：</w:t>
      </w:r>
    </w:p>
    <w:p w14:paraId="6EECF80B">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锦华园</w:t>
      </w:r>
    </w:p>
    <w:p w14:paraId="13F4BCA1">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大兴区义平路92号</w:t>
      </w:r>
    </w:p>
    <w:p w14:paraId="2EF51F11">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4</w:t>
      </w:r>
      <w:r>
        <w:rPr>
          <w:rFonts w:ascii="Arial" w:hAnsi="Arial" w:cs="Arial"/>
          <w:sz w:val="21"/>
          <w:szCs w:val="21"/>
        </w:rPr>
        <w:t>月</w:t>
      </w:r>
    </w:p>
    <w:p w14:paraId="0CB599F5">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2DE00A1F">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06F110FF">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可比实例8周边有义和庄北里、中骏金辉未来云城、漪景苑、埝坛华庭北区、壹品兴创颐和公馆、矿林庄小区、义和庄东里等居住项目，居住小区规模适中，入住率较好，综合评价居住区成熟度较好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主干道——兴华大街</w:t>
      </w:r>
      <w:r>
        <w:rPr>
          <w:rFonts w:ascii="Arial" w:hAnsi="Arial" w:cs="Arial"/>
          <w:sz w:val="21"/>
          <w:szCs w:val="21"/>
        </w:rPr>
        <w:t>，</w:t>
      </w:r>
      <w:r>
        <w:rPr>
          <w:rFonts w:hint="eastAsia" w:ascii="Arial" w:hAnsi="Arial" w:cs="Arial"/>
          <w:kern w:val="2"/>
          <w:sz w:val="21"/>
          <w:szCs w:val="21"/>
        </w:rPr>
        <w:t>周边2公里范围内有轨道交通站点（地铁4号线黄村火车站），周边1公里内有兴12路、兴16路、兴37路、兴77路等公交线路途径并设立站点，综合评价交通便捷度较好；</w:t>
      </w:r>
      <w:r>
        <w:rPr>
          <w:rFonts w:hint="eastAsia" w:ascii="Arial" w:hAnsi="Arial" w:cs="Arial"/>
          <w:sz w:val="21"/>
          <w:szCs w:val="21"/>
        </w:rPr>
        <w:t>周边2公里有念坛公园、兴良路公园、永定公园、小龙河等自然景观，有中央文化和旅游管理干部学院、国家林业和草原局管理干部学院等人文环境、综合评价自然与人文环境较好</w:t>
      </w:r>
      <w:r>
        <w:rPr>
          <w:rFonts w:ascii="Arial" w:hAnsi="Arial" w:cs="Arial"/>
          <w:sz w:val="21"/>
          <w:szCs w:val="21"/>
        </w:rPr>
        <w:t>；</w:t>
      </w:r>
      <w:r>
        <w:rPr>
          <w:rFonts w:hint="eastAsia" w:ascii="Arial" w:hAnsi="Arial" w:cs="Arial"/>
          <w:sz w:val="21"/>
          <w:szCs w:val="21"/>
        </w:rPr>
        <w:t>周边2公里范围内有大兴星城商厦、大兴大悦春风里等商业场所；有北京市大兴区永华实验学校、</w:t>
      </w:r>
      <w:r>
        <w:rPr>
          <w:rFonts w:hint="eastAsia" w:ascii="Arial" w:hAnsi="Arial" w:cs="Arial"/>
          <w:sz w:val="21"/>
          <w:szCs w:val="21"/>
          <w:lang w:eastAsia="zh-CN"/>
        </w:rPr>
        <w:t>北京市</w:t>
      </w:r>
      <w:r>
        <w:rPr>
          <w:rFonts w:hint="eastAsia" w:ascii="Arial" w:hAnsi="Arial" w:cs="Arial"/>
          <w:sz w:val="21"/>
          <w:szCs w:val="21"/>
        </w:rPr>
        <w:t>大兴区第一中学、北京市大兴区第八小学、泰禾幼儿园（大兴园区）等教育机构，有北京市大兴区心康医院、北京市大兴区人民医院等医疗机构；有华夏银行、北京银行等金融网点，公共配套设施状况较好</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可比实例8</w:t>
      </w:r>
      <w:r>
        <w:rPr>
          <w:rFonts w:ascii="Arial" w:hAnsi="Arial" w:cs="Arial"/>
          <w:sz w:val="21"/>
          <w:szCs w:val="21"/>
        </w:rPr>
        <w:t>为</w:t>
      </w:r>
      <w:r>
        <w:rPr>
          <w:rFonts w:hint="eastAsia" w:ascii="Arial" w:hAnsi="Arial" w:cs="Arial"/>
          <w:sz w:val="21"/>
          <w:szCs w:val="21"/>
        </w:rPr>
        <w:t>一</w:t>
      </w:r>
      <w:r>
        <w:rPr>
          <w:rFonts w:ascii="Arial" w:hAnsi="Arial" w:cs="Arial"/>
          <w:sz w:val="21"/>
          <w:szCs w:val="21"/>
        </w:rPr>
        <w:t>居室户型，</w:t>
      </w:r>
      <w:r>
        <w:rPr>
          <w:rFonts w:hint="eastAsia" w:ascii="Arial" w:hAnsi="Arial" w:cs="Arial"/>
          <w:sz w:val="21"/>
          <w:szCs w:val="21"/>
        </w:rPr>
        <w:t>中</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06</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w:t>
      </w:r>
      <w:r>
        <w:rPr>
          <w:rFonts w:hint="eastAsia" w:ascii="Arial" w:hAnsi="Arial" w:cs="Arial"/>
          <w:sz w:val="21"/>
          <w:szCs w:val="21"/>
        </w:rPr>
        <w:t>装修为</w:t>
      </w:r>
      <w:r>
        <w:rPr>
          <w:rFonts w:hint="eastAsia" w:ascii="Arial" w:hAnsi="Arial" w:cs="Arial"/>
          <w:sz w:val="21"/>
          <w:szCs w:val="21"/>
          <w:lang w:val="en-US" w:eastAsia="zh-CN"/>
        </w:rPr>
        <w:t>低</w:t>
      </w:r>
      <w:r>
        <w:rPr>
          <w:rFonts w:hint="eastAsia" w:ascii="Arial" w:hAnsi="Arial" w:cs="Arial"/>
          <w:sz w:val="21"/>
          <w:szCs w:val="21"/>
        </w:rPr>
        <w:t>档装修</w:t>
      </w:r>
      <w:r>
        <w:rPr>
          <w:rFonts w:ascii="Arial" w:hAnsi="Arial" w:cs="Arial"/>
          <w:sz w:val="21"/>
          <w:szCs w:val="21"/>
        </w:rPr>
        <w:t>，建筑面积为</w:t>
      </w:r>
      <w:r>
        <w:rPr>
          <w:rFonts w:hint="eastAsia" w:ascii="Arial" w:hAnsi="Arial" w:cs="Arial"/>
          <w:sz w:val="21"/>
          <w:szCs w:val="21"/>
        </w:rPr>
        <w:t>68.05</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为44.09元/平方米·月（含物业费1.47元/平方米·月、取暖费2.5元/平方米·月）</w:t>
      </w:r>
      <w:r>
        <w:rPr>
          <w:rFonts w:ascii="Arial" w:hAnsi="Arial" w:cs="Arial"/>
          <w:sz w:val="21"/>
          <w:szCs w:val="21"/>
        </w:rPr>
        <w:t>。</w:t>
      </w:r>
    </w:p>
    <w:p w14:paraId="6925AFEC">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可比实例9</w:t>
      </w:r>
      <w:r>
        <w:rPr>
          <w:rFonts w:ascii="Arial" w:hAnsi="Arial" w:cs="Arial"/>
          <w:sz w:val="21"/>
          <w:szCs w:val="21"/>
        </w:rPr>
        <w:t>：</w:t>
      </w:r>
    </w:p>
    <w:p w14:paraId="65DACDCB">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联港嘉园</w:t>
      </w:r>
    </w:p>
    <w:p w14:paraId="1615D584">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大兴区文新南街272号</w:t>
      </w:r>
    </w:p>
    <w:p w14:paraId="5EACEA97">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2AB08131">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50590293">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701684A8">
      <w:pPr>
        <w:wordWrap w:val="0"/>
        <w:overflowPunct w:val="0"/>
        <w:spacing w:line="480" w:lineRule="auto"/>
        <w:ind w:firstLine="420" w:firstLineChars="200"/>
        <w:jc w:val="both"/>
        <w:rPr>
          <w:rFonts w:hint="eastAsia" w:ascii="Arial" w:hAnsi="Arial" w:cs="Arial"/>
          <w:sz w:val="21"/>
          <w:szCs w:val="21"/>
        </w:rPr>
      </w:pPr>
      <w:r>
        <w:rPr>
          <w:rFonts w:hint="eastAsia" w:ascii="Arial" w:hAnsi="Arial" w:cs="Arial"/>
          <w:sz w:val="21"/>
          <w:szCs w:val="21"/>
        </w:rPr>
        <w:t>可比实例9周边有德贤华府、埝坛华庭西区、埝坛华庭北区等居住项目，居住小区规模适中，入住率一般，综合评价居住社区成熟度一般</w:t>
      </w:r>
      <w:r>
        <w:rPr>
          <w:rFonts w:ascii="Arial" w:hAnsi="Arial" w:cs="Arial"/>
          <w:sz w:val="21"/>
          <w:szCs w:val="21"/>
        </w:rPr>
        <w:t>；紧邻城市</w:t>
      </w:r>
      <w:r>
        <w:rPr>
          <w:rFonts w:hint="eastAsia" w:ascii="Arial" w:hAnsi="Arial" w:cs="Arial"/>
          <w:sz w:val="21"/>
          <w:szCs w:val="21"/>
        </w:rPr>
        <w:t>主干道——兴良路</w:t>
      </w:r>
      <w:r>
        <w:rPr>
          <w:rFonts w:ascii="Arial" w:hAnsi="Arial" w:cs="Arial"/>
          <w:sz w:val="21"/>
          <w:szCs w:val="21"/>
        </w:rPr>
        <w:t>，</w:t>
      </w:r>
      <w:r>
        <w:rPr>
          <w:rFonts w:hint="eastAsia" w:ascii="Arial" w:hAnsi="Arial" w:cs="Arial"/>
          <w:kern w:val="2"/>
          <w:sz w:val="21"/>
          <w:szCs w:val="21"/>
        </w:rPr>
        <w:t>周边2公里范围内无轨道交通站点，周边1公里内有兴13路、兴37路、兴53路、840路等公交线路途径并设立站点，综合评价交通便捷度一般；</w:t>
      </w:r>
      <w:r>
        <w:rPr>
          <w:rFonts w:hint="eastAsia" w:ascii="Arial" w:hAnsi="Arial" w:cs="Arial"/>
          <w:sz w:val="21"/>
          <w:szCs w:val="21"/>
        </w:rPr>
        <w:t>周边2公里有念坛公园、兴良路公园、永定公园、小龙河等自然景观，有首都医科大学（大兴校区）、金隅高新产业园等人文环境、综合评价自然与人文环境较好</w:t>
      </w:r>
      <w:r>
        <w:rPr>
          <w:rFonts w:ascii="Arial" w:hAnsi="Arial" w:cs="Arial"/>
          <w:sz w:val="21"/>
          <w:szCs w:val="21"/>
        </w:rPr>
        <w:t>；</w:t>
      </w:r>
      <w:r>
        <w:rPr>
          <w:rFonts w:hint="eastAsia" w:ascii="Arial" w:hAnsi="Arial" w:cs="Arial"/>
          <w:sz w:val="21"/>
          <w:szCs w:val="21"/>
        </w:rPr>
        <w:t>周边2公里范围内无大型购物中心，有世纪华联超市（太福店）超市等生活配套商业；有北京教育学院附属大兴实验小学、联港嘉园幼儿园等教育机构，有北臧村社区卫生服务中心等医疗机构；有北京农商银行（联港嘉园分理处）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可比实例9</w:t>
      </w:r>
      <w:r>
        <w:rPr>
          <w:rFonts w:ascii="Arial" w:hAnsi="Arial" w:cs="Arial"/>
          <w:sz w:val="21"/>
          <w:szCs w:val="21"/>
        </w:rPr>
        <w:t>为</w:t>
      </w:r>
      <w:r>
        <w:rPr>
          <w:rFonts w:hint="eastAsia" w:ascii="Arial" w:hAnsi="Arial" w:cs="Arial"/>
          <w:sz w:val="21"/>
          <w:szCs w:val="21"/>
        </w:rPr>
        <w:t>一</w:t>
      </w:r>
      <w:r>
        <w:rPr>
          <w:rFonts w:ascii="Arial" w:hAnsi="Arial" w:cs="Arial"/>
          <w:sz w:val="21"/>
          <w:szCs w:val="21"/>
        </w:rPr>
        <w:t>居室户型，</w:t>
      </w:r>
      <w:r>
        <w:rPr>
          <w:rFonts w:hint="eastAsia" w:ascii="Arial" w:hAnsi="Arial" w:cs="Arial"/>
          <w:sz w:val="21"/>
          <w:szCs w:val="21"/>
        </w:rPr>
        <w:t>高</w:t>
      </w:r>
      <w:r>
        <w:rPr>
          <w:rFonts w:ascii="Arial" w:hAnsi="Arial" w:cs="Arial"/>
          <w:sz w:val="21"/>
          <w:szCs w:val="21"/>
        </w:rPr>
        <w:t>楼层，</w:t>
      </w:r>
      <w:r>
        <w:rPr>
          <w:rFonts w:hint="eastAsia" w:ascii="Arial" w:hAnsi="Arial" w:cs="Arial"/>
          <w:sz w:val="21"/>
          <w:szCs w:val="21"/>
        </w:rPr>
        <w:t>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13</w:t>
      </w:r>
      <w:r>
        <w:rPr>
          <w:rFonts w:ascii="Arial" w:hAnsi="Arial" w:cs="Arial"/>
          <w:sz w:val="21"/>
          <w:szCs w:val="21"/>
        </w:rPr>
        <w:t>年，建筑结构为钢混结构，</w:t>
      </w:r>
      <w:r>
        <w:rPr>
          <w:rFonts w:hint="eastAsia" w:ascii="Arial" w:hAnsi="Arial" w:cs="Arial"/>
          <w:sz w:val="21"/>
          <w:szCs w:val="21"/>
        </w:rPr>
        <w:t>装修为中档装修</w:t>
      </w:r>
      <w:r>
        <w:rPr>
          <w:rFonts w:ascii="Arial" w:hAnsi="Arial" w:cs="Arial"/>
          <w:sz w:val="21"/>
          <w:szCs w:val="21"/>
        </w:rPr>
        <w:t>，建筑面积为</w:t>
      </w:r>
      <w:r>
        <w:rPr>
          <w:rFonts w:hint="eastAsia" w:ascii="Arial" w:hAnsi="Arial" w:cs="Arial"/>
          <w:sz w:val="21"/>
          <w:szCs w:val="21"/>
        </w:rPr>
        <w:t>66.16</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w:t>
      </w:r>
    </w:p>
    <w:p w14:paraId="01C4B013">
      <w:pPr>
        <w:wordWrap w:val="0"/>
        <w:overflowPunct w:val="0"/>
        <w:spacing w:line="480" w:lineRule="auto"/>
        <w:jc w:val="both"/>
        <w:rPr>
          <w:rFonts w:ascii="Arial" w:hAnsi="Arial" w:cs="Arial"/>
          <w:sz w:val="21"/>
          <w:szCs w:val="21"/>
        </w:rPr>
      </w:pPr>
      <w:r>
        <w:rPr>
          <w:rFonts w:hint="eastAsia" w:ascii="Arial" w:hAnsi="Arial" w:cs="Arial"/>
          <w:sz w:val="21"/>
          <w:szCs w:val="21"/>
        </w:rPr>
        <w:t>45.34元/平方米·月（含物业费1.56元/平方米·月、取暖费2.5元/平方米·月）</w:t>
      </w:r>
      <w:r>
        <w:rPr>
          <w:rFonts w:ascii="Arial" w:hAnsi="Arial" w:cs="Arial"/>
          <w:sz w:val="21"/>
          <w:szCs w:val="21"/>
        </w:rPr>
        <w:t>。</w:t>
      </w:r>
    </w:p>
    <w:p w14:paraId="71A3873D">
      <w:pPr>
        <w:rPr>
          <w:rFonts w:hint="eastAsia" w:ascii="宋体" w:hAnsi="宋体"/>
          <w:sz w:val="21"/>
          <w:szCs w:val="21"/>
        </w:rPr>
      </w:pPr>
      <w:r>
        <w:rPr>
          <w:rFonts w:hint="eastAsia" w:ascii="宋体" w:hAnsi="宋体"/>
          <w:sz w:val="21"/>
          <w:szCs w:val="21"/>
        </w:rPr>
        <w:br w:type="page"/>
      </w:r>
    </w:p>
    <w:p w14:paraId="29883429">
      <w:pPr>
        <w:wordWrap w:val="0"/>
        <w:overflowPunct w:val="0"/>
        <w:spacing w:line="480" w:lineRule="auto"/>
        <w:ind w:firstLine="420" w:firstLineChars="200"/>
        <w:rPr>
          <w:rFonts w:hint="eastAsia" w:ascii="宋体" w:hAnsi="宋体"/>
          <w:sz w:val="21"/>
          <w:szCs w:val="21"/>
        </w:rPr>
      </w:pPr>
      <w:r>
        <w:rPr>
          <w:rFonts w:hint="eastAsia" w:ascii="宋体" w:hAnsi="宋体"/>
          <w:sz w:val="21"/>
          <w:szCs w:val="21"/>
        </w:rPr>
        <w:t>建立比较基础</w:t>
      </w:r>
    </w:p>
    <w:tbl>
      <w:tblPr>
        <w:tblStyle w:val="33"/>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2047"/>
        <w:gridCol w:w="1812"/>
        <w:gridCol w:w="1812"/>
        <w:gridCol w:w="1812"/>
        <w:gridCol w:w="1815"/>
      </w:tblGrid>
      <w:tr w14:paraId="2FBE9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47" w:type="dxa"/>
            <w:vAlign w:val="center"/>
          </w:tcPr>
          <w:p w14:paraId="6945E32E">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交易案例</w:t>
            </w:r>
          </w:p>
        </w:tc>
        <w:tc>
          <w:tcPr>
            <w:tcW w:w="1812" w:type="dxa"/>
            <w:vAlign w:val="center"/>
          </w:tcPr>
          <w:p w14:paraId="39295732">
            <w:pPr>
              <w:pStyle w:val="61"/>
              <w:autoSpaceDE w:val="0"/>
              <w:autoSpaceDN w:val="0"/>
              <w:spacing w:line="240" w:lineRule="exact"/>
              <w:textAlignment w:val="bottom"/>
              <w:rPr>
                <w:rFonts w:ascii="Arial" w:hAnsi="Arial" w:cs="Arial"/>
                <w:sz w:val="16"/>
                <w:szCs w:val="18"/>
              </w:rPr>
            </w:pPr>
            <w:r>
              <w:rPr>
                <w:rFonts w:ascii="Arial" w:hAnsi="Arial" w:cs="Arial"/>
                <w:sz w:val="16"/>
                <w:szCs w:val="18"/>
              </w:rPr>
              <w:t>估价对象</w:t>
            </w:r>
          </w:p>
        </w:tc>
        <w:tc>
          <w:tcPr>
            <w:tcW w:w="1812" w:type="dxa"/>
            <w:vAlign w:val="center"/>
          </w:tcPr>
          <w:p w14:paraId="0202D9D5">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w:t>
            </w:r>
            <w:r>
              <w:rPr>
                <w:rFonts w:hint="eastAsia" w:ascii="Arial" w:hAnsi="Arial" w:cs="Arial"/>
                <w:sz w:val="16"/>
                <w:szCs w:val="18"/>
              </w:rPr>
              <w:t>7</w:t>
            </w:r>
          </w:p>
        </w:tc>
        <w:tc>
          <w:tcPr>
            <w:tcW w:w="1812" w:type="dxa"/>
            <w:vAlign w:val="center"/>
          </w:tcPr>
          <w:p w14:paraId="426B6A7D">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w:t>
            </w:r>
            <w:r>
              <w:rPr>
                <w:rFonts w:hint="eastAsia" w:ascii="Arial" w:hAnsi="Arial" w:cs="Arial"/>
                <w:sz w:val="16"/>
                <w:szCs w:val="18"/>
              </w:rPr>
              <w:t>8</w:t>
            </w:r>
          </w:p>
        </w:tc>
        <w:tc>
          <w:tcPr>
            <w:tcW w:w="1815" w:type="dxa"/>
            <w:vAlign w:val="center"/>
          </w:tcPr>
          <w:p w14:paraId="2DE11A66">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w:t>
            </w:r>
            <w:r>
              <w:rPr>
                <w:rFonts w:hint="eastAsia" w:ascii="Arial" w:hAnsi="Arial" w:cs="Arial"/>
                <w:sz w:val="16"/>
                <w:szCs w:val="18"/>
              </w:rPr>
              <w:t>9</w:t>
            </w:r>
          </w:p>
        </w:tc>
      </w:tr>
      <w:tr w14:paraId="5E08A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3D79E5D4">
            <w:pPr>
              <w:pStyle w:val="61"/>
              <w:autoSpaceDE w:val="0"/>
              <w:autoSpaceDN w:val="0"/>
              <w:spacing w:line="240" w:lineRule="exact"/>
              <w:textAlignment w:val="bottom"/>
              <w:rPr>
                <w:rFonts w:ascii="Arial" w:hAnsi="Arial" w:cs="Arial"/>
                <w:sz w:val="16"/>
                <w:szCs w:val="18"/>
              </w:rPr>
            </w:pPr>
            <w:r>
              <w:rPr>
                <w:rFonts w:ascii="Arial" w:hAnsi="Arial" w:cs="Arial"/>
                <w:sz w:val="16"/>
                <w:szCs w:val="18"/>
              </w:rPr>
              <w:t>项目名称</w:t>
            </w:r>
          </w:p>
        </w:tc>
        <w:tc>
          <w:tcPr>
            <w:tcW w:w="1812" w:type="dxa"/>
            <w:vAlign w:val="center"/>
          </w:tcPr>
          <w:p w14:paraId="0872D4CE">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福兴雅苑</w:t>
            </w:r>
          </w:p>
        </w:tc>
        <w:tc>
          <w:tcPr>
            <w:tcW w:w="1812" w:type="dxa"/>
            <w:vAlign w:val="center"/>
          </w:tcPr>
          <w:p w14:paraId="385A8DB2">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1812" w:type="dxa"/>
            <w:vAlign w:val="center"/>
          </w:tcPr>
          <w:p w14:paraId="04FABB9C">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锦华园</w:t>
            </w:r>
          </w:p>
        </w:tc>
        <w:tc>
          <w:tcPr>
            <w:tcW w:w="1815" w:type="dxa"/>
            <w:vAlign w:val="center"/>
          </w:tcPr>
          <w:p w14:paraId="21FC1043">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r>
      <w:tr w14:paraId="614C5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0C827694">
            <w:pPr>
              <w:pStyle w:val="61"/>
              <w:autoSpaceDE w:val="0"/>
              <w:autoSpaceDN w:val="0"/>
              <w:spacing w:line="240" w:lineRule="exact"/>
              <w:textAlignment w:val="bottom"/>
              <w:rPr>
                <w:rFonts w:ascii="Arial" w:hAnsi="Arial" w:cs="Arial"/>
                <w:sz w:val="16"/>
                <w:szCs w:val="18"/>
              </w:rPr>
            </w:pPr>
            <w:r>
              <w:rPr>
                <w:rFonts w:ascii="Arial" w:hAnsi="Arial" w:cs="Arial"/>
                <w:sz w:val="16"/>
                <w:szCs w:val="18"/>
              </w:rPr>
              <w:t>租金价格（元/㎡·</w:t>
            </w:r>
            <w:r>
              <w:rPr>
                <w:rFonts w:hint="eastAsia" w:ascii="Arial" w:hAnsi="Arial" w:cs="Arial"/>
                <w:sz w:val="16"/>
                <w:szCs w:val="18"/>
              </w:rPr>
              <w:t>月</w:t>
            </w:r>
            <w:r>
              <w:rPr>
                <w:rFonts w:ascii="Arial" w:hAnsi="Arial" w:cs="Arial"/>
                <w:sz w:val="16"/>
                <w:szCs w:val="18"/>
              </w:rPr>
              <w:t>）</w:t>
            </w:r>
          </w:p>
        </w:tc>
        <w:tc>
          <w:tcPr>
            <w:tcW w:w="1812" w:type="dxa"/>
            <w:vAlign w:val="center"/>
          </w:tcPr>
          <w:p w14:paraId="040BCED5">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540A644B">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44.12</w:t>
            </w:r>
          </w:p>
        </w:tc>
        <w:tc>
          <w:tcPr>
            <w:tcW w:w="1812" w:type="dxa"/>
            <w:vAlign w:val="center"/>
          </w:tcPr>
          <w:p w14:paraId="2DB683D0">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44.09</w:t>
            </w:r>
          </w:p>
        </w:tc>
        <w:tc>
          <w:tcPr>
            <w:tcW w:w="1815" w:type="dxa"/>
            <w:vAlign w:val="center"/>
          </w:tcPr>
          <w:p w14:paraId="4DEB91FC">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45.34</w:t>
            </w:r>
          </w:p>
        </w:tc>
      </w:tr>
      <w:tr w14:paraId="6484E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2" w:hRule="atLeast"/>
          <w:jc w:val="center"/>
        </w:trPr>
        <w:tc>
          <w:tcPr>
            <w:tcW w:w="2047" w:type="dxa"/>
            <w:vMerge w:val="restart"/>
            <w:vAlign w:val="center"/>
          </w:tcPr>
          <w:p w14:paraId="49E7E5F1">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p>
        </w:tc>
        <w:tc>
          <w:tcPr>
            <w:tcW w:w="1812" w:type="dxa"/>
            <w:vAlign w:val="center"/>
          </w:tcPr>
          <w:p w14:paraId="606D356D">
            <w:pPr>
              <w:pStyle w:val="61"/>
              <w:autoSpaceDE w:val="0"/>
              <w:autoSpaceDN w:val="0"/>
              <w:spacing w:line="240" w:lineRule="exact"/>
              <w:textAlignment w:val="bottom"/>
              <w:rPr>
                <w:rFonts w:hint="eastAsia" w:ascii="Arial" w:hAnsi="Arial" w:eastAsia="宋体" w:cs="Arial"/>
                <w:sz w:val="16"/>
                <w:szCs w:val="18"/>
                <w:lang w:eastAsia="zh-CN"/>
              </w:rPr>
            </w:pPr>
            <w:r>
              <w:rPr>
                <w:rFonts w:hint="eastAsia" w:ascii="Arial" w:hAnsi="Arial" w:cs="Arial"/>
                <w:sz w:val="16"/>
                <w:szCs w:val="18"/>
                <w:lang w:eastAsia="zh-CN"/>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p>
        </w:tc>
        <w:tc>
          <w:tcPr>
            <w:tcW w:w="1812" w:type="dxa"/>
            <w:vAlign w:val="center"/>
          </w:tcPr>
          <w:p w14:paraId="58A77F7F">
            <w:pPr>
              <w:autoSpaceDE w:val="0"/>
              <w:autoSpaceDN w:val="0"/>
              <w:spacing w:line="240" w:lineRule="exact"/>
              <w:jc w:val="center"/>
              <w:textAlignment w:val="bottom"/>
              <w:rPr>
                <w:rFonts w:hint="eastAsia" w:ascii="Arial" w:hAnsi="Arial" w:eastAsia="宋体" w:cs="Arial"/>
                <w:sz w:val="16"/>
                <w:szCs w:val="18"/>
                <w:lang w:eastAsia="zh-CN"/>
              </w:rPr>
            </w:pPr>
            <w:r>
              <w:rPr>
                <w:rFonts w:hint="eastAsia" w:ascii="Arial" w:hAnsi="Arial" w:cs="Arial"/>
                <w:sz w:val="16"/>
                <w:szCs w:val="18"/>
                <w:lang w:eastAsia="zh-CN"/>
              </w:rPr>
              <w:t>含房屋、家具家电使用费及租赁税费、物业费、供暖费、有线电视费，不含增值服务费、制冷费、水电费、天然气费、通信费、上网宽带费、车位使用费等</w:t>
            </w:r>
          </w:p>
        </w:tc>
        <w:tc>
          <w:tcPr>
            <w:tcW w:w="1812" w:type="dxa"/>
            <w:vAlign w:val="center"/>
          </w:tcPr>
          <w:p w14:paraId="2CD3105E">
            <w:pPr>
              <w:spacing w:line="276" w:lineRule="auto"/>
              <w:rPr>
                <w:rFonts w:hint="eastAsia" w:eastAsia="宋体"/>
                <w:sz w:val="16"/>
                <w:lang w:eastAsia="zh-CN"/>
              </w:rPr>
            </w:pPr>
            <w:r>
              <w:rPr>
                <w:rFonts w:hint="eastAsia" w:ascii="Arial" w:hAnsi="Arial" w:cs="Arial"/>
                <w:sz w:val="16"/>
                <w:szCs w:val="18"/>
                <w:lang w:eastAsia="zh-CN"/>
              </w:rPr>
              <w:t>含房屋、家具家电使用费及租赁税费、物业费、供暖费、有线电视费，不含增值服务费、制冷费、水电费、天然气费、通信费、上网宽带费、车位使用费等</w:t>
            </w:r>
          </w:p>
        </w:tc>
        <w:tc>
          <w:tcPr>
            <w:tcW w:w="1815" w:type="dxa"/>
            <w:vAlign w:val="center"/>
          </w:tcPr>
          <w:p w14:paraId="3827A8D6">
            <w:pPr>
              <w:spacing w:line="276" w:lineRule="auto"/>
              <w:rPr>
                <w:rFonts w:hint="eastAsia" w:eastAsia="宋体"/>
                <w:sz w:val="16"/>
                <w:lang w:eastAsia="zh-CN"/>
              </w:rPr>
            </w:pPr>
            <w:r>
              <w:rPr>
                <w:rFonts w:hint="eastAsia" w:ascii="Arial" w:hAnsi="Arial" w:cs="Arial"/>
                <w:sz w:val="16"/>
                <w:szCs w:val="18"/>
                <w:lang w:eastAsia="zh-CN"/>
              </w:rPr>
              <w:t>含房屋、家具家电使用费及租赁税费、物业费、供暖费、有线电视费，不含增值服务费、制冷费、水电费、天然气费、通信费、上网宽带费、车位使用费等</w:t>
            </w:r>
          </w:p>
        </w:tc>
      </w:tr>
      <w:tr w14:paraId="23064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598D434D">
            <w:pPr>
              <w:pStyle w:val="61"/>
              <w:autoSpaceDE w:val="0"/>
              <w:autoSpaceDN w:val="0"/>
              <w:spacing w:line="240" w:lineRule="exact"/>
              <w:textAlignment w:val="bottom"/>
              <w:rPr>
                <w:rFonts w:ascii="Arial" w:hAnsi="Arial" w:cs="Arial"/>
                <w:sz w:val="16"/>
                <w:szCs w:val="18"/>
              </w:rPr>
            </w:pPr>
          </w:p>
        </w:tc>
        <w:tc>
          <w:tcPr>
            <w:tcW w:w="1812" w:type="dxa"/>
            <w:vAlign w:val="center"/>
          </w:tcPr>
          <w:p w14:paraId="1B5BD4E4">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扣减物业费、供暖费</w:t>
            </w:r>
            <w:r>
              <w:rPr>
                <w:rFonts w:ascii="Arial" w:hAnsi="Arial" w:cs="Arial"/>
                <w:sz w:val="16"/>
                <w:szCs w:val="18"/>
              </w:rPr>
              <w:t>（</w:t>
            </w:r>
            <w:r>
              <w:rPr>
                <w:rFonts w:hint="eastAsia" w:ascii="Arial" w:hAnsi="Arial" w:cs="Arial"/>
                <w:sz w:val="16"/>
                <w:szCs w:val="18"/>
                <w:lang w:eastAsia="zh-CN"/>
              </w:rPr>
              <w:t>元/㎡·月</w:t>
            </w:r>
            <w:r>
              <w:rPr>
                <w:rFonts w:ascii="Arial" w:hAnsi="Arial" w:cs="Arial"/>
                <w:sz w:val="16"/>
                <w:szCs w:val="18"/>
              </w:rPr>
              <w:t>）</w:t>
            </w:r>
          </w:p>
        </w:tc>
        <w:tc>
          <w:tcPr>
            <w:tcW w:w="1812" w:type="dxa"/>
            <w:vAlign w:val="center"/>
          </w:tcPr>
          <w:p w14:paraId="2D02E23B">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3.60</w:t>
            </w:r>
          </w:p>
        </w:tc>
        <w:tc>
          <w:tcPr>
            <w:tcW w:w="1812" w:type="dxa"/>
            <w:vAlign w:val="center"/>
          </w:tcPr>
          <w:p w14:paraId="62ADBC23">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3.97</w:t>
            </w:r>
          </w:p>
        </w:tc>
        <w:tc>
          <w:tcPr>
            <w:tcW w:w="1815" w:type="dxa"/>
            <w:vAlign w:val="center"/>
          </w:tcPr>
          <w:p w14:paraId="3E17683A">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4.06</w:t>
            </w:r>
          </w:p>
        </w:tc>
      </w:tr>
      <w:tr w14:paraId="0CE35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42DB9B02">
            <w:pPr>
              <w:pStyle w:val="61"/>
              <w:autoSpaceDE w:val="0"/>
              <w:autoSpaceDN w:val="0"/>
              <w:spacing w:line="240" w:lineRule="exact"/>
              <w:textAlignment w:val="bottom"/>
              <w:rPr>
                <w:rFonts w:ascii="Arial" w:hAnsi="Arial" w:cs="Arial"/>
                <w:sz w:val="16"/>
                <w:szCs w:val="18"/>
              </w:rPr>
            </w:pPr>
          </w:p>
        </w:tc>
        <w:tc>
          <w:tcPr>
            <w:tcW w:w="1812" w:type="dxa"/>
            <w:vAlign w:val="center"/>
          </w:tcPr>
          <w:p w14:paraId="7DD67C4E">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r>
              <w:rPr>
                <w:rFonts w:hint="eastAsia" w:ascii="Arial" w:hAnsi="Arial" w:cs="Arial"/>
                <w:sz w:val="16"/>
                <w:szCs w:val="18"/>
              </w:rPr>
              <w:t>后价格</w:t>
            </w:r>
            <w:r>
              <w:rPr>
                <w:rFonts w:ascii="Arial" w:hAnsi="Arial" w:cs="Arial"/>
                <w:sz w:val="16"/>
                <w:szCs w:val="18"/>
              </w:rPr>
              <w:t>（</w:t>
            </w:r>
            <w:r>
              <w:rPr>
                <w:rFonts w:hint="eastAsia" w:ascii="Arial" w:hAnsi="Arial" w:cs="Arial"/>
                <w:sz w:val="16"/>
                <w:szCs w:val="18"/>
                <w:lang w:eastAsia="zh-CN"/>
              </w:rPr>
              <w:t>元/㎡·月</w:t>
            </w:r>
            <w:r>
              <w:rPr>
                <w:rFonts w:ascii="Arial" w:hAnsi="Arial" w:cs="Arial"/>
                <w:sz w:val="16"/>
                <w:szCs w:val="18"/>
              </w:rPr>
              <w:t>）</w:t>
            </w:r>
          </w:p>
        </w:tc>
        <w:tc>
          <w:tcPr>
            <w:tcW w:w="1812" w:type="dxa"/>
            <w:vAlign w:val="center"/>
          </w:tcPr>
          <w:p w14:paraId="286BC1B6">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40.52</w:t>
            </w:r>
          </w:p>
        </w:tc>
        <w:tc>
          <w:tcPr>
            <w:tcW w:w="1812" w:type="dxa"/>
            <w:vAlign w:val="center"/>
          </w:tcPr>
          <w:p w14:paraId="48F322E2">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40.12</w:t>
            </w:r>
          </w:p>
        </w:tc>
        <w:tc>
          <w:tcPr>
            <w:tcW w:w="1815" w:type="dxa"/>
            <w:vAlign w:val="center"/>
          </w:tcPr>
          <w:p w14:paraId="328E01AF">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41.28</w:t>
            </w:r>
          </w:p>
        </w:tc>
      </w:tr>
      <w:tr w14:paraId="48577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08BECDD4">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统一租赁行为条件</w:t>
            </w:r>
          </w:p>
        </w:tc>
        <w:tc>
          <w:tcPr>
            <w:tcW w:w="1812" w:type="dxa"/>
            <w:vAlign w:val="center"/>
          </w:tcPr>
          <w:p w14:paraId="1AEAE14F">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3FD25C61">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042ED66D">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5" w:type="dxa"/>
          </w:tcPr>
          <w:p w14:paraId="13E4B744">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r>
      <w:tr w14:paraId="4BB7D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5D919ADC">
            <w:pPr>
              <w:pStyle w:val="61"/>
              <w:autoSpaceDE w:val="0"/>
              <w:autoSpaceDN w:val="0"/>
              <w:spacing w:line="240" w:lineRule="exact"/>
              <w:textAlignment w:val="bottom"/>
              <w:rPr>
                <w:rFonts w:ascii="Arial" w:hAnsi="Arial" w:cs="Arial"/>
                <w:sz w:val="16"/>
                <w:szCs w:val="18"/>
              </w:rPr>
            </w:pPr>
          </w:p>
        </w:tc>
        <w:tc>
          <w:tcPr>
            <w:tcW w:w="1812" w:type="dxa"/>
            <w:vAlign w:val="center"/>
          </w:tcPr>
          <w:p w14:paraId="35EEDC30">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2781F75A">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3FFB1056">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1DAE8883">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2B8F0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66ED9808">
            <w:pPr>
              <w:pStyle w:val="61"/>
              <w:autoSpaceDE w:val="0"/>
              <w:autoSpaceDN w:val="0"/>
              <w:spacing w:line="240" w:lineRule="exact"/>
              <w:textAlignment w:val="bottom"/>
              <w:rPr>
                <w:rFonts w:ascii="Arial" w:hAnsi="Arial" w:cs="Arial"/>
                <w:sz w:val="16"/>
                <w:szCs w:val="18"/>
              </w:rPr>
            </w:pPr>
            <w:r>
              <w:rPr>
                <w:rFonts w:ascii="Arial" w:hAnsi="Arial" w:cs="Arial"/>
                <w:sz w:val="16"/>
                <w:szCs w:val="18"/>
              </w:rPr>
              <w:t>统一计价单位</w:t>
            </w:r>
          </w:p>
        </w:tc>
        <w:tc>
          <w:tcPr>
            <w:tcW w:w="1812" w:type="dxa"/>
            <w:vAlign w:val="center"/>
          </w:tcPr>
          <w:p w14:paraId="43EE48A4">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27659E56">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00780C28">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5" w:type="dxa"/>
            <w:vAlign w:val="center"/>
          </w:tcPr>
          <w:p w14:paraId="187715E1">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r>
      <w:tr w14:paraId="67A2C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29058078">
            <w:pPr>
              <w:pStyle w:val="61"/>
              <w:autoSpaceDE w:val="0"/>
              <w:autoSpaceDN w:val="0"/>
              <w:spacing w:line="240" w:lineRule="exact"/>
              <w:textAlignment w:val="bottom"/>
              <w:rPr>
                <w:rFonts w:ascii="Arial" w:hAnsi="Arial" w:cs="Arial"/>
                <w:sz w:val="16"/>
                <w:szCs w:val="18"/>
              </w:rPr>
            </w:pPr>
          </w:p>
        </w:tc>
        <w:tc>
          <w:tcPr>
            <w:tcW w:w="1812" w:type="dxa"/>
            <w:vAlign w:val="center"/>
          </w:tcPr>
          <w:p w14:paraId="531E3314">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489A604B">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656CED1E">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1ED189DE">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1707F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6AD3940F">
            <w:pPr>
              <w:pStyle w:val="61"/>
              <w:autoSpaceDE w:val="0"/>
              <w:autoSpaceDN w:val="0"/>
              <w:spacing w:line="240" w:lineRule="exact"/>
              <w:textAlignment w:val="bottom"/>
              <w:rPr>
                <w:rFonts w:ascii="Arial" w:hAnsi="Arial" w:cs="Arial"/>
                <w:sz w:val="16"/>
                <w:szCs w:val="18"/>
              </w:rPr>
            </w:pPr>
            <w:r>
              <w:rPr>
                <w:rFonts w:ascii="Arial" w:hAnsi="Arial" w:cs="Arial"/>
                <w:sz w:val="16"/>
                <w:szCs w:val="18"/>
              </w:rPr>
              <w:t>价格</w:t>
            </w:r>
            <w:commentRangeStart w:id="18"/>
            <w:r>
              <w:rPr>
                <w:rFonts w:ascii="Arial" w:hAnsi="Arial" w:cs="Arial"/>
                <w:sz w:val="16"/>
                <w:szCs w:val="18"/>
              </w:rPr>
              <w:t>（</w:t>
            </w:r>
            <w:r>
              <w:rPr>
                <w:rFonts w:hint="eastAsia" w:ascii="Arial" w:hAnsi="Arial" w:cs="Arial"/>
                <w:sz w:val="16"/>
                <w:szCs w:val="18"/>
                <w:lang w:eastAsia="zh-CN"/>
              </w:rPr>
              <w:t>元/㎡·月</w:t>
            </w:r>
            <w:r>
              <w:rPr>
                <w:rFonts w:ascii="Arial" w:hAnsi="Arial" w:cs="Arial"/>
                <w:sz w:val="16"/>
                <w:szCs w:val="18"/>
              </w:rPr>
              <w:t>）</w:t>
            </w:r>
            <w:commentRangeEnd w:id="18"/>
            <w:r>
              <w:rPr>
                <w:rStyle w:val="40"/>
                <w:rFonts w:ascii="Times New Roman"/>
              </w:rPr>
              <w:commentReference w:id="18"/>
            </w:r>
          </w:p>
        </w:tc>
        <w:tc>
          <w:tcPr>
            <w:tcW w:w="1812" w:type="dxa"/>
            <w:vAlign w:val="center"/>
          </w:tcPr>
          <w:p w14:paraId="51E3FD95">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328419F7">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40.52</w:t>
            </w:r>
          </w:p>
        </w:tc>
        <w:tc>
          <w:tcPr>
            <w:tcW w:w="1812" w:type="dxa"/>
            <w:vAlign w:val="center"/>
          </w:tcPr>
          <w:p w14:paraId="10E4F499">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40.12</w:t>
            </w:r>
          </w:p>
        </w:tc>
        <w:tc>
          <w:tcPr>
            <w:tcW w:w="1815" w:type="dxa"/>
            <w:vAlign w:val="center"/>
          </w:tcPr>
          <w:p w14:paraId="3A883938">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41.28</w:t>
            </w:r>
          </w:p>
        </w:tc>
      </w:tr>
    </w:tbl>
    <w:p w14:paraId="278A7DEE">
      <w:pPr>
        <w:wordWrap w:val="0"/>
        <w:overflowPunct w:val="0"/>
        <w:spacing w:line="480" w:lineRule="auto"/>
        <w:ind w:firstLine="420" w:firstLineChars="200"/>
        <w:rPr>
          <w:rFonts w:hint="eastAsia" w:ascii="宋体" w:hAnsi="宋体"/>
          <w:sz w:val="21"/>
          <w:szCs w:val="21"/>
        </w:rPr>
      </w:pPr>
      <w:r>
        <w:rPr>
          <w:rFonts w:ascii="宋体" w:hAnsi="宋体"/>
          <w:sz w:val="21"/>
          <w:szCs w:val="21"/>
        </w:rPr>
        <w:br w:type="page"/>
      </w:r>
      <w:r>
        <w:rPr>
          <w:rFonts w:hint="eastAsia" w:ascii="宋体" w:hAnsi="宋体"/>
          <w:sz w:val="21"/>
          <w:szCs w:val="21"/>
        </w:rPr>
        <w:t>各实例位置如下：</w:t>
      </w:r>
    </w:p>
    <w:tbl>
      <w:tblPr>
        <w:tblStyle w:val="33"/>
        <w:tblW w:w="9300"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28" w:type="dxa"/>
          <w:left w:w="28" w:type="dxa"/>
          <w:bottom w:w="28" w:type="dxa"/>
          <w:right w:w="28" w:type="dxa"/>
        </w:tblCellMar>
      </w:tblPr>
      <w:tblGrid>
        <w:gridCol w:w="9300"/>
      </w:tblGrid>
      <w:tr w14:paraId="3778CCA5">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jc w:val="center"/>
        </w:trPr>
        <w:tc>
          <w:tcPr>
            <w:tcW w:w="9300" w:type="dxa"/>
            <w:tcBorders>
              <w:top w:val="dotted" w:color="404040" w:sz="2" w:space="0"/>
              <w:left w:val="dotted" w:color="404040" w:sz="2" w:space="0"/>
              <w:bottom w:val="dotted" w:color="404040" w:sz="2" w:space="0"/>
              <w:right w:val="dotted" w:color="404040" w:sz="2" w:space="0"/>
            </w:tcBorders>
          </w:tcPr>
          <w:p w14:paraId="070DCCDC">
            <w:pPr>
              <w:jc w:val="center"/>
              <w:rPr>
                <w:rFonts w:hint="eastAsia" w:ascii="华文细黑" w:hAnsi="华文细黑" w:eastAsia="华文细黑"/>
              </w:rPr>
            </w:pPr>
            <w:r>
              <w:rPr>
                <w:rFonts w:hint="eastAsia" w:ascii="华文细黑" w:hAnsi="华文细黑" w:eastAsia="华文细黑"/>
              </w:rPr>
              <w:t>实例位置</w:t>
            </w:r>
          </w:p>
        </w:tc>
      </w:tr>
      <w:tr w14:paraId="793A5E4E">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trHeight w:val="6166" w:hRule="atLeast"/>
          <w:jc w:val="center"/>
        </w:trPr>
        <w:tc>
          <w:tcPr>
            <w:tcW w:w="9300" w:type="dxa"/>
            <w:tcBorders>
              <w:top w:val="dotted" w:color="404040" w:sz="2" w:space="0"/>
              <w:left w:val="dotted" w:color="404040" w:sz="2" w:space="0"/>
              <w:bottom w:val="dotted" w:color="404040" w:sz="2" w:space="0"/>
              <w:right w:val="dotted" w:color="404040" w:sz="2" w:space="0"/>
            </w:tcBorders>
          </w:tcPr>
          <w:p w14:paraId="304F9CAD">
            <w:pPr>
              <w:jc w:val="center"/>
              <w:rPr>
                <w:rFonts w:ascii="Calibri" w:hAnsi="Calibri"/>
              </w:rPr>
            </w:pPr>
            <w:r>
              <w:drawing>
                <wp:inline distT="0" distB="0" distL="114300" distR="114300">
                  <wp:extent cx="5859145" cy="3812540"/>
                  <wp:effectExtent l="0" t="0" r="8255" b="1270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50"/>
                          <a:stretch>
                            <a:fillRect/>
                          </a:stretch>
                        </pic:blipFill>
                        <pic:spPr>
                          <a:xfrm>
                            <a:off x="0" y="0"/>
                            <a:ext cx="5859145" cy="3812540"/>
                          </a:xfrm>
                          <a:prstGeom prst="rect">
                            <a:avLst/>
                          </a:prstGeom>
                          <a:noFill/>
                          <a:ln>
                            <a:noFill/>
                          </a:ln>
                        </pic:spPr>
                      </pic:pic>
                    </a:graphicData>
                  </a:graphic>
                </wp:inline>
              </w:drawing>
            </w:r>
          </w:p>
        </w:tc>
      </w:tr>
    </w:tbl>
    <w:p w14:paraId="4F40BEC9"/>
    <w:p w14:paraId="01E406F4">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（1）建立比较因素条件说明表</w:t>
      </w:r>
      <w:r>
        <w:rPr>
          <w:rFonts w:ascii="Arial" w:hAnsi="Arial"/>
          <w:sz w:val="21"/>
          <w:szCs w:val="21"/>
        </w:rPr>
        <w:t xml:space="preserve"> </w:t>
      </w:r>
    </w:p>
    <w:p w14:paraId="23EB81A1">
      <w:pPr>
        <w:wordWrap w:val="0"/>
        <w:overflowPunct w:val="0"/>
        <w:spacing w:line="480" w:lineRule="auto"/>
        <w:ind w:firstLine="420" w:firstLineChars="200"/>
        <w:rPr>
          <w:rFonts w:ascii="Arial" w:hAnsi="Arial"/>
          <w:sz w:val="21"/>
          <w:szCs w:val="21"/>
        </w:rPr>
      </w:pPr>
      <w:r>
        <w:rPr>
          <w:rFonts w:ascii="Arial" w:hAnsi="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Pr>
          <w:rFonts w:hint="eastAsia" w:ascii="Arial" w:hAnsi="Arial"/>
          <w:sz w:val="21"/>
          <w:szCs w:val="21"/>
        </w:rPr>
        <w:t>：</w:t>
      </w:r>
    </w:p>
    <w:p w14:paraId="1CD8BFCE">
      <w:pPr>
        <w:overflowPunct w:val="0"/>
        <w:spacing w:line="480" w:lineRule="auto"/>
        <w:ind w:firstLine="420" w:firstLineChars="200"/>
        <w:jc w:val="center"/>
        <w:rPr>
          <w:rFonts w:ascii="Arial" w:hAnsi="Arial"/>
          <w:sz w:val="21"/>
          <w:szCs w:val="21"/>
        </w:rPr>
      </w:pPr>
      <w:r>
        <w:rPr>
          <w:rFonts w:hint="eastAsia" w:ascii="Arial" w:hAnsi="Arial"/>
          <w:sz w:val="21"/>
          <w:szCs w:val="21"/>
        </w:rPr>
        <w:t>比较因素情况描述表</w:t>
      </w:r>
    </w:p>
    <w:tbl>
      <w:tblPr>
        <w:tblStyle w:val="33"/>
        <w:tblW w:w="5000" w:type="pct"/>
        <w:jc w:val="center"/>
        <w:tblLayout w:type="autofit"/>
        <w:tblCellMar>
          <w:top w:w="0" w:type="dxa"/>
          <w:left w:w="108" w:type="dxa"/>
          <w:bottom w:w="0" w:type="dxa"/>
          <w:right w:w="108" w:type="dxa"/>
        </w:tblCellMar>
      </w:tblPr>
      <w:tblGrid>
        <w:gridCol w:w="689"/>
        <w:gridCol w:w="1447"/>
        <w:gridCol w:w="1844"/>
        <w:gridCol w:w="1844"/>
        <w:gridCol w:w="1844"/>
        <w:gridCol w:w="1847"/>
      </w:tblGrid>
      <w:tr w14:paraId="55C6DB3A">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000000" w:sz="4" w:space="0"/>
            </w:tcBorders>
            <w:vAlign w:val="center"/>
          </w:tcPr>
          <w:p w14:paraId="424302CD">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968" w:type="pct"/>
            <w:tcBorders>
              <w:top w:val="single" w:color="auto" w:sz="4" w:space="0"/>
              <w:left w:val="nil"/>
              <w:bottom w:val="single" w:color="auto" w:sz="4" w:space="0"/>
              <w:right w:val="single" w:color="auto" w:sz="4" w:space="0"/>
            </w:tcBorders>
            <w:vAlign w:val="center"/>
          </w:tcPr>
          <w:p w14:paraId="1FCF3875">
            <w:pPr>
              <w:widowControl/>
              <w:adjustRightInd/>
              <w:spacing w:line="240" w:lineRule="auto"/>
              <w:jc w:val="center"/>
              <w:textAlignment w:val="auto"/>
              <w:rPr>
                <w:rFonts w:ascii="Arial" w:hAnsi="Arial" w:cs="Arial"/>
                <w:sz w:val="16"/>
                <w:szCs w:val="18"/>
              </w:rPr>
            </w:pPr>
            <w:r>
              <w:rPr>
                <w:rFonts w:ascii="Arial" w:hAnsi="Arial" w:cs="Arial"/>
                <w:sz w:val="16"/>
                <w:szCs w:val="18"/>
              </w:rPr>
              <w:t>估价对象</w:t>
            </w:r>
          </w:p>
        </w:tc>
        <w:tc>
          <w:tcPr>
            <w:tcW w:w="968" w:type="pct"/>
            <w:tcBorders>
              <w:top w:val="single" w:color="auto" w:sz="4" w:space="0"/>
              <w:left w:val="nil"/>
              <w:bottom w:val="single" w:color="auto" w:sz="4" w:space="0"/>
              <w:right w:val="single" w:color="auto" w:sz="4" w:space="0"/>
            </w:tcBorders>
            <w:vAlign w:val="center"/>
          </w:tcPr>
          <w:p w14:paraId="6BB5AD01">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7</w:t>
            </w:r>
          </w:p>
        </w:tc>
        <w:tc>
          <w:tcPr>
            <w:tcW w:w="968" w:type="pct"/>
            <w:tcBorders>
              <w:top w:val="single" w:color="auto" w:sz="4" w:space="0"/>
              <w:left w:val="nil"/>
              <w:bottom w:val="single" w:color="auto" w:sz="4" w:space="0"/>
              <w:right w:val="single" w:color="auto" w:sz="4" w:space="0"/>
            </w:tcBorders>
            <w:vAlign w:val="center"/>
          </w:tcPr>
          <w:p w14:paraId="33BAEAA9">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8</w:t>
            </w:r>
          </w:p>
        </w:tc>
        <w:tc>
          <w:tcPr>
            <w:tcW w:w="970" w:type="pct"/>
            <w:tcBorders>
              <w:top w:val="single" w:color="auto" w:sz="4" w:space="0"/>
              <w:left w:val="nil"/>
              <w:bottom w:val="single" w:color="auto" w:sz="4" w:space="0"/>
              <w:right w:val="single" w:color="auto" w:sz="4" w:space="0"/>
            </w:tcBorders>
            <w:vAlign w:val="center"/>
          </w:tcPr>
          <w:p w14:paraId="24C9336E">
            <w:pPr>
              <w:widowControl/>
              <w:adjustRightInd/>
              <w:spacing w:line="240" w:lineRule="auto"/>
              <w:jc w:val="center"/>
              <w:textAlignment w:val="auto"/>
              <w:rPr>
                <w:rFonts w:ascii="Arial" w:hAnsi="Arial" w:cs="Arial"/>
                <w:sz w:val="16"/>
                <w:szCs w:val="18"/>
              </w:rPr>
            </w:pPr>
            <w:r>
              <w:rPr>
                <w:rFonts w:ascii="Arial" w:hAnsi="Arial" w:cs="Arial"/>
                <w:sz w:val="16"/>
                <w:szCs w:val="18"/>
              </w:rPr>
              <w:t>可比案例</w:t>
            </w:r>
            <w:r>
              <w:rPr>
                <w:rFonts w:hint="eastAsia" w:ascii="Arial" w:hAnsi="Arial" w:cs="Arial"/>
                <w:sz w:val="16"/>
                <w:szCs w:val="18"/>
              </w:rPr>
              <w:t>9</w:t>
            </w:r>
          </w:p>
        </w:tc>
      </w:tr>
      <w:tr w14:paraId="19726506">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48D518DC">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968" w:type="pct"/>
            <w:tcBorders>
              <w:top w:val="nil"/>
              <w:left w:val="nil"/>
              <w:bottom w:val="single" w:color="auto" w:sz="4" w:space="0"/>
              <w:right w:val="single" w:color="auto" w:sz="4" w:space="0"/>
            </w:tcBorders>
            <w:vAlign w:val="center"/>
          </w:tcPr>
          <w:p w14:paraId="32279321">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福兴雅苑</w:t>
            </w:r>
          </w:p>
        </w:tc>
        <w:tc>
          <w:tcPr>
            <w:tcW w:w="968" w:type="pct"/>
            <w:tcBorders>
              <w:top w:val="nil"/>
              <w:left w:val="nil"/>
              <w:bottom w:val="single" w:color="auto" w:sz="4" w:space="0"/>
              <w:right w:val="single" w:color="auto" w:sz="4" w:space="0"/>
            </w:tcBorders>
            <w:vAlign w:val="center"/>
          </w:tcPr>
          <w:p w14:paraId="33441F59">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968" w:type="pct"/>
            <w:tcBorders>
              <w:top w:val="nil"/>
              <w:left w:val="nil"/>
              <w:bottom w:val="single" w:color="auto" w:sz="4" w:space="0"/>
              <w:right w:val="single" w:color="auto" w:sz="4" w:space="0"/>
            </w:tcBorders>
            <w:vAlign w:val="center"/>
          </w:tcPr>
          <w:p w14:paraId="57736250">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锦华园</w:t>
            </w:r>
          </w:p>
        </w:tc>
        <w:tc>
          <w:tcPr>
            <w:tcW w:w="970" w:type="pct"/>
            <w:tcBorders>
              <w:top w:val="nil"/>
              <w:left w:val="nil"/>
              <w:bottom w:val="single" w:color="auto" w:sz="4" w:space="0"/>
              <w:right w:val="single" w:color="auto" w:sz="4" w:space="0"/>
            </w:tcBorders>
            <w:vAlign w:val="center"/>
          </w:tcPr>
          <w:p w14:paraId="008F6DC2">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r>
      <w:tr w14:paraId="03473580">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549A5DD6">
            <w:pPr>
              <w:widowControl/>
              <w:adjustRightInd/>
              <w:spacing w:line="240" w:lineRule="auto"/>
              <w:jc w:val="center"/>
              <w:textAlignment w:val="auto"/>
              <w:rPr>
                <w:rFonts w:ascii="Arial" w:hAnsi="Arial" w:cs="Arial"/>
                <w:sz w:val="16"/>
                <w:szCs w:val="18"/>
              </w:rPr>
            </w:pPr>
            <w:r>
              <w:rPr>
                <w:rFonts w:ascii="Arial" w:hAnsi="Arial" w:cs="Arial"/>
                <w:sz w:val="16"/>
                <w:szCs w:val="18"/>
              </w:rPr>
              <w:t>平均租金（元/平方米·月）</w:t>
            </w:r>
          </w:p>
        </w:tc>
        <w:tc>
          <w:tcPr>
            <w:tcW w:w="968" w:type="pct"/>
            <w:tcBorders>
              <w:top w:val="nil"/>
              <w:left w:val="nil"/>
              <w:bottom w:val="single" w:color="auto" w:sz="4" w:space="0"/>
              <w:right w:val="single" w:color="auto" w:sz="4" w:space="0"/>
            </w:tcBorders>
            <w:vAlign w:val="center"/>
          </w:tcPr>
          <w:p w14:paraId="410ECB19">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968" w:type="pct"/>
            <w:tcBorders>
              <w:top w:val="nil"/>
              <w:left w:val="nil"/>
              <w:bottom w:val="single" w:color="auto" w:sz="4" w:space="0"/>
              <w:right w:val="single" w:color="auto" w:sz="4" w:space="0"/>
            </w:tcBorders>
            <w:vAlign w:val="center"/>
          </w:tcPr>
          <w:p w14:paraId="6F9252E6">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40.52</w:t>
            </w:r>
          </w:p>
        </w:tc>
        <w:tc>
          <w:tcPr>
            <w:tcW w:w="968" w:type="pct"/>
            <w:tcBorders>
              <w:top w:val="nil"/>
              <w:left w:val="nil"/>
              <w:bottom w:val="single" w:color="auto" w:sz="4" w:space="0"/>
              <w:right w:val="single" w:color="auto" w:sz="4" w:space="0"/>
            </w:tcBorders>
            <w:vAlign w:val="center"/>
          </w:tcPr>
          <w:p w14:paraId="5B833312">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40.12</w:t>
            </w:r>
          </w:p>
        </w:tc>
        <w:tc>
          <w:tcPr>
            <w:tcW w:w="970" w:type="pct"/>
            <w:tcBorders>
              <w:top w:val="nil"/>
              <w:left w:val="nil"/>
              <w:bottom w:val="single" w:color="auto" w:sz="4" w:space="0"/>
              <w:right w:val="single" w:color="auto" w:sz="4" w:space="0"/>
            </w:tcBorders>
            <w:vAlign w:val="center"/>
          </w:tcPr>
          <w:p w14:paraId="534B1A92">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41.28</w:t>
            </w:r>
          </w:p>
        </w:tc>
      </w:tr>
      <w:tr w14:paraId="2DF8BA3B">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5DDC1689">
            <w:pPr>
              <w:widowControl/>
              <w:adjustRightInd/>
              <w:spacing w:line="240" w:lineRule="auto"/>
              <w:jc w:val="center"/>
              <w:textAlignment w:val="auto"/>
              <w:rPr>
                <w:rFonts w:ascii="Arial" w:hAnsi="Arial" w:cs="Arial"/>
                <w:sz w:val="16"/>
                <w:szCs w:val="18"/>
              </w:rPr>
            </w:pPr>
            <w:r>
              <w:rPr>
                <w:rFonts w:ascii="Arial" w:hAnsi="Arial" w:cs="Arial"/>
                <w:sz w:val="16"/>
                <w:szCs w:val="18"/>
              </w:rPr>
              <w:t>交易时间</w:t>
            </w:r>
          </w:p>
        </w:tc>
        <w:tc>
          <w:tcPr>
            <w:tcW w:w="968" w:type="pct"/>
            <w:tcBorders>
              <w:top w:val="nil"/>
              <w:left w:val="nil"/>
              <w:bottom w:val="single" w:color="auto" w:sz="4" w:space="0"/>
              <w:right w:val="single" w:color="auto" w:sz="4" w:space="0"/>
            </w:tcBorders>
            <w:vAlign w:val="center"/>
          </w:tcPr>
          <w:p w14:paraId="5F5977F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2026年4月7日</w:t>
            </w:r>
          </w:p>
        </w:tc>
        <w:tc>
          <w:tcPr>
            <w:tcW w:w="968" w:type="pct"/>
            <w:tcBorders>
              <w:top w:val="nil"/>
              <w:left w:val="nil"/>
              <w:bottom w:val="single" w:color="auto" w:sz="4" w:space="0"/>
              <w:right w:val="single" w:color="auto" w:sz="4" w:space="0"/>
            </w:tcBorders>
            <w:vAlign w:val="center"/>
          </w:tcPr>
          <w:p w14:paraId="065C0252">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c>
          <w:tcPr>
            <w:tcW w:w="968" w:type="pct"/>
            <w:tcBorders>
              <w:top w:val="nil"/>
              <w:left w:val="nil"/>
              <w:bottom w:val="single" w:color="auto" w:sz="4" w:space="0"/>
              <w:right w:val="single" w:color="auto" w:sz="4" w:space="0"/>
            </w:tcBorders>
            <w:vAlign w:val="center"/>
          </w:tcPr>
          <w:p w14:paraId="12D1B120">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4</w:t>
            </w:r>
            <w:r>
              <w:rPr>
                <w:rFonts w:ascii="Arial" w:hAnsi="Arial" w:cs="Arial"/>
                <w:sz w:val="16"/>
                <w:szCs w:val="18"/>
              </w:rPr>
              <w:t>月</w:t>
            </w:r>
          </w:p>
        </w:tc>
        <w:tc>
          <w:tcPr>
            <w:tcW w:w="970" w:type="pct"/>
            <w:tcBorders>
              <w:top w:val="nil"/>
              <w:left w:val="nil"/>
              <w:bottom w:val="single" w:color="auto" w:sz="4" w:space="0"/>
              <w:right w:val="single" w:color="auto" w:sz="4" w:space="0"/>
            </w:tcBorders>
            <w:vAlign w:val="center"/>
          </w:tcPr>
          <w:p w14:paraId="1184C7FC">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r>
      <w:tr w14:paraId="5B75AAA3">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3A0D3F4D">
            <w:pPr>
              <w:widowControl/>
              <w:adjustRightInd/>
              <w:spacing w:line="240" w:lineRule="auto"/>
              <w:jc w:val="center"/>
              <w:textAlignment w:val="auto"/>
              <w:rPr>
                <w:rFonts w:ascii="Arial" w:hAnsi="Arial" w:cs="Arial"/>
                <w:sz w:val="16"/>
                <w:szCs w:val="18"/>
              </w:rPr>
            </w:pPr>
            <w:r>
              <w:rPr>
                <w:rFonts w:ascii="Arial" w:hAnsi="Arial" w:cs="Arial"/>
                <w:sz w:val="16"/>
                <w:szCs w:val="18"/>
              </w:rPr>
              <w:t>交易情况</w:t>
            </w:r>
          </w:p>
        </w:tc>
        <w:tc>
          <w:tcPr>
            <w:tcW w:w="968" w:type="pct"/>
            <w:tcBorders>
              <w:top w:val="nil"/>
              <w:left w:val="nil"/>
              <w:bottom w:val="single" w:color="auto" w:sz="4" w:space="0"/>
              <w:right w:val="single" w:color="auto" w:sz="4" w:space="0"/>
            </w:tcBorders>
            <w:vAlign w:val="center"/>
          </w:tcPr>
          <w:p w14:paraId="29424CF5">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6F8F20A1">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60E3A138">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70" w:type="pct"/>
            <w:tcBorders>
              <w:top w:val="nil"/>
              <w:left w:val="nil"/>
              <w:bottom w:val="single" w:color="auto" w:sz="4" w:space="0"/>
              <w:right w:val="single" w:color="auto" w:sz="4" w:space="0"/>
            </w:tcBorders>
            <w:vAlign w:val="center"/>
          </w:tcPr>
          <w:p w14:paraId="17ACCE5E">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r>
      <w:tr w14:paraId="4711B551">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4C201BC9">
            <w:pPr>
              <w:widowControl/>
              <w:adjustRightInd/>
              <w:spacing w:line="240" w:lineRule="auto"/>
              <w:jc w:val="center"/>
              <w:textAlignment w:val="auto"/>
              <w:rPr>
                <w:rFonts w:ascii="Arial" w:hAnsi="Arial" w:cs="Arial"/>
                <w:sz w:val="16"/>
                <w:szCs w:val="18"/>
              </w:rPr>
            </w:pPr>
            <w:r>
              <w:rPr>
                <w:rFonts w:ascii="Arial" w:hAnsi="Arial" w:cs="Arial"/>
                <w:sz w:val="16"/>
                <w:szCs w:val="18"/>
              </w:rPr>
              <w:t>项目类型</w:t>
            </w:r>
          </w:p>
        </w:tc>
        <w:tc>
          <w:tcPr>
            <w:tcW w:w="968" w:type="pct"/>
            <w:tcBorders>
              <w:top w:val="nil"/>
              <w:left w:val="nil"/>
              <w:bottom w:val="single" w:color="auto" w:sz="4" w:space="0"/>
              <w:right w:val="single" w:color="auto" w:sz="4" w:space="0"/>
            </w:tcBorders>
            <w:vAlign w:val="center"/>
          </w:tcPr>
          <w:p w14:paraId="06D6CF6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79E0678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30F0AB9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70" w:type="pct"/>
            <w:tcBorders>
              <w:top w:val="nil"/>
              <w:left w:val="nil"/>
              <w:bottom w:val="single" w:color="auto" w:sz="4" w:space="0"/>
              <w:right w:val="single" w:color="auto" w:sz="4" w:space="0"/>
            </w:tcBorders>
            <w:vAlign w:val="center"/>
          </w:tcPr>
          <w:p w14:paraId="1BF2A78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r>
      <w:tr w14:paraId="73F96AC9">
        <w:tblPrEx>
          <w:tblCellMar>
            <w:top w:w="0" w:type="dxa"/>
            <w:left w:w="108" w:type="dxa"/>
            <w:bottom w:w="0" w:type="dxa"/>
            <w:right w:w="108" w:type="dxa"/>
          </w:tblCellMar>
        </w:tblPrEx>
        <w:trPr>
          <w:trHeight w:val="1442" w:hRule="atLeast"/>
          <w:jc w:val="center"/>
        </w:trPr>
        <w:tc>
          <w:tcPr>
            <w:tcW w:w="362" w:type="pct"/>
            <w:vMerge w:val="restart"/>
            <w:tcBorders>
              <w:top w:val="nil"/>
              <w:left w:val="single" w:color="auto" w:sz="4" w:space="0"/>
              <w:bottom w:val="single" w:color="000000" w:sz="4" w:space="0"/>
              <w:right w:val="single" w:color="auto" w:sz="4" w:space="0"/>
            </w:tcBorders>
            <w:vAlign w:val="center"/>
          </w:tcPr>
          <w:p w14:paraId="0D65C503">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759" w:type="pct"/>
            <w:tcBorders>
              <w:top w:val="nil"/>
              <w:left w:val="nil"/>
              <w:bottom w:val="single" w:color="auto" w:sz="4" w:space="0"/>
              <w:right w:val="single" w:color="auto" w:sz="4" w:space="0"/>
            </w:tcBorders>
            <w:vAlign w:val="center"/>
          </w:tcPr>
          <w:p w14:paraId="1443BCBD">
            <w:pPr>
              <w:widowControl/>
              <w:adjustRightInd/>
              <w:spacing w:line="240" w:lineRule="auto"/>
              <w:jc w:val="center"/>
              <w:textAlignment w:val="auto"/>
              <w:rPr>
                <w:rFonts w:ascii="Arial" w:hAnsi="Arial" w:cs="Arial"/>
                <w:sz w:val="16"/>
                <w:szCs w:val="18"/>
              </w:rPr>
            </w:pPr>
            <w:r>
              <w:rPr>
                <w:rFonts w:ascii="Arial" w:hAnsi="Arial" w:cs="Arial"/>
                <w:sz w:val="16"/>
                <w:szCs w:val="18"/>
              </w:rPr>
              <w:t>居住区成熟度</w:t>
            </w:r>
          </w:p>
        </w:tc>
        <w:tc>
          <w:tcPr>
            <w:tcW w:w="968" w:type="pct"/>
            <w:tcBorders>
              <w:top w:val="nil"/>
              <w:left w:val="nil"/>
              <w:bottom w:val="single" w:color="auto" w:sz="4" w:space="0"/>
              <w:right w:val="single" w:color="auto" w:sz="4" w:space="0"/>
            </w:tcBorders>
            <w:vAlign w:val="center"/>
          </w:tcPr>
          <w:p w14:paraId="05AC5E6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内有车站中里小区、海悦公馆、海子角小区、物资局小区、义和庄东里、锦华园小区、兴水家园、漪景园、埝坛华庭等居住项目，居住小区规模适中，入住率较好，综合评价居住社区成熟度较好</w:t>
            </w:r>
          </w:p>
        </w:tc>
        <w:tc>
          <w:tcPr>
            <w:tcW w:w="968" w:type="pct"/>
            <w:tcBorders>
              <w:top w:val="nil"/>
              <w:left w:val="nil"/>
              <w:bottom w:val="single" w:color="auto" w:sz="4" w:space="0"/>
              <w:right w:val="single" w:color="auto" w:sz="4" w:space="0"/>
            </w:tcBorders>
            <w:vAlign w:val="center"/>
          </w:tcPr>
          <w:p w14:paraId="40AF452D">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周边2公里内有漪景苑、埝坛华庭北区、壹品兴创颐和公馆、矿林庄小区、锦华园小区、义和庄东里等居住项目，居住小区规模适中，入住率较好，综合评价居住区成熟度较好</w:t>
            </w:r>
          </w:p>
        </w:tc>
        <w:tc>
          <w:tcPr>
            <w:tcW w:w="968" w:type="pct"/>
            <w:tcBorders>
              <w:top w:val="nil"/>
              <w:left w:val="nil"/>
              <w:bottom w:val="single" w:color="auto" w:sz="4" w:space="0"/>
              <w:right w:val="single" w:color="auto" w:sz="4" w:space="0"/>
            </w:tcBorders>
            <w:vAlign w:val="center"/>
          </w:tcPr>
          <w:p w14:paraId="1EFDB76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周边2公里内有义和庄北里、中骏金辉未来云城、漪景苑、埝坛华庭北区、壹品兴创颐和公馆、矿林庄小区、义和庄东里等居住项目，居住小区规模适中，入住率较好，综合评价居住区成熟度较好</w:t>
            </w:r>
          </w:p>
        </w:tc>
        <w:tc>
          <w:tcPr>
            <w:tcW w:w="970" w:type="pct"/>
            <w:tcBorders>
              <w:top w:val="nil"/>
              <w:left w:val="nil"/>
              <w:bottom w:val="single" w:color="auto" w:sz="4" w:space="0"/>
              <w:right w:val="single" w:color="auto" w:sz="4" w:space="0"/>
            </w:tcBorders>
            <w:vAlign w:val="center"/>
          </w:tcPr>
          <w:p w14:paraId="06728F8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周边2公里内有德贤华府、埝坛华庭西区、埝坛华庭北区等居住项目，居住小区规模适中，入住率一般，综合评价居住社区成熟度一般</w:t>
            </w:r>
          </w:p>
        </w:tc>
      </w:tr>
      <w:tr w14:paraId="736CB940">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42829010">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25DD9725">
            <w:pPr>
              <w:widowControl/>
              <w:adjustRightInd/>
              <w:spacing w:line="240" w:lineRule="auto"/>
              <w:jc w:val="center"/>
              <w:textAlignment w:val="auto"/>
              <w:rPr>
                <w:rFonts w:ascii="Arial" w:hAnsi="Arial" w:cs="Arial"/>
                <w:sz w:val="16"/>
                <w:szCs w:val="18"/>
              </w:rPr>
            </w:pPr>
            <w:r>
              <w:rPr>
                <w:rFonts w:ascii="Arial" w:hAnsi="Arial" w:cs="Arial"/>
                <w:sz w:val="16"/>
                <w:szCs w:val="18"/>
              </w:rPr>
              <w:t>道路通达度</w:t>
            </w:r>
          </w:p>
        </w:tc>
        <w:tc>
          <w:tcPr>
            <w:tcW w:w="968" w:type="pct"/>
            <w:tcBorders>
              <w:top w:val="nil"/>
              <w:left w:val="nil"/>
              <w:bottom w:val="single" w:color="auto" w:sz="4" w:space="0"/>
              <w:right w:val="single" w:color="auto" w:sz="4" w:space="0"/>
            </w:tcBorders>
            <w:vAlign w:val="center"/>
          </w:tcPr>
          <w:p w14:paraId="40FC3E6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周边500米内有城市主干道——林校路</w:t>
            </w:r>
          </w:p>
        </w:tc>
        <w:tc>
          <w:tcPr>
            <w:tcW w:w="968" w:type="pct"/>
            <w:tcBorders>
              <w:top w:val="nil"/>
              <w:left w:val="nil"/>
              <w:bottom w:val="single" w:color="auto" w:sz="4" w:space="0"/>
              <w:right w:val="single" w:color="auto" w:sz="4" w:space="0"/>
            </w:tcBorders>
            <w:vAlign w:val="center"/>
          </w:tcPr>
          <w:p w14:paraId="27F2FF1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周边500米内有城市主干道——林校路</w:t>
            </w:r>
          </w:p>
        </w:tc>
        <w:tc>
          <w:tcPr>
            <w:tcW w:w="968" w:type="pct"/>
            <w:tcBorders>
              <w:top w:val="nil"/>
              <w:left w:val="nil"/>
              <w:bottom w:val="single" w:color="auto" w:sz="4" w:space="0"/>
              <w:right w:val="single" w:color="auto" w:sz="4" w:space="0"/>
            </w:tcBorders>
            <w:vAlign w:val="center"/>
          </w:tcPr>
          <w:p w14:paraId="302FD624">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周边500米内有城市主干道——兴华大街</w:t>
            </w:r>
          </w:p>
        </w:tc>
        <w:tc>
          <w:tcPr>
            <w:tcW w:w="970" w:type="pct"/>
            <w:tcBorders>
              <w:top w:val="nil"/>
              <w:left w:val="nil"/>
              <w:bottom w:val="single" w:color="auto" w:sz="4" w:space="0"/>
              <w:right w:val="single" w:color="auto" w:sz="4" w:space="0"/>
            </w:tcBorders>
            <w:vAlign w:val="center"/>
          </w:tcPr>
          <w:p w14:paraId="3636E7F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周边500米内有城市主干道——兴良路</w:t>
            </w:r>
          </w:p>
        </w:tc>
      </w:tr>
      <w:tr w14:paraId="718407BB">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2D0BCF00">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39110B7E">
            <w:pPr>
              <w:widowControl/>
              <w:adjustRightInd/>
              <w:spacing w:line="240" w:lineRule="auto"/>
              <w:jc w:val="center"/>
              <w:textAlignment w:val="auto"/>
              <w:rPr>
                <w:rFonts w:ascii="Arial" w:hAnsi="Arial" w:cs="Arial"/>
                <w:sz w:val="16"/>
                <w:szCs w:val="18"/>
              </w:rPr>
            </w:pPr>
            <w:r>
              <w:rPr>
                <w:rFonts w:ascii="Arial" w:hAnsi="Arial" w:cs="Arial"/>
                <w:sz w:val="16"/>
                <w:szCs w:val="18"/>
              </w:rPr>
              <w:t>距离轨道交通站点距离</w:t>
            </w:r>
          </w:p>
        </w:tc>
        <w:tc>
          <w:tcPr>
            <w:tcW w:w="968" w:type="pct"/>
            <w:tcBorders>
              <w:top w:val="nil"/>
              <w:left w:val="nil"/>
              <w:bottom w:val="single" w:color="auto" w:sz="4" w:space="0"/>
              <w:right w:val="single" w:color="auto" w:sz="4" w:space="0"/>
            </w:tcBorders>
            <w:vAlign w:val="center"/>
          </w:tcPr>
          <w:p w14:paraId="5DF2A81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周边2公里范围内有轨道交通站点（地铁4号线黄村火车站）</w:t>
            </w:r>
          </w:p>
        </w:tc>
        <w:tc>
          <w:tcPr>
            <w:tcW w:w="968" w:type="pct"/>
            <w:tcBorders>
              <w:top w:val="nil"/>
              <w:left w:val="nil"/>
              <w:bottom w:val="single" w:color="auto" w:sz="4" w:space="0"/>
              <w:right w:val="single" w:color="auto" w:sz="4" w:space="0"/>
            </w:tcBorders>
            <w:vAlign w:val="center"/>
          </w:tcPr>
          <w:p w14:paraId="4127EAA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周边2公里范围内有轨道交通站点（地铁4号线义和庄站）</w:t>
            </w:r>
          </w:p>
        </w:tc>
        <w:tc>
          <w:tcPr>
            <w:tcW w:w="968" w:type="pct"/>
            <w:tcBorders>
              <w:top w:val="nil"/>
              <w:left w:val="nil"/>
              <w:bottom w:val="single" w:color="auto" w:sz="4" w:space="0"/>
              <w:right w:val="single" w:color="auto" w:sz="4" w:space="0"/>
            </w:tcBorders>
            <w:vAlign w:val="center"/>
          </w:tcPr>
          <w:p w14:paraId="3361D02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周边2公里范围内有轨道交通站点（地铁4号线黄村火车站）</w:t>
            </w:r>
          </w:p>
        </w:tc>
        <w:tc>
          <w:tcPr>
            <w:tcW w:w="970" w:type="pct"/>
            <w:tcBorders>
              <w:top w:val="nil"/>
              <w:left w:val="nil"/>
              <w:bottom w:val="single" w:color="auto" w:sz="4" w:space="0"/>
              <w:right w:val="single" w:color="auto" w:sz="4" w:space="0"/>
            </w:tcBorders>
            <w:vAlign w:val="center"/>
          </w:tcPr>
          <w:p w14:paraId="4A7B269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r>
      <w:tr w14:paraId="4CB65BE2">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71297675">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5EB26B80">
            <w:pPr>
              <w:widowControl/>
              <w:adjustRightInd/>
              <w:spacing w:line="240" w:lineRule="auto"/>
              <w:jc w:val="center"/>
              <w:textAlignment w:val="auto"/>
              <w:rPr>
                <w:rFonts w:ascii="Arial" w:hAnsi="Arial" w:cs="Arial"/>
                <w:sz w:val="16"/>
                <w:szCs w:val="18"/>
              </w:rPr>
            </w:pPr>
            <w:r>
              <w:rPr>
                <w:rFonts w:ascii="Arial" w:hAnsi="Arial" w:cs="Arial"/>
                <w:sz w:val="16"/>
                <w:szCs w:val="18"/>
              </w:rPr>
              <w:t>距离公交站点距离</w:t>
            </w:r>
          </w:p>
        </w:tc>
        <w:tc>
          <w:tcPr>
            <w:tcW w:w="968" w:type="pct"/>
            <w:tcBorders>
              <w:top w:val="nil"/>
              <w:left w:val="nil"/>
              <w:bottom w:val="single" w:color="auto" w:sz="4" w:space="0"/>
              <w:right w:val="single" w:color="auto" w:sz="4" w:space="0"/>
            </w:tcBorders>
            <w:vAlign w:val="center"/>
          </w:tcPr>
          <w:p w14:paraId="7DD2F73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周边1公里内有827路、829路、840路、兴11路、兴21路、兴52路等公交线路途径并设立站点</w:t>
            </w:r>
          </w:p>
        </w:tc>
        <w:tc>
          <w:tcPr>
            <w:tcW w:w="968" w:type="pct"/>
            <w:tcBorders>
              <w:top w:val="nil"/>
              <w:left w:val="nil"/>
              <w:bottom w:val="single" w:color="auto" w:sz="4" w:space="0"/>
              <w:right w:val="single" w:color="auto" w:sz="4" w:space="0"/>
            </w:tcBorders>
            <w:vAlign w:val="center"/>
          </w:tcPr>
          <w:p w14:paraId="21632AD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周边1公里内有827路、829路、840路、兴11路、兴21路等公交线路途径并设立站点</w:t>
            </w:r>
          </w:p>
        </w:tc>
        <w:tc>
          <w:tcPr>
            <w:tcW w:w="968" w:type="pct"/>
            <w:tcBorders>
              <w:top w:val="nil"/>
              <w:left w:val="nil"/>
              <w:bottom w:val="single" w:color="auto" w:sz="4" w:space="0"/>
              <w:right w:val="single" w:color="auto" w:sz="4" w:space="0"/>
            </w:tcBorders>
            <w:vAlign w:val="center"/>
          </w:tcPr>
          <w:p w14:paraId="74701C2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周边1公里内有兴12路、兴16路、兴37路、兴77路等公交线路途径并设立站点</w:t>
            </w:r>
          </w:p>
        </w:tc>
        <w:tc>
          <w:tcPr>
            <w:tcW w:w="970" w:type="pct"/>
            <w:tcBorders>
              <w:top w:val="nil"/>
              <w:left w:val="nil"/>
              <w:bottom w:val="single" w:color="auto" w:sz="4" w:space="0"/>
              <w:right w:val="single" w:color="auto" w:sz="4" w:space="0"/>
            </w:tcBorders>
            <w:vAlign w:val="center"/>
          </w:tcPr>
          <w:p w14:paraId="0BF4E30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周边1公里内有兴13路、兴37路、兴53路、840路等公交线路途径并设立站点</w:t>
            </w:r>
          </w:p>
        </w:tc>
      </w:tr>
      <w:tr w14:paraId="717D91FB">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0AEFCCDD">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2C92F30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环境质量优劣度</w:t>
            </w:r>
          </w:p>
        </w:tc>
        <w:tc>
          <w:tcPr>
            <w:tcW w:w="968" w:type="pct"/>
            <w:tcBorders>
              <w:top w:val="nil"/>
              <w:left w:val="nil"/>
              <w:bottom w:val="single" w:color="auto" w:sz="4" w:space="0"/>
              <w:right w:val="single" w:color="auto" w:sz="4" w:space="0"/>
            </w:tcBorders>
            <w:vAlign w:val="center"/>
          </w:tcPr>
          <w:p w14:paraId="1C815A7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68" w:type="pct"/>
            <w:tcBorders>
              <w:top w:val="nil"/>
              <w:left w:val="nil"/>
              <w:bottom w:val="single" w:color="auto" w:sz="4" w:space="0"/>
              <w:right w:val="single" w:color="auto" w:sz="4" w:space="0"/>
            </w:tcBorders>
            <w:vAlign w:val="center"/>
          </w:tcPr>
          <w:p w14:paraId="29782654">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周边5km内无污染源</w:t>
            </w:r>
          </w:p>
        </w:tc>
        <w:tc>
          <w:tcPr>
            <w:tcW w:w="968" w:type="pct"/>
            <w:tcBorders>
              <w:top w:val="nil"/>
              <w:left w:val="nil"/>
              <w:bottom w:val="single" w:color="auto" w:sz="4" w:space="0"/>
              <w:right w:val="single" w:color="auto" w:sz="4" w:space="0"/>
            </w:tcBorders>
            <w:vAlign w:val="center"/>
          </w:tcPr>
          <w:p w14:paraId="0163269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70" w:type="pct"/>
            <w:tcBorders>
              <w:top w:val="nil"/>
              <w:left w:val="nil"/>
              <w:bottom w:val="single" w:color="auto" w:sz="4" w:space="0"/>
              <w:right w:val="single" w:color="auto" w:sz="4" w:space="0"/>
            </w:tcBorders>
            <w:vAlign w:val="center"/>
          </w:tcPr>
          <w:p w14:paraId="53CCC3B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r>
      <w:tr w14:paraId="2FEA9B9C">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79564690">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7DDDF03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自然及人文环境</w:t>
            </w:r>
          </w:p>
        </w:tc>
        <w:tc>
          <w:tcPr>
            <w:tcW w:w="968" w:type="pct"/>
            <w:tcBorders>
              <w:top w:val="nil"/>
              <w:left w:val="nil"/>
              <w:bottom w:val="single" w:color="auto" w:sz="4" w:space="0"/>
              <w:right w:val="single" w:color="auto" w:sz="4" w:space="0"/>
            </w:tcBorders>
            <w:vAlign w:val="center"/>
          </w:tcPr>
          <w:p w14:paraId="4655F34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估价对象周边2公里有念坛公园、兴良路公园、永定公园、小龙河等自然景观，有中央文化和旅游管理干部学院、国家林业和草原局管理干部学院等人文环境、综合评价自然与人文环境较好</w:t>
            </w:r>
          </w:p>
        </w:tc>
        <w:tc>
          <w:tcPr>
            <w:tcW w:w="968" w:type="pct"/>
            <w:tcBorders>
              <w:top w:val="nil"/>
              <w:left w:val="nil"/>
              <w:bottom w:val="single" w:color="auto" w:sz="4" w:space="0"/>
              <w:right w:val="single" w:color="auto" w:sz="4" w:space="0"/>
            </w:tcBorders>
            <w:vAlign w:val="center"/>
          </w:tcPr>
          <w:p w14:paraId="6A61ED23">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周边2公里有念坛公园、兴良路公园、永定公园、小龙河等自然景观，有中央文化和旅游管理干部学院、国家林业和草原局管理干部学院等人文环境、综合评价自然与人文环境较好</w:t>
            </w:r>
          </w:p>
        </w:tc>
        <w:tc>
          <w:tcPr>
            <w:tcW w:w="968" w:type="pct"/>
            <w:tcBorders>
              <w:top w:val="nil"/>
              <w:left w:val="nil"/>
              <w:bottom w:val="single" w:color="auto" w:sz="4" w:space="0"/>
              <w:right w:val="single" w:color="auto" w:sz="4" w:space="0"/>
            </w:tcBorders>
            <w:vAlign w:val="center"/>
          </w:tcPr>
          <w:p w14:paraId="49D34077">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周边2公里有念坛公园、兴良路公园、永定公园、小龙河等自然景观，有中央文化和旅游管理干部学院、国家林业和草原局管理干部学院等人文环境、综合评价自然与人文环境较好</w:t>
            </w:r>
          </w:p>
        </w:tc>
        <w:tc>
          <w:tcPr>
            <w:tcW w:w="970" w:type="pct"/>
            <w:tcBorders>
              <w:top w:val="nil"/>
              <w:left w:val="nil"/>
              <w:bottom w:val="single" w:color="auto" w:sz="4" w:space="0"/>
              <w:right w:val="single" w:color="auto" w:sz="4" w:space="0"/>
            </w:tcBorders>
            <w:vAlign w:val="center"/>
          </w:tcPr>
          <w:p w14:paraId="485CEC86">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周边2公里有念坛公园、兴良路公园、永定公园、小龙河等自然景观，有首都医科大学（大兴校区）、金隅高新产业园等人文环境、综合评价自然与人文环境较好</w:t>
            </w:r>
          </w:p>
        </w:tc>
      </w:tr>
      <w:tr w14:paraId="691FC9C4">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56607BB9">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4E77500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小区环境</w:t>
            </w:r>
          </w:p>
        </w:tc>
        <w:tc>
          <w:tcPr>
            <w:tcW w:w="968" w:type="pct"/>
            <w:tcBorders>
              <w:top w:val="nil"/>
              <w:left w:val="nil"/>
              <w:bottom w:val="single" w:color="auto" w:sz="4" w:space="0"/>
              <w:right w:val="single" w:color="auto" w:sz="4" w:space="0"/>
            </w:tcBorders>
            <w:vAlign w:val="center"/>
          </w:tcPr>
          <w:p w14:paraId="52471FD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68" w:type="pct"/>
            <w:tcBorders>
              <w:top w:val="nil"/>
              <w:left w:val="nil"/>
              <w:bottom w:val="single" w:color="auto" w:sz="4" w:space="0"/>
              <w:right w:val="single" w:color="auto" w:sz="4" w:space="0"/>
            </w:tcBorders>
            <w:vAlign w:val="center"/>
          </w:tcPr>
          <w:p w14:paraId="0D9D9DDA">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小区道路整洁、绿化率高、有景观设计、人车分</w:t>
            </w:r>
            <w:r>
              <w:rPr>
                <w:rFonts w:hint="eastAsia" w:ascii="Arial" w:hAnsi="Arial" w:cs="Arial"/>
                <w:sz w:val="16"/>
                <w:szCs w:val="18"/>
              </w:rPr>
              <w:t>流</w:t>
            </w:r>
          </w:p>
        </w:tc>
        <w:tc>
          <w:tcPr>
            <w:tcW w:w="968" w:type="pct"/>
            <w:tcBorders>
              <w:top w:val="nil"/>
              <w:left w:val="nil"/>
              <w:bottom w:val="single" w:color="auto" w:sz="4" w:space="0"/>
              <w:right w:val="single" w:color="auto" w:sz="4" w:space="0"/>
            </w:tcBorders>
            <w:vAlign w:val="center"/>
          </w:tcPr>
          <w:p w14:paraId="72BD7BC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70" w:type="pct"/>
            <w:tcBorders>
              <w:top w:val="nil"/>
              <w:left w:val="nil"/>
              <w:bottom w:val="single" w:color="auto" w:sz="4" w:space="0"/>
              <w:right w:val="single" w:color="auto" w:sz="4" w:space="0"/>
            </w:tcBorders>
            <w:vAlign w:val="center"/>
          </w:tcPr>
          <w:p w14:paraId="6A41607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r>
      <w:tr w14:paraId="4BC57CEA">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038C580C">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3A1A70C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公共服务设施状况</w:t>
            </w:r>
          </w:p>
        </w:tc>
        <w:tc>
          <w:tcPr>
            <w:tcW w:w="968" w:type="pct"/>
            <w:tcBorders>
              <w:top w:val="nil"/>
              <w:left w:val="nil"/>
              <w:bottom w:val="single" w:color="auto" w:sz="4" w:space="0"/>
              <w:right w:val="single" w:color="auto" w:sz="4" w:space="0"/>
            </w:tcBorders>
            <w:vAlign w:val="center"/>
          </w:tcPr>
          <w:p w14:paraId="2365EA9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估价对象所在区域周边2公里范围内有大兴星城商厦、大兴大悦春风里等商业场所；有北京市大兴区永华实验学校、</w:t>
            </w:r>
            <w:r>
              <w:rPr>
                <w:rFonts w:hint="eastAsia" w:ascii="Arial" w:hAnsi="Arial" w:cs="Arial"/>
                <w:sz w:val="16"/>
                <w:szCs w:val="18"/>
                <w:lang w:eastAsia="zh-CN"/>
              </w:rPr>
              <w:t>北京市</w:t>
            </w:r>
            <w:r>
              <w:rPr>
                <w:rFonts w:hint="eastAsia" w:ascii="Arial" w:hAnsi="Arial" w:cs="Arial"/>
                <w:sz w:val="16"/>
                <w:szCs w:val="18"/>
              </w:rPr>
              <w:t>大兴区第一中学、北京市大兴区第八小学、泰禾幼儿园（大兴园区）等教育机构，有北京市大兴区心康医院、北京市大兴区人民医院等医疗机构；有华夏银行、北京银行等金融网点，公共配套设施状况较好</w:t>
            </w:r>
          </w:p>
        </w:tc>
        <w:tc>
          <w:tcPr>
            <w:tcW w:w="968" w:type="pct"/>
            <w:tcBorders>
              <w:top w:val="nil"/>
              <w:left w:val="nil"/>
              <w:bottom w:val="single" w:color="auto" w:sz="4" w:space="0"/>
              <w:right w:val="single" w:color="auto" w:sz="4" w:space="0"/>
            </w:tcBorders>
            <w:vAlign w:val="center"/>
          </w:tcPr>
          <w:p w14:paraId="17E4C02D">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周边2公里范围内有大兴星城商厦、大兴大悦春风里等商业场所；有北京市大兴区永华实验学校、</w:t>
            </w:r>
            <w:r>
              <w:rPr>
                <w:rFonts w:hint="eastAsia" w:ascii="宋体" w:hAnsi="宋体" w:cs="Arial"/>
                <w:sz w:val="16"/>
                <w:szCs w:val="18"/>
                <w:lang w:eastAsia="zh-CN"/>
              </w:rPr>
              <w:t>北京市</w:t>
            </w:r>
            <w:r>
              <w:rPr>
                <w:rFonts w:hint="eastAsia" w:ascii="宋体" w:hAnsi="宋体" w:cs="Arial"/>
                <w:sz w:val="16"/>
                <w:szCs w:val="18"/>
              </w:rPr>
              <w:t>大兴区第一中学、北京市大兴区第八小学、泰禾幼儿园（大兴园区）等教育机构，有北京市大兴区心康医院、北京市大兴区人民医院等医疗机构；有华夏银行、北京银行等金融网点，公共配套设施状况较好</w:t>
            </w:r>
          </w:p>
        </w:tc>
        <w:tc>
          <w:tcPr>
            <w:tcW w:w="968" w:type="pct"/>
            <w:tcBorders>
              <w:top w:val="nil"/>
              <w:left w:val="nil"/>
              <w:bottom w:val="single" w:color="auto" w:sz="4" w:space="0"/>
              <w:right w:val="single" w:color="auto" w:sz="4" w:space="0"/>
            </w:tcBorders>
            <w:vAlign w:val="center"/>
          </w:tcPr>
          <w:p w14:paraId="3DAD4FB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周边2公里范围内有大兴星城商厦、大兴大悦春风里等商业场所；有北京市大兴区永华实验学校、</w:t>
            </w:r>
            <w:r>
              <w:rPr>
                <w:rFonts w:hint="eastAsia" w:ascii="Arial" w:hAnsi="Arial" w:cs="Arial"/>
                <w:sz w:val="16"/>
                <w:szCs w:val="18"/>
                <w:lang w:eastAsia="zh-CN"/>
              </w:rPr>
              <w:t>北京市</w:t>
            </w:r>
            <w:r>
              <w:rPr>
                <w:rFonts w:hint="eastAsia" w:ascii="Arial" w:hAnsi="Arial" w:cs="Arial"/>
                <w:sz w:val="16"/>
                <w:szCs w:val="18"/>
              </w:rPr>
              <w:t>大兴区第一中学、北京市大兴区第八小学、泰禾幼儿园（大兴园区）等教育机构，有北京市大兴区心康医院、北京市大兴区人民医院等医疗机构；有华夏银行、北京银行等金融网点，公共配套设施状况较好</w:t>
            </w:r>
          </w:p>
        </w:tc>
        <w:tc>
          <w:tcPr>
            <w:tcW w:w="970" w:type="pct"/>
            <w:tcBorders>
              <w:top w:val="nil"/>
              <w:left w:val="nil"/>
              <w:bottom w:val="single" w:color="auto" w:sz="4" w:space="0"/>
              <w:right w:val="single" w:color="auto" w:sz="4" w:space="0"/>
            </w:tcBorders>
            <w:vAlign w:val="center"/>
          </w:tcPr>
          <w:p w14:paraId="3CD829B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大型购物中心，有世纪华联超市（太福店）超市等生活配套商业；有北京教育学院附属大兴实验小学、联港嘉园幼儿园等教育机构，有北臧村社区卫生服务中心等医疗机构；有北京农商银行（联港嘉园分理处）等金融网点，公共配套设施状况一般</w:t>
            </w:r>
          </w:p>
        </w:tc>
      </w:tr>
      <w:tr w14:paraId="6BF824E9">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72560D9F">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6A558D3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建筑类型</w:t>
            </w:r>
          </w:p>
        </w:tc>
        <w:tc>
          <w:tcPr>
            <w:tcW w:w="968" w:type="pct"/>
            <w:tcBorders>
              <w:top w:val="nil"/>
              <w:left w:val="nil"/>
              <w:bottom w:val="single" w:color="auto" w:sz="4" w:space="0"/>
              <w:right w:val="single" w:color="auto" w:sz="4" w:space="0"/>
            </w:tcBorders>
            <w:vAlign w:val="center"/>
          </w:tcPr>
          <w:p w14:paraId="6F16512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高层板楼</w:t>
            </w:r>
          </w:p>
        </w:tc>
        <w:tc>
          <w:tcPr>
            <w:tcW w:w="968" w:type="pct"/>
            <w:tcBorders>
              <w:top w:val="nil"/>
              <w:left w:val="nil"/>
              <w:bottom w:val="single" w:color="auto" w:sz="4" w:space="0"/>
              <w:right w:val="single" w:color="auto" w:sz="4" w:space="0"/>
            </w:tcBorders>
            <w:vAlign w:val="center"/>
          </w:tcPr>
          <w:p w14:paraId="4634933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68" w:type="pct"/>
            <w:tcBorders>
              <w:top w:val="nil"/>
              <w:left w:val="nil"/>
              <w:bottom w:val="single" w:color="auto" w:sz="4" w:space="0"/>
              <w:right w:val="single" w:color="auto" w:sz="4" w:space="0"/>
            </w:tcBorders>
            <w:vAlign w:val="center"/>
          </w:tcPr>
          <w:p w14:paraId="6A00B8F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70" w:type="pct"/>
            <w:tcBorders>
              <w:top w:val="nil"/>
              <w:left w:val="nil"/>
              <w:bottom w:val="single" w:color="auto" w:sz="4" w:space="0"/>
              <w:right w:val="single" w:color="auto" w:sz="4" w:space="0"/>
            </w:tcBorders>
            <w:vAlign w:val="center"/>
          </w:tcPr>
          <w:p w14:paraId="38C4AB9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小高层板楼</w:t>
            </w:r>
          </w:p>
        </w:tc>
      </w:tr>
      <w:tr w14:paraId="4072C222">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29ACE30D">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688F2C7B">
            <w:pPr>
              <w:widowControl/>
              <w:adjustRightInd/>
              <w:spacing w:line="240" w:lineRule="auto"/>
              <w:jc w:val="center"/>
              <w:textAlignment w:val="auto"/>
              <w:rPr>
                <w:rFonts w:ascii="Arial" w:hAnsi="Arial" w:cs="Arial"/>
                <w:sz w:val="16"/>
                <w:szCs w:val="18"/>
              </w:rPr>
            </w:pP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57AA64D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3EEA829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45A18EF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c>
          <w:tcPr>
            <w:tcW w:w="970" w:type="pct"/>
            <w:tcBorders>
              <w:top w:val="nil"/>
              <w:left w:val="nil"/>
              <w:bottom w:val="single" w:color="auto" w:sz="4" w:space="0"/>
              <w:right w:val="single" w:color="auto" w:sz="4" w:space="0"/>
            </w:tcBorders>
            <w:vAlign w:val="center"/>
          </w:tcPr>
          <w:p w14:paraId="61F6499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r>
      <w:tr w14:paraId="0C17F477">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auto" w:sz="4" w:space="0"/>
              <w:right w:val="single" w:color="auto" w:sz="4" w:space="0"/>
            </w:tcBorders>
            <w:vAlign w:val="center"/>
          </w:tcPr>
          <w:p w14:paraId="0D8E71BD">
            <w:pPr>
              <w:widowControl/>
              <w:adjustRightInd/>
              <w:spacing w:line="240" w:lineRule="auto"/>
              <w:jc w:val="center"/>
              <w:textAlignment w:val="auto"/>
              <w:rPr>
                <w:rFonts w:ascii="Arial" w:hAnsi="Arial" w:cs="Arial"/>
                <w:sz w:val="16"/>
                <w:szCs w:val="18"/>
              </w:rPr>
            </w:pPr>
          </w:p>
        </w:tc>
        <w:tc>
          <w:tcPr>
            <w:tcW w:w="759" w:type="pct"/>
            <w:tcBorders>
              <w:top w:val="nil"/>
              <w:left w:val="nil"/>
              <w:bottom w:val="single" w:color="auto" w:sz="4" w:space="0"/>
              <w:right w:val="single" w:color="auto" w:sz="4" w:space="0"/>
            </w:tcBorders>
            <w:vAlign w:val="center"/>
          </w:tcPr>
          <w:p w14:paraId="2CAE1BE7">
            <w:pPr>
              <w:widowControl/>
              <w:adjustRightInd/>
              <w:spacing w:line="240" w:lineRule="auto"/>
              <w:jc w:val="center"/>
              <w:textAlignment w:val="auto"/>
              <w:rPr>
                <w:rFonts w:ascii="Arial" w:hAnsi="Arial" w:cs="Arial"/>
                <w:sz w:val="16"/>
                <w:szCs w:val="18"/>
              </w:rPr>
            </w:pPr>
            <w:r>
              <w:rPr>
                <w:rFonts w:ascii="Arial" w:hAnsi="Arial" w:cs="Arial"/>
                <w:sz w:val="16"/>
                <w:szCs w:val="18"/>
              </w:rPr>
              <w:t>朝向</w:t>
            </w:r>
          </w:p>
        </w:tc>
        <w:tc>
          <w:tcPr>
            <w:tcW w:w="968" w:type="pct"/>
            <w:tcBorders>
              <w:top w:val="nil"/>
              <w:left w:val="nil"/>
              <w:bottom w:val="single" w:color="auto" w:sz="4" w:space="0"/>
              <w:right w:val="single" w:color="auto" w:sz="4" w:space="0"/>
            </w:tcBorders>
            <w:vAlign w:val="center"/>
          </w:tcPr>
          <w:p w14:paraId="2E71484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w:t>
            </w:r>
          </w:p>
        </w:tc>
        <w:tc>
          <w:tcPr>
            <w:tcW w:w="968" w:type="pct"/>
            <w:tcBorders>
              <w:top w:val="nil"/>
              <w:left w:val="nil"/>
              <w:bottom w:val="single" w:color="auto" w:sz="4" w:space="0"/>
              <w:right w:val="single" w:color="auto" w:sz="4" w:space="0"/>
            </w:tcBorders>
            <w:vAlign w:val="center"/>
          </w:tcPr>
          <w:p w14:paraId="4AEDCF9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w:t>
            </w:r>
          </w:p>
        </w:tc>
        <w:tc>
          <w:tcPr>
            <w:tcW w:w="968" w:type="pct"/>
            <w:tcBorders>
              <w:top w:val="nil"/>
              <w:left w:val="nil"/>
              <w:bottom w:val="single" w:color="auto" w:sz="4" w:space="0"/>
              <w:right w:val="single" w:color="auto" w:sz="4" w:space="0"/>
            </w:tcBorders>
            <w:vAlign w:val="center"/>
          </w:tcPr>
          <w:p w14:paraId="20409B0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70" w:type="pct"/>
            <w:tcBorders>
              <w:top w:val="nil"/>
              <w:left w:val="nil"/>
              <w:bottom w:val="single" w:color="auto" w:sz="4" w:space="0"/>
              <w:right w:val="single" w:color="auto" w:sz="4" w:space="0"/>
            </w:tcBorders>
            <w:vAlign w:val="center"/>
          </w:tcPr>
          <w:p w14:paraId="6987717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w:t>
            </w:r>
          </w:p>
        </w:tc>
      </w:tr>
      <w:tr w14:paraId="382817A0">
        <w:tblPrEx>
          <w:tblCellMar>
            <w:top w:w="0" w:type="dxa"/>
            <w:left w:w="108" w:type="dxa"/>
            <w:bottom w:w="0" w:type="dxa"/>
            <w:right w:w="108" w:type="dxa"/>
          </w:tblCellMar>
        </w:tblPrEx>
        <w:trPr>
          <w:trHeight w:val="397" w:hRule="atLeast"/>
          <w:jc w:val="center"/>
        </w:trPr>
        <w:tc>
          <w:tcPr>
            <w:tcW w:w="362" w:type="pct"/>
            <w:vMerge w:val="restart"/>
            <w:tcBorders>
              <w:top w:val="single" w:color="auto" w:sz="4" w:space="0"/>
              <w:left w:val="single" w:color="auto" w:sz="4" w:space="0"/>
              <w:bottom w:val="single" w:color="auto" w:sz="4" w:space="0"/>
              <w:right w:val="single" w:color="auto" w:sz="4" w:space="0"/>
            </w:tcBorders>
            <w:vAlign w:val="center"/>
          </w:tcPr>
          <w:p w14:paraId="0E0A28BD">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759" w:type="pct"/>
            <w:tcBorders>
              <w:top w:val="single" w:color="auto" w:sz="4" w:space="0"/>
              <w:left w:val="nil"/>
              <w:bottom w:val="single" w:color="auto" w:sz="4" w:space="0"/>
              <w:right w:val="single" w:color="auto" w:sz="4" w:space="0"/>
            </w:tcBorders>
            <w:vAlign w:val="center"/>
          </w:tcPr>
          <w:p w14:paraId="36C99448">
            <w:pPr>
              <w:widowControl/>
              <w:adjustRightInd/>
              <w:spacing w:line="240" w:lineRule="auto"/>
              <w:jc w:val="center"/>
              <w:textAlignment w:val="auto"/>
              <w:rPr>
                <w:rFonts w:ascii="Arial" w:hAnsi="Arial" w:cs="Arial"/>
                <w:sz w:val="16"/>
                <w:szCs w:val="18"/>
              </w:rPr>
            </w:pPr>
            <w:r>
              <w:rPr>
                <w:rFonts w:ascii="Arial" w:hAnsi="Arial" w:cs="Arial"/>
                <w:sz w:val="16"/>
                <w:szCs w:val="18"/>
              </w:rPr>
              <w:t>成新度</w:t>
            </w:r>
          </w:p>
        </w:tc>
        <w:tc>
          <w:tcPr>
            <w:tcW w:w="968" w:type="pct"/>
            <w:tcBorders>
              <w:top w:val="single" w:color="auto" w:sz="4" w:space="0"/>
              <w:left w:val="nil"/>
              <w:bottom w:val="single" w:color="auto" w:sz="4" w:space="0"/>
              <w:right w:val="single" w:color="auto" w:sz="4" w:space="0"/>
            </w:tcBorders>
            <w:vAlign w:val="center"/>
          </w:tcPr>
          <w:p w14:paraId="6E4A5BC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9</w:t>
            </w:r>
            <w:r>
              <w:rPr>
                <w:rFonts w:ascii="Arial" w:hAnsi="Arial" w:cs="Arial"/>
                <w:sz w:val="16"/>
                <w:szCs w:val="18"/>
              </w:rPr>
              <w:t>0-</w:t>
            </w:r>
            <w:r>
              <w:rPr>
                <w:rFonts w:hint="eastAsia" w:ascii="Arial" w:hAnsi="Arial" w:cs="Arial"/>
                <w:sz w:val="16"/>
                <w:szCs w:val="18"/>
              </w:rPr>
              <w:t>100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35AFE86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w:t>
            </w:r>
            <w:r>
              <w:rPr>
                <w:rFonts w:ascii="Arial" w:hAnsi="Arial" w:cs="Arial"/>
                <w:sz w:val="16"/>
                <w:szCs w:val="18"/>
              </w:rPr>
              <w:t>0-</w:t>
            </w:r>
            <w:r>
              <w:rPr>
                <w:rFonts w:hint="eastAsia" w:ascii="Arial" w:hAnsi="Arial" w:cs="Arial"/>
                <w:sz w:val="16"/>
                <w:szCs w:val="18"/>
              </w:rPr>
              <w:t>70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38730AF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w:t>
            </w:r>
            <w:r>
              <w:rPr>
                <w:rFonts w:ascii="Arial" w:hAnsi="Arial" w:cs="Arial"/>
                <w:sz w:val="16"/>
                <w:szCs w:val="18"/>
              </w:rPr>
              <w:t>0-</w:t>
            </w:r>
            <w:r>
              <w:rPr>
                <w:rFonts w:hint="eastAsia" w:ascii="Arial" w:hAnsi="Arial" w:cs="Arial"/>
                <w:sz w:val="16"/>
                <w:szCs w:val="18"/>
              </w:rPr>
              <w:t>70</w:t>
            </w:r>
            <w:r>
              <w:rPr>
                <w:rFonts w:ascii="Arial" w:hAnsi="Arial" w:cs="Arial"/>
                <w:sz w:val="16"/>
                <w:szCs w:val="18"/>
              </w:rPr>
              <w:t>%</w:t>
            </w:r>
          </w:p>
        </w:tc>
        <w:tc>
          <w:tcPr>
            <w:tcW w:w="970" w:type="pct"/>
            <w:tcBorders>
              <w:top w:val="single" w:color="auto" w:sz="4" w:space="0"/>
              <w:left w:val="nil"/>
              <w:bottom w:val="single" w:color="auto" w:sz="4" w:space="0"/>
              <w:right w:val="single" w:color="auto" w:sz="4" w:space="0"/>
            </w:tcBorders>
            <w:vAlign w:val="center"/>
          </w:tcPr>
          <w:p w14:paraId="30794A6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7</w:t>
            </w:r>
            <w:r>
              <w:rPr>
                <w:rFonts w:ascii="Arial" w:hAnsi="Arial" w:cs="Arial"/>
                <w:sz w:val="16"/>
                <w:szCs w:val="18"/>
              </w:rPr>
              <w:t>0-</w:t>
            </w:r>
            <w:r>
              <w:rPr>
                <w:rFonts w:hint="eastAsia" w:ascii="Arial" w:hAnsi="Arial" w:cs="Arial"/>
                <w:sz w:val="16"/>
                <w:szCs w:val="18"/>
              </w:rPr>
              <w:t>80</w:t>
            </w:r>
            <w:r>
              <w:rPr>
                <w:rFonts w:ascii="Arial" w:hAnsi="Arial" w:cs="Arial"/>
                <w:sz w:val="16"/>
                <w:szCs w:val="18"/>
              </w:rPr>
              <w:t>%</w:t>
            </w:r>
          </w:p>
        </w:tc>
      </w:tr>
      <w:tr w14:paraId="422AF556">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751F3687">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497BDE57">
            <w:pPr>
              <w:widowControl/>
              <w:adjustRightInd/>
              <w:spacing w:line="240" w:lineRule="auto"/>
              <w:jc w:val="center"/>
              <w:textAlignment w:val="auto"/>
              <w:rPr>
                <w:rFonts w:ascii="Arial" w:hAnsi="Arial" w:cs="Arial"/>
                <w:sz w:val="16"/>
                <w:szCs w:val="18"/>
              </w:rPr>
            </w:pPr>
            <w:r>
              <w:rPr>
                <w:rFonts w:ascii="Arial" w:hAnsi="Arial" w:cs="Arial"/>
                <w:sz w:val="16"/>
                <w:szCs w:val="18"/>
              </w:rPr>
              <w:t>公共区域装修</w:t>
            </w:r>
          </w:p>
        </w:tc>
        <w:tc>
          <w:tcPr>
            <w:tcW w:w="1844" w:type="dxa"/>
            <w:tcBorders>
              <w:top w:val="single" w:color="auto" w:sz="4" w:space="0"/>
              <w:left w:val="nil"/>
              <w:bottom w:val="single" w:color="auto" w:sz="4" w:space="0"/>
              <w:right w:val="single" w:color="auto" w:sz="4" w:space="0"/>
            </w:tcBorders>
            <w:vAlign w:val="center"/>
          </w:tcPr>
          <w:p w14:paraId="300D8ED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1844" w:type="dxa"/>
            <w:tcBorders>
              <w:top w:val="single" w:color="auto" w:sz="4" w:space="0"/>
              <w:left w:val="nil"/>
              <w:bottom w:val="single" w:color="auto" w:sz="4" w:space="0"/>
              <w:right w:val="single" w:color="auto" w:sz="4" w:space="0"/>
            </w:tcBorders>
            <w:vAlign w:val="center"/>
          </w:tcPr>
          <w:p w14:paraId="132DA2C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低档</w:t>
            </w:r>
            <w:r>
              <w:rPr>
                <w:rFonts w:ascii="Arial" w:hAnsi="Arial" w:cs="Arial"/>
                <w:sz w:val="16"/>
                <w:szCs w:val="18"/>
              </w:rPr>
              <w:t>装修</w:t>
            </w:r>
          </w:p>
        </w:tc>
        <w:tc>
          <w:tcPr>
            <w:tcW w:w="1844" w:type="dxa"/>
            <w:tcBorders>
              <w:top w:val="single" w:color="auto" w:sz="4" w:space="0"/>
              <w:left w:val="nil"/>
              <w:bottom w:val="single" w:color="auto" w:sz="4" w:space="0"/>
              <w:right w:val="single" w:color="auto" w:sz="4" w:space="0"/>
            </w:tcBorders>
            <w:vAlign w:val="center"/>
          </w:tcPr>
          <w:p w14:paraId="58CA698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低档</w:t>
            </w:r>
            <w:r>
              <w:rPr>
                <w:rFonts w:ascii="Arial" w:hAnsi="Arial" w:cs="Arial"/>
                <w:sz w:val="16"/>
                <w:szCs w:val="18"/>
              </w:rPr>
              <w:t>装修</w:t>
            </w:r>
          </w:p>
        </w:tc>
        <w:tc>
          <w:tcPr>
            <w:tcW w:w="1847" w:type="dxa"/>
            <w:tcBorders>
              <w:top w:val="single" w:color="auto" w:sz="4" w:space="0"/>
              <w:left w:val="nil"/>
              <w:bottom w:val="single" w:color="auto" w:sz="4" w:space="0"/>
              <w:right w:val="single" w:color="auto" w:sz="4" w:space="0"/>
            </w:tcBorders>
            <w:vAlign w:val="center"/>
          </w:tcPr>
          <w:p w14:paraId="683E896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r>
      <w:tr w14:paraId="35A0FCAD">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0512BCD0">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3AE21F80">
            <w:pPr>
              <w:widowControl/>
              <w:adjustRightInd/>
              <w:spacing w:line="240" w:lineRule="auto"/>
              <w:jc w:val="center"/>
              <w:textAlignment w:val="auto"/>
              <w:rPr>
                <w:rFonts w:ascii="Arial" w:hAnsi="Arial" w:cs="Arial"/>
                <w:sz w:val="16"/>
                <w:szCs w:val="18"/>
              </w:rPr>
            </w:pPr>
            <w:r>
              <w:rPr>
                <w:rFonts w:ascii="Arial" w:hAnsi="Arial" w:cs="Arial"/>
                <w:sz w:val="16"/>
                <w:szCs w:val="18"/>
              </w:rPr>
              <w:t>室内装饰装修</w:t>
            </w:r>
          </w:p>
        </w:tc>
        <w:tc>
          <w:tcPr>
            <w:tcW w:w="1844" w:type="dxa"/>
            <w:tcBorders>
              <w:top w:val="single" w:color="auto" w:sz="4" w:space="0"/>
              <w:left w:val="nil"/>
              <w:bottom w:val="single" w:color="auto" w:sz="4" w:space="0"/>
              <w:right w:val="single" w:color="auto" w:sz="4" w:space="0"/>
            </w:tcBorders>
            <w:vAlign w:val="center"/>
          </w:tcPr>
          <w:p w14:paraId="0FDF443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1844" w:type="dxa"/>
            <w:tcBorders>
              <w:top w:val="single" w:color="auto" w:sz="4" w:space="0"/>
              <w:left w:val="nil"/>
              <w:bottom w:val="single" w:color="auto" w:sz="4" w:space="0"/>
              <w:right w:val="single" w:color="auto" w:sz="4" w:space="0"/>
            </w:tcBorders>
            <w:vAlign w:val="center"/>
          </w:tcPr>
          <w:p w14:paraId="0349069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1844" w:type="dxa"/>
            <w:tcBorders>
              <w:top w:val="single" w:color="auto" w:sz="4" w:space="0"/>
              <w:left w:val="nil"/>
              <w:bottom w:val="single" w:color="auto" w:sz="4" w:space="0"/>
              <w:right w:val="single" w:color="auto" w:sz="4" w:space="0"/>
            </w:tcBorders>
            <w:vAlign w:val="center"/>
          </w:tcPr>
          <w:p w14:paraId="238DA39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1847" w:type="dxa"/>
            <w:tcBorders>
              <w:top w:val="single" w:color="auto" w:sz="4" w:space="0"/>
              <w:left w:val="nil"/>
              <w:bottom w:val="single" w:color="auto" w:sz="4" w:space="0"/>
              <w:right w:val="single" w:color="auto" w:sz="4" w:space="0"/>
            </w:tcBorders>
            <w:vAlign w:val="center"/>
          </w:tcPr>
          <w:p w14:paraId="0BC8E90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r>
      <w:tr w14:paraId="0957E56C">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7C0A3CBB">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2FC8C181">
            <w:pPr>
              <w:widowControl/>
              <w:adjustRightInd/>
              <w:spacing w:line="240" w:lineRule="auto"/>
              <w:jc w:val="center"/>
              <w:textAlignment w:val="auto"/>
              <w:rPr>
                <w:rFonts w:ascii="Arial" w:hAnsi="Arial" w:cs="Arial"/>
                <w:sz w:val="16"/>
                <w:szCs w:val="18"/>
              </w:rPr>
            </w:pPr>
            <w:r>
              <w:rPr>
                <w:rFonts w:ascii="Arial" w:hAnsi="Arial" w:cs="Arial"/>
                <w:sz w:val="16"/>
                <w:szCs w:val="18"/>
              </w:rPr>
              <w:t>设施设备</w:t>
            </w:r>
          </w:p>
        </w:tc>
        <w:tc>
          <w:tcPr>
            <w:tcW w:w="968" w:type="pct"/>
            <w:tcBorders>
              <w:top w:val="single" w:color="auto" w:sz="4" w:space="0"/>
              <w:left w:val="nil"/>
              <w:bottom w:val="single" w:color="auto" w:sz="4" w:space="0"/>
              <w:right w:val="single" w:color="auto" w:sz="4" w:space="0"/>
            </w:tcBorders>
            <w:vAlign w:val="center"/>
          </w:tcPr>
          <w:p w14:paraId="43B4372C">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73B56D7F">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12368B2A">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70" w:type="pct"/>
            <w:tcBorders>
              <w:top w:val="single" w:color="auto" w:sz="4" w:space="0"/>
              <w:left w:val="nil"/>
              <w:bottom w:val="single" w:color="auto" w:sz="4" w:space="0"/>
              <w:right w:val="single" w:color="auto" w:sz="4" w:space="0"/>
            </w:tcBorders>
            <w:vAlign w:val="center"/>
          </w:tcPr>
          <w:p w14:paraId="51857EA2">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r>
      <w:tr w14:paraId="73CF1D2D">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0C09082D">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518B52B4">
            <w:pPr>
              <w:widowControl/>
              <w:adjustRightInd/>
              <w:spacing w:line="240" w:lineRule="auto"/>
              <w:jc w:val="center"/>
              <w:textAlignment w:val="auto"/>
              <w:rPr>
                <w:rFonts w:ascii="Arial" w:hAnsi="Arial" w:cs="Arial"/>
                <w:sz w:val="16"/>
                <w:szCs w:val="18"/>
              </w:rPr>
            </w:pPr>
            <w:r>
              <w:rPr>
                <w:rFonts w:ascii="Arial" w:hAnsi="Arial" w:cs="Arial"/>
                <w:sz w:val="16"/>
                <w:szCs w:val="18"/>
              </w:rPr>
              <w:t>综合管理服务设施</w:t>
            </w:r>
          </w:p>
        </w:tc>
        <w:tc>
          <w:tcPr>
            <w:tcW w:w="968" w:type="pct"/>
            <w:tcBorders>
              <w:top w:val="single" w:color="auto" w:sz="4" w:space="0"/>
              <w:left w:val="nil"/>
              <w:bottom w:val="single" w:color="auto" w:sz="4" w:space="0"/>
              <w:right w:val="single" w:color="auto" w:sz="4" w:space="0"/>
            </w:tcBorders>
            <w:vAlign w:val="center"/>
          </w:tcPr>
          <w:p w14:paraId="68F0B19C">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74DA8EED">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7FAA1174">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70" w:type="pct"/>
            <w:tcBorders>
              <w:top w:val="single" w:color="auto" w:sz="4" w:space="0"/>
              <w:left w:val="nil"/>
              <w:bottom w:val="single" w:color="auto" w:sz="4" w:space="0"/>
              <w:right w:val="single" w:color="auto" w:sz="4" w:space="0"/>
            </w:tcBorders>
            <w:vAlign w:val="center"/>
          </w:tcPr>
          <w:p w14:paraId="3A6C9CFB">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r>
      <w:tr w14:paraId="6699EE22">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6B9F38F0">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5658371D">
            <w:pPr>
              <w:widowControl/>
              <w:adjustRightInd/>
              <w:spacing w:line="240" w:lineRule="auto"/>
              <w:jc w:val="center"/>
              <w:textAlignment w:val="auto"/>
              <w:rPr>
                <w:rFonts w:ascii="Arial" w:hAnsi="Arial" w:cs="Arial"/>
                <w:sz w:val="16"/>
                <w:szCs w:val="18"/>
              </w:rPr>
            </w:pPr>
            <w:r>
              <w:rPr>
                <w:rFonts w:ascii="Arial" w:hAnsi="Arial" w:cs="Arial"/>
                <w:sz w:val="16"/>
                <w:szCs w:val="18"/>
              </w:rPr>
              <w:t>户型布局</w:t>
            </w:r>
          </w:p>
        </w:tc>
        <w:tc>
          <w:tcPr>
            <w:tcW w:w="968" w:type="pct"/>
            <w:tcBorders>
              <w:top w:val="single" w:color="auto" w:sz="4" w:space="0"/>
              <w:left w:val="nil"/>
              <w:bottom w:val="single" w:color="auto" w:sz="4" w:space="0"/>
              <w:right w:val="single" w:color="auto" w:sz="4" w:space="0"/>
            </w:tcBorders>
            <w:vAlign w:val="center"/>
          </w:tcPr>
          <w:p w14:paraId="11472AF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一居室</w:t>
            </w:r>
          </w:p>
        </w:tc>
        <w:tc>
          <w:tcPr>
            <w:tcW w:w="968" w:type="pct"/>
            <w:tcBorders>
              <w:top w:val="single" w:color="auto" w:sz="4" w:space="0"/>
              <w:left w:val="nil"/>
              <w:bottom w:val="single" w:color="auto" w:sz="4" w:space="0"/>
              <w:right w:val="single" w:color="auto" w:sz="4" w:space="0"/>
            </w:tcBorders>
            <w:vAlign w:val="center"/>
          </w:tcPr>
          <w:p w14:paraId="724891A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一居室</w:t>
            </w:r>
          </w:p>
        </w:tc>
        <w:tc>
          <w:tcPr>
            <w:tcW w:w="968" w:type="pct"/>
            <w:tcBorders>
              <w:top w:val="single" w:color="auto" w:sz="4" w:space="0"/>
              <w:left w:val="nil"/>
              <w:bottom w:val="single" w:color="auto" w:sz="4" w:space="0"/>
              <w:right w:val="single" w:color="auto" w:sz="4" w:space="0"/>
            </w:tcBorders>
            <w:vAlign w:val="center"/>
          </w:tcPr>
          <w:p w14:paraId="6509D0B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一居室</w:t>
            </w:r>
          </w:p>
        </w:tc>
        <w:tc>
          <w:tcPr>
            <w:tcW w:w="970" w:type="pct"/>
            <w:tcBorders>
              <w:top w:val="single" w:color="auto" w:sz="4" w:space="0"/>
              <w:left w:val="nil"/>
              <w:bottom w:val="single" w:color="auto" w:sz="4" w:space="0"/>
              <w:right w:val="single" w:color="auto" w:sz="4" w:space="0"/>
            </w:tcBorders>
            <w:vAlign w:val="center"/>
          </w:tcPr>
          <w:p w14:paraId="449A181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一居室</w:t>
            </w:r>
          </w:p>
        </w:tc>
      </w:tr>
      <w:tr w14:paraId="1DBA1DBE">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3A5183C4">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6438C1E1">
            <w:pPr>
              <w:widowControl/>
              <w:adjustRightInd/>
              <w:spacing w:line="240" w:lineRule="auto"/>
              <w:jc w:val="center"/>
              <w:textAlignment w:val="auto"/>
              <w:rPr>
                <w:rFonts w:ascii="Arial" w:hAnsi="Arial" w:cs="Arial"/>
                <w:sz w:val="16"/>
                <w:szCs w:val="18"/>
              </w:rPr>
            </w:pPr>
            <w:r>
              <w:rPr>
                <w:rFonts w:ascii="Arial" w:hAnsi="Arial" w:cs="Arial"/>
                <w:sz w:val="16"/>
                <w:szCs w:val="18"/>
              </w:rPr>
              <w:t>户型结构</w:t>
            </w:r>
          </w:p>
        </w:tc>
        <w:tc>
          <w:tcPr>
            <w:tcW w:w="968" w:type="pct"/>
            <w:tcBorders>
              <w:top w:val="single" w:color="auto" w:sz="4" w:space="0"/>
              <w:left w:val="nil"/>
              <w:bottom w:val="single" w:color="auto" w:sz="4" w:space="0"/>
              <w:right w:val="single" w:color="auto" w:sz="4" w:space="0"/>
            </w:tcBorders>
            <w:vAlign w:val="center"/>
          </w:tcPr>
          <w:p w14:paraId="7072C01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7D40D72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3B8BAD7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70" w:type="pct"/>
            <w:tcBorders>
              <w:top w:val="single" w:color="auto" w:sz="4" w:space="0"/>
              <w:left w:val="nil"/>
              <w:bottom w:val="single" w:color="auto" w:sz="4" w:space="0"/>
              <w:right w:val="single" w:color="auto" w:sz="4" w:space="0"/>
            </w:tcBorders>
            <w:vAlign w:val="center"/>
          </w:tcPr>
          <w:p w14:paraId="788B940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r>
      <w:tr w14:paraId="55A1BF2E">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0813D62C">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7C0C08C8">
            <w:pPr>
              <w:widowControl/>
              <w:adjustRightInd/>
              <w:spacing w:line="240" w:lineRule="auto"/>
              <w:jc w:val="center"/>
              <w:textAlignment w:val="auto"/>
              <w:rPr>
                <w:rFonts w:ascii="Arial" w:hAnsi="Arial" w:cs="Arial"/>
                <w:sz w:val="16"/>
                <w:szCs w:val="18"/>
              </w:rPr>
            </w:pPr>
            <w:r>
              <w:rPr>
                <w:rFonts w:ascii="Arial" w:hAnsi="Arial" w:cs="Arial"/>
                <w:sz w:val="16"/>
                <w:szCs w:val="18"/>
              </w:rPr>
              <w:t>建筑面积（㎡）</w:t>
            </w:r>
          </w:p>
        </w:tc>
        <w:tc>
          <w:tcPr>
            <w:tcW w:w="968" w:type="pct"/>
            <w:tcBorders>
              <w:top w:val="single" w:color="auto" w:sz="4" w:space="0"/>
              <w:left w:val="nil"/>
              <w:bottom w:val="single" w:color="auto" w:sz="4" w:space="0"/>
              <w:right w:val="single" w:color="auto" w:sz="4" w:space="0"/>
            </w:tcBorders>
            <w:vAlign w:val="center"/>
          </w:tcPr>
          <w:p w14:paraId="74B9E6B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82.85</w:t>
            </w:r>
          </w:p>
        </w:tc>
        <w:tc>
          <w:tcPr>
            <w:tcW w:w="968" w:type="pct"/>
            <w:tcBorders>
              <w:top w:val="single" w:color="auto" w:sz="4" w:space="0"/>
              <w:left w:val="nil"/>
              <w:bottom w:val="single" w:color="auto" w:sz="4" w:space="0"/>
              <w:right w:val="single" w:color="auto" w:sz="4" w:space="0"/>
            </w:tcBorders>
            <w:vAlign w:val="center"/>
          </w:tcPr>
          <w:p w14:paraId="1AD45F9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68</w:t>
            </w:r>
          </w:p>
        </w:tc>
        <w:tc>
          <w:tcPr>
            <w:tcW w:w="968" w:type="pct"/>
            <w:tcBorders>
              <w:top w:val="single" w:color="auto" w:sz="4" w:space="0"/>
              <w:left w:val="nil"/>
              <w:bottom w:val="single" w:color="auto" w:sz="4" w:space="0"/>
              <w:right w:val="single" w:color="auto" w:sz="4" w:space="0"/>
            </w:tcBorders>
            <w:vAlign w:val="center"/>
          </w:tcPr>
          <w:p w14:paraId="6063A90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68.05</w:t>
            </w:r>
          </w:p>
        </w:tc>
        <w:tc>
          <w:tcPr>
            <w:tcW w:w="970" w:type="pct"/>
            <w:tcBorders>
              <w:top w:val="single" w:color="auto" w:sz="4" w:space="0"/>
              <w:left w:val="nil"/>
              <w:bottom w:val="single" w:color="auto" w:sz="4" w:space="0"/>
              <w:right w:val="single" w:color="auto" w:sz="4" w:space="0"/>
            </w:tcBorders>
            <w:vAlign w:val="center"/>
          </w:tcPr>
          <w:p w14:paraId="6A58397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66.16</w:t>
            </w:r>
          </w:p>
        </w:tc>
      </w:tr>
      <w:tr w14:paraId="23845361">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39303AF4">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0A52640E">
            <w:pPr>
              <w:widowControl/>
              <w:adjustRightInd/>
              <w:spacing w:line="240" w:lineRule="auto"/>
              <w:jc w:val="center"/>
              <w:textAlignment w:val="auto"/>
              <w:rPr>
                <w:rFonts w:ascii="Arial" w:hAnsi="Arial" w:cs="Arial"/>
                <w:sz w:val="16"/>
                <w:szCs w:val="18"/>
              </w:rPr>
            </w:pPr>
            <w:r>
              <w:rPr>
                <w:rFonts w:ascii="Arial" w:hAnsi="Arial" w:cs="Arial"/>
                <w:sz w:val="16"/>
                <w:szCs w:val="18"/>
              </w:rPr>
              <w:t>家具家电</w:t>
            </w:r>
          </w:p>
        </w:tc>
        <w:tc>
          <w:tcPr>
            <w:tcW w:w="1844" w:type="dxa"/>
            <w:tcBorders>
              <w:top w:val="single" w:color="auto" w:sz="4" w:space="0"/>
              <w:left w:val="nil"/>
              <w:bottom w:val="single" w:color="auto" w:sz="4" w:space="0"/>
              <w:right w:val="single" w:color="auto" w:sz="4" w:space="0"/>
            </w:tcBorders>
            <w:vAlign w:val="center"/>
          </w:tcPr>
          <w:p w14:paraId="15D53685">
            <w:pPr>
              <w:widowControl/>
              <w:adjustRightInd/>
              <w:spacing w:line="240" w:lineRule="auto"/>
              <w:jc w:val="center"/>
              <w:textAlignment w:val="auto"/>
              <w:rPr>
                <w:rFonts w:ascii="Arial" w:hAnsi="Arial" w:cs="Arial"/>
                <w:sz w:val="16"/>
                <w:szCs w:val="18"/>
              </w:rPr>
            </w:pPr>
            <w:r>
              <w:rPr>
                <w:rFonts w:ascii="Arial" w:hAnsi="Arial" w:cs="Arial"/>
                <w:sz w:val="16"/>
                <w:szCs w:val="18"/>
              </w:rPr>
              <w:t>配备</w:t>
            </w:r>
            <w:r>
              <w:rPr>
                <w:rFonts w:hint="eastAsia" w:ascii="Arial" w:hAnsi="Arial" w:cs="Arial"/>
                <w:sz w:val="16"/>
                <w:szCs w:val="18"/>
              </w:rPr>
              <w:t>品牌</w:t>
            </w:r>
            <w:r>
              <w:rPr>
                <w:rFonts w:ascii="Arial" w:hAnsi="Arial" w:cs="Arial"/>
                <w:sz w:val="16"/>
                <w:szCs w:val="18"/>
              </w:rPr>
              <w:t>家具、</w:t>
            </w:r>
            <w:r>
              <w:rPr>
                <w:rFonts w:hint="eastAsia" w:ascii="Arial" w:hAnsi="Arial" w:cs="Arial"/>
                <w:sz w:val="16"/>
                <w:szCs w:val="18"/>
              </w:rPr>
              <w:t>品牌</w:t>
            </w:r>
            <w:r>
              <w:rPr>
                <w:rFonts w:ascii="Arial" w:hAnsi="Arial" w:cs="Arial"/>
                <w:sz w:val="16"/>
                <w:szCs w:val="18"/>
              </w:rPr>
              <w:t>家电齐全；功能正常，质量有保证</w:t>
            </w:r>
            <w:r>
              <w:rPr>
                <w:rFonts w:hint="eastAsia" w:ascii="Arial" w:hAnsi="Arial" w:cs="Arial"/>
                <w:sz w:val="16"/>
                <w:szCs w:val="18"/>
              </w:rPr>
              <w:t>；配备网络设施；</w:t>
            </w:r>
            <w:r>
              <w:rPr>
                <w:rFonts w:ascii="Arial" w:hAnsi="Arial" w:cs="Arial"/>
                <w:sz w:val="16"/>
                <w:szCs w:val="18"/>
              </w:rPr>
              <w:t>好</w:t>
            </w:r>
          </w:p>
        </w:tc>
        <w:tc>
          <w:tcPr>
            <w:tcW w:w="1844" w:type="dxa"/>
            <w:tcBorders>
              <w:top w:val="single" w:color="auto" w:sz="4" w:space="0"/>
              <w:left w:val="nil"/>
              <w:bottom w:val="single" w:color="auto" w:sz="4" w:space="0"/>
              <w:right w:val="single" w:color="auto" w:sz="4" w:space="0"/>
            </w:tcBorders>
            <w:vAlign w:val="center"/>
          </w:tcPr>
          <w:p w14:paraId="2F994018">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1844" w:type="dxa"/>
            <w:tcBorders>
              <w:top w:val="single" w:color="auto" w:sz="4" w:space="0"/>
              <w:left w:val="nil"/>
              <w:bottom w:val="single" w:color="auto" w:sz="4" w:space="0"/>
              <w:right w:val="single" w:color="auto" w:sz="4" w:space="0"/>
            </w:tcBorders>
            <w:vAlign w:val="center"/>
          </w:tcPr>
          <w:p w14:paraId="253C9FE7">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1847" w:type="dxa"/>
            <w:tcBorders>
              <w:top w:val="single" w:color="auto" w:sz="4" w:space="0"/>
              <w:left w:val="nil"/>
              <w:bottom w:val="single" w:color="auto" w:sz="4" w:space="0"/>
              <w:right w:val="single" w:color="auto" w:sz="4" w:space="0"/>
            </w:tcBorders>
            <w:vAlign w:val="center"/>
          </w:tcPr>
          <w:p w14:paraId="21CF29D3">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r>
      <w:tr w14:paraId="139A084E">
        <w:tblPrEx>
          <w:tblCellMar>
            <w:top w:w="0" w:type="dxa"/>
            <w:left w:w="108" w:type="dxa"/>
            <w:bottom w:w="0" w:type="dxa"/>
            <w:right w:w="108" w:type="dxa"/>
          </w:tblCellMar>
        </w:tblPrEx>
        <w:trPr>
          <w:trHeight w:val="397" w:hRule="atLeast"/>
          <w:jc w:val="center"/>
        </w:trPr>
        <w:tc>
          <w:tcPr>
            <w:tcW w:w="362" w:type="pct"/>
            <w:vMerge w:val="restart"/>
            <w:tcBorders>
              <w:left w:val="single" w:color="auto" w:sz="4" w:space="0"/>
              <w:bottom w:val="single" w:color="auto" w:sz="4" w:space="0"/>
              <w:right w:val="single" w:color="auto" w:sz="4" w:space="0"/>
            </w:tcBorders>
            <w:vAlign w:val="center"/>
          </w:tcPr>
          <w:p w14:paraId="267F6DE8">
            <w:pPr>
              <w:widowControl/>
              <w:adjustRightInd/>
              <w:spacing w:line="240" w:lineRule="auto"/>
              <w:jc w:val="center"/>
              <w:textAlignment w:val="auto"/>
              <w:rPr>
                <w:rFonts w:ascii="Arial" w:hAnsi="Arial" w:cs="Arial"/>
                <w:sz w:val="16"/>
                <w:szCs w:val="18"/>
              </w:rPr>
            </w:pPr>
            <w:r>
              <w:rPr>
                <w:rFonts w:ascii="Arial" w:hAnsi="Arial" w:cs="Arial"/>
                <w:sz w:val="16"/>
                <w:szCs w:val="18"/>
              </w:rPr>
              <w:t>权益状况</w:t>
            </w:r>
          </w:p>
        </w:tc>
        <w:tc>
          <w:tcPr>
            <w:tcW w:w="759" w:type="pct"/>
            <w:tcBorders>
              <w:top w:val="single" w:color="auto" w:sz="4" w:space="0"/>
              <w:left w:val="nil"/>
              <w:bottom w:val="single" w:color="auto" w:sz="4" w:space="0"/>
              <w:right w:val="single" w:color="auto" w:sz="4" w:space="0"/>
            </w:tcBorders>
            <w:vAlign w:val="center"/>
          </w:tcPr>
          <w:p w14:paraId="01A82391">
            <w:pPr>
              <w:widowControl/>
              <w:adjustRightInd/>
              <w:spacing w:line="240" w:lineRule="auto"/>
              <w:jc w:val="center"/>
              <w:textAlignment w:val="auto"/>
              <w:rPr>
                <w:rFonts w:ascii="Arial" w:hAnsi="Arial" w:cs="Arial"/>
                <w:sz w:val="16"/>
                <w:szCs w:val="18"/>
              </w:rPr>
            </w:pPr>
            <w:r>
              <w:rPr>
                <w:rFonts w:ascii="Arial" w:hAnsi="Arial" w:cs="Arial"/>
                <w:sz w:val="16"/>
                <w:szCs w:val="18"/>
              </w:rPr>
              <w:t>服务及管理水平</w:t>
            </w:r>
          </w:p>
        </w:tc>
        <w:tc>
          <w:tcPr>
            <w:tcW w:w="968" w:type="pct"/>
            <w:tcBorders>
              <w:top w:val="single" w:color="auto" w:sz="4" w:space="0"/>
              <w:left w:val="nil"/>
              <w:bottom w:val="single" w:color="auto" w:sz="4" w:space="0"/>
              <w:right w:val="single" w:color="auto" w:sz="4" w:space="0"/>
            </w:tcBorders>
            <w:vAlign w:val="center"/>
          </w:tcPr>
          <w:p w14:paraId="2A6933B0">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20F0C1C1">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4F45CDC9">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70" w:type="pct"/>
            <w:tcBorders>
              <w:top w:val="single" w:color="auto" w:sz="4" w:space="0"/>
              <w:left w:val="nil"/>
              <w:bottom w:val="single" w:color="auto" w:sz="4" w:space="0"/>
              <w:right w:val="single" w:color="auto" w:sz="4" w:space="0"/>
            </w:tcBorders>
            <w:vAlign w:val="center"/>
          </w:tcPr>
          <w:p w14:paraId="43F470D9">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r>
      <w:tr w14:paraId="75E60B0C">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173D5927">
            <w:pPr>
              <w:widowControl/>
              <w:adjustRightInd/>
              <w:spacing w:line="240" w:lineRule="auto"/>
              <w:jc w:val="center"/>
              <w:textAlignment w:val="auto"/>
              <w:rPr>
                <w:rFonts w:ascii="Arial" w:hAnsi="Arial" w:cs="Arial"/>
                <w:sz w:val="16"/>
                <w:szCs w:val="18"/>
              </w:rPr>
            </w:pPr>
          </w:p>
        </w:tc>
        <w:tc>
          <w:tcPr>
            <w:tcW w:w="759" w:type="pct"/>
            <w:tcBorders>
              <w:top w:val="single" w:color="auto" w:sz="4" w:space="0"/>
              <w:left w:val="nil"/>
              <w:bottom w:val="single" w:color="auto" w:sz="4" w:space="0"/>
              <w:right w:val="single" w:color="auto" w:sz="4" w:space="0"/>
            </w:tcBorders>
            <w:vAlign w:val="center"/>
          </w:tcPr>
          <w:p w14:paraId="2791E537">
            <w:pPr>
              <w:widowControl/>
              <w:adjustRightInd/>
              <w:spacing w:line="240" w:lineRule="auto"/>
              <w:jc w:val="center"/>
              <w:textAlignment w:val="auto"/>
              <w:rPr>
                <w:rFonts w:ascii="Arial" w:hAnsi="Arial" w:cs="Arial"/>
                <w:sz w:val="16"/>
                <w:szCs w:val="18"/>
              </w:rPr>
            </w:pPr>
            <w:r>
              <w:rPr>
                <w:rFonts w:ascii="Arial" w:hAnsi="Arial" w:cs="Arial"/>
                <w:sz w:val="16"/>
                <w:szCs w:val="18"/>
              </w:rPr>
              <w:t>水电气费执行标准</w:t>
            </w:r>
          </w:p>
        </w:tc>
        <w:tc>
          <w:tcPr>
            <w:tcW w:w="968" w:type="pct"/>
            <w:tcBorders>
              <w:top w:val="single" w:color="auto" w:sz="4" w:space="0"/>
              <w:left w:val="nil"/>
              <w:bottom w:val="single" w:color="auto" w:sz="4" w:space="0"/>
              <w:right w:val="single" w:color="auto" w:sz="4" w:space="0"/>
            </w:tcBorders>
            <w:vAlign w:val="center"/>
          </w:tcPr>
          <w:p w14:paraId="231343BA">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3519FAC2">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40B5A331">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70" w:type="pct"/>
            <w:tcBorders>
              <w:top w:val="single" w:color="auto" w:sz="4" w:space="0"/>
              <w:left w:val="nil"/>
              <w:bottom w:val="single" w:color="auto" w:sz="4" w:space="0"/>
              <w:right w:val="single" w:color="auto" w:sz="4" w:space="0"/>
            </w:tcBorders>
            <w:vAlign w:val="center"/>
          </w:tcPr>
          <w:p w14:paraId="134269EB">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r>
    </w:tbl>
    <w:p w14:paraId="1542D1C9">
      <w:pPr>
        <w:overflowPunct w:val="0"/>
        <w:spacing w:line="480" w:lineRule="auto"/>
        <w:ind w:firstLine="420" w:firstLineChars="200"/>
        <w:jc w:val="center"/>
        <w:rPr>
          <w:rFonts w:ascii="Arial" w:hAnsi="Arial"/>
          <w:sz w:val="21"/>
          <w:szCs w:val="21"/>
        </w:rPr>
      </w:pPr>
    </w:p>
    <w:p w14:paraId="3F76BA67">
      <w:pPr>
        <w:overflowPunct w:val="0"/>
        <w:spacing w:line="480" w:lineRule="auto"/>
        <w:ind w:firstLine="420" w:firstLineChars="200"/>
        <w:jc w:val="center"/>
        <w:rPr>
          <w:rFonts w:ascii="Arial" w:hAnsi="Arial"/>
          <w:sz w:val="21"/>
          <w:szCs w:val="21"/>
        </w:rPr>
      </w:pPr>
    </w:p>
    <w:p w14:paraId="48D9C59A">
      <w:pPr>
        <w:overflowPunct w:val="0"/>
        <w:spacing w:line="480" w:lineRule="auto"/>
        <w:ind w:firstLine="420" w:firstLineChars="200"/>
        <w:jc w:val="center"/>
        <w:rPr>
          <w:rFonts w:ascii="Arial" w:hAnsi="Arial"/>
          <w:sz w:val="21"/>
          <w:szCs w:val="21"/>
        </w:rPr>
      </w:pPr>
    </w:p>
    <w:p w14:paraId="657E8A06">
      <w:pPr>
        <w:overflowPunct w:val="0"/>
        <w:spacing w:line="480" w:lineRule="auto"/>
        <w:ind w:firstLine="420" w:firstLineChars="200"/>
        <w:jc w:val="center"/>
        <w:rPr>
          <w:rFonts w:ascii="Arial" w:hAnsi="Arial"/>
          <w:sz w:val="21"/>
          <w:szCs w:val="21"/>
        </w:rPr>
      </w:pPr>
    </w:p>
    <w:p w14:paraId="4281E34B">
      <w:pPr>
        <w:overflowPunct w:val="0"/>
        <w:spacing w:line="480" w:lineRule="auto"/>
        <w:ind w:firstLine="420" w:firstLineChars="200"/>
        <w:jc w:val="center"/>
        <w:rPr>
          <w:rFonts w:ascii="Arial" w:hAnsi="Arial"/>
          <w:sz w:val="21"/>
          <w:szCs w:val="21"/>
        </w:rPr>
      </w:pPr>
    </w:p>
    <w:p w14:paraId="0BF9894B">
      <w:pPr>
        <w:overflowPunct w:val="0"/>
        <w:spacing w:line="480" w:lineRule="auto"/>
        <w:ind w:firstLine="420" w:firstLineChars="200"/>
        <w:jc w:val="center"/>
        <w:rPr>
          <w:rFonts w:ascii="Arial" w:hAnsi="Arial"/>
          <w:sz w:val="21"/>
          <w:szCs w:val="21"/>
        </w:rPr>
      </w:pPr>
    </w:p>
    <w:p w14:paraId="7F14BBF0">
      <w:pPr>
        <w:overflowPunct w:val="0"/>
        <w:spacing w:line="480" w:lineRule="auto"/>
        <w:ind w:firstLine="420" w:firstLineChars="200"/>
        <w:jc w:val="center"/>
        <w:rPr>
          <w:rFonts w:ascii="Arial" w:hAnsi="Arial"/>
          <w:sz w:val="21"/>
          <w:szCs w:val="21"/>
        </w:rPr>
      </w:pPr>
    </w:p>
    <w:p w14:paraId="597AE125">
      <w:pPr>
        <w:overflowPunct w:val="0"/>
        <w:spacing w:line="480" w:lineRule="auto"/>
        <w:ind w:firstLine="420" w:firstLineChars="200"/>
        <w:jc w:val="center"/>
        <w:rPr>
          <w:rFonts w:ascii="Arial" w:hAnsi="Arial"/>
          <w:sz w:val="21"/>
          <w:szCs w:val="21"/>
        </w:rPr>
      </w:pPr>
    </w:p>
    <w:p w14:paraId="5A1C2520">
      <w:pPr>
        <w:overflowPunct w:val="0"/>
        <w:spacing w:line="480" w:lineRule="auto"/>
        <w:ind w:firstLine="420" w:firstLineChars="200"/>
        <w:jc w:val="center"/>
        <w:rPr>
          <w:rFonts w:ascii="Arial" w:hAnsi="Arial"/>
          <w:sz w:val="21"/>
          <w:szCs w:val="21"/>
        </w:rPr>
      </w:pPr>
    </w:p>
    <w:p w14:paraId="04C930EB">
      <w:pPr>
        <w:wordWrap w:val="0"/>
        <w:overflowPunct w:val="0"/>
        <w:spacing w:line="480" w:lineRule="auto"/>
        <w:rPr>
          <w:rFonts w:ascii="Arial" w:hAnsi="Arial"/>
          <w:sz w:val="21"/>
          <w:szCs w:val="21"/>
        </w:rPr>
      </w:pPr>
    </w:p>
    <w:p w14:paraId="35665740">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（2）</w:t>
      </w:r>
      <w:r>
        <w:rPr>
          <w:rFonts w:ascii="Arial" w:hAnsi="Arial"/>
          <w:sz w:val="21"/>
          <w:szCs w:val="21"/>
        </w:rPr>
        <w:t xml:space="preserve"> </w:t>
      </w:r>
      <w:r>
        <w:rPr>
          <w:rFonts w:hint="eastAsia" w:ascii="Arial" w:hAnsi="Arial"/>
          <w:sz w:val="21"/>
          <w:szCs w:val="21"/>
        </w:rPr>
        <w:t>建立比较因素条件指数表和因素比较修正系数表</w:t>
      </w:r>
      <w:r>
        <w:rPr>
          <w:rFonts w:ascii="Arial" w:hAnsi="Arial"/>
          <w:sz w:val="21"/>
          <w:szCs w:val="21"/>
        </w:rPr>
        <w:t xml:space="preserve"> </w:t>
      </w:r>
    </w:p>
    <w:p w14:paraId="322E0EB6">
      <w:pPr>
        <w:wordWrap w:val="0"/>
        <w:overflowPunct w:val="0"/>
        <w:spacing w:line="480" w:lineRule="auto"/>
        <w:ind w:firstLine="420" w:firstLineChars="200"/>
        <w:rPr>
          <w:rFonts w:ascii="Arial" w:hAnsi="Arial"/>
          <w:sz w:val="21"/>
          <w:szCs w:val="21"/>
        </w:rPr>
      </w:pPr>
      <w:r>
        <w:rPr>
          <w:rFonts w:ascii="Arial" w:hAnsi="Arial"/>
          <w:sz w:val="21"/>
          <w:szCs w:val="21"/>
        </w:rPr>
        <w:t>根据对估价对象和可比案例情况的分析，把各可比案例的自身状况按照参比因素分别与估价对象的相应状况进行比较，编制比较因素条件指数表。具体如下</w:t>
      </w:r>
      <w:r>
        <w:rPr>
          <w:rFonts w:hint="eastAsia" w:ascii="Arial" w:hAnsi="Arial"/>
          <w:sz w:val="21"/>
          <w:szCs w:val="21"/>
        </w:rPr>
        <w:t>：</w:t>
      </w:r>
    </w:p>
    <w:p w14:paraId="2BF73B81">
      <w:pPr>
        <w:overflowPunct w:val="0"/>
        <w:spacing w:line="480" w:lineRule="auto"/>
        <w:ind w:firstLine="420" w:firstLineChars="200"/>
        <w:jc w:val="center"/>
        <w:rPr>
          <w:rFonts w:ascii="Arial" w:hAnsi="Arial"/>
          <w:sz w:val="21"/>
          <w:szCs w:val="21"/>
        </w:rPr>
      </w:pPr>
      <w:r>
        <w:rPr>
          <w:rFonts w:hint="eastAsia" w:ascii="Arial" w:hAnsi="Arial"/>
          <w:sz w:val="21"/>
          <w:szCs w:val="21"/>
        </w:rPr>
        <w:t>福兴雅苑</w:t>
      </w:r>
      <w:r>
        <w:rPr>
          <w:rFonts w:ascii="Arial" w:hAnsi="Arial"/>
          <w:sz w:val="21"/>
          <w:szCs w:val="21"/>
        </w:rPr>
        <w:t>比较因素条件指数表</w:t>
      </w:r>
    </w:p>
    <w:tbl>
      <w:tblPr>
        <w:tblStyle w:val="33"/>
        <w:tblW w:w="4936" w:type="pct"/>
        <w:jc w:val="center"/>
        <w:tblLayout w:type="autofit"/>
        <w:tblCellMar>
          <w:top w:w="57" w:type="dxa"/>
          <w:left w:w="57" w:type="dxa"/>
          <w:bottom w:w="57" w:type="dxa"/>
          <w:right w:w="57" w:type="dxa"/>
        </w:tblCellMar>
      </w:tblPr>
      <w:tblGrid>
        <w:gridCol w:w="564"/>
        <w:gridCol w:w="996"/>
        <w:gridCol w:w="988"/>
        <w:gridCol w:w="988"/>
        <w:gridCol w:w="988"/>
        <w:gridCol w:w="988"/>
        <w:gridCol w:w="3781"/>
      </w:tblGrid>
      <w:tr w14:paraId="40DE579C">
        <w:tblPrEx>
          <w:tblCellMar>
            <w:top w:w="57" w:type="dxa"/>
            <w:left w:w="57" w:type="dxa"/>
            <w:bottom w:w="57" w:type="dxa"/>
            <w:right w:w="57" w:type="dxa"/>
          </w:tblCellMar>
        </w:tblPrEx>
        <w:trPr>
          <w:trHeight w:val="20" w:hRule="atLeast"/>
          <w:tblHeader/>
          <w:jc w:val="center"/>
        </w:trPr>
        <w:tc>
          <w:tcPr>
            <w:tcW w:w="840" w:type="pct"/>
            <w:gridSpan w:val="2"/>
            <w:vMerge w:val="restart"/>
            <w:tcBorders>
              <w:top w:val="single" w:color="auto" w:sz="4" w:space="0"/>
              <w:left w:val="single" w:color="auto" w:sz="4" w:space="0"/>
              <w:bottom w:val="single" w:color="000000" w:sz="4" w:space="0"/>
              <w:right w:val="single" w:color="000000" w:sz="4" w:space="0"/>
              <w:tl2br w:val="single" w:color="auto" w:sz="4" w:space="0"/>
            </w:tcBorders>
            <w:vAlign w:val="center"/>
          </w:tcPr>
          <w:p w14:paraId="46B2801B">
            <w:pPr>
              <w:snapToGrid w:val="0"/>
              <w:spacing w:line="240" w:lineRule="exact"/>
              <w:jc w:val="right"/>
              <w:rPr>
                <w:rFonts w:hint="eastAsia" w:ascii="宋体" w:hAnsi="宋体" w:cs="Arial"/>
                <w:sz w:val="16"/>
                <w:szCs w:val="18"/>
              </w:rPr>
            </w:pPr>
            <w:r>
              <w:rPr>
                <w:rFonts w:ascii="宋体" w:hAnsi="宋体" w:cs="Arial"/>
                <w:sz w:val="16"/>
                <w:szCs w:val="18"/>
              </w:rPr>
              <w:t>估价对象及</w:t>
            </w:r>
          </w:p>
          <w:p w14:paraId="48E96725">
            <w:pPr>
              <w:snapToGrid w:val="0"/>
              <w:spacing w:line="240" w:lineRule="exact"/>
              <w:jc w:val="right"/>
              <w:rPr>
                <w:rFonts w:hint="eastAsia" w:ascii="宋体" w:hAnsi="宋体" w:cs="Arial"/>
                <w:sz w:val="16"/>
                <w:szCs w:val="18"/>
              </w:rPr>
            </w:pPr>
            <w:r>
              <w:rPr>
                <w:rFonts w:ascii="宋体" w:hAnsi="宋体" w:cs="Arial"/>
                <w:sz w:val="16"/>
                <w:szCs w:val="18"/>
              </w:rPr>
              <w:t>可比实例</w:t>
            </w:r>
          </w:p>
          <w:p w14:paraId="3D26E064">
            <w:pPr>
              <w:snapToGrid w:val="0"/>
              <w:spacing w:line="240" w:lineRule="exact"/>
              <w:jc w:val="both"/>
              <w:rPr>
                <w:rFonts w:hint="eastAsia" w:ascii="宋体" w:hAnsi="宋体" w:cs="Arial"/>
                <w:sz w:val="16"/>
                <w:szCs w:val="18"/>
              </w:rPr>
            </w:pPr>
          </w:p>
          <w:p w14:paraId="177B3007">
            <w:pPr>
              <w:snapToGrid w:val="0"/>
              <w:spacing w:line="240" w:lineRule="exact"/>
              <w:jc w:val="both"/>
              <w:rPr>
                <w:rFonts w:hint="eastAsia" w:ascii="宋体" w:hAnsi="宋体" w:cs="Arial"/>
                <w:sz w:val="16"/>
                <w:szCs w:val="18"/>
              </w:rPr>
            </w:pPr>
          </w:p>
          <w:p w14:paraId="6BEE2BE5">
            <w:pPr>
              <w:snapToGrid w:val="0"/>
              <w:spacing w:line="240" w:lineRule="exact"/>
              <w:jc w:val="both"/>
              <w:rPr>
                <w:rFonts w:hint="eastAsia" w:ascii="宋体" w:hAnsi="宋体" w:cs="Arial"/>
                <w:sz w:val="16"/>
                <w:szCs w:val="18"/>
              </w:rPr>
            </w:pPr>
            <w:r>
              <w:rPr>
                <w:rFonts w:ascii="宋体" w:hAnsi="宋体" w:cs="Arial"/>
                <w:sz w:val="16"/>
                <w:szCs w:val="18"/>
              </w:rPr>
              <w:t>比较因素</w:t>
            </w:r>
          </w:p>
        </w:tc>
        <w:tc>
          <w:tcPr>
            <w:tcW w:w="531" w:type="pct"/>
            <w:tcBorders>
              <w:top w:val="single" w:color="auto" w:sz="4" w:space="0"/>
              <w:left w:val="nil"/>
              <w:bottom w:val="single" w:color="auto" w:sz="4" w:space="0"/>
              <w:right w:val="single" w:color="auto" w:sz="4" w:space="0"/>
            </w:tcBorders>
            <w:vAlign w:val="center"/>
          </w:tcPr>
          <w:p w14:paraId="2B16E89A">
            <w:pPr>
              <w:snapToGrid w:val="0"/>
              <w:spacing w:line="240" w:lineRule="exact"/>
              <w:jc w:val="both"/>
              <w:rPr>
                <w:rFonts w:hint="eastAsia" w:ascii="宋体" w:hAnsi="宋体" w:cs="Arial"/>
                <w:sz w:val="16"/>
                <w:szCs w:val="18"/>
              </w:rPr>
            </w:pPr>
            <w:r>
              <w:rPr>
                <w:rFonts w:ascii="宋体" w:hAnsi="宋体" w:cs="Arial"/>
                <w:sz w:val="16"/>
                <w:szCs w:val="18"/>
              </w:rPr>
              <w:t>估价对象</w:t>
            </w:r>
          </w:p>
        </w:tc>
        <w:tc>
          <w:tcPr>
            <w:tcW w:w="531" w:type="pct"/>
            <w:tcBorders>
              <w:top w:val="single" w:color="auto" w:sz="4" w:space="0"/>
              <w:left w:val="nil"/>
              <w:bottom w:val="single" w:color="auto" w:sz="4" w:space="0"/>
              <w:right w:val="single" w:color="auto" w:sz="4" w:space="0"/>
            </w:tcBorders>
            <w:vAlign w:val="center"/>
          </w:tcPr>
          <w:p w14:paraId="28E631E4">
            <w:pPr>
              <w:snapToGrid w:val="0"/>
              <w:spacing w:line="240" w:lineRule="exact"/>
              <w:jc w:val="both"/>
              <w:rPr>
                <w:rFonts w:hint="eastAsia" w:ascii="宋体" w:hAnsi="宋体" w:cs="Arial"/>
                <w:sz w:val="16"/>
                <w:szCs w:val="18"/>
              </w:rPr>
            </w:pPr>
            <w:r>
              <w:rPr>
                <w:rFonts w:ascii="宋体" w:hAnsi="宋体" w:cs="Arial"/>
                <w:sz w:val="16"/>
                <w:szCs w:val="18"/>
              </w:rPr>
              <w:t>可比实例</w:t>
            </w:r>
            <w:r>
              <w:rPr>
                <w:rFonts w:hint="eastAsia" w:ascii="宋体" w:hAnsi="宋体" w:cs="Arial"/>
                <w:sz w:val="16"/>
                <w:szCs w:val="18"/>
              </w:rPr>
              <w:t>7</w:t>
            </w:r>
          </w:p>
        </w:tc>
        <w:tc>
          <w:tcPr>
            <w:tcW w:w="531" w:type="pct"/>
            <w:tcBorders>
              <w:top w:val="single" w:color="auto" w:sz="4" w:space="0"/>
              <w:left w:val="nil"/>
              <w:bottom w:val="single" w:color="auto" w:sz="4" w:space="0"/>
              <w:right w:val="single" w:color="auto" w:sz="4" w:space="0"/>
            </w:tcBorders>
            <w:vAlign w:val="center"/>
          </w:tcPr>
          <w:p w14:paraId="2214B86B">
            <w:pPr>
              <w:snapToGrid w:val="0"/>
              <w:spacing w:line="240" w:lineRule="exact"/>
              <w:jc w:val="both"/>
              <w:rPr>
                <w:rFonts w:hint="eastAsia" w:ascii="宋体" w:hAnsi="宋体" w:cs="Arial"/>
                <w:sz w:val="16"/>
                <w:szCs w:val="18"/>
              </w:rPr>
            </w:pPr>
            <w:r>
              <w:rPr>
                <w:rFonts w:ascii="宋体" w:hAnsi="宋体" w:cs="Arial"/>
                <w:sz w:val="16"/>
                <w:szCs w:val="18"/>
              </w:rPr>
              <w:t>可比实例</w:t>
            </w:r>
            <w:r>
              <w:rPr>
                <w:rFonts w:hint="eastAsia" w:ascii="宋体" w:hAnsi="宋体" w:cs="Arial"/>
                <w:sz w:val="16"/>
                <w:szCs w:val="18"/>
              </w:rPr>
              <w:t>8</w:t>
            </w:r>
          </w:p>
        </w:tc>
        <w:tc>
          <w:tcPr>
            <w:tcW w:w="531" w:type="pct"/>
            <w:tcBorders>
              <w:top w:val="single" w:color="auto" w:sz="4" w:space="0"/>
              <w:left w:val="nil"/>
              <w:bottom w:val="single" w:color="auto" w:sz="4" w:space="0"/>
              <w:right w:val="single" w:color="auto" w:sz="4" w:space="0"/>
            </w:tcBorders>
            <w:vAlign w:val="center"/>
          </w:tcPr>
          <w:p w14:paraId="0FF3AA61">
            <w:pPr>
              <w:snapToGrid w:val="0"/>
              <w:spacing w:line="240" w:lineRule="exact"/>
              <w:jc w:val="both"/>
              <w:rPr>
                <w:rFonts w:hint="eastAsia" w:ascii="宋体" w:hAnsi="宋体" w:cs="Arial"/>
                <w:sz w:val="16"/>
                <w:szCs w:val="18"/>
              </w:rPr>
            </w:pPr>
            <w:r>
              <w:rPr>
                <w:rFonts w:ascii="宋体" w:hAnsi="宋体" w:cs="Arial"/>
                <w:sz w:val="16"/>
                <w:szCs w:val="18"/>
              </w:rPr>
              <w:t>可比实例</w:t>
            </w:r>
            <w:r>
              <w:rPr>
                <w:rFonts w:hint="eastAsia" w:ascii="宋体" w:hAnsi="宋体" w:cs="Arial"/>
                <w:sz w:val="16"/>
                <w:szCs w:val="18"/>
              </w:rPr>
              <w:t>9</w:t>
            </w:r>
          </w:p>
        </w:tc>
        <w:tc>
          <w:tcPr>
            <w:tcW w:w="2033" w:type="pct"/>
            <w:tcBorders>
              <w:top w:val="single" w:color="auto" w:sz="4" w:space="0"/>
              <w:left w:val="nil"/>
              <w:bottom w:val="single" w:color="auto" w:sz="4" w:space="0"/>
              <w:right w:val="single" w:color="auto" w:sz="4" w:space="0"/>
            </w:tcBorders>
            <w:vAlign w:val="center"/>
          </w:tcPr>
          <w:p w14:paraId="11DC05FC">
            <w:pPr>
              <w:snapToGrid w:val="0"/>
              <w:spacing w:line="240" w:lineRule="exact"/>
              <w:jc w:val="both"/>
              <w:rPr>
                <w:rFonts w:hint="eastAsia" w:ascii="宋体" w:hAnsi="宋体" w:cs="Arial"/>
                <w:sz w:val="16"/>
                <w:szCs w:val="18"/>
              </w:rPr>
            </w:pPr>
            <w:r>
              <w:rPr>
                <w:rFonts w:ascii="宋体" w:hAnsi="宋体" w:cs="Arial"/>
                <w:sz w:val="16"/>
                <w:szCs w:val="18"/>
              </w:rPr>
              <w:t>比较因素调整说明</w:t>
            </w:r>
          </w:p>
        </w:tc>
      </w:tr>
      <w:tr w14:paraId="3A282FB8">
        <w:tblPrEx>
          <w:tblCellMar>
            <w:top w:w="57" w:type="dxa"/>
            <w:left w:w="57" w:type="dxa"/>
            <w:bottom w:w="57" w:type="dxa"/>
            <w:right w:w="57" w:type="dxa"/>
          </w:tblCellMar>
        </w:tblPrEx>
        <w:trPr>
          <w:trHeight w:val="20" w:hRule="atLeast"/>
          <w:tblHeader/>
          <w:jc w:val="center"/>
        </w:trPr>
        <w:tc>
          <w:tcPr>
            <w:tcW w:w="840" w:type="pct"/>
            <w:gridSpan w:val="2"/>
            <w:vMerge w:val="continue"/>
            <w:tcBorders>
              <w:top w:val="single" w:color="auto" w:sz="4" w:space="0"/>
              <w:left w:val="single" w:color="auto" w:sz="4" w:space="0"/>
              <w:bottom w:val="single" w:color="000000" w:sz="4" w:space="0"/>
              <w:right w:val="single" w:color="000000" w:sz="4" w:space="0"/>
            </w:tcBorders>
            <w:vAlign w:val="center"/>
          </w:tcPr>
          <w:p w14:paraId="2CD3C4F4">
            <w:pPr>
              <w:snapToGrid w:val="0"/>
              <w:spacing w:line="240" w:lineRule="exact"/>
              <w:jc w:val="both"/>
              <w:rPr>
                <w:rFonts w:hint="eastAsia" w:ascii="宋体" w:hAnsi="宋体" w:cs="Arial"/>
                <w:sz w:val="16"/>
                <w:szCs w:val="18"/>
              </w:rPr>
            </w:pPr>
          </w:p>
        </w:tc>
        <w:tc>
          <w:tcPr>
            <w:tcW w:w="531" w:type="pct"/>
            <w:tcBorders>
              <w:top w:val="nil"/>
              <w:left w:val="nil"/>
              <w:bottom w:val="single" w:color="auto" w:sz="4" w:space="0"/>
              <w:right w:val="single" w:color="auto" w:sz="4" w:space="0"/>
            </w:tcBorders>
            <w:vAlign w:val="center"/>
          </w:tcPr>
          <w:p w14:paraId="533790D8">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福兴雅苑</w:t>
            </w:r>
          </w:p>
        </w:tc>
        <w:tc>
          <w:tcPr>
            <w:tcW w:w="531" w:type="pct"/>
            <w:tcBorders>
              <w:top w:val="nil"/>
              <w:left w:val="nil"/>
              <w:bottom w:val="single" w:color="auto" w:sz="4" w:space="0"/>
              <w:right w:val="single" w:color="auto" w:sz="4" w:space="0"/>
            </w:tcBorders>
            <w:vAlign w:val="center"/>
          </w:tcPr>
          <w:p w14:paraId="15BC7DE5">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531" w:type="pct"/>
            <w:tcBorders>
              <w:top w:val="nil"/>
              <w:left w:val="nil"/>
              <w:bottom w:val="single" w:color="auto" w:sz="4" w:space="0"/>
              <w:right w:val="single" w:color="auto" w:sz="4" w:space="0"/>
            </w:tcBorders>
            <w:vAlign w:val="center"/>
          </w:tcPr>
          <w:p w14:paraId="7B368258">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锦华园</w:t>
            </w:r>
          </w:p>
        </w:tc>
        <w:tc>
          <w:tcPr>
            <w:tcW w:w="531" w:type="pct"/>
            <w:tcBorders>
              <w:top w:val="nil"/>
              <w:left w:val="nil"/>
              <w:bottom w:val="single" w:color="auto" w:sz="4" w:space="0"/>
              <w:right w:val="single" w:color="auto" w:sz="4" w:space="0"/>
            </w:tcBorders>
            <w:vAlign w:val="center"/>
          </w:tcPr>
          <w:p w14:paraId="75336719">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c>
          <w:tcPr>
            <w:tcW w:w="2033" w:type="pct"/>
            <w:tcBorders>
              <w:top w:val="nil"/>
              <w:left w:val="nil"/>
              <w:bottom w:val="single" w:color="auto" w:sz="4" w:space="0"/>
              <w:right w:val="single" w:color="auto" w:sz="4" w:space="0"/>
            </w:tcBorders>
            <w:vAlign w:val="center"/>
          </w:tcPr>
          <w:p w14:paraId="5007111C">
            <w:pPr>
              <w:snapToGrid w:val="0"/>
              <w:spacing w:line="240" w:lineRule="exact"/>
              <w:jc w:val="both"/>
              <w:rPr>
                <w:rFonts w:hint="eastAsia" w:ascii="宋体" w:hAnsi="宋体" w:cs="Arial"/>
                <w:sz w:val="16"/>
                <w:szCs w:val="18"/>
              </w:rPr>
            </w:pPr>
            <w:r>
              <w:rPr>
                <w:rFonts w:ascii="宋体" w:hAnsi="宋体" w:cs="Arial"/>
                <w:sz w:val="16"/>
                <w:szCs w:val="18"/>
              </w:rPr>
              <w:t>——</w:t>
            </w:r>
          </w:p>
        </w:tc>
      </w:tr>
      <w:tr w14:paraId="18064EF4">
        <w:tblPrEx>
          <w:tblCellMar>
            <w:top w:w="57" w:type="dxa"/>
            <w:left w:w="57" w:type="dxa"/>
            <w:bottom w:w="57" w:type="dxa"/>
            <w:right w:w="57" w:type="dxa"/>
          </w:tblCellMar>
        </w:tblPrEx>
        <w:trPr>
          <w:trHeight w:val="20" w:hRule="atLeast"/>
          <w:jc w:val="center"/>
        </w:trPr>
        <w:tc>
          <w:tcPr>
            <w:tcW w:w="840" w:type="pct"/>
            <w:gridSpan w:val="2"/>
            <w:tcBorders>
              <w:top w:val="single" w:color="auto" w:sz="4" w:space="0"/>
              <w:left w:val="single" w:color="auto" w:sz="4" w:space="0"/>
              <w:bottom w:val="single" w:color="auto" w:sz="4" w:space="0"/>
              <w:right w:val="single" w:color="000000" w:sz="4" w:space="0"/>
            </w:tcBorders>
            <w:vAlign w:val="center"/>
          </w:tcPr>
          <w:p w14:paraId="32BB89CD">
            <w:pPr>
              <w:snapToGrid w:val="0"/>
              <w:spacing w:line="240" w:lineRule="exact"/>
              <w:jc w:val="both"/>
              <w:rPr>
                <w:rFonts w:hint="eastAsia" w:ascii="宋体" w:hAnsi="宋体" w:cs="Arial"/>
                <w:sz w:val="16"/>
                <w:szCs w:val="18"/>
              </w:rPr>
            </w:pPr>
            <w:r>
              <w:rPr>
                <w:rFonts w:ascii="宋体" w:hAnsi="宋体" w:cs="Arial"/>
                <w:sz w:val="16"/>
                <w:szCs w:val="18"/>
              </w:rPr>
              <w:t>确定的租金价格（元/平方米·天）</w:t>
            </w:r>
          </w:p>
        </w:tc>
        <w:tc>
          <w:tcPr>
            <w:tcW w:w="531" w:type="pct"/>
            <w:tcBorders>
              <w:top w:val="nil"/>
              <w:left w:val="nil"/>
              <w:bottom w:val="single" w:color="auto" w:sz="4" w:space="0"/>
              <w:right w:val="single" w:color="auto" w:sz="4" w:space="0"/>
            </w:tcBorders>
            <w:noWrap/>
            <w:vAlign w:val="center"/>
          </w:tcPr>
          <w:p w14:paraId="5FA23CC9">
            <w:pPr>
              <w:pStyle w:val="61"/>
              <w:autoSpaceDE w:val="0"/>
              <w:autoSpaceDN w:val="0"/>
              <w:spacing w:line="240" w:lineRule="exact"/>
              <w:jc w:val="left"/>
              <w:textAlignment w:val="bottom"/>
              <w:rPr>
                <w:rFonts w:hint="eastAsia" w:hAnsi="宋体" w:cs="Arial"/>
                <w:sz w:val="16"/>
                <w:szCs w:val="18"/>
              </w:rPr>
            </w:pPr>
            <w:r>
              <w:rPr>
                <w:rFonts w:ascii="Arial" w:hAnsi="Arial" w:cs="Arial"/>
                <w:sz w:val="16"/>
                <w:szCs w:val="18"/>
              </w:rPr>
              <w:t>待估</w:t>
            </w:r>
          </w:p>
        </w:tc>
        <w:tc>
          <w:tcPr>
            <w:tcW w:w="531" w:type="pct"/>
            <w:tcBorders>
              <w:top w:val="nil"/>
              <w:left w:val="nil"/>
              <w:bottom w:val="single" w:color="auto" w:sz="4" w:space="0"/>
              <w:right w:val="single" w:color="auto" w:sz="4" w:space="0"/>
            </w:tcBorders>
            <w:noWrap/>
            <w:vAlign w:val="center"/>
          </w:tcPr>
          <w:p w14:paraId="6E02D783">
            <w:pPr>
              <w:autoSpaceDE w:val="0"/>
              <w:autoSpaceDN w:val="0"/>
              <w:spacing w:line="240" w:lineRule="exact"/>
              <w:textAlignment w:val="bottom"/>
              <w:rPr>
                <w:rFonts w:ascii="Arial" w:hAnsi="Arial" w:cs="Arial"/>
                <w:sz w:val="16"/>
                <w:szCs w:val="18"/>
              </w:rPr>
            </w:pPr>
            <w:r>
              <w:rPr>
                <w:rFonts w:hint="eastAsia" w:ascii="Arial" w:hAnsi="Arial" w:cs="Arial"/>
                <w:sz w:val="16"/>
                <w:szCs w:val="18"/>
              </w:rPr>
              <w:t>40.52</w:t>
            </w:r>
          </w:p>
        </w:tc>
        <w:tc>
          <w:tcPr>
            <w:tcW w:w="531" w:type="pct"/>
            <w:tcBorders>
              <w:top w:val="nil"/>
              <w:left w:val="nil"/>
              <w:bottom w:val="single" w:color="auto" w:sz="4" w:space="0"/>
              <w:right w:val="single" w:color="auto" w:sz="4" w:space="0"/>
            </w:tcBorders>
            <w:noWrap/>
            <w:vAlign w:val="center"/>
          </w:tcPr>
          <w:p w14:paraId="7E12BD63">
            <w:pPr>
              <w:autoSpaceDE w:val="0"/>
              <w:autoSpaceDN w:val="0"/>
              <w:spacing w:line="240" w:lineRule="exact"/>
              <w:textAlignment w:val="bottom"/>
              <w:rPr>
                <w:rFonts w:ascii="Arial" w:hAnsi="Arial" w:cs="Arial"/>
                <w:sz w:val="16"/>
                <w:szCs w:val="18"/>
              </w:rPr>
            </w:pPr>
            <w:r>
              <w:rPr>
                <w:rFonts w:hint="eastAsia" w:ascii="Arial" w:hAnsi="Arial" w:cs="Arial"/>
                <w:sz w:val="16"/>
                <w:szCs w:val="18"/>
              </w:rPr>
              <w:t>40.12</w:t>
            </w:r>
          </w:p>
        </w:tc>
        <w:tc>
          <w:tcPr>
            <w:tcW w:w="531" w:type="pct"/>
            <w:tcBorders>
              <w:top w:val="nil"/>
              <w:left w:val="nil"/>
              <w:bottom w:val="single" w:color="auto" w:sz="4" w:space="0"/>
              <w:right w:val="single" w:color="auto" w:sz="4" w:space="0"/>
            </w:tcBorders>
            <w:noWrap/>
            <w:vAlign w:val="center"/>
          </w:tcPr>
          <w:p w14:paraId="2FF88876">
            <w:pPr>
              <w:autoSpaceDE w:val="0"/>
              <w:autoSpaceDN w:val="0"/>
              <w:spacing w:line="240" w:lineRule="exact"/>
              <w:textAlignment w:val="bottom"/>
              <w:rPr>
                <w:rFonts w:ascii="Arial" w:hAnsi="Arial" w:cs="Arial"/>
                <w:sz w:val="16"/>
                <w:szCs w:val="18"/>
              </w:rPr>
            </w:pPr>
            <w:r>
              <w:rPr>
                <w:rFonts w:hint="eastAsia" w:ascii="Arial" w:hAnsi="Arial" w:cs="Arial"/>
                <w:sz w:val="16"/>
                <w:szCs w:val="18"/>
              </w:rPr>
              <w:t>41.28</w:t>
            </w:r>
          </w:p>
        </w:tc>
        <w:tc>
          <w:tcPr>
            <w:tcW w:w="2033" w:type="pct"/>
            <w:tcBorders>
              <w:top w:val="nil"/>
              <w:left w:val="nil"/>
              <w:bottom w:val="single" w:color="auto" w:sz="4" w:space="0"/>
              <w:right w:val="single" w:color="auto" w:sz="4" w:space="0"/>
            </w:tcBorders>
            <w:vAlign w:val="center"/>
          </w:tcPr>
          <w:p w14:paraId="6C97D654">
            <w:pPr>
              <w:snapToGrid w:val="0"/>
              <w:spacing w:line="240" w:lineRule="exact"/>
              <w:jc w:val="both"/>
              <w:rPr>
                <w:rFonts w:hint="eastAsia" w:ascii="宋体" w:hAnsi="宋体" w:cs="Arial"/>
                <w:sz w:val="16"/>
                <w:szCs w:val="18"/>
              </w:rPr>
            </w:pPr>
            <w:r>
              <w:rPr>
                <w:rFonts w:ascii="宋体" w:hAnsi="宋体" w:cs="Arial"/>
                <w:sz w:val="16"/>
                <w:szCs w:val="18"/>
              </w:rPr>
              <w:t>——</w:t>
            </w:r>
          </w:p>
        </w:tc>
      </w:tr>
      <w:tr w14:paraId="1C44E3E9">
        <w:tblPrEx>
          <w:tblCellMar>
            <w:top w:w="57" w:type="dxa"/>
            <w:left w:w="57" w:type="dxa"/>
            <w:bottom w:w="57" w:type="dxa"/>
            <w:right w:w="57" w:type="dxa"/>
          </w:tblCellMar>
        </w:tblPrEx>
        <w:trPr>
          <w:trHeight w:val="20" w:hRule="atLeast"/>
          <w:jc w:val="center"/>
        </w:trPr>
        <w:tc>
          <w:tcPr>
            <w:tcW w:w="840" w:type="pct"/>
            <w:gridSpan w:val="2"/>
            <w:tcBorders>
              <w:top w:val="single" w:color="auto" w:sz="4" w:space="0"/>
              <w:left w:val="single" w:color="auto" w:sz="4" w:space="0"/>
              <w:bottom w:val="single" w:color="auto" w:sz="4" w:space="0"/>
              <w:right w:val="single" w:color="auto" w:sz="4" w:space="0"/>
            </w:tcBorders>
            <w:vAlign w:val="center"/>
          </w:tcPr>
          <w:p w14:paraId="450F92A0">
            <w:pPr>
              <w:snapToGrid w:val="0"/>
              <w:spacing w:line="240" w:lineRule="exact"/>
              <w:jc w:val="both"/>
              <w:rPr>
                <w:rFonts w:hint="eastAsia" w:ascii="宋体" w:hAnsi="宋体" w:cs="Arial"/>
                <w:sz w:val="16"/>
                <w:szCs w:val="18"/>
              </w:rPr>
            </w:pPr>
            <w:r>
              <w:rPr>
                <w:rFonts w:ascii="宋体" w:hAnsi="宋体" w:cs="Arial"/>
                <w:sz w:val="16"/>
                <w:szCs w:val="18"/>
              </w:rPr>
              <w:t>交易时间</w:t>
            </w:r>
          </w:p>
        </w:tc>
        <w:tc>
          <w:tcPr>
            <w:tcW w:w="531" w:type="pct"/>
            <w:tcBorders>
              <w:top w:val="nil"/>
              <w:left w:val="nil"/>
              <w:bottom w:val="single" w:color="auto" w:sz="4" w:space="0"/>
              <w:right w:val="single" w:color="auto" w:sz="4" w:space="0"/>
            </w:tcBorders>
            <w:noWrap/>
            <w:vAlign w:val="center"/>
          </w:tcPr>
          <w:p w14:paraId="0178CF8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2BD575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4CD59E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4FF1DCA">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5A26C448">
            <w:pPr>
              <w:snapToGrid w:val="0"/>
              <w:spacing w:line="240" w:lineRule="exact"/>
              <w:jc w:val="both"/>
              <w:rPr>
                <w:rFonts w:ascii="Arial" w:hAnsi="Arial" w:cs="Arial"/>
                <w:sz w:val="16"/>
                <w:szCs w:val="18"/>
              </w:rPr>
            </w:pPr>
            <w:r>
              <w:rPr>
                <w:rFonts w:ascii="Arial" w:hAnsi="Arial" w:cs="Arial"/>
                <w:sz w:val="16"/>
                <w:szCs w:val="18"/>
              </w:rPr>
              <w:t>估价对象与可比实例的交易时间一致，因此确定估价对象与可比实例该因素指数均为100；</w:t>
            </w:r>
          </w:p>
        </w:tc>
      </w:tr>
      <w:tr w14:paraId="62CC0D0A">
        <w:tblPrEx>
          <w:tblCellMar>
            <w:top w:w="57" w:type="dxa"/>
            <w:left w:w="57" w:type="dxa"/>
            <w:bottom w:w="57" w:type="dxa"/>
            <w:right w:w="57" w:type="dxa"/>
          </w:tblCellMar>
        </w:tblPrEx>
        <w:trPr>
          <w:trHeight w:val="20" w:hRule="atLeast"/>
          <w:jc w:val="center"/>
        </w:trPr>
        <w:tc>
          <w:tcPr>
            <w:tcW w:w="840" w:type="pct"/>
            <w:gridSpan w:val="2"/>
            <w:tcBorders>
              <w:top w:val="single" w:color="auto" w:sz="4" w:space="0"/>
              <w:left w:val="single" w:color="auto" w:sz="4" w:space="0"/>
              <w:bottom w:val="single" w:color="auto" w:sz="4" w:space="0"/>
              <w:right w:val="single" w:color="auto" w:sz="4" w:space="0"/>
            </w:tcBorders>
            <w:vAlign w:val="center"/>
          </w:tcPr>
          <w:p w14:paraId="19E82EC0">
            <w:pPr>
              <w:snapToGrid w:val="0"/>
              <w:spacing w:line="240" w:lineRule="exact"/>
              <w:jc w:val="both"/>
              <w:rPr>
                <w:rFonts w:hint="eastAsia" w:ascii="宋体" w:hAnsi="宋体" w:cs="Arial"/>
                <w:sz w:val="16"/>
                <w:szCs w:val="18"/>
              </w:rPr>
            </w:pPr>
            <w:r>
              <w:rPr>
                <w:rFonts w:ascii="宋体" w:hAnsi="宋体" w:cs="Arial"/>
                <w:sz w:val="16"/>
                <w:szCs w:val="18"/>
              </w:rPr>
              <w:t>交易情况</w:t>
            </w:r>
          </w:p>
        </w:tc>
        <w:tc>
          <w:tcPr>
            <w:tcW w:w="531" w:type="pct"/>
            <w:tcBorders>
              <w:top w:val="nil"/>
              <w:left w:val="nil"/>
              <w:bottom w:val="single" w:color="auto" w:sz="4" w:space="0"/>
              <w:right w:val="single" w:color="auto" w:sz="4" w:space="0"/>
            </w:tcBorders>
            <w:noWrap/>
            <w:vAlign w:val="center"/>
          </w:tcPr>
          <w:p w14:paraId="7B562BB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3D77BD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CB602A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D8F9E13">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29B012C0">
            <w:pPr>
              <w:snapToGrid w:val="0"/>
              <w:spacing w:line="240" w:lineRule="exact"/>
              <w:jc w:val="both"/>
              <w:rPr>
                <w:rFonts w:ascii="Arial" w:hAnsi="Arial" w:cs="Arial"/>
                <w:sz w:val="16"/>
                <w:szCs w:val="18"/>
              </w:rPr>
            </w:pPr>
            <w:r>
              <w:rPr>
                <w:rFonts w:ascii="Arial" w:hAnsi="Arial" w:cs="Arial"/>
                <w:sz w:val="16"/>
                <w:szCs w:val="18"/>
              </w:rPr>
              <w:t>可比实例均为正常交易或已修正为正常交易，故不予修正，交易情况指数均100；</w:t>
            </w:r>
          </w:p>
        </w:tc>
      </w:tr>
      <w:tr w14:paraId="3CFD244B">
        <w:tblPrEx>
          <w:tblCellMar>
            <w:top w:w="57" w:type="dxa"/>
            <w:left w:w="57" w:type="dxa"/>
            <w:bottom w:w="57" w:type="dxa"/>
            <w:right w:w="57" w:type="dxa"/>
          </w:tblCellMar>
        </w:tblPrEx>
        <w:trPr>
          <w:trHeight w:val="20" w:hRule="atLeast"/>
          <w:jc w:val="center"/>
        </w:trPr>
        <w:tc>
          <w:tcPr>
            <w:tcW w:w="840" w:type="pct"/>
            <w:gridSpan w:val="2"/>
            <w:tcBorders>
              <w:top w:val="single" w:color="auto" w:sz="4" w:space="0"/>
              <w:left w:val="single" w:color="auto" w:sz="4" w:space="0"/>
              <w:bottom w:val="single" w:color="auto" w:sz="4" w:space="0"/>
              <w:right w:val="single" w:color="auto" w:sz="4" w:space="0"/>
            </w:tcBorders>
            <w:vAlign w:val="center"/>
          </w:tcPr>
          <w:p w14:paraId="491D28CD">
            <w:pPr>
              <w:snapToGrid w:val="0"/>
              <w:spacing w:line="240" w:lineRule="exact"/>
              <w:jc w:val="both"/>
              <w:rPr>
                <w:rFonts w:hint="eastAsia" w:ascii="宋体" w:hAnsi="宋体" w:cs="Arial"/>
                <w:sz w:val="16"/>
                <w:szCs w:val="18"/>
              </w:rPr>
            </w:pPr>
            <w:r>
              <w:rPr>
                <w:rFonts w:ascii="宋体" w:hAnsi="宋体" w:cs="Arial"/>
                <w:sz w:val="16"/>
                <w:szCs w:val="18"/>
              </w:rPr>
              <w:t>项目类型</w:t>
            </w:r>
          </w:p>
        </w:tc>
        <w:tc>
          <w:tcPr>
            <w:tcW w:w="531" w:type="pct"/>
            <w:tcBorders>
              <w:top w:val="nil"/>
              <w:left w:val="nil"/>
              <w:bottom w:val="single" w:color="auto" w:sz="4" w:space="0"/>
              <w:right w:val="single" w:color="auto" w:sz="4" w:space="0"/>
            </w:tcBorders>
            <w:noWrap/>
            <w:vAlign w:val="center"/>
          </w:tcPr>
          <w:p w14:paraId="7EB3171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789A64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6BD7C7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E5CA651">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63653708">
            <w:pPr>
              <w:snapToGrid w:val="0"/>
              <w:spacing w:line="240" w:lineRule="exact"/>
              <w:jc w:val="both"/>
              <w:rPr>
                <w:rFonts w:ascii="Arial" w:hAnsi="Arial" w:cs="Arial"/>
                <w:sz w:val="16"/>
                <w:szCs w:val="18"/>
              </w:rPr>
            </w:pPr>
            <w:r>
              <w:rPr>
                <w:rFonts w:ascii="Arial" w:hAnsi="Arial" w:cs="Arial"/>
                <w:sz w:val="16"/>
                <w:szCs w:val="18"/>
              </w:rPr>
              <w:t>可比实例均为</w:t>
            </w:r>
            <w:r>
              <w:rPr>
                <w:rFonts w:hint="eastAsia" w:ascii="Arial" w:hAnsi="Arial" w:cs="Arial"/>
                <w:sz w:val="16"/>
                <w:szCs w:val="18"/>
              </w:rPr>
              <w:t>住宅</w:t>
            </w:r>
            <w:r>
              <w:rPr>
                <w:rFonts w:ascii="Arial" w:hAnsi="Arial" w:cs="Arial"/>
                <w:sz w:val="16"/>
                <w:szCs w:val="18"/>
              </w:rPr>
              <w:t>，故不予修正，交易情况指数均100；</w:t>
            </w:r>
          </w:p>
        </w:tc>
      </w:tr>
      <w:tr w14:paraId="3BD8D612">
        <w:tblPrEx>
          <w:tblCellMar>
            <w:top w:w="57" w:type="dxa"/>
            <w:left w:w="57" w:type="dxa"/>
            <w:bottom w:w="57" w:type="dxa"/>
            <w:right w:w="57" w:type="dxa"/>
          </w:tblCellMar>
        </w:tblPrEx>
        <w:trPr>
          <w:trHeight w:val="20" w:hRule="atLeast"/>
          <w:jc w:val="center"/>
        </w:trPr>
        <w:tc>
          <w:tcPr>
            <w:tcW w:w="304" w:type="pct"/>
            <w:vMerge w:val="restart"/>
            <w:tcBorders>
              <w:top w:val="single" w:color="auto" w:sz="4" w:space="0"/>
              <w:left w:val="single" w:color="auto" w:sz="4" w:space="0"/>
              <w:bottom w:val="single" w:color="auto" w:sz="4" w:space="0"/>
              <w:right w:val="single" w:color="auto" w:sz="4" w:space="0"/>
            </w:tcBorders>
            <w:noWrap/>
            <w:vAlign w:val="center"/>
          </w:tcPr>
          <w:p w14:paraId="56662AC9">
            <w:pPr>
              <w:snapToGrid w:val="0"/>
              <w:spacing w:line="240" w:lineRule="exact"/>
              <w:jc w:val="both"/>
              <w:rPr>
                <w:rFonts w:hint="eastAsia" w:ascii="宋体" w:hAnsi="宋体" w:cs="Arial"/>
                <w:sz w:val="16"/>
                <w:szCs w:val="18"/>
              </w:rPr>
            </w:pPr>
            <w:r>
              <w:rPr>
                <w:rFonts w:ascii="宋体" w:hAnsi="宋体" w:cs="Arial"/>
                <w:sz w:val="16"/>
                <w:szCs w:val="18"/>
              </w:rPr>
              <w:t>区域</w:t>
            </w:r>
          </w:p>
          <w:p w14:paraId="28843D2F">
            <w:pPr>
              <w:snapToGrid w:val="0"/>
              <w:spacing w:line="240" w:lineRule="exact"/>
              <w:jc w:val="both"/>
              <w:rPr>
                <w:rFonts w:hint="eastAsia"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742BF795">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居住区成熟度</w:t>
            </w:r>
          </w:p>
        </w:tc>
        <w:tc>
          <w:tcPr>
            <w:tcW w:w="531" w:type="pct"/>
            <w:tcBorders>
              <w:top w:val="nil"/>
              <w:left w:val="nil"/>
              <w:bottom w:val="single" w:color="auto" w:sz="4" w:space="0"/>
              <w:right w:val="single" w:color="auto" w:sz="4" w:space="0"/>
            </w:tcBorders>
            <w:noWrap/>
            <w:vAlign w:val="center"/>
          </w:tcPr>
          <w:p w14:paraId="55C6023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84FF82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EF0F4C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CEA1CC7">
            <w:pPr>
              <w:snapToGrid w:val="0"/>
              <w:spacing w:line="240" w:lineRule="exact"/>
              <w:jc w:val="both"/>
              <w:rPr>
                <w:rFonts w:ascii="Arial" w:hAnsi="Arial" w:cs="Arial"/>
                <w:sz w:val="16"/>
                <w:szCs w:val="18"/>
              </w:rPr>
            </w:pPr>
            <w:r>
              <w:rPr>
                <w:rFonts w:hint="eastAsia" w:ascii="Arial" w:hAnsi="Arial" w:cs="Arial"/>
                <w:sz w:val="16"/>
                <w:szCs w:val="18"/>
              </w:rPr>
              <w:t>98</w:t>
            </w:r>
          </w:p>
        </w:tc>
        <w:tc>
          <w:tcPr>
            <w:tcW w:w="2033" w:type="pct"/>
            <w:tcBorders>
              <w:top w:val="nil"/>
              <w:left w:val="nil"/>
              <w:bottom w:val="single" w:color="auto" w:sz="4" w:space="0"/>
              <w:right w:val="single" w:color="auto" w:sz="4" w:space="0"/>
            </w:tcBorders>
            <w:vAlign w:val="center"/>
          </w:tcPr>
          <w:p w14:paraId="5C5ECC84">
            <w:pPr>
              <w:snapToGrid w:val="0"/>
              <w:spacing w:line="240" w:lineRule="exact"/>
              <w:jc w:val="both"/>
              <w:rPr>
                <w:rFonts w:ascii="Arial" w:hAnsi="Arial" w:cs="Arial"/>
                <w:sz w:val="16"/>
                <w:szCs w:val="18"/>
              </w:rPr>
            </w:pPr>
            <w:r>
              <w:rPr>
                <w:rFonts w:ascii="Arial" w:hAnsi="Arial" w:cs="Arial"/>
                <w:sz w:val="16"/>
                <w:szCs w:val="18"/>
              </w:rPr>
              <w:t>从好到差划分为优、较优、一般、较劣、劣五个等级，每个等级相差</w:t>
            </w:r>
            <w:r>
              <w:rPr>
                <w:rFonts w:hint="eastAsia" w:ascii="Arial" w:hAnsi="Arial" w:cs="Arial"/>
                <w:sz w:val="16"/>
                <w:szCs w:val="18"/>
              </w:rPr>
              <w:t>2</w:t>
            </w:r>
            <w:r>
              <w:rPr>
                <w:rFonts w:ascii="Arial" w:hAnsi="Arial" w:cs="Arial"/>
                <w:sz w:val="16"/>
                <w:szCs w:val="18"/>
              </w:rPr>
              <w:t>分，确定可比实例1、2、3该因素指数分别为10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w:t>
            </w:r>
            <w:r>
              <w:rPr>
                <w:rFonts w:hint="eastAsia" w:ascii="Arial" w:hAnsi="Arial" w:cs="Arial"/>
                <w:sz w:val="16"/>
                <w:szCs w:val="18"/>
              </w:rPr>
              <w:t>98</w:t>
            </w:r>
            <w:r>
              <w:rPr>
                <w:rFonts w:ascii="Arial" w:hAnsi="Arial" w:cs="Arial"/>
                <w:sz w:val="16"/>
                <w:szCs w:val="18"/>
              </w:rPr>
              <w:t>；</w:t>
            </w:r>
          </w:p>
        </w:tc>
      </w:tr>
      <w:tr w14:paraId="5AEF8FCA">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08993C85">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79B374D5">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道路通达度</w:t>
            </w:r>
          </w:p>
        </w:tc>
        <w:tc>
          <w:tcPr>
            <w:tcW w:w="531" w:type="pct"/>
            <w:tcBorders>
              <w:top w:val="nil"/>
              <w:left w:val="nil"/>
              <w:bottom w:val="single" w:color="auto" w:sz="4" w:space="0"/>
              <w:right w:val="single" w:color="auto" w:sz="4" w:space="0"/>
            </w:tcBorders>
            <w:noWrap/>
            <w:vAlign w:val="center"/>
          </w:tcPr>
          <w:p w14:paraId="74960A4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B1481F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CCB6BB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2EF92FC">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7BE6A908">
            <w:pPr>
              <w:snapToGrid w:val="0"/>
              <w:spacing w:line="240" w:lineRule="exact"/>
              <w:jc w:val="both"/>
              <w:rPr>
                <w:rFonts w:ascii="Arial" w:hAnsi="Arial" w:cs="Arial"/>
                <w:sz w:val="16"/>
                <w:szCs w:val="18"/>
              </w:rPr>
            </w:pPr>
            <w:r>
              <w:rPr>
                <w:rFonts w:ascii="Arial" w:hAnsi="Arial" w:cs="Arial"/>
                <w:sz w:val="16"/>
                <w:szCs w:val="18"/>
              </w:rPr>
              <w:t>按照距离干道的距离和干道等级分为优、较优、一般、较劣、劣五个等级，每个等级相差2分，确定可比实例1、2、3该因素指数分别为100、100、100；</w:t>
            </w:r>
          </w:p>
        </w:tc>
      </w:tr>
      <w:tr w14:paraId="7C856A79">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336C2A33">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579BBCFE">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距离轨道交通站点距离</w:t>
            </w:r>
          </w:p>
        </w:tc>
        <w:tc>
          <w:tcPr>
            <w:tcW w:w="531" w:type="pct"/>
            <w:tcBorders>
              <w:top w:val="nil"/>
              <w:left w:val="nil"/>
              <w:bottom w:val="single" w:color="auto" w:sz="4" w:space="0"/>
              <w:right w:val="single" w:color="auto" w:sz="4" w:space="0"/>
            </w:tcBorders>
            <w:noWrap/>
            <w:vAlign w:val="center"/>
          </w:tcPr>
          <w:p w14:paraId="0CAE4DA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5E55F9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B91545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15C51D6">
            <w:pPr>
              <w:snapToGrid w:val="0"/>
              <w:spacing w:line="240" w:lineRule="exact"/>
              <w:jc w:val="both"/>
              <w:rPr>
                <w:rFonts w:ascii="Arial" w:hAnsi="Arial" w:cs="Arial"/>
                <w:sz w:val="16"/>
                <w:szCs w:val="18"/>
              </w:rPr>
            </w:pPr>
            <w:r>
              <w:rPr>
                <w:rFonts w:hint="eastAsia" w:ascii="Arial" w:hAnsi="Arial" w:cs="Arial"/>
                <w:sz w:val="16"/>
                <w:szCs w:val="18"/>
              </w:rPr>
              <w:t>98</w:t>
            </w:r>
          </w:p>
        </w:tc>
        <w:tc>
          <w:tcPr>
            <w:tcW w:w="2033" w:type="pct"/>
            <w:tcBorders>
              <w:top w:val="nil"/>
              <w:left w:val="nil"/>
              <w:bottom w:val="single" w:color="auto" w:sz="4" w:space="0"/>
              <w:right w:val="single" w:color="auto" w:sz="4" w:space="0"/>
            </w:tcBorders>
            <w:vAlign w:val="center"/>
          </w:tcPr>
          <w:p w14:paraId="3DBC513D">
            <w:pPr>
              <w:snapToGrid w:val="0"/>
              <w:spacing w:line="240" w:lineRule="exact"/>
              <w:jc w:val="both"/>
              <w:rPr>
                <w:rFonts w:ascii="Arial" w:hAnsi="Arial" w:cs="Arial"/>
                <w:sz w:val="16"/>
                <w:szCs w:val="18"/>
              </w:rPr>
            </w:pPr>
            <w:r>
              <w:rPr>
                <w:rFonts w:ascii="Arial" w:hAnsi="Arial" w:cs="Arial"/>
                <w:sz w:val="16"/>
                <w:szCs w:val="18"/>
              </w:rPr>
              <w:t>按照距离轨道交通的距离，0.5km为一档，每个等级相差</w:t>
            </w:r>
            <w:r>
              <w:rPr>
                <w:rFonts w:hint="eastAsia" w:ascii="Arial" w:hAnsi="Arial" w:cs="Arial"/>
                <w:sz w:val="16"/>
                <w:szCs w:val="18"/>
              </w:rPr>
              <w:t>2</w:t>
            </w:r>
            <w:r>
              <w:rPr>
                <w:rFonts w:ascii="Arial" w:hAnsi="Arial" w:cs="Arial"/>
                <w:sz w:val="16"/>
                <w:szCs w:val="18"/>
              </w:rPr>
              <w:t>分，确定可比实例1、2、3该因素指数分别为100、100、</w:t>
            </w:r>
            <w:r>
              <w:rPr>
                <w:rFonts w:hint="eastAsia" w:ascii="Arial" w:hAnsi="Arial" w:cs="Arial"/>
                <w:sz w:val="16"/>
                <w:szCs w:val="18"/>
              </w:rPr>
              <w:t>98</w:t>
            </w:r>
            <w:r>
              <w:rPr>
                <w:rFonts w:ascii="Arial" w:hAnsi="Arial" w:cs="Arial"/>
                <w:sz w:val="16"/>
                <w:szCs w:val="18"/>
              </w:rPr>
              <w:t>；</w:t>
            </w:r>
          </w:p>
        </w:tc>
      </w:tr>
      <w:tr w14:paraId="610735BB">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25529194">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6BA7AAB6">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距离公交站点距离</w:t>
            </w:r>
          </w:p>
        </w:tc>
        <w:tc>
          <w:tcPr>
            <w:tcW w:w="531" w:type="pct"/>
            <w:tcBorders>
              <w:top w:val="nil"/>
              <w:left w:val="nil"/>
              <w:bottom w:val="single" w:color="auto" w:sz="4" w:space="0"/>
              <w:right w:val="single" w:color="auto" w:sz="4" w:space="0"/>
            </w:tcBorders>
            <w:noWrap/>
            <w:vAlign w:val="center"/>
          </w:tcPr>
          <w:p w14:paraId="1A4D010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72E302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1FA3F9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866E550">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7E781D41">
            <w:pPr>
              <w:snapToGrid w:val="0"/>
              <w:spacing w:line="240" w:lineRule="exact"/>
              <w:jc w:val="both"/>
              <w:rPr>
                <w:rFonts w:ascii="Arial" w:hAnsi="Arial" w:cs="Arial"/>
                <w:sz w:val="16"/>
                <w:szCs w:val="18"/>
              </w:rPr>
            </w:pPr>
            <w:r>
              <w:rPr>
                <w:rFonts w:ascii="Arial" w:hAnsi="Arial" w:cs="Arial"/>
                <w:sz w:val="16"/>
                <w:szCs w:val="18"/>
              </w:rPr>
              <w:t>按照距离公交站点的距离，0.5km为一档，每个等级相差2分，确定可比实例1、2、3该因素指数分别为100、100、100；</w:t>
            </w:r>
          </w:p>
        </w:tc>
      </w:tr>
      <w:tr w14:paraId="2E272EB3">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6CA52F28">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180F04C6">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环境质量优劣度</w:t>
            </w:r>
          </w:p>
        </w:tc>
        <w:tc>
          <w:tcPr>
            <w:tcW w:w="531" w:type="pct"/>
            <w:tcBorders>
              <w:top w:val="nil"/>
              <w:left w:val="nil"/>
              <w:bottom w:val="single" w:color="auto" w:sz="4" w:space="0"/>
              <w:right w:val="single" w:color="auto" w:sz="4" w:space="0"/>
            </w:tcBorders>
            <w:noWrap/>
            <w:vAlign w:val="center"/>
          </w:tcPr>
          <w:p w14:paraId="1336E17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B75762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44214F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62B82C1">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1E43E7FA">
            <w:pPr>
              <w:snapToGrid w:val="0"/>
              <w:spacing w:line="240" w:lineRule="exact"/>
              <w:jc w:val="both"/>
              <w:rPr>
                <w:rFonts w:ascii="Arial" w:hAnsi="Arial" w:cs="Arial"/>
                <w:sz w:val="16"/>
                <w:szCs w:val="18"/>
              </w:rPr>
            </w:pPr>
            <w:r>
              <w:rPr>
                <w:rFonts w:hint="eastAsia" w:ascii="Arial" w:hAnsi="Arial" w:cs="Arial"/>
                <w:sz w:val="16"/>
                <w:szCs w:val="18"/>
              </w:rPr>
              <w:t>根据周边污染源的范围，判断优劣，每档相差2分</w:t>
            </w:r>
            <w:r>
              <w:rPr>
                <w:rFonts w:ascii="Arial" w:hAnsi="Arial" w:cs="Arial"/>
                <w:sz w:val="16"/>
                <w:szCs w:val="18"/>
              </w:rPr>
              <w:t>，确定可比实例1、2、3该因素指数分别为100、100、100</w:t>
            </w:r>
            <w:r>
              <w:rPr>
                <w:rFonts w:hint="eastAsia" w:ascii="Arial" w:hAnsi="Arial" w:cs="Arial"/>
                <w:sz w:val="16"/>
                <w:szCs w:val="18"/>
              </w:rPr>
              <w:t>；</w:t>
            </w:r>
          </w:p>
        </w:tc>
      </w:tr>
      <w:tr w14:paraId="4D0796AF">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30374A71">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542F9A7B">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自然环境</w:t>
            </w:r>
          </w:p>
        </w:tc>
        <w:tc>
          <w:tcPr>
            <w:tcW w:w="531" w:type="pct"/>
            <w:tcBorders>
              <w:top w:val="nil"/>
              <w:left w:val="nil"/>
              <w:bottom w:val="single" w:color="auto" w:sz="4" w:space="0"/>
              <w:right w:val="single" w:color="auto" w:sz="4" w:space="0"/>
            </w:tcBorders>
            <w:noWrap/>
            <w:vAlign w:val="center"/>
          </w:tcPr>
          <w:p w14:paraId="41463AD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E4B77D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04115A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BE85108">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6A795D92">
            <w:pPr>
              <w:snapToGrid w:val="0"/>
              <w:spacing w:line="240" w:lineRule="exact"/>
              <w:jc w:val="both"/>
              <w:rPr>
                <w:rFonts w:ascii="Arial" w:hAnsi="Arial" w:cs="Arial"/>
                <w:sz w:val="16"/>
                <w:szCs w:val="18"/>
              </w:rPr>
            </w:pPr>
            <w:r>
              <w:rPr>
                <w:rFonts w:ascii="Arial" w:hAnsi="Arial" w:cs="Arial"/>
                <w:sz w:val="16"/>
                <w:szCs w:val="18"/>
              </w:rPr>
              <w:t>从好到差划分为好、较好、一般、较差、差五个等级，每个等级相差2分，确定可比实例1、2、3该因素指数分别为100、100、100；</w:t>
            </w:r>
          </w:p>
        </w:tc>
      </w:tr>
      <w:tr w14:paraId="3258DC2F">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372C9FF3">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46010817">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小区环境</w:t>
            </w:r>
          </w:p>
        </w:tc>
        <w:tc>
          <w:tcPr>
            <w:tcW w:w="531" w:type="pct"/>
            <w:tcBorders>
              <w:top w:val="nil"/>
              <w:left w:val="nil"/>
              <w:bottom w:val="single" w:color="auto" w:sz="4" w:space="0"/>
              <w:right w:val="single" w:color="auto" w:sz="4" w:space="0"/>
            </w:tcBorders>
            <w:noWrap/>
            <w:vAlign w:val="center"/>
          </w:tcPr>
          <w:p w14:paraId="30A039E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DD9AA0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25BE1D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9F31FFD">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0F1EF991">
            <w:pPr>
              <w:snapToGrid w:val="0"/>
              <w:spacing w:line="240" w:lineRule="exact"/>
              <w:jc w:val="both"/>
              <w:rPr>
                <w:rFonts w:ascii="Arial" w:hAnsi="Arial" w:cs="Arial"/>
                <w:sz w:val="16"/>
                <w:szCs w:val="18"/>
              </w:rPr>
            </w:pPr>
            <w:r>
              <w:rPr>
                <w:rFonts w:hint="eastAsia" w:ascii="Arial" w:hAnsi="Arial" w:cs="Arial"/>
                <w:sz w:val="16"/>
                <w:szCs w:val="18"/>
              </w:rPr>
              <w:t>根据小区道路、绿化率、景观设计及人车分流情况分为一档，每级相差1分，</w:t>
            </w:r>
            <w:r>
              <w:rPr>
                <w:rFonts w:ascii="Arial" w:hAnsi="Arial" w:cs="Arial"/>
                <w:sz w:val="16"/>
                <w:szCs w:val="18"/>
              </w:rPr>
              <w:t>确定可比实例1、2、3该因素指数分别为100、100、100；</w:t>
            </w:r>
          </w:p>
        </w:tc>
      </w:tr>
      <w:tr w14:paraId="6F6A0CC0">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1603CCDF">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2AD739AA">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公共服务设施状况</w:t>
            </w:r>
          </w:p>
        </w:tc>
        <w:tc>
          <w:tcPr>
            <w:tcW w:w="531" w:type="pct"/>
            <w:tcBorders>
              <w:top w:val="nil"/>
              <w:left w:val="nil"/>
              <w:bottom w:val="single" w:color="auto" w:sz="4" w:space="0"/>
              <w:right w:val="single" w:color="auto" w:sz="4" w:space="0"/>
            </w:tcBorders>
            <w:noWrap/>
            <w:vAlign w:val="center"/>
          </w:tcPr>
          <w:p w14:paraId="1DCC008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63C353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ED295D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FCA18B1">
            <w:pPr>
              <w:snapToGrid w:val="0"/>
              <w:spacing w:line="240" w:lineRule="exact"/>
              <w:jc w:val="both"/>
              <w:rPr>
                <w:rFonts w:ascii="Arial" w:hAnsi="Arial" w:cs="Arial"/>
                <w:sz w:val="16"/>
                <w:szCs w:val="18"/>
              </w:rPr>
            </w:pPr>
            <w:r>
              <w:rPr>
                <w:rFonts w:hint="eastAsia" w:ascii="Arial" w:hAnsi="Arial" w:cs="Arial"/>
                <w:sz w:val="16"/>
                <w:szCs w:val="18"/>
              </w:rPr>
              <w:t>98</w:t>
            </w:r>
          </w:p>
        </w:tc>
        <w:tc>
          <w:tcPr>
            <w:tcW w:w="2033" w:type="pct"/>
            <w:tcBorders>
              <w:top w:val="nil"/>
              <w:left w:val="nil"/>
              <w:bottom w:val="single" w:color="auto" w:sz="4" w:space="0"/>
              <w:right w:val="single" w:color="auto" w:sz="4" w:space="0"/>
            </w:tcBorders>
            <w:vAlign w:val="center"/>
          </w:tcPr>
          <w:p w14:paraId="772206C1">
            <w:pPr>
              <w:snapToGrid w:val="0"/>
              <w:spacing w:line="240" w:lineRule="exact"/>
              <w:jc w:val="both"/>
              <w:rPr>
                <w:rFonts w:ascii="Arial" w:hAnsi="Arial" w:cs="Arial"/>
                <w:sz w:val="16"/>
                <w:szCs w:val="18"/>
              </w:rPr>
            </w:pPr>
            <w:r>
              <w:rPr>
                <w:rFonts w:ascii="Arial" w:hAnsi="Arial" w:cs="Arial"/>
                <w:sz w:val="16"/>
                <w:szCs w:val="18"/>
              </w:rPr>
              <w:t>从好到差划分为齐全、较齐全、一般、较不齐全、不齐全五个等级，每个等级相差</w:t>
            </w:r>
            <w:r>
              <w:rPr>
                <w:rFonts w:hint="eastAsia" w:ascii="Arial" w:hAnsi="Arial" w:cs="Arial"/>
                <w:sz w:val="16"/>
                <w:szCs w:val="18"/>
              </w:rPr>
              <w:t>2</w:t>
            </w:r>
            <w:r>
              <w:rPr>
                <w:rFonts w:ascii="Arial" w:hAnsi="Arial" w:cs="Arial"/>
                <w:sz w:val="16"/>
                <w:szCs w:val="18"/>
              </w:rPr>
              <w:t>分，确定可比实例1、2、3该因素指数分别为100、100、</w:t>
            </w:r>
            <w:r>
              <w:rPr>
                <w:rFonts w:hint="eastAsia" w:ascii="Arial" w:hAnsi="Arial" w:cs="Arial"/>
                <w:sz w:val="16"/>
                <w:szCs w:val="18"/>
              </w:rPr>
              <w:t>98</w:t>
            </w:r>
            <w:r>
              <w:rPr>
                <w:rFonts w:ascii="Arial" w:hAnsi="Arial" w:cs="Arial"/>
                <w:sz w:val="16"/>
                <w:szCs w:val="18"/>
              </w:rPr>
              <w:t>；</w:t>
            </w:r>
          </w:p>
        </w:tc>
      </w:tr>
      <w:tr w14:paraId="55F49A29">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52781EA8">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653CE513">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建筑类型</w:t>
            </w:r>
          </w:p>
        </w:tc>
        <w:tc>
          <w:tcPr>
            <w:tcW w:w="531" w:type="pct"/>
            <w:tcBorders>
              <w:top w:val="nil"/>
              <w:left w:val="nil"/>
              <w:bottom w:val="single" w:color="auto" w:sz="4" w:space="0"/>
              <w:right w:val="single" w:color="auto" w:sz="4" w:space="0"/>
            </w:tcBorders>
            <w:noWrap/>
            <w:vAlign w:val="center"/>
          </w:tcPr>
          <w:p w14:paraId="6C2D062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6512656">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4</w:t>
            </w:r>
          </w:p>
        </w:tc>
        <w:tc>
          <w:tcPr>
            <w:tcW w:w="531" w:type="pct"/>
            <w:tcBorders>
              <w:top w:val="nil"/>
              <w:left w:val="nil"/>
              <w:bottom w:val="single" w:color="auto" w:sz="4" w:space="0"/>
              <w:right w:val="single" w:color="auto" w:sz="4" w:space="0"/>
            </w:tcBorders>
            <w:noWrap/>
            <w:vAlign w:val="center"/>
          </w:tcPr>
          <w:p w14:paraId="42387EF1">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4</w:t>
            </w:r>
          </w:p>
        </w:tc>
        <w:tc>
          <w:tcPr>
            <w:tcW w:w="531" w:type="pct"/>
            <w:tcBorders>
              <w:top w:val="nil"/>
              <w:left w:val="nil"/>
              <w:bottom w:val="single" w:color="auto" w:sz="4" w:space="0"/>
              <w:right w:val="single" w:color="auto" w:sz="4" w:space="0"/>
            </w:tcBorders>
            <w:noWrap/>
            <w:vAlign w:val="center"/>
          </w:tcPr>
          <w:p w14:paraId="0C6ACB41">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2</w:t>
            </w:r>
          </w:p>
        </w:tc>
        <w:tc>
          <w:tcPr>
            <w:tcW w:w="2033" w:type="pct"/>
            <w:tcBorders>
              <w:top w:val="nil"/>
              <w:left w:val="nil"/>
              <w:bottom w:val="single" w:color="auto" w:sz="4" w:space="0"/>
              <w:right w:val="single" w:color="auto" w:sz="4" w:space="0"/>
            </w:tcBorders>
            <w:vAlign w:val="center"/>
          </w:tcPr>
          <w:p w14:paraId="78043F12">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多层板楼、小高层板楼、高层板楼、板塔结合、塔楼五</w:t>
            </w:r>
            <w:r>
              <w:rPr>
                <w:rFonts w:ascii="Arial" w:hAnsi="Arial" w:cs="Arial"/>
                <w:sz w:val="16"/>
                <w:szCs w:val="18"/>
              </w:rPr>
              <w:t>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104</w:t>
            </w:r>
            <w:r>
              <w:rPr>
                <w:rFonts w:ascii="Arial" w:hAnsi="Arial" w:cs="Arial"/>
                <w:sz w:val="16"/>
                <w:szCs w:val="18"/>
              </w:rPr>
              <w:t>、</w:t>
            </w:r>
            <w:r>
              <w:rPr>
                <w:rFonts w:hint="eastAsia" w:ascii="Arial" w:hAnsi="Arial" w:cs="Arial"/>
                <w:sz w:val="16"/>
                <w:szCs w:val="18"/>
              </w:rPr>
              <w:t>104</w:t>
            </w:r>
            <w:r>
              <w:rPr>
                <w:rFonts w:ascii="Arial" w:hAnsi="Arial" w:cs="Arial"/>
                <w:sz w:val="16"/>
                <w:szCs w:val="18"/>
              </w:rPr>
              <w:t>、10</w:t>
            </w:r>
            <w:r>
              <w:rPr>
                <w:rFonts w:hint="eastAsia" w:ascii="Arial" w:hAnsi="Arial" w:cs="Arial"/>
                <w:sz w:val="16"/>
                <w:szCs w:val="18"/>
              </w:rPr>
              <w:t>2</w:t>
            </w:r>
            <w:r>
              <w:rPr>
                <w:rFonts w:ascii="Arial" w:hAnsi="Arial" w:cs="Arial"/>
                <w:sz w:val="16"/>
                <w:szCs w:val="18"/>
              </w:rPr>
              <w:t>；</w:t>
            </w:r>
          </w:p>
        </w:tc>
      </w:tr>
      <w:tr w14:paraId="1FCB90E9">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23CB0438">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3E6D8C58">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楼层</w:t>
            </w:r>
          </w:p>
        </w:tc>
        <w:tc>
          <w:tcPr>
            <w:tcW w:w="531" w:type="pct"/>
            <w:tcBorders>
              <w:top w:val="nil"/>
              <w:left w:val="nil"/>
              <w:bottom w:val="single" w:color="auto" w:sz="4" w:space="0"/>
              <w:right w:val="single" w:color="auto" w:sz="4" w:space="0"/>
            </w:tcBorders>
            <w:noWrap/>
            <w:vAlign w:val="center"/>
          </w:tcPr>
          <w:p w14:paraId="0BADE80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9AC43FE">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50B9381F">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6CAAD6B9">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70FC72C3">
            <w:pPr>
              <w:snapToGrid w:val="0"/>
              <w:spacing w:line="240" w:lineRule="exact"/>
              <w:jc w:val="both"/>
              <w:rPr>
                <w:rFonts w:ascii="Arial" w:hAnsi="Arial" w:cs="Arial"/>
                <w:sz w:val="16"/>
                <w:szCs w:val="18"/>
              </w:rPr>
            </w:pPr>
            <w:r>
              <w:rPr>
                <w:rFonts w:ascii="Arial" w:hAnsi="Arial" w:cs="Arial"/>
                <w:sz w:val="16"/>
                <w:szCs w:val="18"/>
              </w:rPr>
              <w:t>分为高楼层、中楼层、低楼层两个等级，以估价对象指数为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98</w:t>
            </w:r>
            <w:r>
              <w:rPr>
                <w:rFonts w:ascii="Arial" w:hAnsi="Arial" w:cs="Arial"/>
                <w:sz w:val="16"/>
                <w:szCs w:val="18"/>
              </w:rPr>
              <w:t>、100；</w:t>
            </w:r>
          </w:p>
        </w:tc>
      </w:tr>
      <w:tr w14:paraId="05BF0832">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5F830E0A">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41BE75D7">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朝向</w:t>
            </w:r>
          </w:p>
        </w:tc>
        <w:tc>
          <w:tcPr>
            <w:tcW w:w="531" w:type="pct"/>
            <w:tcBorders>
              <w:top w:val="nil"/>
              <w:left w:val="nil"/>
              <w:bottom w:val="single" w:color="auto" w:sz="4" w:space="0"/>
              <w:right w:val="single" w:color="auto" w:sz="4" w:space="0"/>
            </w:tcBorders>
            <w:noWrap/>
            <w:vAlign w:val="center"/>
          </w:tcPr>
          <w:p w14:paraId="42BB9BA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24E9096">
            <w:pPr>
              <w:snapToGrid w:val="0"/>
              <w:spacing w:line="240" w:lineRule="exact"/>
              <w:jc w:val="both"/>
              <w:rPr>
                <w:rFonts w:ascii="Arial" w:hAnsi="Arial" w:cs="Arial"/>
                <w:sz w:val="16"/>
                <w:szCs w:val="18"/>
              </w:rPr>
            </w:pPr>
            <w:r>
              <w:rPr>
                <w:rFonts w:hint="eastAsia"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B0D9234">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1</w:t>
            </w:r>
          </w:p>
        </w:tc>
        <w:tc>
          <w:tcPr>
            <w:tcW w:w="531" w:type="pct"/>
            <w:tcBorders>
              <w:top w:val="nil"/>
              <w:left w:val="nil"/>
              <w:bottom w:val="single" w:color="auto" w:sz="4" w:space="0"/>
              <w:right w:val="single" w:color="auto" w:sz="4" w:space="0"/>
            </w:tcBorders>
            <w:noWrap/>
            <w:vAlign w:val="center"/>
          </w:tcPr>
          <w:p w14:paraId="22AE81DA">
            <w:pPr>
              <w:snapToGrid w:val="0"/>
              <w:spacing w:line="240" w:lineRule="exact"/>
              <w:jc w:val="both"/>
              <w:rPr>
                <w:rFonts w:ascii="Arial" w:hAnsi="Arial" w:cs="Arial"/>
                <w:sz w:val="16"/>
                <w:szCs w:val="18"/>
              </w:rPr>
            </w:pPr>
            <w:r>
              <w:rPr>
                <w:rFonts w:hint="eastAsia"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1BB83B13">
            <w:pPr>
              <w:snapToGrid w:val="0"/>
              <w:spacing w:line="240" w:lineRule="exact"/>
              <w:jc w:val="both"/>
              <w:rPr>
                <w:rFonts w:ascii="Arial" w:hAnsi="Arial" w:cs="Arial"/>
                <w:sz w:val="16"/>
                <w:szCs w:val="18"/>
              </w:rPr>
            </w:pPr>
            <w:r>
              <w:rPr>
                <w:rFonts w:ascii="Arial" w:hAnsi="Arial" w:cs="Arial"/>
                <w:sz w:val="16"/>
                <w:szCs w:val="18"/>
              </w:rPr>
              <w:t>从优到劣依次为：为南北向；南向；东、南；西、南；东、西；东；西；东、北；西、北；北。每档相差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100、101、100</w:t>
            </w:r>
            <w:r>
              <w:rPr>
                <w:rFonts w:ascii="Arial" w:hAnsi="Arial" w:cs="Arial"/>
                <w:sz w:val="16"/>
                <w:szCs w:val="18"/>
              </w:rPr>
              <w:t>；</w:t>
            </w:r>
          </w:p>
        </w:tc>
      </w:tr>
      <w:tr w14:paraId="0CC3833F">
        <w:tblPrEx>
          <w:tblCellMar>
            <w:top w:w="57" w:type="dxa"/>
            <w:left w:w="57" w:type="dxa"/>
            <w:bottom w:w="57" w:type="dxa"/>
            <w:right w:w="57" w:type="dxa"/>
          </w:tblCellMar>
        </w:tblPrEx>
        <w:trPr>
          <w:trHeight w:val="20" w:hRule="atLeast"/>
          <w:jc w:val="center"/>
        </w:trPr>
        <w:tc>
          <w:tcPr>
            <w:tcW w:w="304" w:type="pct"/>
            <w:vMerge w:val="restart"/>
            <w:tcBorders>
              <w:top w:val="single" w:color="auto" w:sz="4" w:space="0"/>
              <w:left w:val="single" w:color="auto" w:sz="4" w:space="0"/>
              <w:bottom w:val="single" w:color="auto" w:sz="4" w:space="0"/>
              <w:right w:val="single" w:color="auto" w:sz="4" w:space="0"/>
            </w:tcBorders>
            <w:noWrap/>
            <w:vAlign w:val="center"/>
          </w:tcPr>
          <w:p w14:paraId="0CAA13CD">
            <w:pPr>
              <w:snapToGrid w:val="0"/>
              <w:spacing w:line="240" w:lineRule="exact"/>
              <w:jc w:val="both"/>
              <w:rPr>
                <w:rFonts w:hint="eastAsia" w:ascii="宋体" w:hAnsi="宋体" w:cs="Arial"/>
                <w:sz w:val="16"/>
                <w:szCs w:val="18"/>
              </w:rPr>
            </w:pPr>
            <w:r>
              <w:rPr>
                <w:rFonts w:ascii="宋体" w:hAnsi="宋体" w:cs="Arial"/>
                <w:sz w:val="16"/>
                <w:szCs w:val="18"/>
              </w:rPr>
              <w:t>实物</w:t>
            </w:r>
          </w:p>
          <w:p w14:paraId="73C64456">
            <w:pPr>
              <w:snapToGrid w:val="0"/>
              <w:spacing w:line="240" w:lineRule="exact"/>
              <w:jc w:val="both"/>
              <w:rPr>
                <w:rFonts w:hint="eastAsia"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18387F2C">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成新度</w:t>
            </w:r>
          </w:p>
        </w:tc>
        <w:tc>
          <w:tcPr>
            <w:tcW w:w="531" w:type="pct"/>
            <w:tcBorders>
              <w:top w:val="nil"/>
              <w:left w:val="nil"/>
              <w:bottom w:val="single" w:color="auto" w:sz="4" w:space="0"/>
              <w:right w:val="single" w:color="auto" w:sz="4" w:space="0"/>
            </w:tcBorders>
            <w:noWrap/>
            <w:vAlign w:val="center"/>
          </w:tcPr>
          <w:p w14:paraId="4A736C1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9057AAD">
            <w:pPr>
              <w:snapToGrid w:val="0"/>
              <w:spacing w:line="240" w:lineRule="exact"/>
              <w:jc w:val="both"/>
              <w:rPr>
                <w:rFonts w:ascii="Arial" w:hAnsi="Arial" w:cs="Arial"/>
                <w:sz w:val="16"/>
                <w:szCs w:val="18"/>
              </w:rPr>
            </w:pPr>
            <w:r>
              <w:rPr>
                <w:rFonts w:hint="eastAsia" w:ascii="Arial" w:hAnsi="Arial" w:cs="Arial"/>
                <w:sz w:val="16"/>
                <w:szCs w:val="18"/>
              </w:rPr>
              <w:t>94</w:t>
            </w:r>
          </w:p>
        </w:tc>
        <w:tc>
          <w:tcPr>
            <w:tcW w:w="531" w:type="pct"/>
            <w:tcBorders>
              <w:top w:val="nil"/>
              <w:left w:val="nil"/>
              <w:bottom w:val="single" w:color="auto" w:sz="4" w:space="0"/>
              <w:right w:val="single" w:color="auto" w:sz="4" w:space="0"/>
            </w:tcBorders>
            <w:noWrap/>
            <w:vAlign w:val="center"/>
          </w:tcPr>
          <w:p w14:paraId="72402905">
            <w:pPr>
              <w:snapToGrid w:val="0"/>
              <w:spacing w:line="240" w:lineRule="exact"/>
              <w:jc w:val="both"/>
              <w:rPr>
                <w:rFonts w:ascii="Arial" w:hAnsi="Arial" w:cs="Arial"/>
                <w:sz w:val="16"/>
                <w:szCs w:val="18"/>
              </w:rPr>
            </w:pPr>
            <w:r>
              <w:rPr>
                <w:rFonts w:hint="eastAsia" w:ascii="Arial" w:hAnsi="Arial" w:cs="Arial"/>
                <w:sz w:val="16"/>
                <w:szCs w:val="18"/>
              </w:rPr>
              <w:t>94</w:t>
            </w:r>
          </w:p>
        </w:tc>
        <w:tc>
          <w:tcPr>
            <w:tcW w:w="531" w:type="pct"/>
            <w:tcBorders>
              <w:top w:val="nil"/>
              <w:left w:val="nil"/>
              <w:bottom w:val="single" w:color="auto" w:sz="4" w:space="0"/>
              <w:right w:val="single" w:color="auto" w:sz="4" w:space="0"/>
            </w:tcBorders>
            <w:noWrap/>
            <w:vAlign w:val="center"/>
          </w:tcPr>
          <w:p w14:paraId="22728D6B">
            <w:pPr>
              <w:snapToGrid w:val="0"/>
              <w:spacing w:line="240" w:lineRule="exact"/>
              <w:jc w:val="both"/>
              <w:rPr>
                <w:rFonts w:ascii="Arial" w:hAnsi="Arial" w:cs="Arial"/>
                <w:sz w:val="16"/>
                <w:szCs w:val="18"/>
              </w:rPr>
            </w:pPr>
            <w:r>
              <w:rPr>
                <w:rFonts w:hint="eastAsia" w:ascii="Arial" w:hAnsi="Arial" w:cs="Arial"/>
                <w:sz w:val="16"/>
                <w:szCs w:val="18"/>
              </w:rPr>
              <w:t>96</w:t>
            </w:r>
          </w:p>
        </w:tc>
        <w:tc>
          <w:tcPr>
            <w:tcW w:w="2033" w:type="pct"/>
            <w:tcBorders>
              <w:top w:val="nil"/>
              <w:left w:val="nil"/>
              <w:bottom w:val="single" w:color="auto" w:sz="4" w:space="0"/>
              <w:right w:val="single" w:color="auto" w:sz="4" w:space="0"/>
            </w:tcBorders>
            <w:vAlign w:val="center"/>
          </w:tcPr>
          <w:p w14:paraId="1FA80B3A">
            <w:pPr>
              <w:snapToGrid w:val="0"/>
              <w:spacing w:line="240" w:lineRule="exact"/>
              <w:jc w:val="both"/>
              <w:rPr>
                <w:rFonts w:ascii="Arial" w:hAnsi="Arial" w:cs="Arial"/>
                <w:sz w:val="16"/>
                <w:szCs w:val="18"/>
              </w:rPr>
            </w:pPr>
            <w:r>
              <w:rPr>
                <w:rFonts w:ascii="Arial" w:hAnsi="Arial" w:cs="Arial"/>
                <w:sz w:val="16"/>
                <w:szCs w:val="18"/>
              </w:rPr>
              <w:t>根据90%（含）-100%、80%（含）-90%、70%（含）-80%、60%（含）-70%、60%以下分为五个等级，每级相差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94、94、96</w:t>
            </w:r>
            <w:r>
              <w:rPr>
                <w:rFonts w:ascii="Arial" w:hAnsi="Arial" w:cs="Arial"/>
                <w:sz w:val="16"/>
                <w:szCs w:val="18"/>
              </w:rPr>
              <w:t>；</w:t>
            </w:r>
          </w:p>
        </w:tc>
      </w:tr>
      <w:tr w14:paraId="105CA950">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438EACD4">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5389098C">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公共区域装修</w:t>
            </w:r>
          </w:p>
        </w:tc>
        <w:tc>
          <w:tcPr>
            <w:tcW w:w="531" w:type="pct"/>
            <w:tcBorders>
              <w:top w:val="nil"/>
              <w:left w:val="nil"/>
              <w:bottom w:val="single" w:color="auto" w:sz="4" w:space="0"/>
              <w:right w:val="single" w:color="auto" w:sz="4" w:space="0"/>
            </w:tcBorders>
            <w:noWrap/>
            <w:vAlign w:val="center"/>
          </w:tcPr>
          <w:p w14:paraId="4B40131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429C514">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017A7B0B">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52CF0254">
            <w:pPr>
              <w:snapToGrid w:val="0"/>
              <w:spacing w:line="240" w:lineRule="exact"/>
              <w:jc w:val="both"/>
              <w:rPr>
                <w:rFonts w:ascii="Arial" w:hAnsi="Arial" w:cs="Arial"/>
                <w:sz w:val="16"/>
                <w:szCs w:val="18"/>
              </w:rPr>
            </w:pPr>
            <w:r>
              <w:rPr>
                <w:rFonts w:ascii="Arial" w:hAnsi="Arial" w:cs="Arial"/>
                <w:sz w:val="16"/>
                <w:szCs w:val="18"/>
              </w:rPr>
              <w:t>100</w:t>
            </w:r>
          </w:p>
        </w:tc>
        <w:tc>
          <w:tcPr>
            <w:tcW w:w="3781" w:type="dxa"/>
            <w:tcBorders>
              <w:top w:val="nil"/>
              <w:left w:val="nil"/>
              <w:bottom w:val="single" w:color="auto" w:sz="4" w:space="0"/>
              <w:right w:val="single" w:color="auto" w:sz="4" w:space="0"/>
            </w:tcBorders>
            <w:vAlign w:val="center"/>
          </w:tcPr>
          <w:p w14:paraId="6A99263C">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装修等，以估价对象指数为100，每级相差2分，确定可比实例1、2、3该因素指数分别为</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98</w:t>
            </w:r>
            <w:r>
              <w:rPr>
                <w:rFonts w:ascii="Arial" w:hAnsi="Arial" w:cs="Arial"/>
                <w:sz w:val="16"/>
                <w:szCs w:val="18"/>
              </w:rPr>
              <w:t>、100；</w:t>
            </w:r>
          </w:p>
        </w:tc>
      </w:tr>
      <w:tr w14:paraId="67244B8C">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4DD8098D">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73F3357E">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室内装饰装修</w:t>
            </w:r>
          </w:p>
        </w:tc>
        <w:tc>
          <w:tcPr>
            <w:tcW w:w="531" w:type="pct"/>
            <w:tcBorders>
              <w:top w:val="nil"/>
              <w:left w:val="nil"/>
              <w:bottom w:val="single" w:color="auto" w:sz="4" w:space="0"/>
              <w:right w:val="single" w:color="auto" w:sz="4" w:space="0"/>
            </w:tcBorders>
            <w:noWrap/>
            <w:vAlign w:val="center"/>
          </w:tcPr>
          <w:p w14:paraId="545829B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54556E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024AF3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A61D69F">
            <w:pPr>
              <w:snapToGrid w:val="0"/>
              <w:spacing w:line="240" w:lineRule="exact"/>
              <w:jc w:val="both"/>
              <w:rPr>
                <w:rFonts w:ascii="Arial" w:hAnsi="Arial" w:cs="Arial"/>
                <w:sz w:val="16"/>
                <w:szCs w:val="18"/>
              </w:rPr>
            </w:pPr>
            <w:r>
              <w:rPr>
                <w:rFonts w:ascii="Arial" w:hAnsi="Arial" w:cs="Arial"/>
                <w:sz w:val="16"/>
                <w:szCs w:val="18"/>
              </w:rPr>
              <w:t>100</w:t>
            </w:r>
          </w:p>
        </w:tc>
        <w:tc>
          <w:tcPr>
            <w:tcW w:w="3781" w:type="dxa"/>
            <w:tcBorders>
              <w:top w:val="nil"/>
              <w:left w:val="nil"/>
              <w:bottom w:val="single" w:color="auto" w:sz="4" w:space="0"/>
              <w:right w:val="single" w:color="auto" w:sz="4" w:space="0"/>
            </w:tcBorders>
            <w:vAlign w:val="center"/>
          </w:tcPr>
          <w:p w14:paraId="16737A37">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 100，每级相差3分，确定可比实例1、2、3该因素指数分别为</w:t>
            </w:r>
            <w:r>
              <w:rPr>
                <w:rFonts w:hint="eastAsia" w:ascii="Arial" w:hAnsi="Arial" w:cs="Arial"/>
                <w:sz w:val="16"/>
                <w:szCs w:val="18"/>
              </w:rPr>
              <w:t>100、100、100</w:t>
            </w:r>
            <w:r>
              <w:rPr>
                <w:rFonts w:ascii="Arial" w:hAnsi="Arial" w:cs="Arial"/>
                <w:sz w:val="16"/>
                <w:szCs w:val="18"/>
              </w:rPr>
              <w:t>；</w:t>
            </w:r>
          </w:p>
        </w:tc>
      </w:tr>
      <w:tr w14:paraId="13081E28">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76732335">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3A1A90EE">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设施设备</w:t>
            </w:r>
          </w:p>
        </w:tc>
        <w:tc>
          <w:tcPr>
            <w:tcW w:w="531" w:type="pct"/>
            <w:tcBorders>
              <w:top w:val="nil"/>
              <w:left w:val="nil"/>
              <w:bottom w:val="single" w:color="auto" w:sz="4" w:space="0"/>
              <w:right w:val="single" w:color="auto" w:sz="4" w:space="0"/>
            </w:tcBorders>
            <w:noWrap/>
            <w:vAlign w:val="center"/>
          </w:tcPr>
          <w:p w14:paraId="2836CAD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9112FF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368F81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D030F8E">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29789C12">
            <w:pPr>
              <w:snapToGrid w:val="0"/>
              <w:spacing w:line="240" w:lineRule="exact"/>
              <w:jc w:val="both"/>
              <w:rPr>
                <w:rFonts w:ascii="Arial" w:hAnsi="Arial" w:cs="Arial"/>
                <w:sz w:val="16"/>
                <w:szCs w:val="18"/>
              </w:rPr>
            </w:pPr>
            <w:r>
              <w:rPr>
                <w:rFonts w:ascii="Arial" w:hAnsi="Arial" w:cs="Arial"/>
                <w:sz w:val="16"/>
                <w:szCs w:val="18"/>
              </w:rPr>
              <w:t>根据实际配备情况，分为完善、较完善、一般、较不完善、不完善五个等级，每级相差</w:t>
            </w:r>
            <w:r>
              <w:rPr>
                <w:rFonts w:hint="eastAsia" w:ascii="Arial" w:hAnsi="Arial" w:cs="Arial"/>
                <w:sz w:val="16"/>
                <w:szCs w:val="18"/>
              </w:rPr>
              <w:t>3</w:t>
            </w:r>
            <w:r>
              <w:rPr>
                <w:rFonts w:ascii="Arial" w:hAnsi="Arial" w:cs="Arial"/>
                <w:sz w:val="16"/>
                <w:szCs w:val="18"/>
              </w:rPr>
              <w:t>分，确定可比实例1、2、3该因素指数分别为</w:t>
            </w:r>
            <w:r>
              <w:rPr>
                <w:rFonts w:hint="eastAsia" w:ascii="Arial" w:hAnsi="Arial" w:cs="Arial"/>
                <w:sz w:val="16"/>
                <w:szCs w:val="18"/>
              </w:rPr>
              <w:t>100、100、100</w:t>
            </w:r>
            <w:r>
              <w:rPr>
                <w:rFonts w:ascii="Arial" w:hAnsi="Arial" w:cs="Arial"/>
                <w:sz w:val="16"/>
                <w:szCs w:val="18"/>
              </w:rPr>
              <w:t>；</w:t>
            </w:r>
          </w:p>
        </w:tc>
      </w:tr>
      <w:tr w14:paraId="5F81C40F">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3979A02D">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0A02A84E">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综合管理服务设施</w:t>
            </w:r>
          </w:p>
        </w:tc>
        <w:tc>
          <w:tcPr>
            <w:tcW w:w="531" w:type="pct"/>
            <w:tcBorders>
              <w:top w:val="nil"/>
              <w:left w:val="nil"/>
              <w:bottom w:val="single" w:color="auto" w:sz="4" w:space="0"/>
              <w:right w:val="single" w:color="auto" w:sz="4" w:space="0"/>
            </w:tcBorders>
            <w:noWrap/>
            <w:vAlign w:val="center"/>
          </w:tcPr>
          <w:p w14:paraId="22FF768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D72E9B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C7DE98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575A3AA">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0D14515B">
            <w:pPr>
              <w:snapToGrid w:val="0"/>
              <w:spacing w:line="240" w:lineRule="exact"/>
              <w:jc w:val="both"/>
              <w:rPr>
                <w:rFonts w:ascii="Arial" w:hAnsi="Arial" w:cs="Arial"/>
                <w:sz w:val="16"/>
                <w:szCs w:val="18"/>
              </w:rPr>
            </w:pPr>
            <w:r>
              <w:rPr>
                <w:rFonts w:ascii="Arial" w:hAnsi="Arial" w:cs="Arial"/>
                <w:sz w:val="16"/>
                <w:szCs w:val="18"/>
              </w:rPr>
              <w:t>根据实际管理服务，确定可比实例1、2、3该因素指数分别为100、100、100；</w:t>
            </w:r>
          </w:p>
        </w:tc>
      </w:tr>
      <w:tr w14:paraId="37CD9E2C">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104B4F8A">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34371DAD">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户型布局</w:t>
            </w:r>
          </w:p>
        </w:tc>
        <w:tc>
          <w:tcPr>
            <w:tcW w:w="531" w:type="pct"/>
            <w:tcBorders>
              <w:top w:val="nil"/>
              <w:left w:val="nil"/>
              <w:bottom w:val="single" w:color="auto" w:sz="4" w:space="0"/>
              <w:right w:val="single" w:color="auto" w:sz="4" w:space="0"/>
            </w:tcBorders>
            <w:noWrap/>
            <w:vAlign w:val="center"/>
          </w:tcPr>
          <w:p w14:paraId="417A46B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AF6F422">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531" w:type="pct"/>
            <w:tcBorders>
              <w:top w:val="nil"/>
              <w:left w:val="nil"/>
              <w:bottom w:val="single" w:color="auto" w:sz="4" w:space="0"/>
              <w:right w:val="single" w:color="auto" w:sz="4" w:space="0"/>
            </w:tcBorders>
            <w:noWrap/>
            <w:vAlign w:val="center"/>
          </w:tcPr>
          <w:p w14:paraId="3F006B2F">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531" w:type="pct"/>
            <w:tcBorders>
              <w:top w:val="nil"/>
              <w:left w:val="nil"/>
              <w:bottom w:val="single" w:color="auto" w:sz="4" w:space="0"/>
              <w:right w:val="single" w:color="auto" w:sz="4" w:space="0"/>
            </w:tcBorders>
            <w:noWrap/>
            <w:vAlign w:val="center"/>
          </w:tcPr>
          <w:p w14:paraId="0E1CB1B6">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2033" w:type="pct"/>
            <w:tcBorders>
              <w:top w:val="nil"/>
              <w:left w:val="nil"/>
              <w:bottom w:val="single" w:color="auto" w:sz="4" w:space="0"/>
              <w:right w:val="single" w:color="auto" w:sz="4" w:space="0"/>
            </w:tcBorders>
            <w:vAlign w:val="center"/>
          </w:tcPr>
          <w:p w14:paraId="7DDA391A">
            <w:pPr>
              <w:snapToGrid w:val="0"/>
              <w:spacing w:line="240" w:lineRule="exact"/>
              <w:jc w:val="both"/>
              <w:rPr>
                <w:rFonts w:ascii="Arial" w:hAnsi="Arial" w:cs="Arial"/>
                <w:sz w:val="16"/>
                <w:szCs w:val="18"/>
              </w:rPr>
            </w:pPr>
            <w:r>
              <w:rPr>
                <w:rFonts w:ascii="Arial" w:hAnsi="Arial" w:cs="Arial"/>
                <w:sz w:val="16"/>
                <w:szCs w:val="18"/>
              </w:rPr>
              <w:t>根据布局对于使用率的影响，确定可比实例1、2、3该因素指数分别为10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w:t>
            </w:r>
          </w:p>
        </w:tc>
      </w:tr>
      <w:tr w14:paraId="6DB8A13D">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6639BE0C">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503CB7D0">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户型结构</w:t>
            </w:r>
          </w:p>
        </w:tc>
        <w:tc>
          <w:tcPr>
            <w:tcW w:w="531" w:type="pct"/>
            <w:tcBorders>
              <w:top w:val="nil"/>
              <w:left w:val="nil"/>
              <w:bottom w:val="single" w:color="auto" w:sz="4" w:space="0"/>
              <w:right w:val="single" w:color="auto" w:sz="4" w:space="0"/>
            </w:tcBorders>
            <w:noWrap/>
            <w:vAlign w:val="center"/>
          </w:tcPr>
          <w:p w14:paraId="44647E2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E4884F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F22000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667CF87">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079156B9">
            <w:pPr>
              <w:snapToGrid w:val="0"/>
              <w:spacing w:line="240" w:lineRule="exact"/>
              <w:jc w:val="both"/>
              <w:rPr>
                <w:rFonts w:ascii="Arial" w:hAnsi="Arial" w:cs="Arial"/>
                <w:sz w:val="16"/>
                <w:szCs w:val="18"/>
              </w:rPr>
            </w:pPr>
            <w:r>
              <w:rPr>
                <w:rFonts w:ascii="Arial" w:hAnsi="Arial" w:cs="Arial"/>
                <w:sz w:val="16"/>
                <w:szCs w:val="18"/>
              </w:rPr>
              <w:t>估价对象与案例均为</w:t>
            </w:r>
            <w:r>
              <w:rPr>
                <w:rFonts w:hint="eastAsia" w:ascii="Arial" w:hAnsi="Arial" w:cs="Arial"/>
                <w:sz w:val="16"/>
                <w:szCs w:val="18"/>
              </w:rPr>
              <w:t>平层，</w:t>
            </w:r>
            <w:r>
              <w:rPr>
                <w:rFonts w:ascii="Arial" w:hAnsi="Arial" w:cs="Arial"/>
                <w:sz w:val="16"/>
                <w:szCs w:val="18"/>
              </w:rPr>
              <w:t>确定可比实例1、2、3该因素指数分别为100、100、100；</w:t>
            </w:r>
          </w:p>
        </w:tc>
      </w:tr>
      <w:tr w14:paraId="07C0A678">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5F0E9D8A">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4EBEA50D">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建筑面积</w:t>
            </w:r>
          </w:p>
        </w:tc>
        <w:tc>
          <w:tcPr>
            <w:tcW w:w="531" w:type="pct"/>
            <w:tcBorders>
              <w:top w:val="nil"/>
              <w:left w:val="nil"/>
              <w:bottom w:val="single" w:color="auto" w:sz="4" w:space="0"/>
              <w:right w:val="single" w:color="auto" w:sz="4" w:space="0"/>
            </w:tcBorders>
            <w:noWrap/>
            <w:vAlign w:val="center"/>
          </w:tcPr>
          <w:p w14:paraId="02CECF7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2FA1013">
            <w:pPr>
              <w:snapToGrid w:val="0"/>
              <w:spacing w:line="240" w:lineRule="exact"/>
              <w:jc w:val="both"/>
              <w:rPr>
                <w:rFonts w:ascii="Arial" w:hAnsi="Arial" w:cs="Arial"/>
                <w:sz w:val="16"/>
                <w:szCs w:val="18"/>
              </w:rPr>
            </w:pPr>
            <w:r>
              <w:rPr>
                <w:rFonts w:hint="eastAsia" w:ascii="Arial" w:hAnsi="Arial" w:cs="Arial"/>
                <w:sz w:val="16"/>
                <w:szCs w:val="18"/>
              </w:rPr>
              <w:t>115</w:t>
            </w:r>
          </w:p>
        </w:tc>
        <w:tc>
          <w:tcPr>
            <w:tcW w:w="531" w:type="pct"/>
            <w:tcBorders>
              <w:top w:val="nil"/>
              <w:left w:val="nil"/>
              <w:bottom w:val="single" w:color="auto" w:sz="4" w:space="0"/>
              <w:right w:val="single" w:color="auto" w:sz="4" w:space="0"/>
            </w:tcBorders>
            <w:noWrap/>
            <w:vAlign w:val="center"/>
          </w:tcPr>
          <w:p w14:paraId="5E478ECE">
            <w:pPr>
              <w:snapToGrid w:val="0"/>
              <w:spacing w:line="240" w:lineRule="exact"/>
              <w:jc w:val="both"/>
              <w:rPr>
                <w:rFonts w:ascii="Arial" w:hAnsi="Arial" w:cs="Arial"/>
                <w:sz w:val="16"/>
                <w:szCs w:val="18"/>
              </w:rPr>
            </w:pPr>
            <w:r>
              <w:rPr>
                <w:rFonts w:ascii="Arial" w:hAnsi="Arial" w:cs="Arial"/>
                <w:sz w:val="16"/>
                <w:szCs w:val="18"/>
              </w:rPr>
              <w:t>1</w:t>
            </w:r>
            <w:r>
              <w:rPr>
                <w:rFonts w:hint="eastAsia" w:ascii="Arial" w:hAnsi="Arial" w:cs="Arial"/>
                <w:sz w:val="16"/>
                <w:szCs w:val="18"/>
              </w:rPr>
              <w:t>15</w:t>
            </w:r>
          </w:p>
        </w:tc>
        <w:tc>
          <w:tcPr>
            <w:tcW w:w="531" w:type="pct"/>
            <w:tcBorders>
              <w:top w:val="nil"/>
              <w:left w:val="nil"/>
              <w:bottom w:val="single" w:color="auto" w:sz="4" w:space="0"/>
              <w:right w:val="single" w:color="auto" w:sz="4" w:space="0"/>
            </w:tcBorders>
            <w:noWrap/>
            <w:vAlign w:val="center"/>
          </w:tcPr>
          <w:p w14:paraId="7A3E66E0">
            <w:pPr>
              <w:snapToGrid w:val="0"/>
              <w:spacing w:line="240" w:lineRule="exact"/>
              <w:jc w:val="both"/>
              <w:rPr>
                <w:rFonts w:ascii="Arial" w:hAnsi="Arial" w:cs="Arial"/>
                <w:sz w:val="16"/>
                <w:szCs w:val="18"/>
              </w:rPr>
            </w:pPr>
            <w:r>
              <w:rPr>
                <w:rFonts w:hint="eastAsia" w:ascii="Arial" w:hAnsi="Arial" w:cs="Arial"/>
                <w:sz w:val="16"/>
                <w:szCs w:val="18"/>
              </w:rPr>
              <w:t>115</w:t>
            </w:r>
          </w:p>
        </w:tc>
        <w:tc>
          <w:tcPr>
            <w:tcW w:w="2033" w:type="pct"/>
            <w:tcBorders>
              <w:top w:val="nil"/>
              <w:left w:val="nil"/>
              <w:bottom w:val="single" w:color="auto" w:sz="4" w:space="0"/>
              <w:right w:val="single" w:color="auto" w:sz="4" w:space="0"/>
            </w:tcBorders>
            <w:vAlign w:val="center"/>
          </w:tcPr>
          <w:p w14:paraId="46FD8ABF">
            <w:pPr>
              <w:snapToGrid w:val="0"/>
              <w:spacing w:line="240" w:lineRule="exact"/>
              <w:jc w:val="both"/>
              <w:rPr>
                <w:rFonts w:ascii="Arial" w:hAnsi="Arial"/>
              </w:rPr>
            </w:pPr>
            <w:r>
              <w:rPr>
                <w:rFonts w:ascii="Arial" w:hAnsi="Arial" w:cs="Arial"/>
                <w:sz w:val="16"/>
                <w:szCs w:val="18"/>
              </w:rPr>
              <w:t>根据建筑面积对其价值的影响，确定可比实例1、2、3该因素指数分别为</w:t>
            </w:r>
            <w:r>
              <w:rPr>
                <w:rFonts w:hint="eastAsia" w:ascii="Arial" w:hAnsi="Arial" w:cs="Arial"/>
                <w:sz w:val="16"/>
                <w:szCs w:val="18"/>
              </w:rPr>
              <w:t>115、115、115</w:t>
            </w:r>
            <w:r>
              <w:rPr>
                <w:rFonts w:ascii="Arial" w:hAnsi="Arial" w:cs="Arial"/>
                <w:sz w:val="16"/>
                <w:szCs w:val="18"/>
              </w:rPr>
              <w:t>；</w:t>
            </w:r>
          </w:p>
        </w:tc>
      </w:tr>
      <w:tr w14:paraId="14BDF994">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04BEFE59">
            <w:pPr>
              <w:snapToGrid w:val="0"/>
              <w:spacing w:line="240" w:lineRule="exact"/>
              <w:jc w:val="both"/>
              <w:rPr>
                <w:rFonts w:hint="eastAsia" w:ascii="宋体" w:hAnsi="宋体" w:cs="Arial"/>
                <w:sz w:val="16"/>
                <w:szCs w:val="18"/>
              </w:rPr>
            </w:pPr>
          </w:p>
        </w:tc>
        <w:tc>
          <w:tcPr>
            <w:tcW w:w="996" w:type="dxa"/>
            <w:tcBorders>
              <w:top w:val="nil"/>
              <w:left w:val="nil"/>
              <w:bottom w:val="single" w:color="auto" w:sz="4" w:space="0"/>
              <w:right w:val="single" w:color="auto" w:sz="4" w:space="0"/>
            </w:tcBorders>
            <w:vAlign w:val="center"/>
          </w:tcPr>
          <w:p w14:paraId="2E304B04">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家具家电</w:t>
            </w:r>
          </w:p>
        </w:tc>
        <w:tc>
          <w:tcPr>
            <w:tcW w:w="988" w:type="dxa"/>
            <w:tcBorders>
              <w:top w:val="nil"/>
              <w:left w:val="nil"/>
              <w:bottom w:val="single" w:color="auto" w:sz="4" w:space="0"/>
              <w:right w:val="single" w:color="auto" w:sz="4" w:space="0"/>
            </w:tcBorders>
            <w:noWrap/>
            <w:vAlign w:val="center"/>
          </w:tcPr>
          <w:p w14:paraId="0DBA9227">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49859066">
            <w:pPr>
              <w:snapToGrid w:val="0"/>
              <w:spacing w:line="240" w:lineRule="exact"/>
              <w:jc w:val="both"/>
              <w:rPr>
                <w:rFonts w:ascii="Arial" w:hAnsi="Arial" w:cs="Arial"/>
                <w:sz w:val="16"/>
                <w:szCs w:val="18"/>
              </w:rPr>
            </w:pPr>
            <w:r>
              <w:rPr>
                <w:rFonts w:hint="eastAsia" w:ascii="Arial" w:hAnsi="Arial" w:cs="Arial"/>
                <w:sz w:val="16"/>
                <w:szCs w:val="18"/>
              </w:rPr>
              <w:t>91</w:t>
            </w:r>
          </w:p>
        </w:tc>
        <w:tc>
          <w:tcPr>
            <w:tcW w:w="988" w:type="dxa"/>
            <w:tcBorders>
              <w:top w:val="nil"/>
              <w:left w:val="nil"/>
              <w:bottom w:val="single" w:color="auto" w:sz="4" w:space="0"/>
              <w:right w:val="single" w:color="auto" w:sz="4" w:space="0"/>
            </w:tcBorders>
            <w:noWrap/>
            <w:vAlign w:val="center"/>
          </w:tcPr>
          <w:p w14:paraId="240175AB">
            <w:pPr>
              <w:snapToGrid w:val="0"/>
              <w:spacing w:line="240" w:lineRule="exact"/>
              <w:jc w:val="both"/>
              <w:rPr>
                <w:rFonts w:ascii="Arial" w:hAnsi="Arial" w:cs="Arial"/>
                <w:sz w:val="16"/>
                <w:szCs w:val="18"/>
              </w:rPr>
            </w:pPr>
            <w:r>
              <w:rPr>
                <w:rFonts w:hint="eastAsia" w:ascii="Arial" w:hAnsi="Arial" w:cs="Arial"/>
                <w:sz w:val="16"/>
                <w:szCs w:val="18"/>
              </w:rPr>
              <w:t>91</w:t>
            </w:r>
          </w:p>
        </w:tc>
        <w:tc>
          <w:tcPr>
            <w:tcW w:w="988" w:type="dxa"/>
            <w:tcBorders>
              <w:top w:val="nil"/>
              <w:left w:val="nil"/>
              <w:bottom w:val="single" w:color="auto" w:sz="4" w:space="0"/>
              <w:right w:val="single" w:color="auto" w:sz="4" w:space="0"/>
            </w:tcBorders>
            <w:noWrap/>
            <w:vAlign w:val="center"/>
          </w:tcPr>
          <w:p w14:paraId="670BE813">
            <w:pPr>
              <w:snapToGrid w:val="0"/>
              <w:spacing w:line="240" w:lineRule="exact"/>
              <w:jc w:val="both"/>
              <w:rPr>
                <w:rFonts w:ascii="Arial" w:hAnsi="Arial" w:cs="Arial"/>
                <w:sz w:val="16"/>
                <w:szCs w:val="18"/>
              </w:rPr>
            </w:pPr>
            <w:r>
              <w:rPr>
                <w:rFonts w:hint="eastAsia" w:ascii="Arial" w:hAnsi="Arial" w:cs="Arial"/>
                <w:sz w:val="16"/>
                <w:szCs w:val="18"/>
              </w:rPr>
              <w:t>91</w:t>
            </w:r>
          </w:p>
        </w:tc>
        <w:tc>
          <w:tcPr>
            <w:tcW w:w="3781" w:type="dxa"/>
            <w:tcBorders>
              <w:top w:val="nil"/>
              <w:left w:val="nil"/>
              <w:bottom w:val="single" w:color="auto" w:sz="4" w:space="0"/>
              <w:right w:val="single" w:color="auto" w:sz="4" w:space="0"/>
            </w:tcBorders>
            <w:vAlign w:val="center"/>
          </w:tcPr>
          <w:p w14:paraId="4ED321A1">
            <w:pPr>
              <w:widowControl/>
              <w:adjustRightInd/>
              <w:spacing w:line="240" w:lineRule="auto"/>
              <w:textAlignment w:val="auto"/>
              <w:rPr>
                <w:rFonts w:ascii="Arial" w:hAnsi="Arial"/>
              </w:rPr>
            </w:pPr>
            <w:r>
              <w:rPr>
                <w:rFonts w:ascii="Arial" w:hAnsi="Arial" w:cs="Arial"/>
                <w:sz w:val="16"/>
                <w:szCs w:val="18"/>
              </w:rPr>
              <w:t>根据家具家电配备齐全程度，以估价对象该因素指数为100，各可比实例与之相比，确定可比实例1、2、3该因素指数分别为</w:t>
            </w:r>
            <w:r>
              <w:rPr>
                <w:rFonts w:hint="eastAsia" w:ascii="Arial" w:hAnsi="Arial" w:cs="Arial"/>
                <w:sz w:val="16"/>
                <w:szCs w:val="18"/>
              </w:rPr>
              <w:t>91、91、91</w:t>
            </w:r>
          </w:p>
        </w:tc>
      </w:tr>
      <w:tr w14:paraId="528DACCC">
        <w:tblPrEx>
          <w:tblCellMar>
            <w:top w:w="57" w:type="dxa"/>
            <w:left w:w="57" w:type="dxa"/>
            <w:bottom w:w="57" w:type="dxa"/>
            <w:right w:w="57" w:type="dxa"/>
          </w:tblCellMar>
        </w:tblPrEx>
        <w:trPr>
          <w:trHeight w:val="20" w:hRule="atLeast"/>
          <w:jc w:val="center"/>
        </w:trPr>
        <w:tc>
          <w:tcPr>
            <w:tcW w:w="304" w:type="pct"/>
            <w:vMerge w:val="restart"/>
            <w:tcBorders>
              <w:top w:val="single" w:color="auto" w:sz="4" w:space="0"/>
              <w:left w:val="single" w:color="auto" w:sz="4" w:space="0"/>
              <w:bottom w:val="single" w:color="auto" w:sz="4" w:space="0"/>
              <w:right w:val="single" w:color="auto" w:sz="4" w:space="0"/>
            </w:tcBorders>
            <w:vAlign w:val="center"/>
          </w:tcPr>
          <w:p w14:paraId="571C5F4E">
            <w:pPr>
              <w:snapToGrid w:val="0"/>
              <w:spacing w:line="240" w:lineRule="exact"/>
              <w:jc w:val="both"/>
              <w:rPr>
                <w:rFonts w:hint="eastAsia" w:ascii="宋体" w:hAnsi="宋体" w:cs="Arial"/>
                <w:sz w:val="16"/>
                <w:szCs w:val="18"/>
              </w:rPr>
            </w:pPr>
            <w:r>
              <w:rPr>
                <w:rFonts w:ascii="宋体" w:hAnsi="宋体" w:cs="Arial"/>
                <w:sz w:val="16"/>
                <w:szCs w:val="18"/>
              </w:rPr>
              <w:t>权益状况</w:t>
            </w:r>
          </w:p>
        </w:tc>
        <w:tc>
          <w:tcPr>
            <w:tcW w:w="535" w:type="pct"/>
            <w:tcBorders>
              <w:top w:val="single" w:color="auto" w:sz="4" w:space="0"/>
              <w:left w:val="nil"/>
              <w:bottom w:val="single" w:color="auto" w:sz="4" w:space="0"/>
              <w:right w:val="single" w:color="auto" w:sz="4" w:space="0"/>
            </w:tcBorders>
            <w:vAlign w:val="center"/>
          </w:tcPr>
          <w:p w14:paraId="76812A8B">
            <w:pPr>
              <w:snapToGrid w:val="0"/>
              <w:spacing w:line="240" w:lineRule="exact"/>
              <w:jc w:val="both"/>
              <w:rPr>
                <w:rFonts w:hint="eastAsia" w:ascii="宋体" w:hAnsi="宋体" w:cs="Arial"/>
                <w:sz w:val="16"/>
                <w:szCs w:val="18"/>
              </w:rPr>
            </w:pPr>
            <w:r>
              <w:rPr>
                <w:rFonts w:ascii="宋体" w:hAnsi="宋体" w:cs="Arial"/>
                <w:sz w:val="16"/>
                <w:szCs w:val="18"/>
              </w:rPr>
              <w:t>服务及管理水平</w:t>
            </w:r>
          </w:p>
        </w:tc>
        <w:tc>
          <w:tcPr>
            <w:tcW w:w="531" w:type="pct"/>
            <w:tcBorders>
              <w:top w:val="nil"/>
              <w:left w:val="nil"/>
              <w:bottom w:val="single" w:color="auto" w:sz="4" w:space="0"/>
              <w:right w:val="single" w:color="auto" w:sz="4" w:space="0"/>
            </w:tcBorders>
            <w:noWrap/>
            <w:vAlign w:val="center"/>
          </w:tcPr>
          <w:p w14:paraId="544A165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947437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DF534B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2F3C7DD">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1D474779">
            <w:pPr>
              <w:widowControl/>
              <w:adjustRightInd/>
              <w:spacing w:line="240" w:lineRule="auto"/>
              <w:textAlignment w:val="auto"/>
              <w:rPr>
                <w:rFonts w:ascii="Arial" w:hAnsi="Arial" w:cs="Arial"/>
                <w:sz w:val="16"/>
                <w:szCs w:val="18"/>
              </w:rPr>
            </w:pPr>
            <w:r>
              <w:rPr>
                <w:rFonts w:ascii="Arial" w:hAnsi="Arial" w:cs="Arial"/>
                <w:sz w:val="16"/>
                <w:szCs w:val="18"/>
              </w:rPr>
              <w:t>根据是否配置服务管家、是否封闭式管理，以估价对象该因素指数为100，各可比实例与之相比，确定可比实例1、2、3该因素指数分别为</w:t>
            </w:r>
            <w:r>
              <w:rPr>
                <w:rFonts w:hint="eastAsia" w:ascii="Arial" w:hAnsi="Arial" w:cs="Arial"/>
                <w:sz w:val="16"/>
                <w:szCs w:val="18"/>
              </w:rPr>
              <w:t>100、100、100</w:t>
            </w:r>
            <w:r>
              <w:rPr>
                <w:rFonts w:ascii="Arial" w:hAnsi="Arial" w:cs="Arial"/>
                <w:sz w:val="16"/>
                <w:szCs w:val="18"/>
              </w:rPr>
              <w:t>。</w:t>
            </w:r>
          </w:p>
        </w:tc>
      </w:tr>
      <w:tr w14:paraId="3237D8EB">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202ADEA9">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27ACB6FD">
            <w:pPr>
              <w:snapToGrid w:val="0"/>
              <w:spacing w:line="240" w:lineRule="exact"/>
              <w:jc w:val="both"/>
              <w:rPr>
                <w:rFonts w:hint="eastAsia" w:ascii="宋体" w:hAnsi="宋体" w:cs="Arial"/>
                <w:sz w:val="16"/>
                <w:szCs w:val="18"/>
              </w:rPr>
            </w:pPr>
            <w:r>
              <w:rPr>
                <w:rFonts w:ascii="宋体" w:hAnsi="宋体" w:cs="Arial"/>
                <w:sz w:val="16"/>
                <w:szCs w:val="18"/>
              </w:rPr>
              <w:t>水电气费执行标准</w:t>
            </w:r>
          </w:p>
        </w:tc>
        <w:tc>
          <w:tcPr>
            <w:tcW w:w="531" w:type="pct"/>
            <w:tcBorders>
              <w:top w:val="nil"/>
              <w:left w:val="nil"/>
              <w:bottom w:val="single" w:color="auto" w:sz="4" w:space="0"/>
              <w:right w:val="single" w:color="auto" w:sz="4" w:space="0"/>
            </w:tcBorders>
            <w:noWrap/>
            <w:vAlign w:val="center"/>
          </w:tcPr>
          <w:p w14:paraId="27F4C73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48BC23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0A61F5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00CBCA5">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33ADEBB2">
            <w:pPr>
              <w:widowControl/>
              <w:adjustRightInd/>
              <w:spacing w:line="240" w:lineRule="auto"/>
              <w:textAlignment w:val="auto"/>
              <w:rPr>
                <w:rFonts w:ascii="Arial" w:hAnsi="Arial" w:cs="Arial"/>
                <w:sz w:val="16"/>
                <w:szCs w:val="18"/>
              </w:rPr>
            </w:pPr>
            <w:r>
              <w:rPr>
                <w:rFonts w:ascii="Arial" w:hAnsi="Arial" w:cs="Arial"/>
                <w:sz w:val="16"/>
                <w:szCs w:val="18"/>
              </w:rPr>
              <w:t>估价对象与案例均采用民水民电，确定可比实例1、2、3该因素指数分别为100、100、100。</w:t>
            </w:r>
          </w:p>
        </w:tc>
      </w:tr>
    </w:tbl>
    <w:p w14:paraId="23896D44">
      <w:pPr>
        <w:wordWrap w:val="0"/>
        <w:overflowPunct w:val="0"/>
        <w:spacing w:line="480" w:lineRule="auto"/>
        <w:rPr>
          <w:rFonts w:ascii="Arial" w:hAnsi="Arial"/>
          <w:sz w:val="21"/>
          <w:szCs w:val="21"/>
        </w:rPr>
      </w:pPr>
    </w:p>
    <w:p w14:paraId="6A317E86">
      <w:pPr>
        <w:wordWrap w:val="0"/>
        <w:overflowPunct w:val="0"/>
        <w:spacing w:line="480" w:lineRule="auto"/>
        <w:rPr>
          <w:rFonts w:ascii="Arial" w:hAnsi="Arial"/>
          <w:sz w:val="21"/>
          <w:szCs w:val="21"/>
        </w:rPr>
      </w:pPr>
    </w:p>
    <w:p w14:paraId="07CFDD0F">
      <w:pPr>
        <w:rPr>
          <w:rFonts w:ascii="Arial" w:hAnsi="Arial"/>
          <w:sz w:val="21"/>
          <w:szCs w:val="21"/>
        </w:rPr>
      </w:pPr>
      <w:r>
        <w:rPr>
          <w:rFonts w:hint="eastAsia" w:ascii="Arial" w:hAnsi="Arial"/>
          <w:sz w:val="21"/>
          <w:szCs w:val="21"/>
        </w:rPr>
        <w:br w:type="page"/>
      </w:r>
    </w:p>
    <w:p w14:paraId="4C603E06">
      <w:pPr>
        <w:wordWrap w:val="0"/>
        <w:overflowPunct w:val="0"/>
        <w:spacing w:line="480" w:lineRule="auto"/>
        <w:ind w:firstLine="420" w:firstLineChars="200"/>
        <w:rPr>
          <w:rFonts w:ascii="Arial" w:hAnsi="Arial"/>
          <w:sz w:val="21"/>
          <w:szCs w:val="21"/>
        </w:rPr>
      </w:pPr>
      <w:r>
        <w:rPr>
          <w:rFonts w:hint="eastAsia" w:ascii="Arial" w:hAnsi="Arial"/>
          <w:sz w:val="21"/>
          <w:szCs w:val="21"/>
        </w:rPr>
        <w:t>（3）编制因素比较修正系数表</w:t>
      </w:r>
      <w:r>
        <w:rPr>
          <w:rFonts w:ascii="Arial" w:hAnsi="Arial"/>
          <w:sz w:val="21"/>
          <w:szCs w:val="21"/>
        </w:rPr>
        <w:t xml:space="preserve"> </w:t>
      </w:r>
    </w:p>
    <w:p w14:paraId="23384127">
      <w:pPr>
        <w:wordWrap w:val="0"/>
        <w:overflowPunct w:val="0"/>
        <w:spacing w:line="480" w:lineRule="auto"/>
        <w:ind w:firstLine="420" w:firstLineChars="200"/>
        <w:rPr>
          <w:rFonts w:ascii="Arial" w:hAnsi="Arial"/>
          <w:sz w:val="21"/>
          <w:szCs w:val="21"/>
        </w:rPr>
      </w:pPr>
      <w:r>
        <w:rPr>
          <w:rFonts w:hint="eastAsia" w:ascii="Arial" w:hAnsi="Arial"/>
          <w:sz w:val="21"/>
          <w:szCs w:val="21"/>
        </w:rPr>
        <w:t>根据比较因素条件指数表，编制因素各项目比较修正系数表，详见下表：</w:t>
      </w:r>
    </w:p>
    <w:p w14:paraId="402827E5">
      <w:pPr>
        <w:overflowPunct w:val="0"/>
        <w:spacing w:line="480" w:lineRule="auto"/>
        <w:ind w:firstLine="420" w:firstLineChars="200"/>
        <w:jc w:val="center"/>
        <w:rPr>
          <w:rFonts w:ascii="Arial" w:hAnsi="Arial"/>
          <w:sz w:val="21"/>
          <w:szCs w:val="21"/>
        </w:rPr>
      </w:pPr>
      <w:r>
        <w:rPr>
          <w:rFonts w:hint="eastAsia" w:ascii="Arial" w:hAnsi="Arial"/>
          <w:sz w:val="21"/>
          <w:szCs w:val="21"/>
        </w:rPr>
        <w:t>因素比较修正系数表</w:t>
      </w:r>
    </w:p>
    <w:tbl>
      <w:tblPr>
        <w:tblStyle w:val="33"/>
        <w:tblW w:w="5000" w:type="pct"/>
        <w:tblInd w:w="0" w:type="dxa"/>
        <w:tblLayout w:type="autofit"/>
        <w:tblCellMar>
          <w:top w:w="0" w:type="dxa"/>
          <w:left w:w="108" w:type="dxa"/>
          <w:bottom w:w="0" w:type="dxa"/>
          <w:right w:w="108" w:type="dxa"/>
        </w:tblCellMar>
      </w:tblPr>
      <w:tblGrid>
        <w:gridCol w:w="1506"/>
        <w:gridCol w:w="2887"/>
        <w:gridCol w:w="1707"/>
        <w:gridCol w:w="1707"/>
        <w:gridCol w:w="1708"/>
      </w:tblGrid>
      <w:tr w14:paraId="718A24B1">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5F8F54E8">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897" w:type="pct"/>
            <w:tcBorders>
              <w:top w:val="single" w:color="auto" w:sz="4" w:space="0"/>
              <w:left w:val="nil"/>
              <w:bottom w:val="single" w:color="auto" w:sz="4" w:space="0"/>
              <w:right w:val="single" w:color="auto" w:sz="4" w:space="0"/>
            </w:tcBorders>
            <w:vAlign w:val="center"/>
          </w:tcPr>
          <w:p w14:paraId="18B92485">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7</w:t>
            </w:r>
          </w:p>
        </w:tc>
        <w:tc>
          <w:tcPr>
            <w:tcW w:w="897" w:type="pct"/>
            <w:tcBorders>
              <w:top w:val="single" w:color="auto" w:sz="4" w:space="0"/>
              <w:left w:val="nil"/>
              <w:bottom w:val="single" w:color="auto" w:sz="4" w:space="0"/>
              <w:right w:val="single" w:color="auto" w:sz="4" w:space="0"/>
            </w:tcBorders>
            <w:vAlign w:val="center"/>
          </w:tcPr>
          <w:p w14:paraId="11BACCCC">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8</w:t>
            </w:r>
          </w:p>
        </w:tc>
        <w:tc>
          <w:tcPr>
            <w:tcW w:w="897" w:type="pct"/>
            <w:tcBorders>
              <w:top w:val="single" w:color="auto" w:sz="4" w:space="0"/>
              <w:left w:val="nil"/>
              <w:bottom w:val="single" w:color="auto" w:sz="4" w:space="0"/>
              <w:right w:val="single" w:color="auto" w:sz="4" w:space="0"/>
            </w:tcBorders>
            <w:vAlign w:val="center"/>
          </w:tcPr>
          <w:p w14:paraId="464F76B7">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9</w:t>
            </w:r>
          </w:p>
        </w:tc>
      </w:tr>
      <w:tr w14:paraId="5BF36BA7">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5BAE8ED0">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1707" w:type="dxa"/>
            <w:tcBorders>
              <w:top w:val="nil"/>
              <w:left w:val="nil"/>
              <w:bottom w:val="single" w:color="auto" w:sz="4" w:space="0"/>
              <w:right w:val="single" w:color="auto" w:sz="4" w:space="0"/>
            </w:tcBorders>
            <w:vAlign w:val="center"/>
          </w:tcPr>
          <w:p w14:paraId="52A9ACC9">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1707" w:type="dxa"/>
            <w:tcBorders>
              <w:top w:val="nil"/>
              <w:left w:val="nil"/>
              <w:bottom w:val="single" w:color="auto" w:sz="4" w:space="0"/>
              <w:right w:val="single" w:color="auto" w:sz="4" w:space="0"/>
            </w:tcBorders>
            <w:vAlign w:val="center"/>
          </w:tcPr>
          <w:p w14:paraId="52567216">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锦华园</w:t>
            </w:r>
          </w:p>
        </w:tc>
        <w:tc>
          <w:tcPr>
            <w:tcW w:w="1708" w:type="dxa"/>
            <w:tcBorders>
              <w:top w:val="nil"/>
              <w:left w:val="nil"/>
              <w:bottom w:val="single" w:color="auto" w:sz="4" w:space="0"/>
              <w:right w:val="single" w:color="auto" w:sz="4" w:space="0"/>
            </w:tcBorders>
            <w:vAlign w:val="center"/>
          </w:tcPr>
          <w:p w14:paraId="59639261">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r>
      <w:tr w14:paraId="19D3A94D">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2475CC66">
            <w:pPr>
              <w:widowControl/>
              <w:adjustRightInd/>
              <w:spacing w:line="240" w:lineRule="auto"/>
              <w:textAlignment w:val="auto"/>
              <w:rPr>
                <w:rFonts w:ascii="Arial" w:hAnsi="Arial" w:cs="Arial"/>
                <w:sz w:val="16"/>
                <w:szCs w:val="18"/>
              </w:rPr>
            </w:pPr>
            <w:r>
              <w:rPr>
                <w:rFonts w:ascii="Arial" w:hAnsi="Arial" w:cs="Arial"/>
                <w:sz w:val="16"/>
                <w:szCs w:val="18"/>
              </w:rPr>
              <w:t>平均租金（元/平方米·月）</w:t>
            </w:r>
          </w:p>
        </w:tc>
        <w:tc>
          <w:tcPr>
            <w:tcW w:w="1707" w:type="dxa"/>
            <w:tcBorders>
              <w:top w:val="nil"/>
              <w:left w:val="nil"/>
              <w:bottom w:val="single" w:color="auto" w:sz="4" w:space="0"/>
              <w:right w:val="single" w:color="auto" w:sz="4" w:space="0"/>
            </w:tcBorders>
            <w:vAlign w:val="center"/>
          </w:tcPr>
          <w:p w14:paraId="562F19A7">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40.52</w:t>
            </w:r>
          </w:p>
        </w:tc>
        <w:tc>
          <w:tcPr>
            <w:tcW w:w="1707" w:type="dxa"/>
            <w:tcBorders>
              <w:top w:val="nil"/>
              <w:left w:val="nil"/>
              <w:bottom w:val="single" w:color="auto" w:sz="4" w:space="0"/>
              <w:right w:val="single" w:color="auto" w:sz="4" w:space="0"/>
            </w:tcBorders>
            <w:vAlign w:val="center"/>
          </w:tcPr>
          <w:p w14:paraId="67F80923">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40.12</w:t>
            </w:r>
          </w:p>
        </w:tc>
        <w:tc>
          <w:tcPr>
            <w:tcW w:w="1708" w:type="dxa"/>
            <w:tcBorders>
              <w:top w:val="nil"/>
              <w:left w:val="nil"/>
              <w:bottom w:val="single" w:color="auto" w:sz="4" w:space="0"/>
              <w:right w:val="single" w:color="auto" w:sz="4" w:space="0"/>
            </w:tcBorders>
            <w:vAlign w:val="center"/>
          </w:tcPr>
          <w:p w14:paraId="31836C04">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41.28</w:t>
            </w:r>
          </w:p>
        </w:tc>
      </w:tr>
      <w:tr w14:paraId="4B1568EC">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6812AC43">
            <w:pPr>
              <w:widowControl/>
              <w:adjustRightInd/>
              <w:spacing w:line="240" w:lineRule="auto"/>
              <w:textAlignment w:val="auto"/>
              <w:rPr>
                <w:rFonts w:ascii="Arial" w:hAnsi="Arial" w:cs="Arial"/>
                <w:sz w:val="16"/>
                <w:szCs w:val="18"/>
              </w:rPr>
            </w:pPr>
            <w:r>
              <w:rPr>
                <w:rFonts w:ascii="Arial" w:hAnsi="Arial" w:cs="Arial"/>
                <w:sz w:val="16"/>
                <w:szCs w:val="18"/>
              </w:rPr>
              <w:t>交易时间</w:t>
            </w:r>
          </w:p>
        </w:tc>
        <w:tc>
          <w:tcPr>
            <w:tcW w:w="897" w:type="pct"/>
            <w:tcBorders>
              <w:top w:val="nil"/>
              <w:left w:val="nil"/>
              <w:bottom w:val="single" w:color="auto" w:sz="4" w:space="0"/>
              <w:right w:val="single" w:color="auto" w:sz="4" w:space="0"/>
            </w:tcBorders>
            <w:vAlign w:val="center"/>
          </w:tcPr>
          <w:p w14:paraId="2F67768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F3A2FD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64A4A6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55970FA">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0F670A37">
            <w:pPr>
              <w:widowControl/>
              <w:adjustRightInd/>
              <w:spacing w:line="240" w:lineRule="auto"/>
              <w:textAlignment w:val="auto"/>
              <w:rPr>
                <w:rFonts w:ascii="Arial" w:hAnsi="Arial" w:cs="Arial"/>
                <w:sz w:val="16"/>
                <w:szCs w:val="18"/>
              </w:rPr>
            </w:pPr>
            <w:r>
              <w:rPr>
                <w:rFonts w:ascii="Arial" w:hAnsi="Arial" w:cs="Arial"/>
                <w:sz w:val="16"/>
                <w:szCs w:val="18"/>
              </w:rPr>
              <w:t>交易情况</w:t>
            </w:r>
          </w:p>
        </w:tc>
        <w:tc>
          <w:tcPr>
            <w:tcW w:w="897" w:type="pct"/>
            <w:tcBorders>
              <w:top w:val="nil"/>
              <w:left w:val="nil"/>
              <w:bottom w:val="single" w:color="auto" w:sz="4" w:space="0"/>
              <w:right w:val="single" w:color="auto" w:sz="4" w:space="0"/>
            </w:tcBorders>
            <w:vAlign w:val="center"/>
          </w:tcPr>
          <w:p w14:paraId="7EFFA9B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11E7AC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9588E5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BFB41DB">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63500AD9">
            <w:pPr>
              <w:widowControl/>
              <w:adjustRightInd/>
              <w:spacing w:line="240" w:lineRule="auto"/>
              <w:textAlignment w:val="auto"/>
              <w:rPr>
                <w:rFonts w:ascii="Arial" w:hAnsi="Arial" w:cs="Arial"/>
                <w:sz w:val="16"/>
                <w:szCs w:val="18"/>
              </w:rPr>
            </w:pPr>
            <w:r>
              <w:rPr>
                <w:rFonts w:ascii="Arial" w:hAnsi="Arial" w:cs="Arial"/>
                <w:sz w:val="16"/>
                <w:szCs w:val="18"/>
              </w:rPr>
              <w:t>项目类型</w:t>
            </w:r>
          </w:p>
        </w:tc>
        <w:tc>
          <w:tcPr>
            <w:tcW w:w="1707" w:type="dxa"/>
            <w:tcBorders>
              <w:top w:val="nil"/>
              <w:left w:val="nil"/>
              <w:bottom w:val="single" w:color="auto" w:sz="4" w:space="0"/>
              <w:right w:val="single" w:color="auto" w:sz="4" w:space="0"/>
            </w:tcBorders>
            <w:vAlign w:val="center"/>
          </w:tcPr>
          <w:p w14:paraId="10BD137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40A117B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7F16E27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81986E5">
        <w:tblPrEx>
          <w:tblCellMar>
            <w:top w:w="0" w:type="dxa"/>
            <w:left w:w="108" w:type="dxa"/>
            <w:bottom w:w="0" w:type="dxa"/>
            <w:right w:w="108" w:type="dxa"/>
          </w:tblCellMar>
        </w:tblPrEx>
        <w:trPr>
          <w:trHeight w:val="227" w:hRule="atLeast"/>
        </w:trPr>
        <w:tc>
          <w:tcPr>
            <w:tcW w:w="791" w:type="pct"/>
            <w:vMerge w:val="restart"/>
            <w:tcBorders>
              <w:top w:val="nil"/>
              <w:left w:val="single" w:color="auto" w:sz="4" w:space="0"/>
              <w:bottom w:val="single" w:color="auto" w:sz="4" w:space="0"/>
              <w:right w:val="single" w:color="auto" w:sz="4" w:space="0"/>
            </w:tcBorders>
            <w:vAlign w:val="center"/>
          </w:tcPr>
          <w:p w14:paraId="611A38D0">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1517" w:type="pct"/>
            <w:tcBorders>
              <w:top w:val="nil"/>
              <w:left w:val="nil"/>
              <w:bottom w:val="single" w:color="auto" w:sz="4" w:space="0"/>
              <w:right w:val="single" w:color="auto" w:sz="4" w:space="0"/>
            </w:tcBorders>
            <w:vAlign w:val="center"/>
          </w:tcPr>
          <w:p w14:paraId="46025DA0">
            <w:pPr>
              <w:widowControl/>
              <w:adjustRightInd/>
              <w:spacing w:line="240" w:lineRule="auto"/>
              <w:textAlignment w:val="auto"/>
              <w:rPr>
                <w:rFonts w:ascii="Arial" w:hAnsi="Arial" w:cs="Arial"/>
                <w:sz w:val="16"/>
                <w:szCs w:val="18"/>
              </w:rPr>
            </w:pPr>
            <w:r>
              <w:rPr>
                <w:rFonts w:ascii="Arial" w:hAnsi="Arial" w:cs="Arial"/>
                <w:sz w:val="16"/>
                <w:szCs w:val="18"/>
              </w:rPr>
              <w:t>居住区成熟度</w:t>
            </w:r>
          </w:p>
        </w:tc>
        <w:tc>
          <w:tcPr>
            <w:tcW w:w="1707" w:type="dxa"/>
            <w:tcBorders>
              <w:top w:val="nil"/>
              <w:left w:val="nil"/>
              <w:bottom w:val="single" w:color="auto" w:sz="4" w:space="0"/>
              <w:right w:val="single" w:color="auto" w:sz="4" w:space="0"/>
            </w:tcBorders>
            <w:vAlign w:val="center"/>
          </w:tcPr>
          <w:p w14:paraId="63CEA9B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A512B6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66FB7738">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4C4CD3FE">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6658DA14">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9B317C4">
            <w:pPr>
              <w:widowControl/>
              <w:adjustRightInd/>
              <w:spacing w:line="240" w:lineRule="auto"/>
              <w:textAlignment w:val="auto"/>
              <w:rPr>
                <w:rFonts w:ascii="Arial" w:hAnsi="Arial" w:cs="Arial"/>
                <w:sz w:val="16"/>
                <w:szCs w:val="18"/>
              </w:rPr>
            </w:pPr>
            <w:r>
              <w:rPr>
                <w:rFonts w:ascii="Arial" w:hAnsi="Arial" w:cs="Arial"/>
                <w:sz w:val="16"/>
                <w:szCs w:val="18"/>
              </w:rPr>
              <w:t>道路通达度</w:t>
            </w:r>
          </w:p>
        </w:tc>
        <w:tc>
          <w:tcPr>
            <w:tcW w:w="1707" w:type="dxa"/>
            <w:tcBorders>
              <w:top w:val="nil"/>
              <w:left w:val="nil"/>
              <w:bottom w:val="single" w:color="auto" w:sz="4" w:space="0"/>
              <w:right w:val="single" w:color="auto" w:sz="4" w:space="0"/>
            </w:tcBorders>
            <w:vAlign w:val="center"/>
          </w:tcPr>
          <w:p w14:paraId="66A3A69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2F3C1BA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2FFE5D4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8E821C0">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A6D8C65">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17AFBF5B">
            <w:pPr>
              <w:widowControl/>
              <w:adjustRightInd/>
              <w:spacing w:line="240" w:lineRule="auto"/>
              <w:textAlignment w:val="auto"/>
              <w:rPr>
                <w:rFonts w:ascii="Arial" w:hAnsi="Arial" w:cs="Arial"/>
                <w:sz w:val="16"/>
                <w:szCs w:val="18"/>
              </w:rPr>
            </w:pPr>
            <w:r>
              <w:rPr>
                <w:rFonts w:ascii="Arial" w:hAnsi="Arial" w:cs="Arial"/>
                <w:sz w:val="16"/>
                <w:szCs w:val="18"/>
              </w:rPr>
              <w:t>距离轨道交通站点距离</w:t>
            </w:r>
          </w:p>
        </w:tc>
        <w:tc>
          <w:tcPr>
            <w:tcW w:w="1707" w:type="dxa"/>
            <w:tcBorders>
              <w:top w:val="nil"/>
              <w:left w:val="nil"/>
              <w:bottom w:val="single" w:color="auto" w:sz="4" w:space="0"/>
              <w:right w:val="single" w:color="auto" w:sz="4" w:space="0"/>
            </w:tcBorders>
            <w:vAlign w:val="center"/>
          </w:tcPr>
          <w:p w14:paraId="4C4CD68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3ACEFC6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31B5722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3A760B4">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1C637A59">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F5979A1">
            <w:pPr>
              <w:widowControl/>
              <w:adjustRightInd/>
              <w:spacing w:line="240" w:lineRule="auto"/>
              <w:textAlignment w:val="auto"/>
              <w:rPr>
                <w:rFonts w:ascii="Arial" w:hAnsi="Arial" w:cs="Arial"/>
                <w:sz w:val="16"/>
                <w:szCs w:val="18"/>
              </w:rPr>
            </w:pPr>
            <w:r>
              <w:rPr>
                <w:rFonts w:ascii="Arial" w:hAnsi="Arial" w:cs="Arial"/>
                <w:sz w:val="16"/>
                <w:szCs w:val="18"/>
              </w:rPr>
              <w:t>距离公交站点距离</w:t>
            </w:r>
          </w:p>
        </w:tc>
        <w:tc>
          <w:tcPr>
            <w:tcW w:w="1707" w:type="dxa"/>
            <w:tcBorders>
              <w:top w:val="nil"/>
              <w:left w:val="nil"/>
              <w:bottom w:val="single" w:color="auto" w:sz="4" w:space="0"/>
              <w:right w:val="single" w:color="auto" w:sz="4" w:space="0"/>
            </w:tcBorders>
            <w:vAlign w:val="center"/>
          </w:tcPr>
          <w:p w14:paraId="169BF26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77AF15E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12E76F59">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7E55507D">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5735BC25">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37FC0B7">
            <w:pPr>
              <w:widowControl/>
              <w:adjustRightInd/>
              <w:spacing w:line="240" w:lineRule="auto"/>
              <w:textAlignment w:val="auto"/>
              <w:rPr>
                <w:rFonts w:ascii="Arial" w:hAnsi="Arial" w:cs="Arial"/>
                <w:sz w:val="16"/>
                <w:szCs w:val="18"/>
              </w:rPr>
            </w:pPr>
            <w:r>
              <w:rPr>
                <w:rFonts w:hint="eastAsia" w:ascii="Arial" w:hAnsi="Arial" w:cs="Arial"/>
                <w:sz w:val="16"/>
                <w:szCs w:val="18"/>
              </w:rPr>
              <w:t>环境质量优劣度</w:t>
            </w:r>
          </w:p>
        </w:tc>
        <w:tc>
          <w:tcPr>
            <w:tcW w:w="1707" w:type="dxa"/>
            <w:tcBorders>
              <w:top w:val="nil"/>
              <w:left w:val="nil"/>
              <w:bottom w:val="single" w:color="auto" w:sz="4" w:space="0"/>
              <w:right w:val="single" w:color="auto" w:sz="4" w:space="0"/>
            </w:tcBorders>
            <w:vAlign w:val="center"/>
          </w:tcPr>
          <w:p w14:paraId="17110E3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45A1BE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FEC7BC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75BF8A3">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29FDCB64">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8707819">
            <w:pPr>
              <w:widowControl/>
              <w:adjustRightInd/>
              <w:spacing w:line="240" w:lineRule="auto"/>
              <w:textAlignment w:val="auto"/>
              <w:rPr>
                <w:rFonts w:ascii="Arial" w:hAnsi="Arial" w:cs="Arial"/>
                <w:sz w:val="16"/>
                <w:szCs w:val="18"/>
              </w:rPr>
            </w:pPr>
            <w:r>
              <w:rPr>
                <w:rFonts w:ascii="Arial" w:hAnsi="Arial" w:cs="Arial"/>
                <w:sz w:val="16"/>
                <w:szCs w:val="18"/>
              </w:rPr>
              <w:t>自然环境</w:t>
            </w:r>
          </w:p>
        </w:tc>
        <w:tc>
          <w:tcPr>
            <w:tcW w:w="1707" w:type="dxa"/>
            <w:tcBorders>
              <w:top w:val="nil"/>
              <w:left w:val="nil"/>
              <w:bottom w:val="single" w:color="auto" w:sz="4" w:space="0"/>
              <w:right w:val="single" w:color="auto" w:sz="4" w:space="0"/>
            </w:tcBorders>
            <w:vAlign w:val="center"/>
          </w:tcPr>
          <w:p w14:paraId="5DBC167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13B6ED1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6BB12EC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4220724">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6E5E3A30">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FEB2D63">
            <w:pPr>
              <w:widowControl/>
              <w:adjustRightInd/>
              <w:spacing w:line="240" w:lineRule="auto"/>
              <w:textAlignment w:val="auto"/>
              <w:rPr>
                <w:rFonts w:ascii="Arial" w:hAnsi="Arial" w:cs="Arial"/>
                <w:sz w:val="16"/>
                <w:szCs w:val="18"/>
              </w:rPr>
            </w:pPr>
            <w:r>
              <w:rPr>
                <w:rFonts w:hint="eastAsia" w:ascii="Arial" w:hAnsi="Arial" w:cs="Arial"/>
                <w:sz w:val="16"/>
                <w:szCs w:val="18"/>
              </w:rPr>
              <w:t>小区环境</w:t>
            </w:r>
          </w:p>
        </w:tc>
        <w:tc>
          <w:tcPr>
            <w:tcW w:w="1707" w:type="dxa"/>
            <w:tcBorders>
              <w:top w:val="nil"/>
              <w:left w:val="nil"/>
              <w:bottom w:val="single" w:color="auto" w:sz="4" w:space="0"/>
              <w:right w:val="single" w:color="auto" w:sz="4" w:space="0"/>
            </w:tcBorders>
            <w:vAlign w:val="center"/>
          </w:tcPr>
          <w:p w14:paraId="6C3902C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622DA2D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BCD758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DFB6514">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878E725">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1481B9C">
            <w:pPr>
              <w:widowControl/>
              <w:adjustRightInd/>
              <w:spacing w:line="240" w:lineRule="auto"/>
              <w:textAlignment w:val="auto"/>
              <w:rPr>
                <w:rFonts w:ascii="Arial" w:hAnsi="Arial" w:cs="Arial"/>
                <w:sz w:val="16"/>
                <w:szCs w:val="18"/>
              </w:rPr>
            </w:pPr>
            <w:r>
              <w:rPr>
                <w:rFonts w:hint="eastAsia" w:ascii="Arial" w:hAnsi="Arial" w:cs="Arial"/>
                <w:sz w:val="16"/>
                <w:szCs w:val="18"/>
              </w:rPr>
              <w:t>公共服务设施状况</w:t>
            </w:r>
          </w:p>
        </w:tc>
        <w:tc>
          <w:tcPr>
            <w:tcW w:w="1707" w:type="dxa"/>
            <w:tcBorders>
              <w:top w:val="nil"/>
              <w:left w:val="nil"/>
              <w:bottom w:val="single" w:color="auto" w:sz="4" w:space="0"/>
              <w:right w:val="single" w:color="auto" w:sz="4" w:space="0"/>
            </w:tcBorders>
            <w:vAlign w:val="center"/>
          </w:tcPr>
          <w:p w14:paraId="6657E6B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553BF44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7816CE75">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243F250D">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50616C6F">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489B2B2">
            <w:pPr>
              <w:widowControl/>
              <w:adjustRightInd/>
              <w:spacing w:line="240" w:lineRule="auto"/>
              <w:textAlignment w:val="auto"/>
              <w:rPr>
                <w:rFonts w:ascii="Arial" w:hAnsi="Arial" w:cs="Arial"/>
                <w:sz w:val="16"/>
                <w:szCs w:val="18"/>
              </w:rPr>
            </w:pPr>
            <w:r>
              <w:rPr>
                <w:rFonts w:hint="eastAsia" w:ascii="Arial" w:hAnsi="Arial" w:cs="Arial"/>
                <w:sz w:val="16"/>
                <w:szCs w:val="18"/>
              </w:rPr>
              <w:t>建筑类型</w:t>
            </w:r>
          </w:p>
        </w:tc>
        <w:tc>
          <w:tcPr>
            <w:tcW w:w="1707" w:type="dxa"/>
            <w:tcBorders>
              <w:top w:val="nil"/>
              <w:left w:val="nil"/>
              <w:bottom w:val="single" w:color="auto" w:sz="4" w:space="0"/>
              <w:right w:val="single" w:color="auto" w:sz="4" w:space="0"/>
            </w:tcBorders>
            <w:vAlign w:val="center"/>
          </w:tcPr>
          <w:p w14:paraId="71991E5E">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104</w:t>
            </w:r>
          </w:p>
        </w:tc>
        <w:tc>
          <w:tcPr>
            <w:tcW w:w="1707" w:type="dxa"/>
            <w:tcBorders>
              <w:top w:val="nil"/>
              <w:left w:val="nil"/>
              <w:bottom w:val="single" w:color="auto" w:sz="4" w:space="0"/>
              <w:right w:val="single" w:color="auto" w:sz="4" w:space="0"/>
            </w:tcBorders>
            <w:vAlign w:val="center"/>
          </w:tcPr>
          <w:p w14:paraId="1A2EF5D6">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4</w:t>
            </w:r>
          </w:p>
        </w:tc>
        <w:tc>
          <w:tcPr>
            <w:tcW w:w="1708" w:type="dxa"/>
            <w:tcBorders>
              <w:top w:val="nil"/>
              <w:left w:val="nil"/>
              <w:bottom w:val="single" w:color="auto" w:sz="4" w:space="0"/>
              <w:right w:val="single" w:color="auto" w:sz="4" w:space="0"/>
            </w:tcBorders>
            <w:vAlign w:val="center"/>
          </w:tcPr>
          <w:p w14:paraId="1699C59F">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2</w:t>
            </w:r>
          </w:p>
        </w:tc>
      </w:tr>
      <w:tr w14:paraId="643B509D">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257D37B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FCF5912">
            <w:pPr>
              <w:widowControl/>
              <w:adjustRightInd/>
              <w:spacing w:line="240" w:lineRule="auto"/>
              <w:textAlignment w:val="auto"/>
              <w:rPr>
                <w:rFonts w:ascii="Arial" w:hAnsi="Arial" w:cs="Arial"/>
                <w:sz w:val="16"/>
                <w:szCs w:val="18"/>
              </w:rPr>
            </w:pPr>
            <w:r>
              <w:rPr>
                <w:rFonts w:ascii="Arial" w:hAnsi="Arial" w:cs="Arial"/>
                <w:sz w:val="16"/>
                <w:szCs w:val="18"/>
              </w:rPr>
              <w:t>楼层</w:t>
            </w:r>
          </w:p>
        </w:tc>
        <w:tc>
          <w:tcPr>
            <w:tcW w:w="1707" w:type="dxa"/>
            <w:tcBorders>
              <w:top w:val="nil"/>
              <w:left w:val="nil"/>
              <w:bottom w:val="single" w:color="auto" w:sz="4" w:space="0"/>
              <w:right w:val="single" w:color="auto" w:sz="4" w:space="0"/>
            </w:tcBorders>
            <w:vAlign w:val="center"/>
          </w:tcPr>
          <w:p w14:paraId="6098EF77">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7" w:type="dxa"/>
            <w:tcBorders>
              <w:top w:val="nil"/>
              <w:left w:val="nil"/>
              <w:bottom w:val="single" w:color="auto" w:sz="4" w:space="0"/>
              <w:right w:val="single" w:color="auto" w:sz="4" w:space="0"/>
            </w:tcBorders>
            <w:vAlign w:val="center"/>
          </w:tcPr>
          <w:p w14:paraId="66277F98">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8" w:type="dxa"/>
            <w:tcBorders>
              <w:top w:val="nil"/>
              <w:left w:val="nil"/>
              <w:bottom w:val="single" w:color="auto" w:sz="4" w:space="0"/>
              <w:right w:val="single" w:color="auto" w:sz="4" w:space="0"/>
            </w:tcBorders>
            <w:vAlign w:val="center"/>
          </w:tcPr>
          <w:p w14:paraId="1456E27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4EB226B">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52907F42">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C6EFA38">
            <w:pPr>
              <w:widowControl/>
              <w:adjustRightInd/>
              <w:spacing w:line="240" w:lineRule="auto"/>
              <w:textAlignment w:val="auto"/>
              <w:rPr>
                <w:rFonts w:ascii="Arial" w:hAnsi="Arial" w:cs="Arial"/>
                <w:sz w:val="16"/>
                <w:szCs w:val="18"/>
              </w:rPr>
            </w:pPr>
            <w:r>
              <w:rPr>
                <w:rFonts w:ascii="Arial" w:hAnsi="Arial" w:cs="Arial"/>
                <w:sz w:val="16"/>
                <w:szCs w:val="18"/>
              </w:rPr>
              <w:t>朝向</w:t>
            </w:r>
          </w:p>
        </w:tc>
        <w:tc>
          <w:tcPr>
            <w:tcW w:w="1707" w:type="dxa"/>
            <w:tcBorders>
              <w:top w:val="nil"/>
              <w:left w:val="nil"/>
              <w:bottom w:val="single" w:color="auto" w:sz="4" w:space="0"/>
              <w:right w:val="single" w:color="auto" w:sz="4" w:space="0"/>
            </w:tcBorders>
            <w:vAlign w:val="center"/>
          </w:tcPr>
          <w:p w14:paraId="1881F7C2">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100</w:t>
            </w:r>
          </w:p>
        </w:tc>
        <w:tc>
          <w:tcPr>
            <w:tcW w:w="1707" w:type="dxa"/>
            <w:tcBorders>
              <w:top w:val="nil"/>
              <w:left w:val="nil"/>
              <w:bottom w:val="single" w:color="auto" w:sz="4" w:space="0"/>
              <w:right w:val="single" w:color="auto" w:sz="4" w:space="0"/>
            </w:tcBorders>
            <w:vAlign w:val="center"/>
          </w:tcPr>
          <w:p w14:paraId="4D0A96E8">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1</w:t>
            </w:r>
          </w:p>
        </w:tc>
        <w:tc>
          <w:tcPr>
            <w:tcW w:w="1708" w:type="dxa"/>
            <w:tcBorders>
              <w:top w:val="nil"/>
              <w:left w:val="nil"/>
              <w:bottom w:val="single" w:color="auto" w:sz="4" w:space="0"/>
              <w:right w:val="single" w:color="auto" w:sz="4" w:space="0"/>
            </w:tcBorders>
            <w:vAlign w:val="center"/>
          </w:tcPr>
          <w:p w14:paraId="2A4C1C6C">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100</w:t>
            </w:r>
          </w:p>
        </w:tc>
      </w:tr>
      <w:tr w14:paraId="019AC0A5">
        <w:tblPrEx>
          <w:tblCellMar>
            <w:top w:w="0" w:type="dxa"/>
            <w:left w:w="108" w:type="dxa"/>
            <w:bottom w:w="0" w:type="dxa"/>
            <w:right w:w="108" w:type="dxa"/>
          </w:tblCellMar>
        </w:tblPrEx>
        <w:trPr>
          <w:trHeight w:val="227" w:hRule="atLeast"/>
        </w:trPr>
        <w:tc>
          <w:tcPr>
            <w:tcW w:w="791" w:type="pct"/>
            <w:vMerge w:val="restart"/>
            <w:tcBorders>
              <w:top w:val="single" w:color="auto" w:sz="4" w:space="0"/>
              <w:left w:val="single" w:color="auto" w:sz="4" w:space="0"/>
              <w:bottom w:val="single" w:color="auto" w:sz="4" w:space="0"/>
              <w:right w:val="single" w:color="auto" w:sz="4" w:space="0"/>
            </w:tcBorders>
            <w:vAlign w:val="center"/>
          </w:tcPr>
          <w:p w14:paraId="0B942BC8">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1517" w:type="pct"/>
            <w:tcBorders>
              <w:top w:val="nil"/>
              <w:left w:val="nil"/>
              <w:bottom w:val="single" w:color="auto" w:sz="4" w:space="0"/>
              <w:right w:val="single" w:color="auto" w:sz="4" w:space="0"/>
            </w:tcBorders>
            <w:vAlign w:val="center"/>
          </w:tcPr>
          <w:p w14:paraId="4E604104">
            <w:pPr>
              <w:widowControl/>
              <w:adjustRightInd/>
              <w:spacing w:line="240" w:lineRule="auto"/>
              <w:textAlignment w:val="auto"/>
              <w:rPr>
                <w:rFonts w:ascii="Arial" w:hAnsi="Arial" w:cs="Arial"/>
                <w:sz w:val="16"/>
                <w:szCs w:val="18"/>
              </w:rPr>
            </w:pPr>
            <w:r>
              <w:rPr>
                <w:rFonts w:ascii="Arial" w:hAnsi="Arial" w:cs="Arial"/>
                <w:sz w:val="16"/>
                <w:szCs w:val="18"/>
              </w:rPr>
              <w:t>成新度</w:t>
            </w:r>
          </w:p>
        </w:tc>
        <w:tc>
          <w:tcPr>
            <w:tcW w:w="1707" w:type="dxa"/>
            <w:tcBorders>
              <w:top w:val="nil"/>
              <w:left w:val="nil"/>
              <w:bottom w:val="single" w:color="auto" w:sz="4" w:space="0"/>
              <w:right w:val="single" w:color="auto" w:sz="4" w:space="0"/>
            </w:tcBorders>
            <w:vAlign w:val="center"/>
          </w:tcPr>
          <w:p w14:paraId="5DAB1A7B">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94</w:t>
            </w:r>
          </w:p>
        </w:tc>
        <w:tc>
          <w:tcPr>
            <w:tcW w:w="1707" w:type="dxa"/>
            <w:tcBorders>
              <w:top w:val="nil"/>
              <w:left w:val="nil"/>
              <w:bottom w:val="single" w:color="auto" w:sz="4" w:space="0"/>
              <w:right w:val="single" w:color="auto" w:sz="4" w:space="0"/>
            </w:tcBorders>
            <w:vAlign w:val="center"/>
          </w:tcPr>
          <w:p w14:paraId="0823CD55">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94</w:t>
            </w:r>
          </w:p>
        </w:tc>
        <w:tc>
          <w:tcPr>
            <w:tcW w:w="1708" w:type="dxa"/>
            <w:tcBorders>
              <w:top w:val="nil"/>
              <w:left w:val="nil"/>
              <w:bottom w:val="single" w:color="auto" w:sz="4" w:space="0"/>
              <w:right w:val="single" w:color="auto" w:sz="4" w:space="0"/>
            </w:tcBorders>
            <w:vAlign w:val="center"/>
          </w:tcPr>
          <w:p w14:paraId="6088F7E4">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96</w:t>
            </w:r>
          </w:p>
        </w:tc>
      </w:tr>
      <w:tr w14:paraId="18F4BE07">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28DD331D">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8FEA9B7">
            <w:pPr>
              <w:widowControl/>
              <w:adjustRightInd/>
              <w:spacing w:line="240" w:lineRule="auto"/>
              <w:textAlignment w:val="auto"/>
              <w:rPr>
                <w:rFonts w:ascii="Arial" w:hAnsi="Arial" w:cs="Arial"/>
                <w:sz w:val="16"/>
                <w:szCs w:val="18"/>
              </w:rPr>
            </w:pPr>
            <w:r>
              <w:rPr>
                <w:rFonts w:ascii="Arial" w:hAnsi="Arial" w:cs="Arial"/>
                <w:sz w:val="16"/>
                <w:szCs w:val="18"/>
              </w:rPr>
              <w:t>公共区域装修</w:t>
            </w:r>
          </w:p>
        </w:tc>
        <w:tc>
          <w:tcPr>
            <w:tcW w:w="1707" w:type="dxa"/>
            <w:tcBorders>
              <w:top w:val="nil"/>
              <w:left w:val="nil"/>
              <w:bottom w:val="single" w:color="auto" w:sz="4" w:space="0"/>
              <w:right w:val="single" w:color="auto" w:sz="4" w:space="0"/>
            </w:tcBorders>
            <w:vAlign w:val="center"/>
          </w:tcPr>
          <w:p w14:paraId="6CC1B013">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7" w:type="dxa"/>
            <w:tcBorders>
              <w:top w:val="nil"/>
              <w:left w:val="nil"/>
              <w:bottom w:val="single" w:color="auto" w:sz="4" w:space="0"/>
              <w:right w:val="single" w:color="auto" w:sz="4" w:space="0"/>
            </w:tcBorders>
            <w:vAlign w:val="center"/>
          </w:tcPr>
          <w:p w14:paraId="5D8CC249">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8" w:type="dxa"/>
            <w:tcBorders>
              <w:top w:val="nil"/>
              <w:left w:val="nil"/>
              <w:bottom w:val="single" w:color="auto" w:sz="4" w:space="0"/>
              <w:right w:val="single" w:color="auto" w:sz="4" w:space="0"/>
            </w:tcBorders>
            <w:vAlign w:val="center"/>
          </w:tcPr>
          <w:p w14:paraId="7C064E3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8025E2F">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02ABED4">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2E78BE8">
            <w:pPr>
              <w:widowControl/>
              <w:adjustRightInd/>
              <w:spacing w:line="240" w:lineRule="auto"/>
              <w:textAlignment w:val="auto"/>
              <w:rPr>
                <w:rFonts w:ascii="Arial" w:hAnsi="Arial" w:cs="Arial"/>
                <w:sz w:val="16"/>
                <w:szCs w:val="18"/>
              </w:rPr>
            </w:pPr>
            <w:r>
              <w:rPr>
                <w:rFonts w:ascii="Arial" w:hAnsi="Arial" w:cs="Arial"/>
                <w:sz w:val="16"/>
                <w:szCs w:val="18"/>
              </w:rPr>
              <w:t>室内装饰装修</w:t>
            </w:r>
          </w:p>
        </w:tc>
        <w:tc>
          <w:tcPr>
            <w:tcW w:w="1707" w:type="dxa"/>
            <w:tcBorders>
              <w:top w:val="nil"/>
              <w:left w:val="nil"/>
              <w:bottom w:val="single" w:color="auto" w:sz="4" w:space="0"/>
              <w:right w:val="single" w:color="auto" w:sz="4" w:space="0"/>
            </w:tcBorders>
            <w:vAlign w:val="center"/>
          </w:tcPr>
          <w:p w14:paraId="07EF024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7737FC9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39E2AC8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1347588">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1DE41D6C">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34984BC">
            <w:pPr>
              <w:widowControl/>
              <w:adjustRightInd/>
              <w:spacing w:line="240" w:lineRule="auto"/>
              <w:textAlignment w:val="auto"/>
              <w:rPr>
                <w:rFonts w:ascii="Arial" w:hAnsi="Arial" w:cs="Arial"/>
                <w:sz w:val="16"/>
                <w:szCs w:val="18"/>
              </w:rPr>
            </w:pPr>
            <w:r>
              <w:rPr>
                <w:rFonts w:ascii="Arial" w:hAnsi="Arial" w:cs="Arial"/>
                <w:sz w:val="16"/>
                <w:szCs w:val="18"/>
              </w:rPr>
              <w:t>设施设备</w:t>
            </w:r>
          </w:p>
        </w:tc>
        <w:tc>
          <w:tcPr>
            <w:tcW w:w="1707" w:type="dxa"/>
            <w:tcBorders>
              <w:top w:val="nil"/>
              <w:left w:val="nil"/>
              <w:bottom w:val="single" w:color="auto" w:sz="4" w:space="0"/>
              <w:right w:val="single" w:color="auto" w:sz="4" w:space="0"/>
            </w:tcBorders>
            <w:vAlign w:val="center"/>
          </w:tcPr>
          <w:p w14:paraId="46760B9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39A7A44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6F5529E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2729D72">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448D9F53">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826007B">
            <w:pPr>
              <w:widowControl/>
              <w:adjustRightInd/>
              <w:spacing w:line="240" w:lineRule="auto"/>
              <w:textAlignment w:val="auto"/>
              <w:rPr>
                <w:rFonts w:ascii="Arial" w:hAnsi="Arial" w:cs="Arial"/>
                <w:sz w:val="16"/>
                <w:szCs w:val="18"/>
              </w:rPr>
            </w:pPr>
            <w:r>
              <w:rPr>
                <w:rFonts w:ascii="Arial" w:hAnsi="Arial" w:cs="Arial"/>
                <w:sz w:val="16"/>
                <w:szCs w:val="18"/>
              </w:rPr>
              <w:t>综合管理服务设施</w:t>
            </w:r>
          </w:p>
        </w:tc>
        <w:tc>
          <w:tcPr>
            <w:tcW w:w="1707" w:type="dxa"/>
            <w:tcBorders>
              <w:top w:val="nil"/>
              <w:left w:val="nil"/>
              <w:bottom w:val="single" w:color="auto" w:sz="4" w:space="0"/>
              <w:right w:val="single" w:color="auto" w:sz="4" w:space="0"/>
            </w:tcBorders>
            <w:vAlign w:val="center"/>
          </w:tcPr>
          <w:p w14:paraId="34ED338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ADF329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2FA39AB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F830924">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720EDEC6">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3F855342">
            <w:pPr>
              <w:widowControl/>
              <w:adjustRightInd/>
              <w:spacing w:line="240" w:lineRule="auto"/>
              <w:textAlignment w:val="auto"/>
              <w:rPr>
                <w:rFonts w:ascii="Arial" w:hAnsi="Arial" w:cs="Arial"/>
                <w:sz w:val="16"/>
                <w:szCs w:val="18"/>
              </w:rPr>
            </w:pPr>
            <w:r>
              <w:rPr>
                <w:rFonts w:ascii="Arial" w:hAnsi="Arial" w:cs="Arial"/>
                <w:sz w:val="16"/>
                <w:szCs w:val="18"/>
              </w:rPr>
              <w:t>户型布局</w:t>
            </w:r>
          </w:p>
        </w:tc>
        <w:tc>
          <w:tcPr>
            <w:tcW w:w="1707" w:type="dxa"/>
            <w:tcBorders>
              <w:top w:val="nil"/>
              <w:left w:val="nil"/>
              <w:bottom w:val="single" w:color="auto" w:sz="4" w:space="0"/>
              <w:right w:val="single" w:color="auto" w:sz="4" w:space="0"/>
            </w:tcBorders>
            <w:vAlign w:val="center"/>
          </w:tcPr>
          <w:p w14:paraId="78D7D23B">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1707" w:type="dxa"/>
            <w:tcBorders>
              <w:top w:val="nil"/>
              <w:left w:val="nil"/>
              <w:bottom w:val="single" w:color="auto" w:sz="4" w:space="0"/>
              <w:right w:val="single" w:color="auto" w:sz="4" w:space="0"/>
            </w:tcBorders>
            <w:vAlign w:val="center"/>
          </w:tcPr>
          <w:p w14:paraId="0AA917AD">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1708" w:type="dxa"/>
            <w:tcBorders>
              <w:top w:val="nil"/>
              <w:left w:val="nil"/>
              <w:bottom w:val="single" w:color="auto" w:sz="4" w:space="0"/>
              <w:right w:val="single" w:color="auto" w:sz="4" w:space="0"/>
            </w:tcBorders>
            <w:vAlign w:val="center"/>
          </w:tcPr>
          <w:p w14:paraId="13FDED3D">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r>
      <w:tr w14:paraId="33516AAC">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31026499">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3DA161A">
            <w:pPr>
              <w:widowControl/>
              <w:adjustRightInd/>
              <w:spacing w:line="240" w:lineRule="auto"/>
              <w:textAlignment w:val="auto"/>
              <w:rPr>
                <w:rFonts w:ascii="Arial" w:hAnsi="Arial" w:cs="Arial"/>
                <w:sz w:val="16"/>
                <w:szCs w:val="18"/>
              </w:rPr>
            </w:pPr>
            <w:r>
              <w:rPr>
                <w:rFonts w:ascii="Arial" w:hAnsi="Arial" w:cs="Arial"/>
                <w:sz w:val="16"/>
                <w:szCs w:val="18"/>
              </w:rPr>
              <w:t>户型结构</w:t>
            </w:r>
          </w:p>
        </w:tc>
        <w:tc>
          <w:tcPr>
            <w:tcW w:w="1707" w:type="dxa"/>
            <w:tcBorders>
              <w:top w:val="nil"/>
              <w:left w:val="nil"/>
              <w:bottom w:val="single" w:color="auto" w:sz="4" w:space="0"/>
              <w:right w:val="single" w:color="auto" w:sz="4" w:space="0"/>
            </w:tcBorders>
            <w:vAlign w:val="center"/>
          </w:tcPr>
          <w:p w14:paraId="208EB91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1E5F727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4EB5E65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6025EC5">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557619A1">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EC22AD4">
            <w:pPr>
              <w:widowControl/>
              <w:adjustRightInd/>
              <w:spacing w:line="240" w:lineRule="auto"/>
              <w:textAlignment w:val="auto"/>
              <w:rPr>
                <w:rFonts w:ascii="Arial" w:hAnsi="Arial" w:cs="Arial"/>
                <w:sz w:val="16"/>
                <w:szCs w:val="18"/>
              </w:rPr>
            </w:pPr>
            <w:r>
              <w:rPr>
                <w:rFonts w:ascii="Arial" w:hAnsi="Arial" w:cs="Arial"/>
                <w:sz w:val="16"/>
                <w:szCs w:val="18"/>
              </w:rPr>
              <w:t>建筑面积</w:t>
            </w:r>
          </w:p>
        </w:tc>
        <w:tc>
          <w:tcPr>
            <w:tcW w:w="1707" w:type="dxa"/>
            <w:tcBorders>
              <w:top w:val="nil"/>
              <w:left w:val="nil"/>
              <w:bottom w:val="single" w:color="auto" w:sz="4" w:space="0"/>
              <w:right w:val="single" w:color="auto" w:sz="4" w:space="0"/>
            </w:tcBorders>
            <w:vAlign w:val="center"/>
          </w:tcPr>
          <w:p w14:paraId="69F1CBB9">
            <w:pPr>
              <w:widowControl/>
              <w:adjustRightInd/>
              <w:spacing w:line="240" w:lineRule="auto"/>
              <w:jc w:val="center"/>
              <w:textAlignment w:val="auto"/>
              <w:rPr>
                <w:rFonts w:ascii="Arial" w:hAnsi="Arial" w:cs="Arial"/>
                <w:sz w:val="16"/>
                <w:szCs w:val="18"/>
              </w:rPr>
            </w:pPr>
            <w:r>
              <w:rPr>
                <w:rFonts w:ascii="Arial" w:hAnsi="Arial" w:cs="Arial"/>
                <w:sz w:val="16"/>
                <w:szCs w:val="18"/>
              </w:rPr>
              <w:t>100/1</w:t>
            </w:r>
            <w:r>
              <w:rPr>
                <w:rFonts w:hint="eastAsia" w:ascii="Arial" w:hAnsi="Arial" w:cs="Arial"/>
                <w:sz w:val="16"/>
                <w:szCs w:val="18"/>
              </w:rPr>
              <w:t>15</w:t>
            </w:r>
          </w:p>
        </w:tc>
        <w:tc>
          <w:tcPr>
            <w:tcW w:w="1707" w:type="dxa"/>
            <w:tcBorders>
              <w:top w:val="nil"/>
              <w:left w:val="nil"/>
              <w:bottom w:val="single" w:color="auto" w:sz="4" w:space="0"/>
              <w:right w:val="single" w:color="auto" w:sz="4" w:space="0"/>
            </w:tcBorders>
            <w:vAlign w:val="center"/>
          </w:tcPr>
          <w:p w14:paraId="7C2167B2">
            <w:pPr>
              <w:widowControl/>
              <w:adjustRightInd/>
              <w:spacing w:line="240" w:lineRule="auto"/>
              <w:jc w:val="center"/>
              <w:textAlignment w:val="auto"/>
              <w:rPr>
                <w:rFonts w:ascii="Arial" w:hAnsi="Arial" w:cs="Arial"/>
                <w:sz w:val="16"/>
                <w:szCs w:val="18"/>
              </w:rPr>
            </w:pPr>
            <w:r>
              <w:rPr>
                <w:rFonts w:ascii="Arial" w:hAnsi="Arial" w:cs="Arial"/>
                <w:sz w:val="16"/>
                <w:szCs w:val="18"/>
              </w:rPr>
              <w:t>100/1</w:t>
            </w:r>
            <w:r>
              <w:rPr>
                <w:rFonts w:hint="eastAsia" w:ascii="Arial" w:hAnsi="Arial" w:cs="Arial"/>
                <w:sz w:val="16"/>
                <w:szCs w:val="18"/>
              </w:rPr>
              <w:t>15</w:t>
            </w:r>
          </w:p>
        </w:tc>
        <w:tc>
          <w:tcPr>
            <w:tcW w:w="1708" w:type="dxa"/>
            <w:tcBorders>
              <w:top w:val="nil"/>
              <w:left w:val="nil"/>
              <w:bottom w:val="single" w:color="auto" w:sz="4" w:space="0"/>
              <w:right w:val="single" w:color="auto" w:sz="4" w:space="0"/>
            </w:tcBorders>
            <w:vAlign w:val="center"/>
          </w:tcPr>
          <w:p w14:paraId="289422A8">
            <w:pPr>
              <w:widowControl/>
              <w:adjustRightInd/>
              <w:spacing w:line="240" w:lineRule="auto"/>
              <w:jc w:val="center"/>
              <w:textAlignment w:val="auto"/>
              <w:rPr>
                <w:rFonts w:ascii="Arial" w:hAnsi="Arial" w:cs="Arial"/>
                <w:sz w:val="16"/>
                <w:szCs w:val="18"/>
              </w:rPr>
            </w:pPr>
            <w:r>
              <w:rPr>
                <w:rFonts w:ascii="Arial" w:hAnsi="Arial" w:cs="Arial"/>
                <w:sz w:val="16"/>
                <w:szCs w:val="18"/>
              </w:rPr>
              <w:t>100/1</w:t>
            </w:r>
            <w:r>
              <w:rPr>
                <w:rFonts w:hint="eastAsia" w:ascii="Arial" w:hAnsi="Arial" w:cs="Arial"/>
                <w:sz w:val="16"/>
                <w:szCs w:val="18"/>
              </w:rPr>
              <w:t>15</w:t>
            </w:r>
          </w:p>
        </w:tc>
      </w:tr>
      <w:tr w14:paraId="1259A9B4">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33FAA04E">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30E4AA07">
            <w:pPr>
              <w:widowControl/>
              <w:adjustRightInd/>
              <w:spacing w:line="240" w:lineRule="auto"/>
              <w:textAlignment w:val="auto"/>
              <w:rPr>
                <w:rFonts w:ascii="Arial" w:hAnsi="Arial" w:cs="Arial"/>
                <w:sz w:val="16"/>
                <w:szCs w:val="18"/>
              </w:rPr>
            </w:pPr>
            <w:r>
              <w:rPr>
                <w:rFonts w:ascii="Arial" w:hAnsi="Arial" w:cs="Arial"/>
                <w:sz w:val="16"/>
                <w:szCs w:val="18"/>
              </w:rPr>
              <w:t>家具家电</w:t>
            </w:r>
          </w:p>
        </w:tc>
        <w:tc>
          <w:tcPr>
            <w:tcW w:w="1707" w:type="dxa"/>
            <w:tcBorders>
              <w:top w:val="nil"/>
              <w:left w:val="nil"/>
              <w:bottom w:val="single" w:color="auto" w:sz="4" w:space="0"/>
              <w:right w:val="single" w:color="auto" w:sz="4" w:space="0"/>
            </w:tcBorders>
            <w:vAlign w:val="center"/>
          </w:tcPr>
          <w:p w14:paraId="4F5B9247">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c>
          <w:tcPr>
            <w:tcW w:w="1707" w:type="dxa"/>
            <w:tcBorders>
              <w:top w:val="nil"/>
              <w:left w:val="nil"/>
              <w:bottom w:val="single" w:color="auto" w:sz="4" w:space="0"/>
              <w:right w:val="single" w:color="auto" w:sz="4" w:space="0"/>
            </w:tcBorders>
            <w:vAlign w:val="center"/>
          </w:tcPr>
          <w:p w14:paraId="07078F6E">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c>
          <w:tcPr>
            <w:tcW w:w="1708" w:type="dxa"/>
            <w:tcBorders>
              <w:top w:val="nil"/>
              <w:left w:val="nil"/>
              <w:bottom w:val="single" w:color="auto" w:sz="4" w:space="0"/>
              <w:right w:val="single" w:color="auto" w:sz="4" w:space="0"/>
            </w:tcBorders>
            <w:vAlign w:val="center"/>
          </w:tcPr>
          <w:p w14:paraId="48161613">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r>
      <w:tr w14:paraId="5F471C48">
        <w:tblPrEx>
          <w:tblCellMar>
            <w:top w:w="0" w:type="dxa"/>
            <w:left w:w="108" w:type="dxa"/>
            <w:bottom w:w="0" w:type="dxa"/>
            <w:right w:w="108" w:type="dxa"/>
          </w:tblCellMar>
        </w:tblPrEx>
        <w:trPr>
          <w:trHeight w:val="217" w:hRule="atLeast"/>
        </w:trPr>
        <w:tc>
          <w:tcPr>
            <w:tcW w:w="791" w:type="pct"/>
            <w:vMerge w:val="restart"/>
            <w:tcBorders>
              <w:left w:val="single" w:color="auto" w:sz="4" w:space="0"/>
              <w:bottom w:val="single" w:color="auto" w:sz="4" w:space="0"/>
              <w:right w:val="single" w:color="auto" w:sz="4" w:space="0"/>
            </w:tcBorders>
            <w:vAlign w:val="center"/>
          </w:tcPr>
          <w:p w14:paraId="14D006DB">
            <w:pPr>
              <w:widowControl/>
              <w:adjustRightInd/>
              <w:spacing w:line="240" w:lineRule="auto"/>
              <w:textAlignment w:val="auto"/>
              <w:rPr>
                <w:rFonts w:ascii="Arial" w:hAnsi="Arial" w:cs="Arial"/>
                <w:sz w:val="16"/>
                <w:szCs w:val="18"/>
              </w:rPr>
            </w:pPr>
            <w:r>
              <w:rPr>
                <w:rFonts w:ascii="Arial" w:hAnsi="Arial" w:cs="Arial"/>
                <w:sz w:val="16"/>
                <w:szCs w:val="18"/>
              </w:rPr>
              <w:t>权益状况</w:t>
            </w:r>
          </w:p>
        </w:tc>
        <w:tc>
          <w:tcPr>
            <w:tcW w:w="1517" w:type="pct"/>
            <w:tcBorders>
              <w:top w:val="nil"/>
              <w:left w:val="nil"/>
              <w:bottom w:val="single" w:color="auto" w:sz="4" w:space="0"/>
              <w:right w:val="single" w:color="auto" w:sz="4" w:space="0"/>
            </w:tcBorders>
            <w:vAlign w:val="center"/>
          </w:tcPr>
          <w:p w14:paraId="0BA3B656">
            <w:pPr>
              <w:widowControl/>
              <w:adjustRightInd/>
              <w:spacing w:line="240" w:lineRule="auto"/>
              <w:textAlignment w:val="auto"/>
              <w:rPr>
                <w:rFonts w:ascii="Arial" w:hAnsi="Arial" w:cs="Arial"/>
                <w:sz w:val="16"/>
                <w:szCs w:val="18"/>
              </w:rPr>
            </w:pPr>
            <w:r>
              <w:rPr>
                <w:rFonts w:ascii="Arial" w:hAnsi="Arial" w:cs="Arial"/>
                <w:sz w:val="16"/>
                <w:szCs w:val="18"/>
              </w:rPr>
              <w:t>服务及管理水平</w:t>
            </w:r>
          </w:p>
        </w:tc>
        <w:tc>
          <w:tcPr>
            <w:tcW w:w="1707" w:type="dxa"/>
            <w:tcBorders>
              <w:top w:val="nil"/>
              <w:left w:val="nil"/>
              <w:bottom w:val="single" w:color="auto" w:sz="4" w:space="0"/>
              <w:right w:val="single" w:color="auto" w:sz="4" w:space="0"/>
            </w:tcBorders>
            <w:vAlign w:val="center"/>
          </w:tcPr>
          <w:p w14:paraId="2296AC4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95AF72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1C78BB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1C6D714">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4614D039">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784F1ED">
            <w:pPr>
              <w:widowControl/>
              <w:adjustRightInd/>
              <w:spacing w:line="240" w:lineRule="auto"/>
              <w:textAlignment w:val="auto"/>
              <w:rPr>
                <w:rFonts w:ascii="Arial" w:hAnsi="Arial" w:cs="Arial"/>
                <w:sz w:val="16"/>
                <w:szCs w:val="18"/>
              </w:rPr>
            </w:pPr>
            <w:r>
              <w:rPr>
                <w:rFonts w:ascii="Arial" w:hAnsi="Arial" w:cs="Arial"/>
                <w:sz w:val="16"/>
                <w:szCs w:val="18"/>
              </w:rPr>
              <w:t>水电气费执行标准</w:t>
            </w:r>
          </w:p>
        </w:tc>
        <w:tc>
          <w:tcPr>
            <w:tcW w:w="897" w:type="pct"/>
            <w:tcBorders>
              <w:top w:val="nil"/>
              <w:left w:val="nil"/>
              <w:bottom w:val="single" w:color="auto" w:sz="4" w:space="0"/>
              <w:right w:val="single" w:color="auto" w:sz="4" w:space="0"/>
            </w:tcBorders>
            <w:vAlign w:val="center"/>
          </w:tcPr>
          <w:p w14:paraId="3241D50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29770A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6C86B3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CC6A27E">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743604E3">
            <w:pPr>
              <w:widowControl/>
              <w:adjustRightInd/>
              <w:spacing w:line="240" w:lineRule="auto"/>
              <w:textAlignment w:val="auto"/>
              <w:rPr>
                <w:rFonts w:ascii="Arial" w:hAnsi="Arial" w:cs="Arial"/>
                <w:sz w:val="16"/>
                <w:szCs w:val="18"/>
              </w:rPr>
            </w:pPr>
            <w:r>
              <w:rPr>
                <w:rFonts w:ascii="Arial" w:hAnsi="Arial" w:cs="Arial"/>
                <w:sz w:val="16"/>
                <w:szCs w:val="18"/>
              </w:rPr>
              <w:t>修正系数</w:t>
            </w:r>
          </w:p>
        </w:tc>
        <w:tc>
          <w:tcPr>
            <w:tcW w:w="897" w:type="pct"/>
            <w:tcBorders>
              <w:top w:val="single" w:color="auto" w:sz="4" w:space="0"/>
              <w:left w:val="nil"/>
              <w:bottom w:val="single" w:color="auto" w:sz="4" w:space="0"/>
              <w:right w:val="single" w:color="auto" w:sz="4" w:space="0"/>
            </w:tcBorders>
            <w:vAlign w:val="center"/>
          </w:tcPr>
          <w:p w14:paraId="57666496">
            <w:pPr>
              <w:spacing w:line="240" w:lineRule="auto"/>
              <w:jc w:val="center"/>
              <w:rPr>
                <w:rFonts w:ascii="Arial" w:hAnsi="Arial" w:cs="Arial"/>
                <w:sz w:val="16"/>
                <w:szCs w:val="18"/>
              </w:rPr>
            </w:pPr>
            <w:r>
              <w:rPr>
                <w:rFonts w:hint="eastAsia" w:ascii="Arial" w:hAnsi="Arial" w:cs="Arial"/>
                <w:sz w:val="16"/>
                <w:szCs w:val="18"/>
              </w:rPr>
              <w:t>1.0178</w:t>
            </w:r>
          </w:p>
        </w:tc>
        <w:tc>
          <w:tcPr>
            <w:tcW w:w="897" w:type="pct"/>
            <w:tcBorders>
              <w:top w:val="single" w:color="auto" w:sz="4" w:space="0"/>
              <w:left w:val="nil"/>
              <w:bottom w:val="single" w:color="auto" w:sz="4" w:space="0"/>
              <w:right w:val="single" w:color="auto" w:sz="4" w:space="0"/>
            </w:tcBorders>
            <w:vAlign w:val="center"/>
          </w:tcPr>
          <w:p w14:paraId="0E2DAC88">
            <w:pPr>
              <w:spacing w:line="240" w:lineRule="auto"/>
              <w:jc w:val="center"/>
              <w:rPr>
                <w:rFonts w:ascii="Arial" w:hAnsi="Arial" w:cs="Arial"/>
                <w:sz w:val="16"/>
                <w:szCs w:val="18"/>
              </w:rPr>
            </w:pPr>
            <w:r>
              <w:rPr>
                <w:rFonts w:hint="eastAsia" w:ascii="Arial" w:hAnsi="Arial" w:cs="Arial"/>
                <w:sz w:val="16"/>
                <w:szCs w:val="18"/>
              </w:rPr>
              <w:t>1.0077</w:t>
            </w:r>
          </w:p>
        </w:tc>
        <w:tc>
          <w:tcPr>
            <w:tcW w:w="897" w:type="pct"/>
            <w:tcBorders>
              <w:top w:val="single" w:color="auto" w:sz="4" w:space="0"/>
              <w:left w:val="nil"/>
              <w:bottom w:val="single" w:color="auto" w:sz="4" w:space="0"/>
              <w:right w:val="single" w:color="auto" w:sz="4" w:space="0"/>
            </w:tcBorders>
            <w:vAlign w:val="center"/>
          </w:tcPr>
          <w:p w14:paraId="09408F50">
            <w:pPr>
              <w:spacing w:line="240" w:lineRule="auto"/>
              <w:jc w:val="center"/>
              <w:rPr>
                <w:rFonts w:ascii="Arial" w:hAnsi="Arial" w:cs="Arial"/>
                <w:sz w:val="16"/>
                <w:szCs w:val="18"/>
              </w:rPr>
            </w:pPr>
            <w:r>
              <w:rPr>
                <w:rFonts w:hint="eastAsia" w:ascii="Arial" w:hAnsi="Arial" w:cs="Arial"/>
                <w:sz w:val="16"/>
                <w:szCs w:val="18"/>
              </w:rPr>
              <w:t>1.0368</w:t>
            </w:r>
          </w:p>
        </w:tc>
      </w:tr>
      <w:tr w14:paraId="4D8F0B12">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3B54789E">
            <w:pPr>
              <w:widowControl/>
              <w:adjustRightInd/>
              <w:spacing w:line="240" w:lineRule="auto"/>
              <w:textAlignment w:val="auto"/>
              <w:rPr>
                <w:rFonts w:ascii="Arial" w:hAnsi="Arial" w:cs="Arial"/>
                <w:sz w:val="16"/>
                <w:szCs w:val="18"/>
              </w:rPr>
            </w:pPr>
            <w:r>
              <w:rPr>
                <w:rFonts w:ascii="Arial" w:hAnsi="Arial" w:cs="Arial"/>
                <w:sz w:val="16"/>
                <w:szCs w:val="18"/>
              </w:rPr>
              <w:t>比准价格（元/平方米·月）</w:t>
            </w:r>
          </w:p>
        </w:tc>
        <w:tc>
          <w:tcPr>
            <w:tcW w:w="897" w:type="pct"/>
            <w:tcBorders>
              <w:top w:val="single" w:color="auto" w:sz="4" w:space="0"/>
              <w:left w:val="nil"/>
              <w:bottom w:val="single" w:color="auto" w:sz="4" w:space="0"/>
              <w:right w:val="single" w:color="auto" w:sz="4" w:space="0"/>
            </w:tcBorders>
            <w:vAlign w:val="center"/>
          </w:tcPr>
          <w:p w14:paraId="32A40BC2">
            <w:pPr>
              <w:spacing w:line="240" w:lineRule="auto"/>
              <w:jc w:val="center"/>
              <w:rPr>
                <w:rFonts w:ascii="Arial" w:hAnsi="Arial" w:cs="Arial"/>
                <w:sz w:val="16"/>
                <w:szCs w:val="18"/>
              </w:rPr>
            </w:pPr>
            <w:r>
              <w:rPr>
                <w:rFonts w:hint="eastAsia" w:ascii="Arial" w:hAnsi="Arial" w:cs="Arial"/>
                <w:sz w:val="16"/>
                <w:szCs w:val="18"/>
              </w:rPr>
              <w:t>41.24</w:t>
            </w:r>
          </w:p>
        </w:tc>
        <w:tc>
          <w:tcPr>
            <w:tcW w:w="897" w:type="pct"/>
            <w:tcBorders>
              <w:top w:val="single" w:color="auto" w:sz="4" w:space="0"/>
              <w:left w:val="nil"/>
              <w:bottom w:val="single" w:color="auto" w:sz="4" w:space="0"/>
              <w:right w:val="single" w:color="auto" w:sz="4" w:space="0"/>
            </w:tcBorders>
            <w:vAlign w:val="center"/>
          </w:tcPr>
          <w:p w14:paraId="5A63DA75">
            <w:pPr>
              <w:spacing w:line="240" w:lineRule="auto"/>
              <w:jc w:val="center"/>
              <w:rPr>
                <w:rFonts w:ascii="Arial" w:hAnsi="Arial" w:cs="Arial"/>
                <w:sz w:val="16"/>
                <w:szCs w:val="18"/>
              </w:rPr>
            </w:pPr>
            <w:r>
              <w:rPr>
                <w:rFonts w:hint="eastAsia" w:ascii="Arial" w:hAnsi="Arial" w:cs="Arial"/>
                <w:sz w:val="16"/>
                <w:szCs w:val="18"/>
              </w:rPr>
              <w:t>40.43</w:t>
            </w:r>
          </w:p>
        </w:tc>
        <w:tc>
          <w:tcPr>
            <w:tcW w:w="897" w:type="pct"/>
            <w:tcBorders>
              <w:top w:val="single" w:color="auto" w:sz="4" w:space="0"/>
              <w:left w:val="nil"/>
              <w:bottom w:val="single" w:color="auto" w:sz="4" w:space="0"/>
              <w:right w:val="single" w:color="auto" w:sz="4" w:space="0"/>
            </w:tcBorders>
            <w:vAlign w:val="center"/>
          </w:tcPr>
          <w:p w14:paraId="43C09132">
            <w:pPr>
              <w:spacing w:line="240" w:lineRule="auto"/>
              <w:jc w:val="center"/>
              <w:rPr>
                <w:rFonts w:ascii="Arial" w:hAnsi="Arial" w:cs="Arial"/>
                <w:sz w:val="16"/>
                <w:szCs w:val="18"/>
              </w:rPr>
            </w:pPr>
            <w:r>
              <w:rPr>
                <w:rFonts w:hint="eastAsia" w:ascii="Arial" w:hAnsi="Arial" w:cs="Arial"/>
                <w:sz w:val="16"/>
                <w:szCs w:val="18"/>
              </w:rPr>
              <w:t>42.80</w:t>
            </w:r>
          </w:p>
        </w:tc>
      </w:tr>
    </w:tbl>
    <w:p w14:paraId="03A89E90">
      <w:pPr>
        <w:wordWrap w:val="0"/>
        <w:overflowPunct w:val="0"/>
        <w:spacing w:before="240" w:beforeLines="100" w:line="480" w:lineRule="auto"/>
        <w:ind w:firstLine="420" w:firstLineChars="200"/>
        <w:rPr>
          <w:rFonts w:ascii="Arial" w:hAnsi="Arial"/>
          <w:sz w:val="21"/>
          <w:szCs w:val="21"/>
        </w:rPr>
      </w:pPr>
      <w:r>
        <w:rPr>
          <w:rFonts w:hint="eastAsia" w:ascii="Arial" w:hAnsi="Arial"/>
          <w:sz w:val="21"/>
          <w:szCs w:val="21"/>
        </w:rPr>
        <w:t>注：</w:t>
      </w:r>
      <w:r>
        <w:rPr>
          <w:rFonts w:ascii="Arial" w:hAnsi="Arial"/>
          <w:sz w:val="21"/>
          <w:szCs w:val="21"/>
        </w:rPr>
        <w:t>比准价格＝比较</w:t>
      </w:r>
      <w:r>
        <w:rPr>
          <w:rFonts w:hint="eastAsia" w:ascii="Arial" w:hAnsi="Arial"/>
          <w:sz w:val="21"/>
          <w:szCs w:val="21"/>
        </w:rPr>
        <w:t>实例</w:t>
      </w:r>
      <w:r>
        <w:rPr>
          <w:rFonts w:ascii="Arial" w:hAnsi="Arial"/>
          <w:sz w:val="21"/>
          <w:szCs w:val="21"/>
        </w:rPr>
        <w:t>平均租金×（待估房地产</w:t>
      </w:r>
      <w:r>
        <w:rPr>
          <w:rFonts w:hint="eastAsia" w:ascii="Arial" w:hAnsi="Arial"/>
          <w:sz w:val="21"/>
          <w:szCs w:val="21"/>
        </w:rPr>
        <w:t>交易时间</w:t>
      </w:r>
      <w:r>
        <w:rPr>
          <w:rFonts w:ascii="Arial" w:hAnsi="Arial"/>
          <w:sz w:val="21"/>
          <w:szCs w:val="21"/>
        </w:rPr>
        <w:t>房地产价租赁格指数/可比实例交易</w:t>
      </w:r>
      <w:r>
        <w:rPr>
          <w:rFonts w:hint="eastAsia" w:ascii="Arial" w:hAnsi="Arial"/>
          <w:sz w:val="21"/>
          <w:szCs w:val="21"/>
        </w:rPr>
        <w:t>时间</w:t>
      </w:r>
      <w:r>
        <w:rPr>
          <w:rFonts w:ascii="Arial" w:hAnsi="Arial"/>
          <w:sz w:val="21"/>
          <w:szCs w:val="21"/>
        </w:rPr>
        <w:t>房地产租赁价格指数）×（待估房地产交易情况指数/可比实例</w:t>
      </w:r>
      <w:r>
        <w:rPr>
          <w:rFonts w:hint="eastAsia" w:ascii="Arial" w:hAnsi="Arial"/>
          <w:sz w:val="21"/>
          <w:szCs w:val="21"/>
        </w:rPr>
        <w:t>交易情况</w:t>
      </w:r>
      <w:r>
        <w:rPr>
          <w:rFonts w:ascii="Arial" w:hAnsi="Arial"/>
          <w:sz w:val="21"/>
          <w:szCs w:val="21"/>
        </w:rPr>
        <w:t>指数）×（待估房地产</w:t>
      </w:r>
      <w:r>
        <w:rPr>
          <w:rFonts w:hint="eastAsia" w:ascii="Arial" w:hAnsi="Arial"/>
          <w:sz w:val="21"/>
          <w:szCs w:val="21"/>
        </w:rPr>
        <w:t>项目类型</w:t>
      </w:r>
      <w:r>
        <w:rPr>
          <w:rFonts w:ascii="Arial" w:hAnsi="Arial"/>
          <w:sz w:val="21"/>
          <w:szCs w:val="21"/>
        </w:rPr>
        <w:t>指数/可比实例</w:t>
      </w:r>
      <w:r>
        <w:rPr>
          <w:rFonts w:hint="eastAsia" w:ascii="Arial" w:hAnsi="Arial"/>
          <w:sz w:val="21"/>
          <w:szCs w:val="21"/>
        </w:rPr>
        <w:t>项目类型</w:t>
      </w:r>
      <w:r>
        <w:rPr>
          <w:rFonts w:ascii="Arial" w:hAnsi="Arial"/>
          <w:sz w:val="21"/>
          <w:szCs w:val="21"/>
        </w:rPr>
        <w:t>指数）×（待估房地产区域状况条件指数/可比实例房地产区域状况条件指数）×（待估房地产实物状况条件指数/可比实例房地产实物状况条件指数）×（待估房地产</w:t>
      </w:r>
      <w:r>
        <w:rPr>
          <w:rFonts w:hint="eastAsia" w:ascii="Arial" w:hAnsi="Arial"/>
          <w:sz w:val="21"/>
          <w:szCs w:val="21"/>
        </w:rPr>
        <w:t>权益</w:t>
      </w:r>
      <w:r>
        <w:rPr>
          <w:rFonts w:ascii="Arial" w:hAnsi="Arial"/>
          <w:sz w:val="21"/>
          <w:szCs w:val="21"/>
        </w:rPr>
        <w:t>状况条件指数/可比实例房地产</w:t>
      </w:r>
      <w:r>
        <w:rPr>
          <w:rFonts w:hint="eastAsia" w:ascii="Arial" w:hAnsi="Arial"/>
          <w:sz w:val="21"/>
          <w:szCs w:val="21"/>
        </w:rPr>
        <w:t>权益</w:t>
      </w:r>
      <w:r>
        <w:rPr>
          <w:rFonts w:ascii="Arial" w:hAnsi="Arial"/>
          <w:sz w:val="21"/>
          <w:szCs w:val="21"/>
        </w:rPr>
        <w:t>状况条件指数）</w:t>
      </w:r>
    </w:p>
    <w:p w14:paraId="76D7B8CD">
      <w:pPr>
        <w:wordWrap w:val="0"/>
        <w:overflowPunct w:val="0"/>
        <w:spacing w:line="480" w:lineRule="auto"/>
        <w:ind w:firstLine="420" w:firstLineChars="200"/>
        <w:rPr>
          <w:rFonts w:ascii="Arial" w:hAnsi="Arial"/>
          <w:sz w:val="21"/>
          <w:szCs w:val="21"/>
        </w:rPr>
      </w:pPr>
      <w:r>
        <w:rPr>
          <w:rFonts w:hint="eastAsia" w:ascii="Arial" w:hAnsi="Arial"/>
          <w:sz w:val="21"/>
          <w:szCs w:val="21"/>
        </w:rPr>
        <w:t>（4）影响因素选择实例修正后的价值计算</w:t>
      </w:r>
      <w:r>
        <w:rPr>
          <w:rFonts w:ascii="Arial" w:hAnsi="Arial"/>
          <w:sz w:val="21"/>
          <w:szCs w:val="21"/>
        </w:rPr>
        <w:t xml:space="preserve"> </w:t>
      </w:r>
    </w:p>
    <w:p w14:paraId="4CD97D0B">
      <w:pPr>
        <w:overflowPunct w:val="0"/>
        <w:spacing w:line="480" w:lineRule="auto"/>
        <w:ind w:firstLine="420" w:firstLineChars="200"/>
        <w:jc w:val="both"/>
        <w:rPr>
          <w:rFonts w:ascii="Arial" w:hAnsi="Arial"/>
          <w:sz w:val="21"/>
          <w:szCs w:val="21"/>
        </w:rPr>
      </w:pPr>
      <w:r>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hint="eastAsia" w:ascii="Arial" w:hAnsi="Arial"/>
          <w:sz w:val="21"/>
          <w:szCs w:val="21"/>
        </w:rPr>
        <w:t>3</w:t>
      </w:r>
      <w:r>
        <w:rPr>
          <w:rFonts w:ascii="Arial" w:hAnsi="Arial"/>
          <w:sz w:val="21"/>
          <w:szCs w:val="21"/>
        </w:rPr>
        <w:t>个可比案例的比准价格的简单算术平均值作为项目</w:t>
      </w:r>
      <w:r>
        <w:rPr>
          <w:rFonts w:hint="eastAsia" w:ascii="Arial" w:hAnsi="Arial"/>
          <w:sz w:val="21"/>
          <w:szCs w:val="21"/>
        </w:rPr>
        <w:t>典型户型</w:t>
      </w:r>
      <w:r>
        <w:rPr>
          <w:rFonts w:ascii="Arial" w:hAnsi="Arial"/>
          <w:sz w:val="21"/>
          <w:szCs w:val="21"/>
        </w:rPr>
        <w:t>的评估价格</w:t>
      </w:r>
      <w:r>
        <w:rPr>
          <w:rFonts w:hint="eastAsia" w:ascii="Arial" w:hAnsi="Arial"/>
          <w:sz w:val="21"/>
          <w:szCs w:val="21"/>
        </w:rPr>
        <w:t>。</w:t>
      </w:r>
    </w:p>
    <w:p w14:paraId="4E9EF07A">
      <w:pPr>
        <w:wordWrap w:val="0"/>
        <w:overflowPunct w:val="0"/>
        <w:spacing w:line="480" w:lineRule="auto"/>
        <w:ind w:firstLine="420" w:firstLineChars="200"/>
        <w:rPr>
          <w:rFonts w:ascii="Arial" w:hAnsi="Arial"/>
          <w:sz w:val="21"/>
          <w:szCs w:val="21"/>
        </w:rPr>
      </w:pPr>
      <w:r>
        <w:rPr>
          <w:rFonts w:hint="eastAsia" w:ascii="Arial" w:hAnsi="Arial"/>
          <w:sz w:val="21"/>
          <w:szCs w:val="21"/>
        </w:rPr>
        <w:t>即：标准房3</w:t>
      </w:r>
      <w:r>
        <w:rPr>
          <w:rFonts w:hint="eastAsia" w:ascii="Arial" w:hAnsi="Arial"/>
          <w:bCs/>
          <w:sz w:val="21"/>
        </w:rPr>
        <w:t>市场租赁住房租金</w:t>
      </w:r>
      <w:r>
        <w:rPr>
          <w:rFonts w:hint="eastAsia" w:ascii="Arial" w:hAnsi="Arial"/>
          <w:sz w:val="21"/>
          <w:szCs w:val="21"/>
        </w:rPr>
        <w:t>＝（41.24+40.43+42.80）÷</w:t>
      </w:r>
      <w:r>
        <w:rPr>
          <w:rFonts w:ascii="Arial" w:hAnsi="Arial"/>
          <w:sz w:val="21"/>
          <w:szCs w:val="21"/>
        </w:rPr>
        <w:t>3</w:t>
      </w:r>
      <w:r>
        <w:rPr>
          <w:rFonts w:hint="eastAsia" w:ascii="Arial" w:hAnsi="Arial"/>
          <w:sz w:val="21"/>
          <w:szCs w:val="21"/>
        </w:rPr>
        <w:t>+3</w:t>
      </w:r>
    </w:p>
    <w:p w14:paraId="427C5E39">
      <w:pPr>
        <w:wordWrap w:val="0"/>
        <w:overflowPunct w:val="0"/>
        <w:spacing w:line="480" w:lineRule="auto"/>
        <w:ind w:firstLine="3360" w:firstLineChars="1600"/>
        <w:rPr>
          <w:rFonts w:ascii="Arial" w:hAnsi="Arial"/>
          <w:sz w:val="21"/>
          <w:szCs w:val="21"/>
        </w:rPr>
      </w:pPr>
      <w:r>
        <w:rPr>
          <w:rFonts w:hint="eastAsia" w:ascii="Arial" w:hAnsi="Arial"/>
          <w:sz w:val="21"/>
          <w:szCs w:val="21"/>
        </w:rPr>
        <w:t>＝41.49+3</w:t>
      </w:r>
    </w:p>
    <w:p w14:paraId="38378BBF">
      <w:pPr>
        <w:wordWrap w:val="0"/>
        <w:overflowPunct w:val="0"/>
        <w:spacing w:line="480" w:lineRule="auto"/>
        <w:ind w:firstLine="420" w:firstLineChars="200"/>
        <w:rPr>
          <w:rFonts w:hint="eastAsia" w:ascii="宋体" w:hAnsi="宋体"/>
          <w:sz w:val="21"/>
          <w:szCs w:val="21"/>
        </w:rPr>
      </w:pPr>
      <w:r>
        <w:rPr>
          <w:rFonts w:ascii="Arial" w:hAnsi="Arial"/>
          <w:sz w:val="21"/>
          <w:szCs w:val="21"/>
        </w:rPr>
        <w:t xml:space="preserve">                            </w:t>
      </w:r>
      <w:r>
        <w:rPr>
          <w:rFonts w:hint="eastAsia" w:ascii="Arial" w:hAnsi="Arial"/>
          <w:sz w:val="21"/>
          <w:szCs w:val="21"/>
        </w:rPr>
        <w:t>＝44.49（元/平方米·月）</w:t>
      </w:r>
      <w:r>
        <w:rPr>
          <w:rFonts w:hint="eastAsia" w:ascii="宋体" w:hAnsi="宋体"/>
          <w:sz w:val="21"/>
          <w:szCs w:val="21"/>
        </w:rPr>
        <w:t>（含物业费、不含取暖费）</w:t>
      </w:r>
    </w:p>
    <w:p w14:paraId="45F8EC76">
      <w:pPr>
        <w:wordWrap w:val="0"/>
        <w:overflowPunct w:val="0"/>
        <w:spacing w:line="480" w:lineRule="auto"/>
        <w:ind w:firstLine="422" w:firstLineChars="200"/>
        <w:rPr>
          <w:rFonts w:ascii="Arial" w:hAnsi="Arial" w:cs="Arial"/>
          <w:b/>
          <w:sz w:val="21"/>
          <w:szCs w:val="21"/>
        </w:rPr>
      </w:pPr>
      <w:r>
        <w:rPr>
          <w:rFonts w:hint="eastAsia" w:ascii="Arial" w:hAnsi="Arial" w:cs="Arial"/>
          <w:b/>
          <w:sz w:val="21"/>
          <w:szCs w:val="21"/>
        </w:rPr>
        <w:t>D.标准房4（两居室</w:t>
      </w:r>
      <w:r>
        <w:rPr>
          <w:rFonts w:hint="eastAsia" w:ascii="宋体" w:hAnsi="宋体"/>
          <w:b/>
          <w:sz w:val="21"/>
          <w:szCs w:val="21"/>
        </w:rPr>
        <w:t>标准房市场租金水平）</w:t>
      </w:r>
    </w:p>
    <w:p w14:paraId="79944F0B">
      <w:pPr>
        <w:wordWrap w:val="0"/>
        <w:overflowPunct w:val="0"/>
        <w:spacing w:line="480" w:lineRule="auto"/>
        <w:ind w:firstLine="420" w:firstLineChars="200"/>
        <w:rPr>
          <w:rFonts w:ascii="Arial" w:hAnsi="Arial" w:cs="Arial"/>
          <w:sz w:val="21"/>
          <w:szCs w:val="21"/>
        </w:rPr>
      </w:pPr>
      <w:r>
        <w:rPr>
          <w:rFonts w:ascii="Arial" w:hAnsi="Arial" w:cs="Arial"/>
          <w:sz w:val="21"/>
          <w:szCs w:val="21"/>
        </w:rPr>
        <w:t>1.选取案例并作因素条件说明</w:t>
      </w:r>
    </w:p>
    <w:p w14:paraId="49A95394">
      <w:pPr>
        <w:wordWrap w:val="0"/>
        <w:overflowPunct w:val="0"/>
        <w:spacing w:line="480" w:lineRule="auto"/>
        <w:ind w:firstLine="420" w:firstLineChars="200"/>
        <w:rPr>
          <w:rFonts w:ascii="Arial" w:hAnsi="Arial" w:cs="Arial"/>
          <w:sz w:val="21"/>
          <w:szCs w:val="21"/>
        </w:rPr>
      </w:pPr>
      <w:r>
        <w:rPr>
          <w:rFonts w:ascii="Arial" w:hAnsi="Arial" w:cs="Arial"/>
          <w:sz w:val="21"/>
          <w:szCs w:val="21"/>
        </w:rPr>
        <w:t>通过对北京市</w:t>
      </w:r>
      <w:r>
        <w:rPr>
          <w:rFonts w:hint="eastAsia" w:ascii="Arial" w:hAnsi="Arial" w:cs="Arial"/>
          <w:sz w:val="21"/>
          <w:szCs w:val="21"/>
        </w:rPr>
        <w:t>大兴</w:t>
      </w:r>
      <w:r>
        <w:rPr>
          <w:rFonts w:ascii="Arial" w:hAnsi="Arial" w:cs="Arial"/>
          <w:sz w:val="21"/>
          <w:szCs w:val="21"/>
        </w:rPr>
        <w:t>区</w:t>
      </w:r>
      <w:r>
        <w:rPr>
          <w:rFonts w:hint="eastAsia" w:ascii="Arial" w:hAnsi="Arial" w:cs="Arial"/>
          <w:sz w:val="21"/>
          <w:szCs w:val="21"/>
        </w:rPr>
        <w:t>周边住宅</w:t>
      </w:r>
      <w:r>
        <w:rPr>
          <w:rFonts w:ascii="Arial" w:hAnsi="Arial" w:cs="Arial"/>
          <w:sz w:val="21"/>
          <w:szCs w:val="21"/>
        </w:rPr>
        <w:t>市场的调查，选取近期同一供需圈内邻近地区的三个租赁</w:t>
      </w:r>
      <w:r>
        <w:rPr>
          <w:rFonts w:hint="eastAsia" w:ascii="Arial" w:hAnsi="Arial" w:cs="Arial"/>
          <w:sz w:val="21"/>
          <w:szCs w:val="21"/>
        </w:rPr>
        <w:t>实例</w:t>
      </w:r>
      <w:r>
        <w:rPr>
          <w:rFonts w:ascii="Arial" w:hAnsi="Arial" w:cs="Arial"/>
          <w:sz w:val="21"/>
          <w:szCs w:val="21"/>
        </w:rPr>
        <w:t>进行比较。</w:t>
      </w:r>
    </w:p>
    <w:p w14:paraId="7FF834E5">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可比实例10</w:t>
      </w:r>
      <w:r>
        <w:rPr>
          <w:rFonts w:ascii="Arial" w:hAnsi="Arial" w:cs="Arial"/>
          <w:sz w:val="21"/>
          <w:szCs w:val="21"/>
        </w:rPr>
        <w:t>：</w:t>
      </w:r>
    </w:p>
    <w:p w14:paraId="7012371D">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兴水家园</w:t>
      </w:r>
    </w:p>
    <w:p w14:paraId="05D9528B">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大兴区林校路69号</w:t>
      </w:r>
    </w:p>
    <w:p w14:paraId="7D404D79">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26E916E4">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571FED16">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7ED75109">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可比实例10周边2公里内有漪景苑、埝坛华庭北区、壹品兴创颐和公馆、矿林庄小区、锦华园小区、义和庄东里等居住项目，居住小区规模适中，入住率较好，综合评价居住区成熟度较好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主干道——林校路</w:t>
      </w:r>
      <w:r>
        <w:rPr>
          <w:rFonts w:ascii="Arial" w:hAnsi="Arial" w:cs="Arial"/>
          <w:sz w:val="21"/>
          <w:szCs w:val="21"/>
        </w:rPr>
        <w:t>，</w:t>
      </w:r>
      <w:r>
        <w:rPr>
          <w:rFonts w:hint="eastAsia" w:ascii="Arial" w:hAnsi="Arial" w:cs="Arial"/>
          <w:kern w:val="2"/>
          <w:sz w:val="21"/>
          <w:szCs w:val="21"/>
        </w:rPr>
        <w:t>周边2公里范围内有轨道交通站点（地铁4号线义和庄站），周边1公里内有827路、829路、840路、兴11路、兴21路等公交线路途径并设立站点，综合评价交通便捷度较好；</w:t>
      </w:r>
      <w:r>
        <w:rPr>
          <w:rFonts w:ascii="Arial" w:hAnsi="Arial" w:cs="Arial"/>
          <w:sz w:val="21"/>
          <w:szCs w:val="21"/>
        </w:rPr>
        <w:t>周边有</w:t>
      </w:r>
      <w:r>
        <w:rPr>
          <w:rFonts w:hint="eastAsia" w:ascii="Arial" w:hAnsi="Arial" w:cs="Arial"/>
          <w:kern w:val="2"/>
          <w:sz w:val="21"/>
          <w:szCs w:val="21"/>
        </w:rPr>
        <w:t>孙村公园、新凤河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w:t>
      </w:r>
      <w:r>
        <w:rPr>
          <w:rFonts w:hint="eastAsia" w:ascii="Arial" w:hAnsi="Arial" w:cs="Arial"/>
          <w:sz w:val="21"/>
          <w:szCs w:val="21"/>
        </w:rPr>
        <w:t>周边2公里有念坛公园、兴良路公园、永定公园、小龙河等自然景观，有中央文化和旅游管理干部学院、国家林业和草原局管理干部学院等人文环境、综合评价自然与人文环境较好</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可比实例10</w:t>
      </w:r>
      <w:r>
        <w:rPr>
          <w:rFonts w:ascii="Arial" w:hAnsi="Arial" w:cs="Arial"/>
          <w:sz w:val="21"/>
          <w:szCs w:val="21"/>
        </w:rPr>
        <w:t>为</w:t>
      </w:r>
      <w:r>
        <w:rPr>
          <w:rFonts w:hint="eastAsia" w:ascii="Arial" w:hAnsi="Arial" w:cs="Arial"/>
          <w:sz w:val="21"/>
          <w:szCs w:val="21"/>
        </w:rPr>
        <w:t>两</w:t>
      </w:r>
      <w:r>
        <w:rPr>
          <w:rFonts w:ascii="Arial" w:hAnsi="Arial" w:cs="Arial"/>
          <w:sz w:val="21"/>
          <w:szCs w:val="21"/>
        </w:rPr>
        <w:t>居室户型，</w:t>
      </w:r>
      <w:r>
        <w:rPr>
          <w:rFonts w:hint="eastAsia" w:ascii="Arial" w:hAnsi="Arial" w:cs="Arial"/>
          <w:sz w:val="21"/>
          <w:szCs w:val="21"/>
        </w:rPr>
        <w:t>中</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2007</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w:t>
      </w:r>
      <w:r>
        <w:rPr>
          <w:rFonts w:hint="eastAsia" w:ascii="Arial" w:hAnsi="Arial" w:cs="Arial"/>
          <w:sz w:val="21"/>
          <w:szCs w:val="21"/>
        </w:rPr>
        <w:t>装修为</w:t>
      </w:r>
      <w:r>
        <w:rPr>
          <w:rFonts w:hint="eastAsia" w:ascii="Arial" w:hAnsi="Arial" w:cs="Arial"/>
          <w:sz w:val="21"/>
          <w:szCs w:val="21"/>
          <w:lang w:val="en-US" w:eastAsia="zh-CN"/>
        </w:rPr>
        <w:t>低</w:t>
      </w:r>
      <w:r>
        <w:rPr>
          <w:rFonts w:hint="eastAsia" w:ascii="Arial" w:hAnsi="Arial" w:cs="Arial"/>
          <w:sz w:val="21"/>
          <w:szCs w:val="21"/>
        </w:rPr>
        <w:t>档装修</w:t>
      </w:r>
      <w:r>
        <w:rPr>
          <w:rFonts w:ascii="Arial" w:hAnsi="Arial" w:cs="Arial"/>
          <w:sz w:val="21"/>
          <w:szCs w:val="21"/>
        </w:rPr>
        <w:t>，建筑面积为</w:t>
      </w:r>
      <w:r>
        <w:rPr>
          <w:rFonts w:hint="eastAsia" w:ascii="Arial" w:hAnsi="Arial" w:cs="Arial"/>
          <w:sz w:val="21"/>
          <w:szCs w:val="21"/>
        </w:rPr>
        <w:t>98.81</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为34.41元/平方米·月（含物业费1.1元/平方米·月、取暖费2.5元/平方米·月）。</w:t>
      </w:r>
    </w:p>
    <w:p w14:paraId="254CC3A0">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可比实例11</w:t>
      </w:r>
      <w:r>
        <w:rPr>
          <w:rFonts w:ascii="Arial" w:hAnsi="Arial" w:cs="Arial"/>
          <w:sz w:val="21"/>
          <w:szCs w:val="21"/>
        </w:rPr>
        <w:t>：</w:t>
      </w:r>
    </w:p>
    <w:p w14:paraId="0CF9A69F">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漪景园</w:t>
      </w:r>
    </w:p>
    <w:p w14:paraId="6079DEE7">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大兴区林校路60号</w:t>
      </w:r>
    </w:p>
    <w:p w14:paraId="3E692626">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4</w:t>
      </w:r>
      <w:r>
        <w:rPr>
          <w:rFonts w:ascii="Arial" w:hAnsi="Arial" w:cs="Arial"/>
          <w:sz w:val="21"/>
          <w:szCs w:val="21"/>
        </w:rPr>
        <w:t>月</w:t>
      </w:r>
    </w:p>
    <w:p w14:paraId="62E95EA9">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2DE177F3">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3DC37719">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可比实例11周边2公里内有漪景苑、埝坛华庭北区、壹品兴创颐和公馆、矿林庄小区、锦华园小区、义和庄东里等居住项目，居住小区规模适中，入住率较好，综合评价居住区成熟度较好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主干道——林校路</w:t>
      </w:r>
      <w:r>
        <w:rPr>
          <w:rFonts w:ascii="Arial" w:hAnsi="Arial" w:cs="Arial"/>
          <w:sz w:val="21"/>
          <w:szCs w:val="21"/>
        </w:rPr>
        <w:t>，</w:t>
      </w:r>
      <w:r>
        <w:rPr>
          <w:rFonts w:hint="eastAsia" w:ascii="Arial" w:hAnsi="Arial" w:cs="Arial"/>
          <w:kern w:val="2"/>
          <w:sz w:val="21"/>
          <w:szCs w:val="21"/>
        </w:rPr>
        <w:t>周边2公里范围内有轨道交通站点（地铁4号线义和庄站），周边1公里内有827路、829路、840路、兴11路、兴21路等公交线路途径并设立站点，综合评价交通便捷度较好；</w:t>
      </w:r>
      <w:r>
        <w:rPr>
          <w:rFonts w:ascii="Arial" w:hAnsi="Arial" w:cs="Arial"/>
          <w:sz w:val="21"/>
          <w:szCs w:val="21"/>
        </w:rPr>
        <w:t>周边有</w:t>
      </w:r>
      <w:r>
        <w:rPr>
          <w:rFonts w:hint="eastAsia" w:ascii="Arial" w:hAnsi="Arial" w:cs="Arial"/>
          <w:kern w:val="2"/>
          <w:sz w:val="21"/>
          <w:szCs w:val="21"/>
        </w:rPr>
        <w:t>孙村公园、新凤河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w:t>
      </w:r>
      <w:r>
        <w:rPr>
          <w:rFonts w:hint="eastAsia" w:ascii="Arial" w:hAnsi="Arial" w:cs="Arial"/>
          <w:sz w:val="21"/>
          <w:szCs w:val="21"/>
        </w:rPr>
        <w:t>周边2公里有念坛公园、兴良路公园、永定公园、小龙河等自然景观，有中央文化和旅游管理干部学院、国家林业和草原局管理干部学院等人文环境、综合评价自然与人文环境较好</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可比实例11</w:t>
      </w:r>
      <w:r>
        <w:rPr>
          <w:rFonts w:ascii="Arial" w:hAnsi="Arial" w:cs="Arial"/>
          <w:sz w:val="21"/>
          <w:szCs w:val="21"/>
        </w:rPr>
        <w:t>为</w:t>
      </w:r>
      <w:r>
        <w:rPr>
          <w:rFonts w:hint="eastAsia" w:ascii="Arial" w:hAnsi="Arial" w:cs="Arial"/>
          <w:sz w:val="21"/>
          <w:szCs w:val="21"/>
        </w:rPr>
        <w:t>两</w:t>
      </w:r>
      <w:r>
        <w:rPr>
          <w:rFonts w:ascii="Arial" w:hAnsi="Arial" w:cs="Arial"/>
          <w:sz w:val="21"/>
          <w:szCs w:val="21"/>
        </w:rPr>
        <w:t>居室户型，</w:t>
      </w:r>
      <w:r>
        <w:rPr>
          <w:rFonts w:hint="eastAsia" w:ascii="Arial" w:hAnsi="Arial" w:cs="Arial"/>
          <w:sz w:val="21"/>
          <w:szCs w:val="21"/>
        </w:rPr>
        <w:t>高</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02</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w:t>
      </w:r>
      <w:r>
        <w:rPr>
          <w:rFonts w:hint="eastAsia" w:ascii="Arial" w:hAnsi="Arial" w:cs="Arial"/>
          <w:sz w:val="21"/>
          <w:szCs w:val="21"/>
        </w:rPr>
        <w:t>装修为</w:t>
      </w:r>
      <w:r>
        <w:rPr>
          <w:rFonts w:hint="eastAsia" w:ascii="Arial" w:hAnsi="Arial" w:cs="Arial"/>
          <w:sz w:val="21"/>
          <w:szCs w:val="21"/>
          <w:lang w:val="en-US" w:eastAsia="zh-CN"/>
        </w:rPr>
        <w:t>低</w:t>
      </w:r>
      <w:r>
        <w:rPr>
          <w:rFonts w:hint="eastAsia" w:ascii="Arial" w:hAnsi="Arial" w:cs="Arial"/>
          <w:sz w:val="21"/>
          <w:szCs w:val="21"/>
        </w:rPr>
        <w:t>档装修</w:t>
      </w:r>
      <w:r>
        <w:rPr>
          <w:rFonts w:ascii="Arial" w:hAnsi="Arial" w:cs="Arial"/>
          <w:sz w:val="21"/>
          <w:szCs w:val="21"/>
        </w:rPr>
        <w:t>，建筑面积为</w:t>
      </w:r>
      <w:r>
        <w:rPr>
          <w:rFonts w:hint="eastAsia" w:ascii="Arial" w:hAnsi="Arial" w:cs="Arial"/>
          <w:sz w:val="21"/>
          <w:szCs w:val="21"/>
        </w:rPr>
        <w:t>91.32</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为37.23元/平方米·月（含物业费1.2元/平方米·月、取暖费2.5元/平方米·月）</w:t>
      </w:r>
      <w:r>
        <w:rPr>
          <w:rFonts w:ascii="Arial" w:hAnsi="Arial" w:cs="Arial"/>
          <w:sz w:val="21"/>
          <w:szCs w:val="21"/>
        </w:rPr>
        <w:t>。</w:t>
      </w:r>
    </w:p>
    <w:p w14:paraId="0EBCE169">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可比实例12</w:t>
      </w:r>
      <w:r>
        <w:rPr>
          <w:rFonts w:ascii="Arial" w:hAnsi="Arial" w:cs="Arial"/>
          <w:sz w:val="21"/>
          <w:szCs w:val="21"/>
        </w:rPr>
        <w:t>：</w:t>
      </w:r>
    </w:p>
    <w:p w14:paraId="7F203F20">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联港嘉园</w:t>
      </w:r>
    </w:p>
    <w:p w14:paraId="1322A17E">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大兴区文新南街272号</w:t>
      </w:r>
    </w:p>
    <w:p w14:paraId="329A23C9">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5E5B94A8">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7A62EB89">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3FF2E64C">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可比实例12周边有德贤华府、埝坛华庭西区、埝坛华庭北区等居住项目，居住小区规模适中，入住率一般，综合评价居住社区成熟度一般</w:t>
      </w:r>
      <w:r>
        <w:rPr>
          <w:rFonts w:ascii="Arial" w:hAnsi="Arial" w:cs="Arial"/>
          <w:sz w:val="21"/>
          <w:szCs w:val="21"/>
        </w:rPr>
        <w:t>；紧邻城市</w:t>
      </w:r>
      <w:r>
        <w:rPr>
          <w:rFonts w:hint="eastAsia" w:ascii="Arial" w:hAnsi="Arial" w:cs="Arial"/>
          <w:sz w:val="21"/>
          <w:szCs w:val="21"/>
        </w:rPr>
        <w:t>主干道——兴良路</w:t>
      </w:r>
      <w:r>
        <w:rPr>
          <w:rFonts w:ascii="Arial" w:hAnsi="Arial" w:cs="Arial"/>
          <w:sz w:val="21"/>
          <w:szCs w:val="21"/>
        </w:rPr>
        <w:t>，</w:t>
      </w:r>
      <w:r>
        <w:rPr>
          <w:rFonts w:hint="eastAsia" w:ascii="Arial" w:hAnsi="Arial" w:cs="Arial"/>
          <w:kern w:val="2"/>
          <w:sz w:val="21"/>
          <w:szCs w:val="21"/>
        </w:rPr>
        <w:t>周边2公里范围内无轨道交通站点，周边1公里内有兴13路、兴37路、兴53路、840路等公交线路途径并设立站点，综合评价交通便捷度一般；</w:t>
      </w:r>
      <w:r>
        <w:rPr>
          <w:rFonts w:hint="eastAsia" w:ascii="Arial" w:hAnsi="Arial" w:cs="Arial"/>
          <w:sz w:val="21"/>
          <w:szCs w:val="21"/>
        </w:rPr>
        <w:t>周边2公里有念坛公园、兴良路公园、永定公园、小龙河等自然景观，有首都医科大学（大兴校区）、金隅高新产业园等人文环境、综合评价自然与人文环境较好</w:t>
      </w:r>
      <w:r>
        <w:rPr>
          <w:rFonts w:ascii="Arial" w:hAnsi="Arial" w:cs="Arial"/>
          <w:sz w:val="21"/>
          <w:szCs w:val="21"/>
        </w:rPr>
        <w:t>；</w:t>
      </w:r>
      <w:r>
        <w:rPr>
          <w:rFonts w:hint="eastAsia" w:ascii="Arial" w:hAnsi="Arial" w:cs="Arial"/>
          <w:sz w:val="21"/>
          <w:szCs w:val="21"/>
        </w:rPr>
        <w:t>周边2公里范围内无大型购物中心，有世纪华联超市（太福店）超市等生活配套商业；有北京教育学院附属大兴实验小学、联港嘉园幼儿园等教育机构，有北臧村社区卫生服务中心等医疗机构；有北京农商银行（联港嘉园分理处）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可比实例12</w:t>
      </w:r>
      <w:r>
        <w:rPr>
          <w:rFonts w:ascii="Arial" w:hAnsi="Arial" w:cs="Arial"/>
          <w:sz w:val="21"/>
          <w:szCs w:val="21"/>
        </w:rPr>
        <w:t>为</w:t>
      </w:r>
      <w:r>
        <w:rPr>
          <w:rFonts w:hint="eastAsia" w:ascii="Arial" w:hAnsi="Arial" w:cs="Arial"/>
          <w:sz w:val="21"/>
          <w:szCs w:val="21"/>
        </w:rPr>
        <w:t>两</w:t>
      </w:r>
      <w:r>
        <w:rPr>
          <w:rFonts w:ascii="Arial" w:hAnsi="Arial" w:cs="Arial"/>
          <w:sz w:val="21"/>
          <w:szCs w:val="21"/>
        </w:rPr>
        <w:t>居室户型，</w:t>
      </w:r>
      <w:r>
        <w:rPr>
          <w:rFonts w:hint="eastAsia" w:ascii="Arial" w:hAnsi="Arial" w:cs="Arial"/>
          <w:sz w:val="21"/>
          <w:szCs w:val="21"/>
        </w:rPr>
        <w:t>中</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13</w:t>
      </w:r>
      <w:r>
        <w:rPr>
          <w:rFonts w:ascii="Arial" w:hAnsi="Arial" w:cs="Arial"/>
          <w:sz w:val="21"/>
          <w:szCs w:val="21"/>
        </w:rPr>
        <w:t>年，建筑结构为钢混结构，</w:t>
      </w:r>
      <w:r>
        <w:rPr>
          <w:rFonts w:hint="eastAsia" w:ascii="Arial" w:hAnsi="Arial" w:cs="Arial"/>
          <w:sz w:val="21"/>
          <w:szCs w:val="21"/>
        </w:rPr>
        <w:t>装修为中档装修</w:t>
      </w:r>
      <w:r>
        <w:rPr>
          <w:rFonts w:ascii="Arial" w:hAnsi="Arial" w:cs="Arial"/>
          <w:sz w:val="21"/>
          <w:szCs w:val="21"/>
        </w:rPr>
        <w:t>，建筑面积为</w:t>
      </w:r>
      <w:r>
        <w:rPr>
          <w:rFonts w:hint="eastAsia" w:ascii="Arial" w:hAnsi="Arial" w:cs="Arial"/>
          <w:sz w:val="21"/>
          <w:szCs w:val="21"/>
        </w:rPr>
        <w:t>89.37</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为34.69元/平方米·月（含物业费1.56元/平方米·月、取暖费2.5元/平方米·月）</w:t>
      </w:r>
      <w:r>
        <w:rPr>
          <w:rFonts w:ascii="Arial" w:hAnsi="Arial" w:cs="Arial"/>
          <w:sz w:val="21"/>
          <w:szCs w:val="21"/>
        </w:rPr>
        <w:t>。</w:t>
      </w:r>
    </w:p>
    <w:p w14:paraId="6479D171">
      <w:pPr>
        <w:rPr>
          <w:rFonts w:hint="eastAsia" w:ascii="宋体" w:hAnsi="宋体"/>
          <w:sz w:val="21"/>
          <w:szCs w:val="21"/>
        </w:rPr>
      </w:pPr>
      <w:r>
        <w:rPr>
          <w:rFonts w:hint="eastAsia" w:ascii="宋体" w:hAnsi="宋体"/>
          <w:sz w:val="21"/>
          <w:szCs w:val="21"/>
        </w:rPr>
        <w:br w:type="page"/>
      </w:r>
    </w:p>
    <w:p w14:paraId="3064C21B">
      <w:pPr>
        <w:wordWrap w:val="0"/>
        <w:overflowPunct w:val="0"/>
        <w:spacing w:line="480" w:lineRule="auto"/>
        <w:ind w:firstLine="420" w:firstLineChars="200"/>
        <w:rPr>
          <w:rFonts w:hint="eastAsia" w:ascii="宋体" w:hAnsi="宋体"/>
          <w:sz w:val="21"/>
          <w:szCs w:val="21"/>
        </w:rPr>
      </w:pPr>
      <w:r>
        <w:rPr>
          <w:rFonts w:hint="eastAsia" w:ascii="宋体" w:hAnsi="宋体"/>
          <w:sz w:val="21"/>
          <w:szCs w:val="21"/>
        </w:rPr>
        <w:t>建立比较基础</w:t>
      </w:r>
    </w:p>
    <w:tbl>
      <w:tblPr>
        <w:tblStyle w:val="33"/>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2047"/>
        <w:gridCol w:w="1812"/>
        <w:gridCol w:w="1812"/>
        <w:gridCol w:w="1812"/>
        <w:gridCol w:w="1815"/>
      </w:tblGrid>
      <w:tr w14:paraId="471C6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2477486C">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交易案例</w:t>
            </w:r>
          </w:p>
        </w:tc>
        <w:tc>
          <w:tcPr>
            <w:tcW w:w="1812" w:type="dxa"/>
            <w:vAlign w:val="center"/>
          </w:tcPr>
          <w:p w14:paraId="0F221D12">
            <w:pPr>
              <w:pStyle w:val="61"/>
              <w:autoSpaceDE w:val="0"/>
              <w:autoSpaceDN w:val="0"/>
              <w:spacing w:line="240" w:lineRule="exact"/>
              <w:textAlignment w:val="bottom"/>
              <w:rPr>
                <w:rFonts w:ascii="Arial" w:hAnsi="Arial" w:cs="Arial"/>
                <w:sz w:val="16"/>
                <w:szCs w:val="18"/>
              </w:rPr>
            </w:pPr>
            <w:r>
              <w:rPr>
                <w:rFonts w:ascii="Arial" w:hAnsi="Arial" w:cs="Arial"/>
                <w:sz w:val="16"/>
                <w:szCs w:val="18"/>
              </w:rPr>
              <w:t>估价对象</w:t>
            </w:r>
          </w:p>
        </w:tc>
        <w:tc>
          <w:tcPr>
            <w:tcW w:w="1812" w:type="dxa"/>
            <w:vAlign w:val="center"/>
          </w:tcPr>
          <w:p w14:paraId="2AC1FA1B">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w:t>
            </w:r>
            <w:r>
              <w:rPr>
                <w:rFonts w:hint="eastAsia" w:ascii="Arial" w:hAnsi="Arial" w:cs="Arial"/>
                <w:sz w:val="16"/>
                <w:szCs w:val="18"/>
              </w:rPr>
              <w:t>10</w:t>
            </w:r>
          </w:p>
        </w:tc>
        <w:tc>
          <w:tcPr>
            <w:tcW w:w="1812" w:type="dxa"/>
            <w:vAlign w:val="center"/>
          </w:tcPr>
          <w:p w14:paraId="6EA4AAFB">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w:t>
            </w:r>
            <w:r>
              <w:rPr>
                <w:rFonts w:hint="eastAsia" w:ascii="Arial" w:hAnsi="Arial" w:cs="Arial"/>
                <w:sz w:val="16"/>
                <w:szCs w:val="18"/>
              </w:rPr>
              <w:t>11</w:t>
            </w:r>
          </w:p>
        </w:tc>
        <w:tc>
          <w:tcPr>
            <w:tcW w:w="1815" w:type="dxa"/>
            <w:vAlign w:val="center"/>
          </w:tcPr>
          <w:p w14:paraId="3E4062D5">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w:t>
            </w:r>
            <w:r>
              <w:rPr>
                <w:rFonts w:hint="eastAsia" w:ascii="Arial" w:hAnsi="Arial" w:cs="Arial"/>
                <w:sz w:val="16"/>
                <w:szCs w:val="18"/>
              </w:rPr>
              <w:t>12</w:t>
            </w:r>
          </w:p>
        </w:tc>
      </w:tr>
      <w:tr w14:paraId="57104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27526F73">
            <w:pPr>
              <w:pStyle w:val="61"/>
              <w:autoSpaceDE w:val="0"/>
              <w:autoSpaceDN w:val="0"/>
              <w:spacing w:line="240" w:lineRule="exact"/>
              <w:textAlignment w:val="bottom"/>
              <w:rPr>
                <w:rFonts w:ascii="Arial" w:hAnsi="Arial" w:cs="Arial"/>
                <w:sz w:val="16"/>
                <w:szCs w:val="18"/>
              </w:rPr>
            </w:pPr>
            <w:r>
              <w:rPr>
                <w:rFonts w:ascii="Arial" w:hAnsi="Arial" w:cs="Arial"/>
                <w:sz w:val="16"/>
                <w:szCs w:val="18"/>
              </w:rPr>
              <w:t>项目名称</w:t>
            </w:r>
          </w:p>
        </w:tc>
        <w:tc>
          <w:tcPr>
            <w:tcW w:w="1812" w:type="dxa"/>
            <w:vAlign w:val="center"/>
          </w:tcPr>
          <w:p w14:paraId="208A43C1">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福兴雅苑</w:t>
            </w:r>
          </w:p>
        </w:tc>
        <w:tc>
          <w:tcPr>
            <w:tcW w:w="1812" w:type="dxa"/>
            <w:vAlign w:val="center"/>
          </w:tcPr>
          <w:p w14:paraId="735606B2">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1812" w:type="dxa"/>
            <w:vAlign w:val="center"/>
          </w:tcPr>
          <w:p w14:paraId="464BD4B9">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漪景园</w:t>
            </w:r>
          </w:p>
        </w:tc>
        <w:tc>
          <w:tcPr>
            <w:tcW w:w="1815" w:type="dxa"/>
            <w:vAlign w:val="center"/>
          </w:tcPr>
          <w:p w14:paraId="662C92FF">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r>
      <w:tr w14:paraId="1AE6C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2574AB34">
            <w:pPr>
              <w:pStyle w:val="61"/>
              <w:autoSpaceDE w:val="0"/>
              <w:autoSpaceDN w:val="0"/>
              <w:spacing w:line="240" w:lineRule="exact"/>
              <w:textAlignment w:val="bottom"/>
              <w:rPr>
                <w:rFonts w:ascii="Arial" w:hAnsi="Arial" w:cs="Arial"/>
                <w:sz w:val="16"/>
                <w:szCs w:val="18"/>
              </w:rPr>
            </w:pPr>
            <w:r>
              <w:rPr>
                <w:rFonts w:ascii="Arial" w:hAnsi="Arial" w:cs="Arial"/>
                <w:sz w:val="16"/>
                <w:szCs w:val="18"/>
              </w:rPr>
              <w:t>租金价格（元/㎡·</w:t>
            </w:r>
            <w:r>
              <w:rPr>
                <w:rFonts w:hint="eastAsia" w:ascii="Arial" w:hAnsi="Arial" w:cs="Arial"/>
                <w:sz w:val="16"/>
                <w:szCs w:val="18"/>
              </w:rPr>
              <w:t>月</w:t>
            </w:r>
            <w:r>
              <w:rPr>
                <w:rFonts w:ascii="Arial" w:hAnsi="Arial" w:cs="Arial"/>
                <w:sz w:val="16"/>
                <w:szCs w:val="18"/>
              </w:rPr>
              <w:t>）</w:t>
            </w:r>
          </w:p>
        </w:tc>
        <w:tc>
          <w:tcPr>
            <w:tcW w:w="1812" w:type="dxa"/>
            <w:vAlign w:val="center"/>
          </w:tcPr>
          <w:p w14:paraId="07D8A3E4">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1D140592">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34.41</w:t>
            </w:r>
          </w:p>
        </w:tc>
        <w:tc>
          <w:tcPr>
            <w:tcW w:w="1812" w:type="dxa"/>
            <w:vAlign w:val="center"/>
          </w:tcPr>
          <w:p w14:paraId="24267E2B">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37.23</w:t>
            </w:r>
          </w:p>
        </w:tc>
        <w:tc>
          <w:tcPr>
            <w:tcW w:w="1815" w:type="dxa"/>
            <w:vAlign w:val="center"/>
          </w:tcPr>
          <w:p w14:paraId="73C30013">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34.69</w:t>
            </w:r>
          </w:p>
        </w:tc>
      </w:tr>
      <w:tr w14:paraId="25351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2" w:hRule="atLeast"/>
          <w:jc w:val="center"/>
        </w:trPr>
        <w:tc>
          <w:tcPr>
            <w:tcW w:w="2047" w:type="dxa"/>
            <w:vMerge w:val="restart"/>
            <w:vAlign w:val="center"/>
          </w:tcPr>
          <w:p w14:paraId="231B6A0A">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p>
        </w:tc>
        <w:tc>
          <w:tcPr>
            <w:tcW w:w="1812" w:type="dxa"/>
            <w:vAlign w:val="center"/>
          </w:tcPr>
          <w:p w14:paraId="6DBFD39A">
            <w:pPr>
              <w:pStyle w:val="61"/>
              <w:autoSpaceDE w:val="0"/>
              <w:autoSpaceDN w:val="0"/>
              <w:spacing w:line="240" w:lineRule="exact"/>
              <w:textAlignment w:val="bottom"/>
              <w:rPr>
                <w:rFonts w:hint="eastAsia" w:ascii="Arial" w:hAnsi="Arial" w:eastAsia="宋体" w:cs="Arial"/>
                <w:sz w:val="16"/>
                <w:szCs w:val="18"/>
                <w:lang w:eastAsia="zh-CN"/>
              </w:rPr>
            </w:pPr>
            <w:r>
              <w:rPr>
                <w:rFonts w:hint="eastAsia" w:ascii="Arial" w:hAnsi="Arial" w:cs="Arial"/>
                <w:sz w:val="16"/>
                <w:szCs w:val="18"/>
                <w:lang w:eastAsia="zh-CN"/>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p>
        </w:tc>
        <w:tc>
          <w:tcPr>
            <w:tcW w:w="1812" w:type="dxa"/>
            <w:vAlign w:val="center"/>
          </w:tcPr>
          <w:p w14:paraId="7325B035">
            <w:pPr>
              <w:autoSpaceDE w:val="0"/>
              <w:autoSpaceDN w:val="0"/>
              <w:spacing w:line="240" w:lineRule="exact"/>
              <w:jc w:val="center"/>
              <w:textAlignment w:val="bottom"/>
              <w:rPr>
                <w:rFonts w:hint="eastAsia" w:ascii="Arial" w:hAnsi="Arial" w:eastAsia="宋体" w:cs="Arial"/>
                <w:sz w:val="16"/>
                <w:szCs w:val="18"/>
                <w:lang w:eastAsia="zh-CN"/>
              </w:rPr>
            </w:pPr>
            <w:r>
              <w:rPr>
                <w:rFonts w:hint="eastAsia" w:ascii="Arial" w:hAnsi="Arial" w:cs="Arial"/>
                <w:sz w:val="16"/>
                <w:szCs w:val="18"/>
                <w:lang w:eastAsia="zh-CN"/>
              </w:rPr>
              <w:t>含房屋、家具家电使用费及租赁税费、物业费、供暖费、有线电视费，不含增值服务费、制冷费、水电费、天然气费、通信费、上网宽带费、车位使用费等</w:t>
            </w:r>
          </w:p>
        </w:tc>
        <w:tc>
          <w:tcPr>
            <w:tcW w:w="1812" w:type="dxa"/>
            <w:vAlign w:val="center"/>
          </w:tcPr>
          <w:p w14:paraId="07E5C570">
            <w:pPr>
              <w:spacing w:line="276" w:lineRule="auto"/>
              <w:rPr>
                <w:rFonts w:hint="eastAsia" w:eastAsia="宋体"/>
                <w:sz w:val="16"/>
                <w:lang w:eastAsia="zh-CN"/>
              </w:rPr>
            </w:pPr>
            <w:r>
              <w:rPr>
                <w:rFonts w:hint="eastAsia" w:ascii="Arial" w:hAnsi="Arial" w:cs="Arial"/>
                <w:sz w:val="16"/>
                <w:szCs w:val="18"/>
                <w:lang w:eastAsia="zh-CN"/>
              </w:rPr>
              <w:t>含房屋、家具家电使用费及租赁税费、物业费、供暖费、有线电视费，不含增值服务费、制冷费、水电费、天然气费、通信费、上网宽带费、车位使用费等</w:t>
            </w:r>
          </w:p>
        </w:tc>
        <w:tc>
          <w:tcPr>
            <w:tcW w:w="1815" w:type="dxa"/>
            <w:vAlign w:val="center"/>
          </w:tcPr>
          <w:p w14:paraId="14D4079F">
            <w:pPr>
              <w:spacing w:line="276" w:lineRule="auto"/>
              <w:rPr>
                <w:rFonts w:hint="eastAsia" w:eastAsia="宋体"/>
                <w:sz w:val="16"/>
                <w:lang w:eastAsia="zh-CN"/>
              </w:rPr>
            </w:pPr>
            <w:r>
              <w:rPr>
                <w:rFonts w:hint="eastAsia" w:ascii="Arial" w:hAnsi="Arial" w:cs="Arial"/>
                <w:sz w:val="16"/>
                <w:szCs w:val="18"/>
                <w:lang w:eastAsia="zh-CN"/>
              </w:rPr>
              <w:t>含房屋、家具家电使用费及租赁税费、物业费、供暖费、有线电视费，不含增值服务费、制冷费、水电费、天然气费、通信费、上网宽带费、车位使用费等</w:t>
            </w:r>
          </w:p>
        </w:tc>
      </w:tr>
      <w:tr w14:paraId="5A4E3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020648F2">
            <w:pPr>
              <w:pStyle w:val="61"/>
              <w:autoSpaceDE w:val="0"/>
              <w:autoSpaceDN w:val="0"/>
              <w:spacing w:line="240" w:lineRule="exact"/>
              <w:textAlignment w:val="bottom"/>
              <w:rPr>
                <w:rFonts w:ascii="Arial" w:hAnsi="Arial" w:cs="Arial"/>
                <w:sz w:val="16"/>
                <w:szCs w:val="18"/>
              </w:rPr>
            </w:pPr>
          </w:p>
        </w:tc>
        <w:tc>
          <w:tcPr>
            <w:tcW w:w="1812" w:type="dxa"/>
            <w:vAlign w:val="center"/>
          </w:tcPr>
          <w:p w14:paraId="46291E6A">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扣减物业费、供暖费</w:t>
            </w:r>
            <w:r>
              <w:rPr>
                <w:rFonts w:ascii="Arial" w:hAnsi="Arial" w:cs="Arial"/>
                <w:sz w:val="16"/>
                <w:szCs w:val="18"/>
              </w:rPr>
              <w:t>（</w:t>
            </w:r>
            <w:r>
              <w:rPr>
                <w:rFonts w:hint="eastAsia" w:ascii="Arial" w:hAnsi="Arial" w:cs="Arial"/>
                <w:sz w:val="16"/>
                <w:szCs w:val="18"/>
                <w:lang w:eastAsia="zh-CN"/>
              </w:rPr>
              <w:t>元/㎡·月</w:t>
            </w:r>
            <w:r>
              <w:rPr>
                <w:rFonts w:ascii="Arial" w:hAnsi="Arial" w:cs="Arial"/>
                <w:sz w:val="16"/>
                <w:szCs w:val="18"/>
              </w:rPr>
              <w:t>）</w:t>
            </w:r>
          </w:p>
        </w:tc>
        <w:tc>
          <w:tcPr>
            <w:tcW w:w="1812" w:type="dxa"/>
            <w:vAlign w:val="center"/>
          </w:tcPr>
          <w:p w14:paraId="3280B2AF">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3.60</w:t>
            </w:r>
          </w:p>
        </w:tc>
        <w:tc>
          <w:tcPr>
            <w:tcW w:w="1812" w:type="dxa"/>
            <w:vAlign w:val="center"/>
          </w:tcPr>
          <w:p w14:paraId="0E53BCD1">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3.70</w:t>
            </w:r>
          </w:p>
        </w:tc>
        <w:tc>
          <w:tcPr>
            <w:tcW w:w="1815" w:type="dxa"/>
            <w:vAlign w:val="center"/>
          </w:tcPr>
          <w:p w14:paraId="3D7F5E37">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4.06</w:t>
            </w:r>
          </w:p>
        </w:tc>
      </w:tr>
      <w:tr w14:paraId="05792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05C63D0D">
            <w:pPr>
              <w:pStyle w:val="61"/>
              <w:autoSpaceDE w:val="0"/>
              <w:autoSpaceDN w:val="0"/>
              <w:spacing w:line="240" w:lineRule="exact"/>
              <w:textAlignment w:val="bottom"/>
              <w:rPr>
                <w:rFonts w:ascii="Arial" w:hAnsi="Arial" w:cs="Arial"/>
                <w:sz w:val="16"/>
                <w:szCs w:val="18"/>
              </w:rPr>
            </w:pPr>
          </w:p>
        </w:tc>
        <w:tc>
          <w:tcPr>
            <w:tcW w:w="1812" w:type="dxa"/>
            <w:vAlign w:val="center"/>
          </w:tcPr>
          <w:p w14:paraId="2120DD4A">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r>
              <w:rPr>
                <w:rFonts w:hint="eastAsia" w:ascii="Arial" w:hAnsi="Arial" w:cs="Arial"/>
                <w:sz w:val="16"/>
                <w:szCs w:val="18"/>
              </w:rPr>
              <w:t>后价格</w:t>
            </w:r>
            <w:r>
              <w:rPr>
                <w:rFonts w:ascii="Arial" w:hAnsi="Arial" w:cs="Arial"/>
                <w:sz w:val="16"/>
                <w:szCs w:val="18"/>
              </w:rPr>
              <w:t>（</w:t>
            </w:r>
            <w:r>
              <w:rPr>
                <w:rFonts w:hint="eastAsia" w:ascii="Arial" w:hAnsi="Arial" w:cs="Arial"/>
                <w:sz w:val="16"/>
                <w:szCs w:val="18"/>
                <w:lang w:eastAsia="zh-CN"/>
              </w:rPr>
              <w:t>元/㎡·月</w:t>
            </w:r>
            <w:r>
              <w:rPr>
                <w:rFonts w:ascii="Arial" w:hAnsi="Arial" w:cs="Arial"/>
                <w:sz w:val="16"/>
                <w:szCs w:val="18"/>
              </w:rPr>
              <w:t>）</w:t>
            </w:r>
          </w:p>
        </w:tc>
        <w:tc>
          <w:tcPr>
            <w:tcW w:w="1812" w:type="dxa"/>
            <w:vAlign w:val="center"/>
          </w:tcPr>
          <w:p w14:paraId="04D610E4">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30.81</w:t>
            </w:r>
          </w:p>
        </w:tc>
        <w:tc>
          <w:tcPr>
            <w:tcW w:w="1812" w:type="dxa"/>
            <w:vAlign w:val="center"/>
          </w:tcPr>
          <w:p w14:paraId="2352A65D">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33.53</w:t>
            </w:r>
          </w:p>
        </w:tc>
        <w:tc>
          <w:tcPr>
            <w:tcW w:w="1815" w:type="dxa"/>
            <w:vAlign w:val="center"/>
          </w:tcPr>
          <w:p w14:paraId="34C505B8">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30.63</w:t>
            </w:r>
          </w:p>
        </w:tc>
      </w:tr>
      <w:tr w14:paraId="5CC30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13A85DA2">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统一租赁行为条件</w:t>
            </w:r>
          </w:p>
        </w:tc>
        <w:tc>
          <w:tcPr>
            <w:tcW w:w="1812" w:type="dxa"/>
            <w:vAlign w:val="center"/>
          </w:tcPr>
          <w:p w14:paraId="3D1CD144">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1594E723">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0C73DD7E">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5" w:type="dxa"/>
          </w:tcPr>
          <w:p w14:paraId="5404F1F4">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r>
      <w:tr w14:paraId="3C06C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41D3165E">
            <w:pPr>
              <w:pStyle w:val="61"/>
              <w:autoSpaceDE w:val="0"/>
              <w:autoSpaceDN w:val="0"/>
              <w:spacing w:line="240" w:lineRule="exact"/>
              <w:textAlignment w:val="bottom"/>
              <w:rPr>
                <w:rFonts w:ascii="Arial" w:hAnsi="Arial" w:cs="Arial"/>
                <w:sz w:val="16"/>
                <w:szCs w:val="18"/>
              </w:rPr>
            </w:pPr>
          </w:p>
        </w:tc>
        <w:tc>
          <w:tcPr>
            <w:tcW w:w="1812" w:type="dxa"/>
            <w:vAlign w:val="center"/>
          </w:tcPr>
          <w:p w14:paraId="5A0DF82D">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64F6C2FE">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69A372A5">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3E72251E">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7355F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6C509F80">
            <w:pPr>
              <w:pStyle w:val="61"/>
              <w:autoSpaceDE w:val="0"/>
              <w:autoSpaceDN w:val="0"/>
              <w:spacing w:line="240" w:lineRule="exact"/>
              <w:textAlignment w:val="bottom"/>
              <w:rPr>
                <w:rFonts w:ascii="Arial" w:hAnsi="Arial" w:cs="Arial"/>
                <w:sz w:val="16"/>
                <w:szCs w:val="18"/>
              </w:rPr>
            </w:pPr>
            <w:r>
              <w:rPr>
                <w:rFonts w:ascii="Arial" w:hAnsi="Arial" w:cs="Arial"/>
                <w:sz w:val="16"/>
                <w:szCs w:val="18"/>
              </w:rPr>
              <w:t>统一计价单位</w:t>
            </w:r>
          </w:p>
        </w:tc>
        <w:tc>
          <w:tcPr>
            <w:tcW w:w="1812" w:type="dxa"/>
            <w:vAlign w:val="center"/>
          </w:tcPr>
          <w:p w14:paraId="6C03EAF5">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6D59A3C6">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22ECDCFD">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5" w:type="dxa"/>
            <w:vAlign w:val="center"/>
          </w:tcPr>
          <w:p w14:paraId="73E6ABB3">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r>
      <w:tr w14:paraId="39F82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431AF487">
            <w:pPr>
              <w:pStyle w:val="61"/>
              <w:autoSpaceDE w:val="0"/>
              <w:autoSpaceDN w:val="0"/>
              <w:spacing w:line="240" w:lineRule="exact"/>
              <w:textAlignment w:val="bottom"/>
              <w:rPr>
                <w:rFonts w:ascii="Arial" w:hAnsi="Arial" w:cs="Arial"/>
                <w:sz w:val="16"/>
                <w:szCs w:val="18"/>
              </w:rPr>
            </w:pPr>
          </w:p>
        </w:tc>
        <w:tc>
          <w:tcPr>
            <w:tcW w:w="1812" w:type="dxa"/>
            <w:vAlign w:val="center"/>
          </w:tcPr>
          <w:p w14:paraId="7C23BF79">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02757C66">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7031F6D8">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47D7B99A">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48A86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7F050E91">
            <w:pPr>
              <w:pStyle w:val="61"/>
              <w:autoSpaceDE w:val="0"/>
              <w:autoSpaceDN w:val="0"/>
              <w:spacing w:line="240" w:lineRule="exact"/>
              <w:textAlignment w:val="bottom"/>
              <w:rPr>
                <w:rFonts w:ascii="Arial" w:hAnsi="Arial" w:cs="Arial"/>
                <w:sz w:val="16"/>
                <w:szCs w:val="18"/>
              </w:rPr>
            </w:pPr>
            <w:r>
              <w:rPr>
                <w:rFonts w:ascii="Arial" w:hAnsi="Arial" w:cs="Arial"/>
                <w:sz w:val="16"/>
                <w:szCs w:val="18"/>
              </w:rPr>
              <w:t>价格（</w:t>
            </w:r>
            <w:r>
              <w:rPr>
                <w:rFonts w:hint="eastAsia" w:ascii="Arial" w:hAnsi="Arial" w:cs="Arial"/>
                <w:sz w:val="16"/>
                <w:szCs w:val="18"/>
                <w:lang w:eastAsia="zh-CN"/>
              </w:rPr>
              <w:t>元/㎡·月</w:t>
            </w:r>
            <w:commentRangeStart w:id="19"/>
            <w:r>
              <w:rPr>
                <w:rFonts w:ascii="Arial" w:hAnsi="Arial" w:cs="Arial"/>
                <w:sz w:val="16"/>
                <w:szCs w:val="18"/>
              </w:rPr>
              <w:t>）</w:t>
            </w:r>
            <w:commentRangeEnd w:id="19"/>
            <w:r>
              <w:rPr>
                <w:rStyle w:val="40"/>
                <w:rFonts w:ascii="Times New Roman"/>
              </w:rPr>
              <w:commentReference w:id="19"/>
            </w:r>
          </w:p>
        </w:tc>
        <w:tc>
          <w:tcPr>
            <w:tcW w:w="1812" w:type="dxa"/>
            <w:vAlign w:val="center"/>
          </w:tcPr>
          <w:p w14:paraId="000CD8F9">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07EC8B86">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30.81</w:t>
            </w:r>
          </w:p>
        </w:tc>
        <w:tc>
          <w:tcPr>
            <w:tcW w:w="1812" w:type="dxa"/>
            <w:vAlign w:val="center"/>
          </w:tcPr>
          <w:p w14:paraId="18B1369A">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33.53</w:t>
            </w:r>
          </w:p>
        </w:tc>
        <w:tc>
          <w:tcPr>
            <w:tcW w:w="1815" w:type="dxa"/>
            <w:vAlign w:val="center"/>
          </w:tcPr>
          <w:p w14:paraId="61886570">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30.63</w:t>
            </w:r>
          </w:p>
        </w:tc>
      </w:tr>
    </w:tbl>
    <w:p w14:paraId="7FF2851F">
      <w:pPr>
        <w:wordWrap w:val="0"/>
        <w:overflowPunct w:val="0"/>
        <w:spacing w:line="480" w:lineRule="auto"/>
        <w:ind w:firstLine="420" w:firstLineChars="200"/>
        <w:rPr>
          <w:rFonts w:hint="eastAsia" w:ascii="宋体" w:hAnsi="宋体"/>
          <w:sz w:val="21"/>
          <w:szCs w:val="21"/>
        </w:rPr>
      </w:pPr>
      <w:r>
        <w:rPr>
          <w:rFonts w:ascii="宋体" w:hAnsi="宋体"/>
          <w:sz w:val="21"/>
          <w:szCs w:val="21"/>
        </w:rPr>
        <w:br w:type="page"/>
      </w:r>
      <w:r>
        <w:rPr>
          <w:rFonts w:hint="eastAsia" w:ascii="宋体" w:hAnsi="宋体"/>
          <w:sz w:val="21"/>
          <w:szCs w:val="21"/>
        </w:rPr>
        <w:t>各实例位置如下：</w:t>
      </w:r>
    </w:p>
    <w:tbl>
      <w:tblPr>
        <w:tblStyle w:val="33"/>
        <w:tblW w:w="9300"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28" w:type="dxa"/>
          <w:left w:w="28" w:type="dxa"/>
          <w:bottom w:w="28" w:type="dxa"/>
          <w:right w:w="28" w:type="dxa"/>
        </w:tblCellMar>
      </w:tblPr>
      <w:tblGrid>
        <w:gridCol w:w="9300"/>
      </w:tblGrid>
      <w:tr w14:paraId="4B142B64">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jc w:val="center"/>
        </w:trPr>
        <w:tc>
          <w:tcPr>
            <w:tcW w:w="9300" w:type="dxa"/>
            <w:tcBorders>
              <w:top w:val="dotted" w:color="404040" w:sz="2" w:space="0"/>
              <w:left w:val="dotted" w:color="404040" w:sz="2" w:space="0"/>
              <w:bottom w:val="dotted" w:color="404040" w:sz="2" w:space="0"/>
              <w:right w:val="dotted" w:color="404040" w:sz="2" w:space="0"/>
            </w:tcBorders>
          </w:tcPr>
          <w:p w14:paraId="15E9F2CC">
            <w:pPr>
              <w:jc w:val="center"/>
              <w:rPr>
                <w:rFonts w:hint="eastAsia" w:ascii="华文细黑" w:hAnsi="华文细黑" w:eastAsia="华文细黑"/>
              </w:rPr>
            </w:pPr>
            <w:r>
              <w:rPr>
                <w:rFonts w:hint="eastAsia" w:ascii="华文细黑" w:hAnsi="华文细黑" w:eastAsia="华文细黑"/>
              </w:rPr>
              <w:t>实例位置</w:t>
            </w:r>
          </w:p>
        </w:tc>
      </w:tr>
      <w:tr w14:paraId="7F527DC4">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trHeight w:val="6166" w:hRule="atLeast"/>
          <w:jc w:val="center"/>
        </w:trPr>
        <w:tc>
          <w:tcPr>
            <w:tcW w:w="9300" w:type="dxa"/>
            <w:tcBorders>
              <w:top w:val="dotted" w:color="404040" w:sz="2" w:space="0"/>
              <w:left w:val="dotted" w:color="404040" w:sz="2" w:space="0"/>
              <w:bottom w:val="dotted" w:color="404040" w:sz="2" w:space="0"/>
              <w:right w:val="dotted" w:color="404040" w:sz="2" w:space="0"/>
            </w:tcBorders>
          </w:tcPr>
          <w:p w14:paraId="5FD16668">
            <w:pPr>
              <w:jc w:val="center"/>
              <w:rPr>
                <w:rFonts w:ascii="Calibri" w:hAnsi="Calibri"/>
              </w:rPr>
            </w:pPr>
            <w:r>
              <w:drawing>
                <wp:inline distT="0" distB="0" distL="114300" distR="114300">
                  <wp:extent cx="5862320" cy="3899535"/>
                  <wp:effectExtent l="0" t="0" r="5080" b="190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51"/>
                          <a:stretch>
                            <a:fillRect/>
                          </a:stretch>
                        </pic:blipFill>
                        <pic:spPr>
                          <a:xfrm>
                            <a:off x="0" y="0"/>
                            <a:ext cx="5862320" cy="3899535"/>
                          </a:xfrm>
                          <a:prstGeom prst="rect">
                            <a:avLst/>
                          </a:prstGeom>
                          <a:noFill/>
                          <a:ln>
                            <a:noFill/>
                          </a:ln>
                        </pic:spPr>
                      </pic:pic>
                    </a:graphicData>
                  </a:graphic>
                </wp:inline>
              </w:drawing>
            </w:r>
          </w:p>
        </w:tc>
      </w:tr>
    </w:tbl>
    <w:p w14:paraId="1AAFCE2D"/>
    <w:p w14:paraId="6585657E">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（1）建立比较因素条件说明表</w:t>
      </w:r>
      <w:r>
        <w:rPr>
          <w:rFonts w:ascii="Arial" w:hAnsi="Arial"/>
          <w:sz w:val="21"/>
          <w:szCs w:val="21"/>
        </w:rPr>
        <w:t xml:space="preserve"> </w:t>
      </w:r>
    </w:p>
    <w:p w14:paraId="4993881C">
      <w:pPr>
        <w:wordWrap w:val="0"/>
        <w:overflowPunct w:val="0"/>
        <w:spacing w:line="480" w:lineRule="auto"/>
        <w:ind w:firstLine="420" w:firstLineChars="200"/>
        <w:rPr>
          <w:rFonts w:ascii="Arial" w:hAnsi="Arial"/>
          <w:sz w:val="21"/>
          <w:szCs w:val="21"/>
        </w:rPr>
      </w:pPr>
      <w:r>
        <w:rPr>
          <w:rFonts w:ascii="Arial" w:hAnsi="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Pr>
          <w:rFonts w:hint="eastAsia" w:ascii="Arial" w:hAnsi="Arial"/>
          <w:sz w:val="21"/>
          <w:szCs w:val="21"/>
        </w:rPr>
        <w:t>：</w:t>
      </w:r>
    </w:p>
    <w:p w14:paraId="3BD9853F">
      <w:pPr>
        <w:overflowPunct w:val="0"/>
        <w:spacing w:line="480" w:lineRule="auto"/>
        <w:ind w:firstLine="420" w:firstLineChars="200"/>
        <w:jc w:val="center"/>
        <w:rPr>
          <w:rFonts w:ascii="Arial" w:hAnsi="Arial"/>
          <w:sz w:val="21"/>
          <w:szCs w:val="21"/>
        </w:rPr>
      </w:pPr>
      <w:r>
        <w:rPr>
          <w:rFonts w:hint="eastAsia" w:ascii="Arial" w:hAnsi="Arial"/>
          <w:sz w:val="21"/>
          <w:szCs w:val="21"/>
        </w:rPr>
        <w:t>比较因素情况描述表</w:t>
      </w:r>
    </w:p>
    <w:tbl>
      <w:tblPr>
        <w:tblStyle w:val="33"/>
        <w:tblW w:w="5000" w:type="pct"/>
        <w:jc w:val="center"/>
        <w:tblLayout w:type="autofit"/>
        <w:tblCellMar>
          <w:top w:w="0" w:type="dxa"/>
          <w:left w:w="108" w:type="dxa"/>
          <w:bottom w:w="0" w:type="dxa"/>
          <w:right w:w="108" w:type="dxa"/>
        </w:tblCellMar>
      </w:tblPr>
      <w:tblGrid>
        <w:gridCol w:w="689"/>
        <w:gridCol w:w="1447"/>
        <w:gridCol w:w="1844"/>
        <w:gridCol w:w="1844"/>
        <w:gridCol w:w="1844"/>
        <w:gridCol w:w="1847"/>
      </w:tblGrid>
      <w:tr w14:paraId="70857010">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000000" w:sz="4" w:space="0"/>
            </w:tcBorders>
            <w:vAlign w:val="center"/>
          </w:tcPr>
          <w:p w14:paraId="22D98B05">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968" w:type="pct"/>
            <w:tcBorders>
              <w:top w:val="single" w:color="auto" w:sz="4" w:space="0"/>
              <w:left w:val="nil"/>
              <w:bottom w:val="single" w:color="auto" w:sz="4" w:space="0"/>
              <w:right w:val="single" w:color="auto" w:sz="4" w:space="0"/>
            </w:tcBorders>
            <w:vAlign w:val="center"/>
          </w:tcPr>
          <w:p w14:paraId="0EB6FD16">
            <w:pPr>
              <w:widowControl/>
              <w:adjustRightInd/>
              <w:spacing w:line="240" w:lineRule="auto"/>
              <w:jc w:val="center"/>
              <w:textAlignment w:val="auto"/>
              <w:rPr>
                <w:rFonts w:ascii="Arial" w:hAnsi="Arial" w:cs="Arial"/>
                <w:sz w:val="16"/>
                <w:szCs w:val="18"/>
              </w:rPr>
            </w:pPr>
            <w:r>
              <w:rPr>
                <w:rFonts w:ascii="Arial" w:hAnsi="Arial" w:cs="Arial"/>
                <w:sz w:val="16"/>
                <w:szCs w:val="18"/>
              </w:rPr>
              <w:t>估价对象</w:t>
            </w:r>
          </w:p>
        </w:tc>
        <w:tc>
          <w:tcPr>
            <w:tcW w:w="968" w:type="pct"/>
            <w:tcBorders>
              <w:top w:val="single" w:color="auto" w:sz="4" w:space="0"/>
              <w:left w:val="nil"/>
              <w:bottom w:val="single" w:color="auto" w:sz="4" w:space="0"/>
              <w:right w:val="single" w:color="auto" w:sz="4" w:space="0"/>
            </w:tcBorders>
            <w:vAlign w:val="center"/>
          </w:tcPr>
          <w:p w14:paraId="1D17E64C">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10</w:t>
            </w:r>
          </w:p>
        </w:tc>
        <w:tc>
          <w:tcPr>
            <w:tcW w:w="968" w:type="pct"/>
            <w:tcBorders>
              <w:top w:val="single" w:color="auto" w:sz="4" w:space="0"/>
              <w:left w:val="nil"/>
              <w:bottom w:val="single" w:color="auto" w:sz="4" w:space="0"/>
              <w:right w:val="single" w:color="auto" w:sz="4" w:space="0"/>
            </w:tcBorders>
            <w:vAlign w:val="center"/>
          </w:tcPr>
          <w:p w14:paraId="38EAB904">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11</w:t>
            </w:r>
          </w:p>
        </w:tc>
        <w:tc>
          <w:tcPr>
            <w:tcW w:w="970" w:type="pct"/>
            <w:tcBorders>
              <w:top w:val="single" w:color="auto" w:sz="4" w:space="0"/>
              <w:left w:val="nil"/>
              <w:bottom w:val="single" w:color="auto" w:sz="4" w:space="0"/>
              <w:right w:val="single" w:color="auto" w:sz="4" w:space="0"/>
            </w:tcBorders>
            <w:vAlign w:val="center"/>
          </w:tcPr>
          <w:p w14:paraId="1FC8AC44">
            <w:pPr>
              <w:widowControl/>
              <w:adjustRightInd/>
              <w:spacing w:line="240" w:lineRule="auto"/>
              <w:jc w:val="center"/>
              <w:textAlignment w:val="auto"/>
              <w:rPr>
                <w:rFonts w:ascii="Arial" w:hAnsi="Arial" w:cs="Arial"/>
                <w:sz w:val="16"/>
                <w:szCs w:val="18"/>
              </w:rPr>
            </w:pPr>
            <w:r>
              <w:rPr>
                <w:rFonts w:ascii="Arial" w:hAnsi="Arial" w:cs="Arial"/>
                <w:sz w:val="16"/>
                <w:szCs w:val="18"/>
              </w:rPr>
              <w:t>可比案例</w:t>
            </w:r>
            <w:r>
              <w:rPr>
                <w:rFonts w:hint="eastAsia" w:ascii="Arial" w:hAnsi="Arial" w:cs="Arial"/>
                <w:sz w:val="16"/>
                <w:szCs w:val="18"/>
              </w:rPr>
              <w:t>12</w:t>
            </w:r>
          </w:p>
        </w:tc>
      </w:tr>
      <w:tr w14:paraId="21559C39">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4A28FAF7">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968" w:type="pct"/>
            <w:tcBorders>
              <w:top w:val="nil"/>
              <w:left w:val="nil"/>
              <w:bottom w:val="single" w:color="auto" w:sz="4" w:space="0"/>
              <w:right w:val="single" w:color="auto" w:sz="4" w:space="0"/>
            </w:tcBorders>
            <w:vAlign w:val="center"/>
          </w:tcPr>
          <w:p w14:paraId="2130B7F7">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福兴雅苑</w:t>
            </w:r>
          </w:p>
        </w:tc>
        <w:tc>
          <w:tcPr>
            <w:tcW w:w="968" w:type="pct"/>
            <w:tcBorders>
              <w:top w:val="nil"/>
              <w:left w:val="nil"/>
              <w:bottom w:val="single" w:color="auto" w:sz="4" w:space="0"/>
              <w:right w:val="single" w:color="auto" w:sz="4" w:space="0"/>
            </w:tcBorders>
            <w:vAlign w:val="center"/>
          </w:tcPr>
          <w:p w14:paraId="650E3739">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968" w:type="pct"/>
            <w:tcBorders>
              <w:top w:val="nil"/>
              <w:left w:val="nil"/>
              <w:bottom w:val="single" w:color="auto" w:sz="4" w:space="0"/>
              <w:right w:val="single" w:color="auto" w:sz="4" w:space="0"/>
            </w:tcBorders>
            <w:vAlign w:val="center"/>
          </w:tcPr>
          <w:p w14:paraId="6D698442">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漪景园</w:t>
            </w:r>
          </w:p>
        </w:tc>
        <w:tc>
          <w:tcPr>
            <w:tcW w:w="970" w:type="pct"/>
            <w:tcBorders>
              <w:top w:val="nil"/>
              <w:left w:val="nil"/>
              <w:bottom w:val="single" w:color="auto" w:sz="4" w:space="0"/>
              <w:right w:val="single" w:color="auto" w:sz="4" w:space="0"/>
            </w:tcBorders>
            <w:vAlign w:val="center"/>
          </w:tcPr>
          <w:p w14:paraId="0403D02A">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r>
      <w:tr w14:paraId="76B6249B">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6C56FCB0">
            <w:pPr>
              <w:widowControl/>
              <w:adjustRightInd/>
              <w:spacing w:line="240" w:lineRule="auto"/>
              <w:jc w:val="center"/>
              <w:textAlignment w:val="auto"/>
              <w:rPr>
                <w:rFonts w:ascii="Arial" w:hAnsi="Arial" w:cs="Arial"/>
                <w:sz w:val="16"/>
                <w:szCs w:val="18"/>
              </w:rPr>
            </w:pPr>
            <w:r>
              <w:rPr>
                <w:rFonts w:ascii="Arial" w:hAnsi="Arial" w:cs="Arial"/>
                <w:sz w:val="16"/>
                <w:szCs w:val="18"/>
              </w:rPr>
              <w:t>平均租金（元/平方米·月）</w:t>
            </w:r>
          </w:p>
        </w:tc>
        <w:tc>
          <w:tcPr>
            <w:tcW w:w="968" w:type="pct"/>
            <w:tcBorders>
              <w:top w:val="nil"/>
              <w:left w:val="nil"/>
              <w:bottom w:val="single" w:color="auto" w:sz="4" w:space="0"/>
              <w:right w:val="single" w:color="auto" w:sz="4" w:space="0"/>
            </w:tcBorders>
            <w:vAlign w:val="center"/>
          </w:tcPr>
          <w:p w14:paraId="6028DECD">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968" w:type="pct"/>
            <w:tcBorders>
              <w:top w:val="nil"/>
              <w:left w:val="nil"/>
              <w:bottom w:val="single" w:color="auto" w:sz="4" w:space="0"/>
              <w:right w:val="single" w:color="auto" w:sz="4" w:space="0"/>
            </w:tcBorders>
            <w:vAlign w:val="center"/>
          </w:tcPr>
          <w:p w14:paraId="1AF849D9">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30.81</w:t>
            </w:r>
          </w:p>
        </w:tc>
        <w:tc>
          <w:tcPr>
            <w:tcW w:w="968" w:type="pct"/>
            <w:tcBorders>
              <w:top w:val="nil"/>
              <w:left w:val="nil"/>
              <w:bottom w:val="single" w:color="auto" w:sz="4" w:space="0"/>
              <w:right w:val="single" w:color="auto" w:sz="4" w:space="0"/>
            </w:tcBorders>
            <w:vAlign w:val="center"/>
          </w:tcPr>
          <w:p w14:paraId="4235C879">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33.53</w:t>
            </w:r>
          </w:p>
        </w:tc>
        <w:tc>
          <w:tcPr>
            <w:tcW w:w="970" w:type="pct"/>
            <w:tcBorders>
              <w:top w:val="nil"/>
              <w:left w:val="nil"/>
              <w:bottom w:val="single" w:color="auto" w:sz="4" w:space="0"/>
              <w:right w:val="single" w:color="auto" w:sz="4" w:space="0"/>
            </w:tcBorders>
            <w:vAlign w:val="center"/>
          </w:tcPr>
          <w:p w14:paraId="24589E1B">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30.63</w:t>
            </w:r>
          </w:p>
        </w:tc>
      </w:tr>
      <w:tr w14:paraId="7FBDF238">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44A7545B">
            <w:pPr>
              <w:widowControl/>
              <w:adjustRightInd/>
              <w:spacing w:line="240" w:lineRule="auto"/>
              <w:jc w:val="center"/>
              <w:textAlignment w:val="auto"/>
              <w:rPr>
                <w:rFonts w:ascii="Arial" w:hAnsi="Arial" w:cs="Arial"/>
                <w:sz w:val="16"/>
                <w:szCs w:val="18"/>
              </w:rPr>
            </w:pPr>
            <w:r>
              <w:rPr>
                <w:rFonts w:ascii="Arial" w:hAnsi="Arial" w:cs="Arial"/>
                <w:sz w:val="16"/>
                <w:szCs w:val="18"/>
              </w:rPr>
              <w:t>交易时间</w:t>
            </w:r>
          </w:p>
        </w:tc>
        <w:tc>
          <w:tcPr>
            <w:tcW w:w="968" w:type="pct"/>
            <w:tcBorders>
              <w:top w:val="nil"/>
              <w:left w:val="nil"/>
              <w:bottom w:val="single" w:color="auto" w:sz="4" w:space="0"/>
              <w:right w:val="single" w:color="auto" w:sz="4" w:space="0"/>
            </w:tcBorders>
            <w:vAlign w:val="center"/>
          </w:tcPr>
          <w:p w14:paraId="625BFF3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2026年4月7日</w:t>
            </w:r>
          </w:p>
        </w:tc>
        <w:tc>
          <w:tcPr>
            <w:tcW w:w="968" w:type="pct"/>
            <w:tcBorders>
              <w:top w:val="nil"/>
              <w:left w:val="nil"/>
              <w:bottom w:val="single" w:color="auto" w:sz="4" w:space="0"/>
              <w:right w:val="single" w:color="auto" w:sz="4" w:space="0"/>
            </w:tcBorders>
            <w:vAlign w:val="center"/>
          </w:tcPr>
          <w:p w14:paraId="7E5C0C11">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c>
          <w:tcPr>
            <w:tcW w:w="968" w:type="pct"/>
            <w:tcBorders>
              <w:top w:val="nil"/>
              <w:left w:val="nil"/>
              <w:bottom w:val="single" w:color="auto" w:sz="4" w:space="0"/>
              <w:right w:val="single" w:color="auto" w:sz="4" w:space="0"/>
            </w:tcBorders>
            <w:vAlign w:val="center"/>
          </w:tcPr>
          <w:p w14:paraId="2C47F5DE">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4</w:t>
            </w:r>
            <w:r>
              <w:rPr>
                <w:rFonts w:ascii="Arial" w:hAnsi="Arial" w:cs="Arial"/>
                <w:sz w:val="16"/>
                <w:szCs w:val="18"/>
              </w:rPr>
              <w:t>月</w:t>
            </w:r>
          </w:p>
        </w:tc>
        <w:tc>
          <w:tcPr>
            <w:tcW w:w="970" w:type="pct"/>
            <w:tcBorders>
              <w:top w:val="nil"/>
              <w:left w:val="nil"/>
              <w:bottom w:val="single" w:color="auto" w:sz="4" w:space="0"/>
              <w:right w:val="single" w:color="auto" w:sz="4" w:space="0"/>
            </w:tcBorders>
            <w:vAlign w:val="center"/>
          </w:tcPr>
          <w:p w14:paraId="5FB00BB4">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r>
      <w:tr w14:paraId="6F10D954">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35025BE2">
            <w:pPr>
              <w:widowControl/>
              <w:adjustRightInd/>
              <w:spacing w:line="240" w:lineRule="auto"/>
              <w:jc w:val="center"/>
              <w:textAlignment w:val="auto"/>
              <w:rPr>
                <w:rFonts w:ascii="Arial" w:hAnsi="Arial" w:cs="Arial"/>
                <w:sz w:val="16"/>
                <w:szCs w:val="18"/>
              </w:rPr>
            </w:pPr>
            <w:r>
              <w:rPr>
                <w:rFonts w:ascii="Arial" w:hAnsi="Arial" w:cs="Arial"/>
                <w:sz w:val="16"/>
                <w:szCs w:val="18"/>
              </w:rPr>
              <w:t>交易情况</w:t>
            </w:r>
          </w:p>
        </w:tc>
        <w:tc>
          <w:tcPr>
            <w:tcW w:w="968" w:type="pct"/>
            <w:tcBorders>
              <w:top w:val="nil"/>
              <w:left w:val="nil"/>
              <w:bottom w:val="single" w:color="auto" w:sz="4" w:space="0"/>
              <w:right w:val="single" w:color="auto" w:sz="4" w:space="0"/>
            </w:tcBorders>
            <w:vAlign w:val="center"/>
          </w:tcPr>
          <w:p w14:paraId="368BCB96">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2C0E1535">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33505252">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70" w:type="pct"/>
            <w:tcBorders>
              <w:top w:val="nil"/>
              <w:left w:val="nil"/>
              <w:bottom w:val="single" w:color="auto" w:sz="4" w:space="0"/>
              <w:right w:val="single" w:color="auto" w:sz="4" w:space="0"/>
            </w:tcBorders>
            <w:vAlign w:val="center"/>
          </w:tcPr>
          <w:p w14:paraId="2B72D2E1">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r>
      <w:tr w14:paraId="51A28558">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746E5250">
            <w:pPr>
              <w:widowControl/>
              <w:adjustRightInd/>
              <w:spacing w:line="240" w:lineRule="auto"/>
              <w:jc w:val="center"/>
              <w:textAlignment w:val="auto"/>
              <w:rPr>
                <w:rFonts w:ascii="Arial" w:hAnsi="Arial" w:cs="Arial"/>
                <w:sz w:val="16"/>
                <w:szCs w:val="18"/>
              </w:rPr>
            </w:pPr>
            <w:r>
              <w:rPr>
                <w:rFonts w:ascii="Arial" w:hAnsi="Arial" w:cs="Arial"/>
                <w:sz w:val="16"/>
                <w:szCs w:val="18"/>
              </w:rPr>
              <w:t>项目类型</w:t>
            </w:r>
          </w:p>
        </w:tc>
        <w:tc>
          <w:tcPr>
            <w:tcW w:w="968" w:type="pct"/>
            <w:tcBorders>
              <w:top w:val="nil"/>
              <w:left w:val="nil"/>
              <w:bottom w:val="single" w:color="auto" w:sz="4" w:space="0"/>
              <w:right w:val="single" w:color="auto" w:sz="4" w:space="0"/>
            </w:tcBorders>
            <w:vAlign w:val="center"/>
          </w:tcPr>
          <w:p w14:paraId="4758CF5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3517BF7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6B19C15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70" w:type="pct"/>
            <w:tcBorders>
              <w:top w:val="nil"/>
              <w:left w:val="nil"/>
              <w:bottom w:val="single" w:color="auto" w:sz="4" w:space="0"/>
              <w:right w:val="single" w:color="auto" w:sz="4" w:space="0"/>
            </w:tcBorders>
            <w:vAlign w:val="center"/>
          </w:tcPr>
          <w:p w14:paraId="561A7FB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r>
      <w:tr w14:paraId="1EA9C060">
        <w:tblPrEx>
          <w:tblCellMar>
            <w:top w:w="0" w:type="dxa"/>
            <w:left w:w="108" w:type="dxa"/>
            <w:bottom w:w="0" w:type="dxa"/>
            <w:right w:w="108" w:type="dxa"/>
          </w:tblCellMar>
        </w:tblPrEx>
        <w:trPr>
          <w:trHeight w:val="1442" w:hRule="atLeast"/>
          <w:jc w:val="center"/>
        </w:trPr>
        <w:tc>
          <w:tcPr>
            <w:tcW w:w="362" w:type="pct"/>
            <w:vMerge w:val="restart"/>
            <w:tcBorders>
              <w:top w:val="nil"/>
              <w:left w:val="single" w:color="auto" w:sz="4" w:space="0"/>
              <w:bottom w:val="single" w:color="000000" w:sz="4" w:space="0"/>
              <w:right w:val="single" w:color="auto" w:sz="4" w:space="0"/>
            </w:tcBorders>
            <w:vAlign w:val="center"/>
          </w:tcPr>
          <w:p w14:paraId="62E25017">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760" w:type="pct"/>
            <w:tcBorders>
              <w:top w:val="nil"/>
              <w:left w:val="nil"/>
              <w:bottom w:val="single" w:color="auto" w:sz="4" w:space="0"/>
              <w:right w:val="single" w:color="auto" w:sz="4" w:space="0"/>
            </w:tcBorders>
            <w:vAlign w:val="center"/>
          </w:tcPr>
          <w:p w14:paraId="1F277B5E">
            <w:pPr>
              <w:widowControl/>
              <w:adjustRightInd/>
              <w:spacing w:line="240" w:lineRule="auto"/>
              <w:jc w:val="center"/>
              <w:textAlignment w:val="auto"/>
              <w:rPr>
                <w:rFonts w:ascii="Arial" w:hAnsi="Arial" w:cs="Arial"/>
                <w:sz w:val="16"/>
                <w:szCs w:val="18"/>
              </w:rPr>
            </w:pPr>
            <w:r>
              <w:rPr>
                <w:rFonts w:ascii="Arial" w:hAnsi="Arial" w:cs="Arial"/>
                <w:sz w:val="16"/>
                <w:szCs w:val="18"/>
              </w:rPr>
              <w:t>居住区成熟度</w:t>
            </w:r>
          </w:p>
        </w:tc>
        <w:tc>
          <w:tcPr>
            <w:tcW w:w="968" w:type="pct"/>
            <w:tcBorders>
              <w:top w:val="nil"/>
              <w:left w:val="nil"/>
              <w:bottom w:val="single" w:color="auto" w:sz="4" w:space="0"/>
              <w:right w:val="single" w:color="auto" w:sz="4" w:space="0"/>
            </w:tcBorders>
            <w:vAlign w:val="center"/>
          </w:tcPr>
          <w:p w14:paraId="48B4860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内有车站中里小区、海悦公馆、海子角小区、物资局小区、义和庄东里、锦华园小区、兴水家园、漪景园、埝坛华庭等居住项目，居住小区规模适中，入住率较好，综合评价居住社区成熟度较好</w:t>
            </w:r>
          </w:p>
        </w:tc>
        <w:tc>
          <w:tcPr>
            <w:tcW w:w="968" w:type="pct"/>
            <w:tcBorders>
              <w:top w:val="nil"/>
              <w:left w:val="nil"/>
              <w:bottom w:val="single" w:color="auto" w:sz="4" w:space="0"/>
              <w:right w:val="single" w:color="auto" w:sz="4" w:space="0"/>
            </w:tcBorders>
            <w:vAlign w:val="center"/>
          </w:tcPr>
          <w:p w14:paraId="5086ECA6">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周边2公里内有漪景苑、埝坛华庭北区、壹品兴创颐和公馆、矿林庄小区、锦华园小区、义和庄东里等居住项目，居住小区规模适中，入住率较好，综合评价居住区成熟度较好</w:t>
            </w:r>
          </w:p>
        </w:tc>
        <w:tc>
          <w:tcPr>
            <w:tcW w:w="968" w:type="pct"/>
            <w:tcBorders>
              <w:top w:val="nil"/>
              <w:left w:val="nil"/>
              <w:bottom w:val="single" w:color="auto" w:sz="4" w:space="0"/>
              <w:right w:val="single" w:color="auto" w:sz="4" w:space="0"/>
            </w:tcBorders>
            <w:vAlign w:val="center"/>
          </w:tcPr>
          <w:p w14:paraId="63316CE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周边2公里内有义和庄北里、中骏金辉未来云城、漪景苑、埝坛华庭北区、壹品兴创颐和公馆、矿林庄小区、义和庄东里等居住项目，居住小区规模适中，入住率较好，综合评价居住区成熟度较好</w:t>
            </w:r>
          </w:p>
        </w:tc>
        <w:tc>
          <w:tcPr>
            <w:tcW w:w="970" w:type="pct"/>
            <w:tcBorders>
              <w:top w:val="nil"/>
              <w:left w:val="nil"/>
              <w:bottom w:val="single" w:color="auto" w:sz="4" w:space="0"/>
              <w:right w:val="single" w:color="auto" w:sz="4" w:space="0"/>
            </w:tcBorders>
            <w:vAlign w:val="center"/>
          </w:tcPr>
          <w:p w14:paraId="7A2CAB0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周边2公里内有德贤华府、埝坛华庭西区、埝坛华庭北区等居住项目，居住小区规模适中，入住率一般，综合评价居住社区成熟度一般</w:t>
            </w:r>
          </w:p>
        </w:tc>
      </w:tr>
      <w:tr w14:paraId="3091ED51">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7145E988">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221CEB43">
            <w:pPr>
              <w:widowControl/>
              <w:adjustRightInd/>
              <w:spacing w:line="240" w:lineRule="auto"/>
              <w:jc w:val="center"/>
              <w:textAlignment w:val="auto"/>
              <w:rPr>
                <w:rFonts w:ascii="Arial" w:hAnsi="Arial" w:cs="Arial"/>
                <w:sz w:val="16"/>
                <w:szCs w:val="18"/>
              </w:rPr>
            </w:pPr>
            <w:r>
              <w:rPr>
                <w:rFonts w:ascii="Arial" w:hAnsi="Arial" w:cs="Arial"/>
                <w:sz w:val="16"/>
                <w:szCs w:val="18"/>
              </w:rPr>
              <w:t>道路通达度</w:t>
            </w:r>
          </w:p>
        </w:tc>
        <w:tc>
          <w:tcPr>
            <w:tcW w:w="968" w:type="pct"/>
            <w:tcBorders>
              <w:top w:val="nil"/>
              <w:left w:val="nil"/>
              <w:bottom w:val="single" w:color="auto" w:sz="4" w:space="0"/>
              <w:right w:val="single" w:color="auto" w:sz="4" w:space="0"/>
            </w:tcBorders>
            <w:vAlign w:val="center"/>
          </w:tcPr>
          <w:p w14:paraId="4A7A2FB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周边500米内有城市主干道——林校路</w:t>
            </w:r>
          </w:p>
        </w:tc>
        <w:tc>
          <w:tcPr>
            <w:tcW w:w="968" w:type="pct"/>
            <w:tcBorders>
              <w:top w:val="nil"/>
              <w:left w:val="nil"/>
              <w:bottom w:val="single" w:color="auto" w:sz="4" w:space="0"/>
              <w:right w:val="single" w:color="auto" w:sz="4" w:space="0"/>
            </w:tcBorders>
            <w:vAlign w:val="center"/>
          </w:tcPr>
          <w:p w14:paraId="4C84AF0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周边500米内有城市主干道——林校路</w:t>
            </w:r>
          </w:p>
        </w:tc>
        <w:tc>
          <w:tcPr>
            <w:tcW w:w="968" w:type="pct"/>
            <w:tcBorders>
              <w:top w:val="nil"/>
              <w:left w:val="nil"/>
              <w:bottom w:val="single" w:color="auto" w:sz="4" w:space="0"/>
              <w:right w:val="single" w:color="auto" w:sz="4" w:space="0"/>
            </w:tcBorders>
            <w:vAlign w:val="center"/>
          </w:tcPr>
          <w:p w14:paraId="193AB66C">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周边500米内有城市主干道——兴华大街</w:t>
            </w:r>
          </w:p>
        </w:tc>
        <w:tc>
          <w:tcPr>
            <w:tcW w:w="970" w:type="pct"/>
            <w:tcBorders>
              <w:top w:val="nil"/>
              <w:left w:val="nil"/>
              <w:bottom w:val="single" w:color="auto" w:sz="4" w:space="0"/>
              <w:right w:val="single" w:color="auto" w:sz="4" w:space="0"/>
            </w:tcBorders>
            <w:vAlign w:val="center"/>
          </w:tcPr>
          <w:p w14:paraId="7C7506C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周边500米内有城市主干道——兴良路</w:t>
            </w:r>
          </w:p>
        </w:tc>
      </w:tr>
      <w:tr w14:paraId="65F93CA9">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6949FAFD">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562EAF73">
            <w:pPr>
              <w:widowControl/>
              <w:adjustRightInd/>
              <w:spacing w:line="240" w:lineRule="auto"/>
              <w:jc w:val="center"/>
              <w:textAlignment w:val="auto"/>
              <w:rPr>
                <w:rFonts w:ascii="Arial" w:hAnsi="Arial" w:cs="Arial"/>
                <w:sz w:val="16"/>
                <w:szCs w:val="18"/>
              </w:rPr>
            </w:pPr>
            <w:r>
              <w:rPr>
                <w:rFonts w:ascii="Arial" w:hAnsi="Arial" w:cs="Arial"/>
                <w:sz w:val="16"/>
                <w:szCs w:val="18"/>
              </w:rPr>
              <w:t>距离轨道交通站点距离</w:t>
            </w:r>
          </w:p>
        </w:tc>
        <w:tc>
          <w:tcPr>
            <w:tcW w:w="968" w:type="pct"/>
            <w:tcBorders>
              <w:top w:val="nil"/>
              <w:left w:val="nil"/>
              <w:bottom w:val="single" w:color="auto" w:sz="4" w:space="0"/>
              <w:right w:val="single" w:color="auto" w:sz="4" w:space="0"/>
            </w:tcBorders>
            <w:vAlign w:val="center"/>
          </w:tcPr>
          <w:p w14:paraId="580DAC1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周边2公里范围内有轨道交通站点（地铁4号线黄村火车站）</w:t>
            </w:r>
          </w:p>
        </w:tc>
        <w:tc>
          <w:tcPr>
            <w:tcW w:w="968" w:type="pct"/>
            <w:tcBorders>
              <w:top w:val="nil"/>
              <w:left w:val="nil"/>
              <w:bottom w:val="single" w:color="auto" w:sz="4" w:space="0"/>
              <w:right w:val="single" w:color="auto" w:sz="4" w:space="0"/>
            </w:tcBorders>
            <w:vAlign w:val="center"/>
          </w:tcPr>
          <w:p w14:paraId="1F8EC12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周边2公里范围内有轨道交通站点（地铁4号线义和庄站）</w:t>
            </w:r>
          </w:p>
        </w:tc>
        <w:tc>
          <w:tcPr>
            <w:tcW w:w="968" w:type="pct"/>
            <w:tcBorders>
              <w:top w:val="nil"/>
              <w:left w:val="nil"/>
              <w:bottom w:val="single" w:color="auto" w:sz="4" w:space="0"/>
              <w:right w:val="single" w:color="auto" w:sz="4" w:space="0"/>
            </w:tcBorders>
            <w:vAlign w:val="center"/>
          </w:tcPr>
          <w:p w14:paraId="42939DE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周边2公里范围内有轨道交通站点（地铁4号线黄村火车站）</w:t>
            </w:r>
          </w:p>
        </w:tc>
        <w:tc>
          <w:tcPr>
            <w:tcW w:w="970" w:type="pct"/>
            <w:tcBorders>
              <w:top w:val="nil"/>
              <w:left w:val="nil"/>
              <w:bottom w:val="single" w:color="auto" w:sz="4" w:space="0"/>
              <w:right w:val="single" w:color="auto" w:sz="4" w:space="0"/>
            </w:tcBorders>
            <w:vAlign w:val="center"/>
          </w:tcPr>
          <w:p w14:paraId="341D600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r>
      <w:tr w14:paraId="4AB888ED">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25991CFA">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7DF966C7">
            <w:pPr>
              <w:widowControl/>
              <w:adjustRightInd/>
              <w:spacing w:line="240" w:lineRule="auto"/>
              <w:jc w:val="center"/>
              <w:textAlignment w:val="auto"/>
              <w:rPr>
                <w:rFonts w:ascii="Arial" w:hAnsi="Arial" w:cs="Arial"/>
                <w:sz w:val="16"/>
                <w:szCs w:val="18"/>
              </w:rPr>
            </w:pPr>
            <w:r>
              <w:rPr>
                <w:rFonts w:ascii="Arial" w:hAnsi="Arial" w:cs="Arial"/>
                <w:sz w:val="16"/>
                <w:szCs w:val="18"/>
              </w:rPr>
              <w:t>距离公交站点距离</w:t>
            </w:r>
          </w:p>
        </w:tc>
        <w:tc>
          <w:tcPr>
            <w:tcW w:w="968" w:type="pct"/>
            <w:tcBorders>
              <w:top w:val="nil"/>
              <w:left w:val="nil"/>
              <w:bottom w:val="single" w:color="auto" w:sz="4" w:space="0"/>
              <w:right w:val="single" w:color="auto" w:sz="4" w:space="0"/>
            </w:tcBorders>
            <w:vAlign w:val="center"/>
          </w:tcPr>
          <w:p w14:paraId="63E8D6D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周边1公里内有827路、829路、840路、兴11路、兴21路、兴52路等公交线路途径并设立站点</w:t>
            </w:r>
          </w:p>
        </w:tc>
        <w:tc>
          <w:tcPr>
            <w:tcW w:w="968" w:type="pct"/>
            <w:tcBorders>
              <w:top w:val="nil"/>
              <w:left w:val="nil"/>
              <w:bottom w:val="single" w:color="auto" w:sz="4" w:space="0"/>
              <w:right w:val="single" w:color="auto" w:sz="4" w:space="0"/>
            </w:tcBorders>
            <w:vAlign w:val="center"/>
          </w:tcPr>
          <w:p w14:paraId="76866AA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周边1公里内有827路、829路、840路、兴11路、兴21路等公交线路途径并设立站点</w:t>
            </w:r>
          </w:p>
        </w:tc>
        <w:tc>
          <w:tcPr>
            <w:tcW w:w="968" w:type="pct"/>
            <w:tcBorders>
              <w:top w:val="nil"/>
              <w:left w:val="nil"/>
              <w:bottom w:val="single" w:color="auto" w:sz="4" w:space="0"/>
              <w:right w:val="single" w:color="auto" w:sz="4" w:space="0"/>
            </w:tcBorders>
            <w:vAlign w:val="center"/>
          </w:tcPr>
          <w:p w14:paraId="1DB5F77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周边1公里内有兴12路、兴16路、兴37路、兴77路等公交线路途径并设立站点</w:t>
            </w:r>
          </w:p>
        </w:tc>
        <w:tc>
          <w:tcPr>
            <w:tcW w:w="970" w:type="pct"/>
            <w:tcBorders>
              <w:top w:val="nil"/>
              <w:left w:val="nil"/>
              <w:bottom w:val="single" w:color="auto" w:sz="4" w:space="0"/>
              <w:right w:val="single" w:color="auto" w:sz="4" w:space="0"/>
            </w:tcBorders>
            <w:vAlign w:val="center"/>
          </w:tcPr>
          <w:p w14:paraId="68E23FD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周边1公里内有兴13路、兴37路、兴53路、840路等公交线路途径并设立站点</w:t>
            </w:r>
          </w:p>
        </w:tc>
      </w:tr>
      <w:tr w14:paraId="108D0664">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2469DA2B">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0BE376F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环境质量优劣度</w:t>
            </w:r>
          </w:p>
        </w:tc>
        <w:tc>
          <w:tcPr>
            <w:tcW w:w="968" w:type="pct"/>
            <w:tcBorders>
              <w:top w:val="nil"/>
              <w:left w:val="nil"/>
              <w:bottom w:val="single" w:color="auto" w:sz="4" w:space="0"/>
              <w:right w:val="single" w:color="auto" w:sz="4" w:space="0"/>
            </w:tcBorders>
            <w:vAlign w:val="center"/>
          </w:tcPr>
          <w:p w14:paraId="3056D4C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68" w:type="pct"/>
            <w:tcBorders>
              <w:top w:val="nil"/>
              <w:left w:val="nil"/>
              <w:bottom w:val="single" w:color="auto" w:sz="4" w:space="0"/>
              <w:right w:val="single" w:color="auto" w:sz="4" w:space="0"/>
            </w:tcBorders>
            <w:vAlign w:val="center"/>
          </w:tcPr>
          <w:p w14:paraId="0E2E300A">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周边5km内无污染源</w:t>
            </w:r>
          </w:p>
        </w:tc>
        <w:tc>
          <w:tcPr>
            <w:tcW w:w="968" w:type="pct"/>
            <w:tcBorders>
              <w:top w:val="nil"/>
              <w:left w:val="nil"/>
              <w:bottom w:val="single" w:color="auto" w:sz="4" w:space="0"/>
              <w:right w:val="single" w:color="auto" w:sz="4" w:space="0"/>
            </w:tcBorders>
            <w:vAlign w:val="center"/>
          </w:tcPr>
          <w:p w14:paraId="1CF59D4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70" w:type="pct"/>
            <w:tcBorders>
              <w:top w:val="nil"/>
              <w:left w:val="nil"/>
              <w:bottom w:val="single" w:color="auto" w:sz="4" w:space="0"/>
              <w:right w:val="single" w:color="auto" w:sz="4" w:space="0"/>
            </w:tcBorders>
            <w:vAlign w:val="center"/>
          </w:tcPr>
          <w:p w14:paraId="159F04E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r>
      <w:tr w14:paraId="3F69B628">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0D3ADB56">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25FD1DC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自然及人文环境</w:t>
            </w:r>
          </w:p>
        </w:tc>
        <w:tc>
          <w:tcPr>
            <w:tcW w:w="968" w:type="pct"/>
            <w:tcBorders>
              <w:top w:val="nil"/>
              <w:left w:val="nil"/>
              <w:bottom w:val="single" w:color="auto" w:sz="4" w:space="0"/>
              <w:right w:val="single" w:color="auto" w:sz="4" w:space="0"/>
            </w:tcBorders>
            <w:vAlign w:val="center"/>
          </w:tcPr>
          <w:p w14:paraId="7A6C233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估价对象周边2公里有念坛公园、兴良路公园、永定公园、小龙河等自然景观，有中央文化和旅游管理干部学院、国家林业和草原局管理干部学院等人文环境、综合评价自然与人文环境较好</w:t>
            </w:r>
          </w:p>
        </w:tc>
        <w:tc>
          <w:tcPr>
            <w:tcW w:w="968" w:type="pct"/>
            <w:tcBorders>
              <w:top w:val="nil"/>
              <w:left w:val="nil"/>
              <w:bottom w:val="single" w:color="auto" w:sz="4" w:space="0"/>
              <w:right w:val="single" w:color="auto" w:sz="4" w:space="0"/>
            </w:tcBorders>
            <w:vAlign w:val="center"/>
          </w:tcPr>
          <w:p w14:paraId="219029EF">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周边2公里有念坛公园、兴良路公园、永定公园、小龙河等自然景观，有中央文化和旅游管理干部学院、国家林业和草原局管理干部学院等人文环境、综合评价自然与人文环境较好</w:t>
            </w:r>
          </w:p>
        </w:tc>
        <w:tc>
          <w:tcPr>
            <w:tcW w:w="968" w:type="pct"/>
            <w:tcBorders>
              <w:top w:val="nil"/>
              <w:left w:val="nil"/>
              <w:bottom w:val="single" w:color="auto" w:sz="4" w:space="0"/>
              <w:right w:val="single" w:color="auto" w:sz="4" w:space="0"/>
            </w:tcBorders>
            <w:vAlign w:val="center"/>
          </w:tcPr>
          <w:p w14:paraId="32A582C7">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周边2公里有念坛公园、兴良路公园、永定公园、小龙河等自然景观，有中央文化和旅游管理干部学院、国家林业和草原局管理干部学院等人文环境、综合评价自然与人文环境较好</w:t>
            </w:r>
          </w:p>
        </w:tc>
        <w:tc>
          <w:tcPr>
            <w:tcW w:w="970" w:type="pct"/>
            <w:tcBorders>
              <w:top w:val="nil"/>
              <w:left w:val="nil"/>
              <w:bottom w:val="single" w:color="auto" w:sz="4" w:space="0"/>
              <w:right w:val="single" w:color="auto" w:sz="4" w:space="0"/>
            </w:tcBorders>
            <w:vAlign w:val="center"/>
          </w:tcPr>
          <w:p w14:paraId="1296D4AD">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周边2公里有念坛公园、兴良路公园、永定公园、小龙河等自然景观，有首都医科大学（大兴校区）、金隅高新产业园等人文环境、综合评价自然与人文环境较好</w:t>
            </w:r>
          </w:p>
        </w:tc>
      </w:tr>
      <w:tr w14:paraId="661C4519">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557DF70B">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5C7B4B0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小区环境</w:t>
            </w:r>
          </w:p>
        </w:tc>
        <w:tc>
          <w:tcPr>
            <w:tcW w:w="968" w:type="pct"/>
            <w:tcBorders>
              <w:top w:val="nil"/>
              <w:left w:val="nil"/>
              <w:bottom w:val="single" w:color="auto" w:sz="4" w:space="0"/>
              <w:right w:val="single" w:color="auto" w:sz="4" w:space="0"/>
            </w:tcBorders>
            <w:vAlign w:val="center"/>
          </w:tcPr>
          <w:p w14:paraId="00F9D97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68" w:type="pct"/>
            <w:tcBorders>
              <w:top w:val="nil"/>
              <w:left w:val="nil"/>
              <w:bottom w:val="single" w:color="auto" w:sz="4" w:space="0"/>
              <w:right w:val="single" w:color="auto" w:sz="4" w:space="0"/>
            </w:tcBorders>
            <w:vAlign w:val="center"/>
          </w:tcPr>
          <w:p w14:paraId="0C191549">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小区道路整洁、绿化率高、有景观设计、人车分</w:t>
            </w:r>
            <w:r>
              <w:rPr>
                <w:rFonts w:hint="eastAsia" w:ascii="Arial" w:hAnsi="Arial" w:cs="Arial"/>
                <w:sz w:val="16"/>
                <w:szCs w:val="18"/>
              </w:rPr>
              <w:t>流</w:t>
            </w:r>
          </w:p>
        </w:tc>
        <w:tc>
          <w:tcPr>
            <w:tcW w:w="968" w:type="pct"/>
            <w:tcBorders>
              <w:top w:val="nil"/>
              <w:left w:val="nil"/>
              <w:bottom w:val="single" w:color="auto" w:sz="4" w:space="0"/>
              <w:right w:val="single" w:color="auto" w:sz="4" w:space="0"/>
            </w:tcBorders>
            <w:vAlign w:val="center"/>
          </w:tcPr>
          <w:p w14:paraId="39523D9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70" w:type="pct"/>
            <w:tcBorders>
              <w:top w:val="nil"/>
              <w:left w:val="nil"/>
              <w:bottom w:val="single" w:color="auto" w:sz="4" w:space="0"/>
              <w:right w:val="single" w:color="auto" w:sz="4" w:space="0"/>
            </w:tcBorders>
            <w:vAlign w:val="center"/>
          </w:tcPr>
          <w:p w14:paraId="2311349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r>
      <w:tr w14:paraId="28040A7F">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6593B6A8">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6ED33E6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公共服务设施状况</w:t>
            </w:r>
          </w:p>
        </w:tc>
        <w:tc>
          <w:tcPr>
            <w:tcW w:w="968" w:type="pct"/>
            <w:tcBorders>
              <w:top w:val="nil"/>
              <w:left w:val="nil"/>
              <w:bottom w:val="single" w:color="auto" w:sz="4" w:space="0"/>
              <w:right w:val="single" w:color="auto" w:sz="4" w:space="0"/>
            </w:tcBorders>
            <w:vAlign w:val="center"/>
          </w:tcPr>
          <w:p w14:paraId="390E849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估价对象所在区域周边2公里范围内有大兴星城商厦、大兴大悦春风里等商业场所；有北京市大兴区永华实验学校、</w:t>
            </w:r>
            <w:r>
              <w:rPr>
                <w:rFonts w:hint="eastAsia" w:ascii="Arial" w:hAnsi="Arial" w:cs="Arial"/>
                <w:sz w:val="16"/>
                <w:szCs w:val="18"/>
                <w:lang w:eastAsia="zh-CN"/>
              </w:rPr>
              <w:t>北京市</w:t>
            </w:r>
            <w:r>
              <w:rPr>
                <w:rFonts w:hint="eastAsia" w:ascii="Arial" w:hAnsi="Arial" w:cs="Arial"/>
                <w:sz w:val="16"/>
                <w:szCs w:val="18"/>
              </w:rPr>
              <w:t>大兴区第一中学、北京市大兴区第八小学、泰禾幼儿园（大兴园区）等教育机构，有北京市大兴区心康医院、北京市大兴区人民医院等医疗机构；有华夏银行、北京银行等金融网点，公共配套设施状况较好</w:t>
            </w:r>
          </w:p>
        </w:tc>
        <w:tc>
          <w:tcPr>
            <w:tcW w:w="968" w:type="pct"/>
            <w:tcBorders>
              <w:top w:val="nil"/>
              <w:left w:val="nil"/>
              <w:bottom w:val="single" w:color="auto" w:sz="4" w:space="0"/>
              <w:right w:val="single" w:color="auto" w:sz="4" w:space="0"/>
            </w:tcBorders>
            <w:vAlign w:val="center"/>
          </w:tcPr>
          <w:p w14:paraId="7D012FC0">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周边2公里范围内有大兴星城商厦、大兴大悦春风里等商业场所；有北京市大兴区永华实验学校、</w:t>
            </w:r>
            <w:r>
              <w:rPr>
                <w:rFonts w:hint="eastAsia" w:ascii="宋体" w:hAnsi="宋体" w:cs="Arial"/>
                <w:sz w:val="16"/>
                <w:szCs w:val="18"/>
                <w:lang w:eastAsia="zh-CN"/>
              </w:rPr>
              <w:t>北京市</w:t>
            </w:r>
            <w:r>
              <w:rPr>
                <w:rFonts w:hint="eastAsia" w:ascii="宋体" w:hAnsi="宋体" w:cs="Arial"/>
                <w:sz w:val="16"/>
                <w:szCs w:val="18"/>
              </w:rPr>
              <w:t>大兴区第一中学、北京市大兴区第八小学、泰禾幼儿园（大兴园区）等教育机构，有北京市大兴区心康医院、北京市大兴区人民医院等医疗机构；有华夏银行、北京银行等金融网点，公共配套设施状况较好</w:t>
            </w:r>
          </w:p>
        </w:tc>
        <w:tc>
          <w:tcPr>
            <w:tcW w:w="968" w:type="pct"/>
            <w:tcBorders>
              <w:top w:val="nil"/>
              <w:left w:val="nil"/>
              <w:bottom w:val="single" w:color="auto" w:sz="4" w:space="0"/>
              <w:right w:val="single" w:color="auto" w:sz="4" w:space="0"/>
            </w:tcBorders>
            <w:vAlign w:val="center"/>
          </w:tcPr>
          <w:p w14:paraId="3191E0F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周边2公里范围内有大兴星城商厦、大兴大悦春风里等商业场所；有北京市大兴区永华实验学校、</w:t>
            </w:r>
            <w:r>
              <w:rPr>
                <w:rFonts w:hint="eastAsia" w:ascii="Arial" w:hAnsi="Arial" w:cs="Arial"/>
                <w:sz w:val="16"/>
                <w:szCs w:val="18"/>
                <w:lang w:eastAsia="zh-CN"/>
              </w:rPr>
              <w:t>北京市</w:t>
            </w:r>
            <w:r>
              <w:rPr>
                <w:rFonts w:hint="eastAsia" w:ascii="Arial" w:hAnsi="Arial" w:cs="Arial"/>
                <w:sz w:val="16"/>
                <w:szCs w:val="18"/>
              </w:rPr>
              <w:t>大兴区第一中学、北京市大兴区第八小学、泰禾幼儿园（大兴园区）等教育机构，有北京市大兴区心康医院、北京市大兴区人民医院等医疗机构；有华夏银行、北京银行等金融网点，公共配套设施状况较好</w:t>
            </w:r>
          </w:p>
        </w:tc>
        <w:tc>
          <w:tcPr>
            <w:tcW w:w="970" w:type="pct"/>
            <w:tcBorders>
              <w:top w:val="nil"/>
              <w:left w:val="nil"/>
              <w:bottom w:val="single" w:color="auto" w:sz="4" w:space="0"/>
              <w:right w:val="single" w:color="auto" w:sz="4" w:space="0"/>
            </w:tcBorders>
            <w:vAlign w:val="center"/>
          </w:tcPr>
          <w:p w14:paraId="44706CA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大型购物中心，有世纪华联超市（太福店）超市等生活配套商业；有北京教育学院附属大兴实验小学、联港嘉园幼儿园等教育机构，有北臧村社区卫生服务中心等医疗机构；有北京农商银行（联港嘉园分理处）等金融网点，公共配套设施状况一般</w:t>
            </w:r>
          </w:p>
        </w:tc>
      </w:tr>
      <w:tr w14:paraId="063A6649">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3E1371D8">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0B033EC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建筑类型</w:t>
            </w:r>
          </w:p>
        </w:tc>
        <w:tc>
          <w:tcPr>
            <w:tcW w:w="968" w:type="pct"/>
            <w:tcBorders>
              <w:top w:val="nil"/>
              <w:left w:val="nil"/>
              <w:bottom w:val="single" w:color="auto" w:sz="4" w:space="0"/>
              <w:right w:val="single" w:color="auto" w:sz="4" w:space="0"/>
            </w:tcBorders>
            <w:vAlign w:val="center"/>
          </w:tcPr>
          <w:p w14:paraId="168CA4A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高层板楼</w:t>
            </w:r>
          </w:p>
        </w:tc>
        <w:tc>
          <w:tcPr>
            <w:tcW w:w="968" w:type="pct"/>
            <w:tcBorders>
              <w:top w:val="nil"/>
              <w:left w:val="nil"/>
              <w:bottom w:val="single" w:color="auto" w:sz="4" w:space="0"/>
              <w:right w:val="single" w:color="auto" w:sz="4" w:space="0"/>
            </w:tcBorders>
            <w:vAlign w:val="center"/>
          </w:tcPr>
          <w:p w14:paraId="2C944E6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68" w:type="pct"/>
            <w:tcBorders>
              <w:top w:val="nil"/>
              <w:left w:val="nil"/>
              <w:bottom w:val="single" w:color="auto" w:sz="4" w:space="0"/>
              <w:right w:val="single" w:color="auto" w:sz="4" w:space="0"/>
            </w:tcBorders>
            <w:vAlign w:val="center"/>
          </w:tcPr>
          <w:p w14:paraId="50910C8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70" w:type="pct"/>
            <w:tcBorders>
              <w:top w:val="nil"/>
              <w:left w:val="nil"/>
              <w:bottom w:val="single" w:color="auto" w:sz="4" w:space="0"/>
              <w:right w:val="single" w:color="auto" w:sz="4" w:space="0"/>
            </w:tcBorders>
            <w:vAlign w:val="center"/>
          </w:tcPr>
          <w:p w14:paraId="67997C1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小高层板楼</w:t>
            </w:r>
          </w:p>
        </w:tc>
      </w:tr>
      <w:tr w14:paraId="06BA3EF2">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0972AF87">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0FC47994">
            <w:pPr>
              <w:widowControl/>
              <w:adjustRightInd/>
              <w:spacing w:line="240" w:lineRule="auto"/>
              <w:jc w:val="center"/>
              <w:textAlignment w:val="auto"/>
              <w:rPr>
                <w:rFonts w:ascii="Arial" w:hAnsi="Arial" w:cs="Arial"/>
                <w:sz w:val="16"/>
                <w:szCs w:val="18"/>
              </w:rPr>
            </w:pP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7F78EAB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5CD096E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493975C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c>
          <w:tcPr>
            <w:tcW w:w="970" w:type="pct"/>
            <w:tcBorders>
              <w:top w:val="nil"/>
              <w:left w:val="nil"/>
              <w:bottom w:val="single" w:color="auto" w:sz="4" w:space="0"/>
              <w:right w:val="single" w:color="auto" w:sz="4" w:space="0"/>
            </w:tcBorders>
            <w:vAlign w:val="center"/>
          </w:tcPr>
          <w:p w14:paraId="3C68420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r>
      <w:tr w14:paraId="1BFABDC2">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auto" w:sz="4" w:space="0"/>
              <w:right w:val="single" w:color="auto" w:sz="4" w:space="0"/>
            </w:tcBorders>
            <w:vAlign w:val="center"/>
          </w:tcPr>
          <w:p w14:paraId="320D7E11">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4AAA15D6">
            <w:pPr>
              <w:widowControl/>
              <w:adjustRightInd/>
              <w:spacing w:line="240" w:lineRule="auto"/>
              <w:jc w:val="center"/>
              <w:textAlignment w:val="auto"/>
              <w:rPr>
                <w:rFonts w:ascii="Arial" w:hAnsi="Arial" w:cs="Arial"/>
                <w:sz w:val="16"/>
                <w:szCs w:val="18"/>
              </w:rPr>
            </w:pPr>
            <w:r>
              <w:rPr>
                <w:rFonts w:ascii="Arial" w:hAnsi="Arial" w:cs="Arial"/>
                <w:sz w:val="16"/>
                <w:szCs w:val="18"/>
              </w:rPr>
              <w:t>朝向</w:t>
            </w:r>
          </w:p>
        </w:tc>
        <w:tc>
          <w:tcPr>
            <w:tcW w:w="968" w:type="pct"/>
            <w:tcBorders>
              <w:top w:val="nil"/>
              <w:left w:val="nil"/>
              <w:bottom w:val="single" w:color="auto" w:sz="4" w:space="0"/>
              <w:right w:val="single" w:color="auto" w:sz="4" w:space="0"/>
            </w:tcBorders>
            <w:vAlign w:val="center"/>
          </w:tcPr>
          <w:p w14:paraId="7A148D6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68" w:type="pct"/>
            <w:tcBorders>
              <w:top w:val="nil"/>
              <w:left w:val="nil"/>
              <w:bottom w:val="single" w:color="auto" w:sz="4" w:space="0"/>
              <w:right w:val="single" w:color="auto" w:sz="4" w:space="0"/>
            </w:tcBorders>
            <w:vAlign w:val="center"/>
          </w:tcPr>
          <w:p w14:paraId="0181A06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68" w:type="pct"/>
            <w:tcBorders>
              <w:top w:val="nil"/>
              <w:left w:val="nil"/>
              <w:bottom w:val="single" w:color="auto" w:sz="4" w:space="0"/>
              <w:right w:val="single" w:color="auto" w:sz="4" w:space="0"/>
            </w:tcBorders>
            <w:vAlign w:val="center"/>
          </w:tcPr>
          <w:p w14:paraId="64F27BB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70" w:type="pct"/>
            <w:tcBorders>
              <w:top w:val="nil"/>
              <w:left w:val="nil"/>
              <w:bottom w:val="single" w:color="auto" w:sz="4" w:space="0"/>
              <w:right w:val="single" w:color="auto" w:sz="4" w:space="0"/>
            </w:tcBorders>
            <w:vAlign w:val="center"/>
          </w:tcPr>
          <w:p w14:paraId="4581B49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r>
      <w:tr w14:paraId="0AB6D6B3">
        <w:tblPrEx>
          <w:tblCellMar>
            <w:top w:w="0" w:type="dxa"/>
            <w:left w:w="108" w:type="dxa"/>
            <w:bottom w:w="0" w:type="dxa"/>
            <w:right w:w="108" w:type="dxa"/>
          </w:tblCellMar>
        </w:tblPrEx>
        <w:trPr>
          <w:trHeight w:val="397" w:hRule="atLeast"/>
          <w:jc w:val="center"/>
        </w:trPr>
        <w:tc>
          <w:tcPr>
            <w:tcW w:w="362" w:type="pct"/>
            <w:vMerge w:val="restart"/>
            <w:tcBorders>
              <w:top w:val="single" w:color="auto" w:sz="4" w:space="0"/>
              <w:left w:val="single" w:color="auto" w:sz="4" w:space="0"/>
              <w:bottom w:val="single" w:color="auto" w:sz="4" w:space="0"/>
              <w:right w:val="single" w:color="auto" w:sz="4" w:space="0"/>
            </w:tcBorders>
            <w:vAlign w:val="center"/>
          </w:tcPr>
          <w:p w14:paraId="7D4E8354">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760" w:type="pct"/>
            <w:tcBorders>
              <w:top w:val="single" w:color="auto" w:sz="4" w:space="0"/>
              <w:left w:val="nil"/>
              <w:bottom w:val="single" w:color="auto" w:sz="4" w:space="0"/>
              <w:right w:val="single" w:color="auto" w:sz="4" w:space="0"/>
            </w:tcBorders>
            <w:vAlign w:val="center"/>
          </w:tcPr>
          <w:p w14:paraId="48113523">
            <w:pPr>
              <w:widowControl/>
              <w:adjustRightInd/>
              <w:spacing w:line="240" w:lineRule="auto"/>
              <w:jc w:val="center"/>
              <w:textAlignment w:val="auto"/>
              <w:rPr>
                <w:rFonts w:ascii="Arial" w:hAnsi="Arial" w:cs="Arial"/>
                <w:sz w:val="16"/>
                <w:szCs w:val="18"/>
              </w:rPr>
            </w:pPr>
            <w:r>
              <w:rPr>
                <w:rFonts w:ascii="Arial" w:hAnsi="Arial" w:cs="Arial"/>
                <w:sz w:val="16"/>
                <w:szCs w:val="18"/>
              </w:rPr>
              <w:t>成新度</w:t>
            </w:r>
          </w:p>
        </w:tc>
        <w:tc>
          <w:tcPr>
            <w:tcW w:w="968" w:type="pct"/>
            <w:tcBorders>
              <w:top w:val="single" w:color="auto" w:sz="4" w:space="0"/>
              <w:left w:val="nil"/>
              <w:bottom w:val="single" w:color="auto" w:sz="4" w:space="0"/>
              <w:right w:val="single" w:color="auto" w:sz="4" w:space="0"/>
            </w:tcBorders>
            <w:vAlign w:val="center"/>
          </w:tcPr>
          <w:p w14:paraId="573050D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9</w:t>
            </w:r>
            <w:r>
              <w:rPr>
                <w:rFonts w:ascii="Arial" w:hAnsi="Arial" w:cs="Arial"/>
                <w:sz w:val="16"/>
                <w:szCs w:val="18"/>
              </w:rPr>
              <w:t>0-</w:t>
            </w:r>
            <w:r>
              <w:rPr>
                <w:rFonts w:hint="eastAsia" w:ascii="Arial" w:hAnsi="Arial" w:cs="Arial"/>
                <w:sz w:val="16"/>
                <w:szCs w:val="18"/>
              </w:rPr>
              <w:t>100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739AFD4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w:t>
            </w:r>
            <w:r>
              <w:rPr>
                <w:rFonts w:ascii="Arial" w:hAnsi="Arial" w:cs="Arial"/>
                <w:sz w:val="16"/>
                <w:szCs w:val="18"/>
              </w:rPr>
              <w:t>0-</w:t>
            </w:r>
            <w:r>
              <w:rPr>
                <w:rFonts w:hint="eastAsia" w:ascii="Arial" w:hAnsi="Arial" w:cs="Arial"/>
                <w:sz w:val="16"/>
                <w:szCs w:val="18"/>
              </w:rPr>
              <w:t>70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1BF2B80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w:t>
            </w:r>
            <w:r>
              <w:rPr>
                <w:rFonts w:ascii="Arial" w:hAnsi="Arial" w:cs="Arial"/>
                <w:sz w:val="16"/>
                <w:szCs w:val="18"/>
              </w:rPr>
              <w:t>0-</w:t>
            </w:r>
            <w:r>
              <w:rPr>
                <w:rFonts w:hint="eastAsia" w:ascii="Arial" w:hAnsi="Arial" w:cs="Arial"/>
                <w:sz w:val="16"/>
                <w:szCs w:val="18"/>
              </w:rPr>
              <w:t>70</w:t>
            </w:r>
            <w:r>
              <w:rPr>
                <w:rFonts w:ascii="Arial" w:hAnsi="Arial" w:cs="Arial"/>
                <w:sz w:val="16"/>
                <w:szCs w:val="18"/>
              </w:rPr>
              <w:t>%</w:t>
            </w:r>
          </w:p>
        </w:tc>
        <w:tc>
          <w:tcPr>
            <w:tcW w:w="970" w:type="pct"/>
            <w:tcBorders>
              <w:top w:val="single" w:color="auto" w:sz="4" w:space="0"/>
              <w:left w:val="nil"/>
              <w:bottom w:val="single" w:color="auto" w:sz="4" w:space="0"/>
              <w:right w:val="single" w:color="auto" w:sz="4" w:space="0"/>
            </w:tcBorders>
            <w:vAlign w:val="center"/>
          </w:tcPr>
          <w:p w14:paraId="498B93E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7</w:t>
            </w:r>
            <w:r>
              <w:rPr>
                <w:rFonts w:ascii="Arial" w:hAnsi="Arial" w:cs="Arial"/>
                <w:sz w:val="16"/>
                <w:szCs w:val="18"/>
              </w:rPr>
              <w:t>0-</w:t>
            </w:r>
            <w:r>
              <w:rPr>
                <w:rFonts w:hint="eastAsia" w:ascii="Arial" w:hAnsi="Arial" w:cs="Arial"/>
                <w:sz w:val="16"/>
                <w:szCs w:val="18"/>
              </w:rPr>
              <w:t>80</w:t>
            </w:r>
            <w:r>
              <w:rPr>
                <w:rFonts w:ascii="Arial" w:hAnsi="Arial" w:cs="Arial"/>
                <w:sz w:val="16"/>
                <w:szCs w:val="18"/>
              </w:rPr>
              <w:t>%</w:t>
            </w:r>
          </w:p>
        </w:tc>
      </w:tr>
      <w:tr w14:paraId="07377BDF">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23573E36">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64FA6566">
            <w:pPr>
              <w:widowControl/>
              <w:adjustRightInd/>
              <w:spacing w:line="240" w:lineRule="auto"/>
              <w:jc w:val="center"/>
              <w:textAlignment w:val="auto"/>
              <w:rPr>
                <w:rFonts w:ascii="Arial" w:hAnsi="Arial" w:cs="Arial"/>
                <w:sz w:val="16"/>
                <w:szCs w:val="18"/>
              </w:rPr>
            </w:pPr>
            <w:r>
              <w:rPr>
                <w:rFonts w:ascii="Arial" w:hAnsi="Arial" w:cs="Arial"/>
                <w:sz w:val="16"/>
                <w:szCs w:val="18"/>
              </w:rPr>
              <w:t>公共区域装修</w:t>
            </w:r>
          </w:p>
        </w:tc>
        <w:tc>
          <w:tcPr>
            <w:tcW w:w="968" w:type="pct"/>
            <w:tcBorders>
              <w:top w:val="single" w:color="auto" w:sz="4" w:space="0"/>
              <w:left w:val="nil"/>
              <w:bottom w:val="single" w:color="auto" w:sz="4" w:space="0"/>
              <w:right w:val="single" w:color="auto" w:sz="4" w:space="0"/>
            </w:tcBorders>
            <w:vAlign w:val="center"/>
          </w:tcPr>
          <w:p w14:paraId="7510D45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968" w:type="pct"/>
            <w:tcBorders>
              <w:top w:val="single" w:color="auto" w:sz="4" w:space="0"/>
              <w:left w:val="nil"/>
              <w:bottom w:val="single" w:color="auto" w:sz="4" w:space="0"/>
              <w:right w:val="single" w:color="auto" w:sz="4" w:space="0"/>
            </w:tcBorders>
            <w:vAlign w:val="center"/>
          </w:tcPr>
          <w:p w14:paraId="21AF091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低档</w:t>
            </w:r>
            <w:r>
              <w:rPr>
                <w:rFonts w:ascii="Arial" w:hAnsi="Arial" w:cs="Arial"/>
                <w:sz w:val="16"/>
                <w:szCs w:val="18"/>
              </w:rPr>
              <w:t>装修</w:t>
            </w:r>
          </w:p>
        </w:tc>
        <w:tc>
          <w:tcPr>
            <w:tcW w:w="968" w:type="pct"/>
            <w:tcBorders>
              <w:top w:val="single" w:color="auto" w:sz="4" w:space="0"/>
              <w:left w:val="nil"/>
              <w:bottom w:val="single" w:color="auto" w:sz="4" w:space="0"/>
              <w:right w:val="single" w:color="auto" w:sz="4" w:space="0"/>
            </w:tcBorders>
            <w:vAlign w:val="center"/>
          </w:tcPr>
          <w:p w14:paraId="52FC780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低档</w:t>
            </w:r>
            <w:r>
              <w:rPr>
                <w:rFonts w:ascii="Arial" w:hAnsi="Arial" w:cs="Arial"/>
                <w:sz w:val="16"/>
                <w:szCs w:val="18"/>
              </w:rPr>
              <w:t>装修</w:t>
            </w:r>
          </w:p>
        </w:tc>
        <w:tc>
          <w:tcPr>
            <w:tcW w:w="970" w:type="pct"/>
            <w:tcBorders>
              <w:top w:val="single" w:color="auto" w:sz="4" w:space="0"/>
              <w:left w:val="nil"/>
              <w:bottom w:val="single" w:color="auto" w:sz="4" w:space="0"/>
              <w:right w:val="single" w:color="auto" w:sz="4" w:space="0"/>
            </w:tcBorders>
            <w:vAlign w:val="center"/>
          </w:tcPr>
          <w:p w14:paraId="3A95284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r>
      <w:tr w14:paraId="647161B8">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7697DD72">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3B174A89">
            <w:pPr>
              <w:widowControl/>
              <w:adjustRightInd/>
              <w:spacing w:line="240" w:lineRule="auto"/>
              <w:jc w:val="center"/>
              <w:textAlignment w:val="auto"/>
              <w:rPr>
                <w:rFonts w:ascii="Arial" w:hAnsi="Arial" w:cs="Arial"/>
                <w:sz w:val="16"/>
                <w:szCs w:val="18"/>
              </w:rPr>
            </w:pPr>
            <w:r>
              <w:rPr>
                <w:rFonts w:ascii="Arial" w:hAnsi="Arial" w:cs="Arial"/>
                <w:sz w:val="16"/>
                <w:szCs w:val="18"/>
              </w:rPr>
              <w:t>室内装饰装修</w:t>
            </w:r>
          </w:p>
        </w:tc>
        <w:tc>
          <w:tcPr>
            <w:tcW w:w="968" w:type="pct"/>
            <w:tcBorders>
              <w:top w:val="single" w:color="auto" w:sz="4" w:space="0"/>
              <w:left w:val="nil"/>
              <w:bottom w:val="single" w:color="auto" w:sz="4" w:space="0"/>
              <w:right w:val="single" w:color="auto" w:sz="4" w:space="0"/>
            </w:tcBorders>
            <w:vAlign w:val="center"/>
          </w:tcPr>
          <w:p w14:paraId="079347C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968" w:type="pct"/>
            <w:tcBorders>
              <w:top w:val="single" w:color="auto" w:sz="4" w:space="0"/>
              <w:left w:val="nil"/>
              <w:bottom w:val="single" w:color="auto" w:sz="4" w:space="0"/>
              <w:right w:val="single" w:color="auto" w:sz="4" w:space="0"/>
            </w:tcBorders>
            <w:vAlign w:val="center"/>
          </w:tcPr>
          <w:p w14:paraId="3836821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968" w:type="pct"/>
            <w:tcBorders>
              <w:top w:val="single" w:color="auto" w:sz="4" w:space="0"/>
              <w:left w:val="nil"/>
              <w:bottom w:val="single" w:color="auto" w:sz="4" w:space="0"/>
              <w:right w:val="single" w:color="auto" w:sz="4" w:space="0"/>
            </w:tcBorders>
            <w:vAlign w:val="center"/>
          </w:tcPr>
          <w:p w14:paraId="1E29F83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970" w:type="pct"/>
            <w:tcBorders>
              <w:top w:val="single" w:color="auto" w:sz="4" w:space="0"/>
              <w:left w:val="nil"/>
              <w:bottom w:val="single" w:color="auto" w:sz="4" w:space="0"/>
              <w:right w:val="single" w:color="auto" w:sz="4" w:space="0"/>
            </w:tcBorders>
            <w:vAlign w:val="center"/>
          </w:tcPr>
          <w:p w14:paraId="4B24F90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r>
      <w:tr w14:paraId="566B5E4F">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6CBEBF2F">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6CB96B21">
            <w:pPr>
              <w:widowControl/>
              <w:adjustRightInd/>
              <w:spacing w:line="240" w:lineRule="auto"/>
              <w:jc w:val="center"/>
              <w:textAlignment w:val="auto"/>
              <w:rPr>
                <w:rFonts w:ascii="Arial" w:hAnsi="Arial" w:cs="Arial"/>
                <w:sz w:val="16"/>
                <w:szCs w:val="18"/>
              </w:rPr>
            </w:pPr>
            <w:r>
              <w:rPr>
                <w:rFonts w:ascii="Arial" w:hAnsi="Arial" w:cs="Arial"/>
                <w:sz w:val="16"/>
                <w:szCs w:val="18"/>
              </w:rPr>
              <w:t>设施设备</w:t>
            </w:r>
          </w:p>
        </w:tc>
        <w:tc>
          <w:tcPr>
            <w:tcW w:w="968" w:type="pct"/>
            <w:tcBorders>
              <w:top w:val="single" w:color="auto" w:sz="4" w:space="0"/>
              <w:left w:val="nil"/>
              <w:bottom w:val="single" w:color="auto" w:sz="4" w:space="0"/>
              <w:right w:val="single" w:color="auto" w:sz="4" w:space="0"/>
            </w:tcBorders>
            <w:vAlign w:val="center"/>
          </w:tcPr>
          <w:p w14:paraId="204FB0F9">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2C450E29">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703CFC3B">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70" w:type="pct"/>
            <w:tcBorders>
              <w:top w:val="single" w:color="auto" w:sz="4" w:space="0"/>
              <w:left w:val="nil"/>
              <w:bottom w:val="single" w:color="auto" w:sz="4" w:space="0"/>
              <w:right w:val="single" w:color="auto" w:sz="4" w:space="0"/>
            </w:tcBorders>
            <w:vAlign w:val="center"/>
          </w:tcPr>
          <w:p w14:paraId="6EA54C41">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r>
      <w:tr w14:paraId="6F85D49C">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700DF0E9">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61E01048">
            <w:pPr>
              <w:widowControl/>
              <w:adjustRightInd/>
              <w:spacing w:line="240" w:lineRule="auto"/>
              <w:jc w:val="center"/>
              <w:textAlignment w:val="auto"/>
              <w:rPr>
                <w:rFonts w:ascii="Arial" w:hAnsi="Arial" w:cs="Arial"/>
                <w:sz w:val="16"/>
                <w:szCs w:val="18"/>
              </w:rPr>
            </w:pPr>
            <w:r>
              <w:rPr>
                <w:rFonts w:ascii="Arial" w:hAnsi="Arial" w:cs="Arial"/>
                <w:sz w:val="16"/>
                <w:szCs w:val="18"/>
              </w:rPr>
              <w:t>综合管理服务设施</w:t>
            </w:r>
          </w:p>
        </w:tc>
        <w:tc>
          <w:tcPr>
            <w:tcW w:w="968" w:type="pct"/>
            <w:tcBorders>
              <w:top w:val="single" w:color="auto" w:sz="4" w:space="0"/>
              <w:left w:val="nil"/>
              <w:bottom w:val="single" w:color="auto" w:sz="4" w:space="0"/>
              <w:right w:val="single" w:color="auto" w:sz="4" w:space="0"/>
            </w:tcBorders>
            <w:vAlign w:val="center"/>
          </w:tcPr>
          <w:p w14:paraId="6BDD7AE3">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2AC0436A">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2CE6F12E">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70" w:type="pct"/>
            <w:tcBorders>
              <w:top w:val="single" w:color="auto" w:sz="4" w:space="0"/>
              <w:left w:val="nil"/>
              <w:bottom w:val="single" w:color="auto" w:sz="4" w:space="0"/>
              <w:right w:val="single" w:color="auto" w:sz="4" w:space="0"/>
            </w:tcBorders>
            <w:vAlign w:val="center"/>
          </w:tcPr>
          <w:p w14:paraId="32BF49FA">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r>
      <w:tr w14:paraId="7AAC11A5">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7C3A47E0">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62E44918">
            <w:pPr>
              <w:widowControl/>
              <w:adjustRightInd/>
              <w:spacing w:line="240" w:lineRule="auto"/>
              <w:jc w:val="center"/>
              <w:textAlignment w:val="auto"/>
              <w:rPr>
                <w:rFonts w:ascii="Arial" w:hAnsi="Arial" w:cs="Arial"/>
                <w:sz w:val="16"/>
                <w:szCs w:val="18"/>
              </w:rPr>
            </w:pPr>
            <w:r>
              <w:rPr>
                <w:rFonts w:ascii="Arial" w:hAnsi="Arial" w:cs="Arial"/>
                <w:sz w:val="16"/>
                <w:szCs w:val="18"/>
              </w:rPr>
              <w:t>户型布局</w:t>
            </w:r>
          </w:p>
        </w:tc>
        <w:tc>
          <w:tcPr>
            <w:tcW w:w="968" w:type="pct"/>
            <w:tcBorders>
              <w:top w:val="single" w:color="auto" w:sz="4" w:space="0"/>
              <w:left w:val="nil"/>
              <w:bottom w:val="single" w:color="auto" w:sz="4" w:space="0"/>
              <w:right w:val="single" w:color="auto" w:sz="4" w:space="0"/>
            </w:tcBorders>
            <w:vAlign w:val="center"/>
          </w:tcPr>
          <w:p w14:paraId="6AD50D2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两居室</w:t>
            </w:r>
          </w:p>
        </w:tc>
        <w:tc>
          <w:tcPr>
            <w:tcW w:w="968" w:type="pct"/>
            <w:tcBorders>
              <w:top w:val="single" w:color="auto" w:sz="4" w:space="0"/>
              <w:left w:val="nil"/>
              <w:bottom w:val="single" w:color="auto" w:sz="4" w:space="0"/>
              <w:right w:val="single" w:color="auto" w:sz="4" w:space="0"/>
            </w:tcBorders>
            <w:vAlign w:val="center"/>
          </w:tcPr>
          <w:p w14:paraId="0A65D56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两居室</w:t>
            </w:r>
          </w:p>
        </w:tc>
        <w:tc>
          <w:tcPr>
            <w:tcW w:w="968" w:type="pct"/>
            <w:tcBorders>
              <w:top w:val="single" w:color="auto" w:sz="4" w:space="0"/>
              <w:left w:val="nil"/>
              <w:bottom w:val="single" w:color="auto" w:sz="4" w:space="0"/>
              <w:right w:val="single" w:color="auto" w:sz="4" w:space="0"/>
            </w:tcBorders>
            <w:vAlign w:val="center"/>
          </w:tcPr>
          <w:p w14:paraId="7FB79FC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两居室</w:t>
            </w:r>
          </w:p>
        </w:tc>
        <w:tc>
          <w:tcPr>
            <w:tcW w:w="970" w:type="pct"/>
            <w:tcBorders>
              <w:top w:val="single" w:color="auto" w:sz="4" w:space="0"/>
              <w:left w:val="nil"/>
              <w:bottom w:val="single" w:color="auto" w:sz="4" w:space="0"/>
              <w:right w:val="single" w:color="auto" w:sz="4" w:space="0"/>
            </w:tcBorders>
            <w:vAlign w:val="center"/>
          </w:tcPr>
          <w:p w14:paraId="427AC38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两居室</w:t>
            </w:r>
          </w:p>
        </w:tc>
      </w:tr>
      <w:tr w14:paraId="727E3C13">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362DCD98">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1635145E">
            <w:pPr>
              <w:widowControl/>
              <w:adjustRightInd/>
              <w:spacing w:line="240" w:lineRule="auto"/>
              <w:jc w:val="center"/>
              <w:textAlignment w:val="auto"/>
              <w:rPr>
                <w:rFonts w:ascii="Arial" w:hAnsi="Arial" w:cs="Arial"/>
                <w:sz w:val="16"/>
                <w:szCs w:val="18"/>
              </w:rPr>
            </w:pPr>
            <w:r>
              <w:rPr>
                <w:rFonts w:ascii="Arial" w:hAnsi="Arial" w:cs="Arial"/>
                <w:sz w:val="16"/>
                <w:szCs w:val="18"/>
              </w:rPr>
              <w:t>户型结构</w:t>
            </w:r>
          </w:p>
        </w:tc>
        <w:tc>
          <w:tcPr>
            <w:tcW w:w="968" w:type="pct"/>
            <w:tcBorders>
              <w:top w:val="single" w:color="auto" w:sz="4" w:space="0"/>
              <w:left w:val="nil"/>
              <w:bottom w:val="single" w:color="auto" w:sz="4" w:space="0"/>
              <w:right w:val="single" w:color="auto" w:sz="4" w:space="0"/>
            </w:tcBorders>
            <w:vAlign w:val="center"/>
          </w:tcPr>
          <w:p w14:paraId="0D5B0CF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790CA5F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7547A67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70" w:type="pct"/>
            <w:tcBorders>
              <w:top w:val="single" w:color="auto" w:sz="4" w:space="0"/>
              <w:left w:val="nil"/>
              <w:bottom w:val="single" w:color="auto" w:sz="4" w:space="0"/>
              <w:right w:val="single" w:color="auto" w:sz="4" w:space="0"/>
            </w:tcBorders>
            <w:vAlign w:val="center"/>
          </w:tcPr>
          <w:p w14:paraId="58CAADE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r>
      <w:tr w14:paraId="56BF99B9">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6FD397D7">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23750586">
            <w:pPr>
              <w:widowControl/>
              <w:adjustRightInd/>
              <w:spacing w:line="240" w:lineRule="auto"/>
              <w:jc w:val="center"/>
              <w:textAlignment w:val="auto"/>
              <w:rPr>
                <w:rFonts w:ascii="Arial" w:hAnsi="Arial" w:cs="Arial"/>
                <w:sz w:val="16"/>
                <w:szCs w:val="18"/>
              </w:rPr>
            </w:pPr>
            <w:r>
              <w:rPr>
                <w:rFonts w:ascii="Arial" w:hAnsi="Arial" w:cs="Arial"/>
                <w:sz w:val="16"/>
                <w:szCs w:val="18"/>
              </w:rPr>
              <w:t>建筑面积（㎡）</w:t>
            </w:r>
          </w:p>
        </w:tc>
        <w:tc>
          <w:tcPr>
            <w:tcW w:w="968" w:type="pct"/>
            <w:tcBorders>
              <w:top w:val="single" w:color="auto" w:sz="4" w:space="0"/>
              <w:left w:val="nil"/>
              <w:bottom w:val="single" w:color="auto" w:sz="4" w:space="0"/>
              <w:right w:val="single" w:color="auto" w:sz="4" w:space="0"/>
            </w:tcBorders>
            <w:vAlign w:val="center"/>
          </w:tcPr>
          <w:p w14:paraId="5B61A73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99.64</w:t>
            </w:r>
          </w:p>
        </w:tc>
        <w:tc>
          <w:tcPr>
            <w:tcW w:w="968" w:type="pct"/>
            <w:tcBorders>
              <w:top w:val="single" w:color="auto" w:sz="4" w:space="0"/>
              <w:left w:val="nil"/>
              <w:bottom w:val="single" w:color="auto" w:sz="4" w:space="0"/>
              <w:right w:val="single" w:color="auto" w:sz="4" w:space="0"/>
            </w:tcBorders>
            <w:vAlign w:val="center"/>
          </w:tcPr>
          <w:p w14:paraId="4C59CCE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98.81</w:t>
            </w:r>
          </w:p>
        </w:tc>
        <w:tc>
          <w:tcPr>
            <w:tcW w:w="968" w:type="pct"/>
            <w:tcBorders>
              <w:top w:val="single" w:color="auto" w:sz="4" w:space="0"/>
              <w:left w:val="nil"/>
              <w:bottom w:val="single" w:color="auto" w:sz="4" w:space="0"/>
              <w:right w:val="single" w:color="auto" w:sz="4" w:space="0"/>
            </w:tcBorders>
            <w:vAlign w:val="center"/>
          </w:tcPr>
          <w:p w14:paraId="2C1618B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91.32</w:t>
            </w:r>
          </w:p>
        </w:tc>
        <w:tc>
          <w:tcPr>
            <w:tcW w:w="970" w:type="pct"/>
            <w:tcBorders>
              <w:top w:val="single" w:color="auto" w:sz="4" w:space="0"/>
              <w:left w:val="nil"/>
              <w:bottom w:val="single" w:color="auto" w:sz="4" w:space="0"/>
              <w:right w:val="single" w:color="auto" w:sz="4" w:space="0"/>
            </w:tcBorders>
            <w:vAlign w:val="center"/>
          </w:tcPr>
          <w:p w14:paraId="66BF5F8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89.37</w:t>
            </w:r>
          </w:p>
        </w:tc>
      </w:tr>
      <w:tr w14:paraId="79E825DA">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0F794173">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39D09A31">
            <w:pPr>
              <w:widowControl/>
              <w:adjustRightInd/>
              <w:spacing w:line="240" w:lineRule="auto"/>
              <w:jc w:val="center"/>
              <w:textAlignment w:val="auto"/>
              <w:rPr>
                <w:rFonts w:ascii="Arial" w:hAnsi="Arial" w:cs="Arial"/>
                <w:sz w:val="16"/>
                <w:szCs w:val="18"/>
              </w:rPr>
            </w:pPr>
            <w:r>
              <w:rPr>
                <w:rFonts w:ascii="Arial" w:hAnsi="Arial" w:cs="Arial"/>
                <w:sz w:val="16"/>
                <w:szCs w:val="18"/>
              </w:rPr>
              <w:t>家具家电</w:t>
            </w:r>
          </w:p>
        </w:tc>
        <w:tc>
          <w:tcPr>
            <w:tcW w:w="1844" w:type="dxa"/>
            <w:tcBorders>
              <w:top w:val="single" w:color="auto" w:sz="4" w:space="0"/>
              <w:left w:val="nil"/>
              <w:bottom w:val="single" w:color="auto" w:sz="4" w:space="0"/>
              <w:right w:val="single" w:color="auto" w:sz="4" w:space="0"/>
            </w:tcBorders>
            <w:vAlign w:val="center"/>
          </w:tcPr>
          <w:p w14:paraId="12B8133C">
            <w:pPr>
              <w:widowControl/>
              <w:adjustRightInd/>
              <w:spacing w:line="240" w:lineRule="auto"/>
              <w:jc w:val="center"/>
              <w:textAlignment w:val="auto"/>
              <w:rPr>
                <w:rFonts w:ascii="Arial" w:hAnsi="Arial" w:cs="Arial"/>
                <w:sz w:val="16"/>
                <w:szCs w:val="18"/>
              </w:rPr>
            </w:pPr>
            <w:r>
              <w:rPr>
                <w:rFonts w:ascii="Arial" w:hAnsi="Arial" w:cs="Arial"/>
                <w:sz w:val="16"/>
                <w:szCs w:val="18"/>
              </w:rPr>
              <w:t>配备</w:t>
            </w:r>
            <w:r>
              <w:rPr>
                <w:rFonts w:hint="eastAsia" w:ascii="Arial" w:hAnsi="Arial" w:cs="Arial"/>
                <w:sz w:val="16"/>
                <w:szCs w:val="18"/>
              </w:rPr>
              <w:t>品牌</w:t>
            </w:r>
            <w:r>
              <w:rPr>
                <w:rFonts w:ascii="Arial" w:hAnsi="Arial" w:cs="Arial"/>
                <w:sz w:val="16"/>
                <w:szCs w:val="18"/>
              </w:rPr>
              <w:t>家具、</w:t>
            </w:r>
            <w:r>
              <w:rPr>
                <w:rFonts w:hint="eastAsia" w:ascii="Arial" w:hAnsi="Arial" w:cs="Arial"/>
                <w:sz w:val="16"/>
                <w:szCs w:val="18"/>
              </w:rPr>
              <w:t>品牌</w:t>
            </w:r>
            <w:r>
              <w:rPr>
                <w:rFonts w:ascii="Arial" w:hAnsi="Arial" w:cs="Arial"/>
                <w:sz w:val="16"/>
                <w:szCs w:val="18"/>
              </w:rPr>
              <w:t>家电齐全；功能正常，质量有保证</w:t>
            </w:r>
            <w:r>
              <w:rPr>
                <w:rFonts w:hint="eastAsia" w:ascii="Arial" w:hAnsi="Arial" w:cs="Arial"/>
                <w:sz w:val="16"/>
                <w:szCs w:val="18"/>
              </w:rPr>
              <w:t>；配备网络设施；</w:t>
            </w:r>
            <w:r>
              <w:rPr>
                <w:rFonts w:ascii="Arial" w:hAnsi="Arial" w:cs="Arial"/>
                <w:sz w:val="16"/>
                <w:szCs w:val="18"/>
              </w:rPr>
              <w:t>好</w:t>
            </w:r>
          </w:p>
        </w:tc>
        <w:tc>
          <w:tcPr>
            <w:tcW w:w="1844" w:type="dxa"/>
            <w:tcBorders>
              <w:top w:val="single" w:color="auto" w:sz="4" w:space="0"/>
              <w:left w:val="nil"/>
              <w:bottom w:val="single" w:color="auto" w:sz="4" w:space="0"/>
              <w:right w:val="single" w:color="auto" w:sz="4" w:space="0"/>
            </w:tcBorders>
            <w:vAlign w:val="center"/>
          </w:tcPr>
          <w:p w14:paraId="3AC69893">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1844" w:type="dxa"/>
            <w:tcBorders>
              <w:top w:val="single" w:color="auto" w:sz="4" w:space="0"/>
              <w:left w:val="nil"/>
              <w:bottom w:val="single" w:color="auto" w:sz="4" w:space="0"/>
              <w:right w:val="single" w:color="auto" w:sz="4" w:space="0"/>
            </w:tcBorders>
            <w:vAlign w:val="center"/>
          </w:tcPr>
          <w:p w14:paraId="6FD80695">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1847" w:type="dxa"/>
            <w:tcBorders>
              <w:top w:val="single" w:color="auto" w:sz="4" w:space="0"/>
              <w:left w:val="nil"/>
              <w:bottom w:val="single" w:color="auto" w:sz="4" w:space="0"/>
              <w:right w:val="single" w:color="auto" w:sz="4" w:space="0"/>
            </w:tcBorders>
            <w:vAlign w:val="center"/>
          </w:tcPr>
          <w:p w14:paraId="4D817166">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r>
      <w:tr w14:paraId="5CA7EE67">
        <w:tblPrEx>
          <w:tblCellMar>
            <w:top w:w="0" w:type="dxa"/>
            <w:left w:w="108" w:type="dxa"/>
            <w:bottom w:w="0" w:type="dxa"/>
            <w:right w:w="108" w:type="dxa"/>
          </w:tblCellMar>
        </w:tblPrEx>
        <w:trPr>
          <w:trHeight w:val="397" w:hRule="atLeast"/>
          <w:jc w:val="center"/>
        </w:trPr>
        <w:tc>
          <w:tcPr>
            <w:tcW w:w="362" w:type="pct"/>
            <w:vMerge w:val="restart"/>
            <w:tcBorders>
              <w:left w:val="single" w:color="auto" w:sz="4" w:space="0"/>
              <w:bottom w:val="single" w:color="auto" w:sz="4" w:space="0"/>
              <w:right w:val="single" w:color="auto" w:sz="4" w:space="0"/>
            </w:tcBorders>
            <w:vAlign w:val="center"/>
          </w:tcPr>
          <w:p w14:paraId="5A010731">
            <w:pPr>
              <w:widowControl/>
              <w:adjustRightInd/>
              <w:spacing w:line="240" w:lineRule="auto"/>
              <w:jc w:val="center"/>
              <w:textAlignment w:val="auto"/>
              <w:rPr>
                <w:rFonts w:ascii="Arial" w:hAnsi="Arial" w:cs="Arial"/>
                <w:sz w:val="16"/>
                <w:szCs w:val="18"/>
              </w:rPr>
            </w:pPr>
            <w:r>
              <w:rPr>
                <w:rFonts w:ascii="Arial" w:hAnsi="Arial" w:cs="Arial"/>
                <w:sz w:val="16"/>
                <w:szCs w:val="18"/>
              </w:rPr>
              <w:t>权益状况</w:t>
            </w:r>
          </w:p>
        </w:tc>
        <w:tc>
          <w:tcPr>
            <w:tcW w:w="760" w:type="pct"/>
            <w:tcBorders>
              <w:top w:val="single" w:color="auto" w:sz="4" w:space="0"/>
              <w:left w:val="nil"/>
              <w:bottom w:val="single" w:color="auto" w:sz="4" w:space="0"/>
              <w:right w:val="single" w:color="auto" w:sz="4" w:space="0"/>
            </w:tcBorders>
            <w:vAlign w:val="center"/>
          </w:tcPr>
          <w:p w14:paraId="747DCB53">
            <w:pPr>
              <w:widowControl/>
              <w:adjustRightInd/>
              <w:spacing w:line="240" w:lineRule="auto"/>
              <w:jc w:val="center"/>
              <w:textAlignment w:val="auto"/>
              <w:rPr>
                <w:rFonts w:ascii="Arial" w:hAnsi="Arial" w:cs="Arial"/>
                <w:sz w:val="16"/>
                <w:szCs w:val="18"/>
              </w:rPr>
            </w:pPr>
            <w:r>
              <w:rPr>
                <w:rFonts w:ascii="Arial" w:hAnsi="Arial" w:cs="Arial"/>
                <w:sz w:val="16"/>
                <w:szCs w:val="18"/>
              </w:rPr>
              <w:t>服务及管理水平</w:t>
            </w:r>
          </w:p>
        </w:tc>
        <w:tc>
          <w:tcPr>
            <w:tcW w:w="968" w:type="pct"/>
            <w:tcBorders>
              <w:top w:val="single" w:color="auto" w:sz="4" w:space="0"/>
              <w:left w:val="nil"/>
              <w:bottom w:val="single" w:color="auto" w:sz="4" w:space="0"/>
              <w:right w:val="single" w:color="auto" w:sz="4" w:space="0"/>
            </w:tcBorders>
            <w:vAlign w:val="center"/>
          </w:tcPr>
          <w:p w14:paraId="18EE17E8">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0117D05D">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09A1324A">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70" w:type="pct"/>
            <w:tcBorders>
              <w:top w:val="single" w:color="auto" w:sz="4" w:space="0"/>
              <w:left w:val="nil"/>
              <w:bottom w:val="single" w:color="auto" w:sz="4" w:space="0"/>
              <w:right w:val="single" w:color="auto" w:sz="4" w:space="0"/>
            </w:tcBorders>
            <w:vAlign w:val="center"/>
          </w:tcPr>
          <w:p w14:paraId="081304B3">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r>
      <w:tr w14:paraId="40A16390">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3171BD6C">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737CABDA">
            <w:pPr>
              <w:widowControl/>
              <w:adjustRightInd/>
              <w:spacing w:line="240" w:lineRule="auto"/>
              <w:jc w:val="center"/>
              <w:textAlignment w:val="auto"/>
              <w:rPr>
                <w:rFonts w:ascii="Arial" w:hAnsi="Arial" w:cs="Arial"/>
                <w:sz w:val="16"/>
                <w:szCs w:val="18"/>
              </w:rPr>
            </w:pPr>
            <w:r>
              <w:rPr>
                <w:rFonts w:ascii="Arial" w:hAnsi="Arial" w:cs="Arial"/>
                <w:sz w:val="16"/>
                <w:szCs w:val="18"/>
              </w:rPr>
              <w:t>水电气费执行标准</w:t>
            </w:r>
          </w:p>
        </w:tc>
        <w:tc>
          <w:tcPr>
            <w:tcW w:w="968" w:type="pct"/>
            <w:tcBorders>
              <w:top w:val="single" w:color="auto" w:sz="4" w:space="0"/>
              <w:left w:val="nil"/>
              <w:bottom w:val="single" w:color="auto" w:sz="4" w:space="0"/>
              <w:right w:val="single" w:color="auto" w:sz="4" w:space="0"/>
            </w:tcBorders>
            <w:vAlign w:val="center"/>
          </w:tcPr>
          <w:p w14:paraId="10D9BF50">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0C8D0FF2">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1AA96D04">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70" w:type="pct"/>
            <w:tcBorders>
              <w:top w:val="single" w:color="auto" w:sz="4" w:space="0"/>
              <w:left w:val="nil"/>
              <w:bottom w:val="single" w:color="auto" w:sz="4" w:space="0"/>
              <w:right w:val="single" w:color="auto" w:sz="4" w:space="0"/>
            </w:tcBorders>
            <w:vAlign w:val="center"/>
          </w:tcPr>
          <w:p w14:paraId="70C7EB79">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r>
    </w:tbl>
    <w:p w14:paraId="0A7566A7">
      <w:pPr>
        <w:overflowPunct w:val="0"/>
        <w:spacing w:line="480" w:lineRule="auto"/>
        <w:ind w:firstLine="420" w:firstLineChars="200"/>
        <w:jc w:val="center"/>
        <w:rPr>
          <w:rFonts w:ascii="Arial" w:hAnsi="Arial"/>
          <w:sz w:val="21"/>
          <w:szCs w:val="21"/>
        </w:rPr>
      </w:pPr>
    </w:p>
    <w:p w14:paraId="54EFD841">
      <w:pPr>
        <w:overflowPunct w:val="0"/>
        <w:spacing w:line="480" w:lineRule="auto"/>
        <w:ind w:firstLine="420" w:firstLineChars="200"/>
        <w:jc w:val="center"/>
        <w:rPr>
          <w:rFonts w:ascii="Arial" w:hAnsi="Arial"/>
          <w:sz w:val="21"/>
          <w:szCs w:val="21"/>
        </w:rPr>
      </w:pPr>
    </w:p>
    <w:p w14:paraId="10480950">
      <w:pPr>
        <w:overflowPunct w:val="0"/>
        <w:spacing w:line="480" w:lineRule="auto"/>
        <w:ind w:firstLine="420" w:firstLineChars="200"/>
        <w:jc w:val="center"/>
        <w:rPr>
          <w:rFonts w:ascii="Arial" w:hAnsi="Arial"/>
          <w:sz w:val="21"/>
          <w:szCs w:val="21"/>
        </w:rPr>
      </w:pPr>
    </w:p>
    <w:p w14:paraId="3699F16B">
      <w:pPr>
        <w:overflowPunct w:val="0"/>
        <w:spacing w:line="480" w:lineRule="auto"/>
        <w:ind w:firstLine="420" w:firstLineChars="200"/>
        <w:jc w:val="center"/>
        <w:rPr>
          <w:rFonts w:ascii="Arial" w:hAnsi="Arial"/>
          <w:sz w:val="21"/>
          <w:szCs w:val="21"/>
        </w:rPr>
      </w:pPr>
    </w:p>
    <w:p w14:paraId="4ACF67EB">
      <w:pPr>
        <w:overflowPunct w:val="0"/>
        <w:spacing w:line="480" w:lineRule="auto"/>
        <w:ind w:firstLine="420" w:firstLineChars="200"/>
        <w:jc w:val="center"/>
        <w:rPr>
          <w:rFonts w:ascii="Arial" w:hAnsi="Arial"/>
          <w:sz w:val="21"/>
          <w:szCs w:val="21"/>
        </w:rPr>
      </w:pPr>
    </w:p>
    <w:p w14:paraId="11D2783E">
      <w:pPr>
        <w:overflowPunct w:val="0"/>
        <w:spacing w:line="480" w:lineRule="auto"/>
        <w:ind w:firstLine="420" w:firstLineChars="200"/>
        <w:jc w:val="center"/>
        <w:rPr>
          <w:rFonts w:ascii="Arial" w:hAnsi="Arial"/>
          <w:sz w:val="21"/>
          <w:szCs w:val="21"/>
        </w:rPr>
      </w:pPr>
    </w:p>
    <w:p w14:paraId="525B9C24">
      <w:pPr>
        <w:overflowPunct w:val="0"/>
        <w:spacing w:line="480" w:lineRule="auto"/>
        <w:ind w:firstLine="420" w:firstLineChars="200"/>
        <w:jc w:val="center"/>
        <w:rPr>
          <w:rFonts w:ascii="Arial" w:hAnsi="Arial"/>
          <w:sz w:val="21"/>
          <w:szCs w:val="21"/>
        </w:rPr>
      </w:pPr>
    </w:p>
    <w:p w14:paraId="1F820512">
      <w:pPr>
        <w:overflowPunct w:val="0"/>
        <w:spacing w:line="480" w:lineRule="auto"/>
        <w:ind w:firstLine="420" w:firstLineChars="200"/>
        <w:jc w:val="center"/>
        <w:rPr>
          <w:rFonts w:ascii="Arial" w:hAnsi="Arial"/>
          <w:sz w:val="21"/>
          <w:szCs w:val="21"/>
        </w:rPr>
      </w:pPr>
    </w:p>
    <w:p w14:paraId="5A093DE8">
      <w:pPr>
        <w:overflowPunct w:val="0"/>
        <w:spacing w:line="480" w:lineRule="auto"/>
        <w:ind w:firstLine="420" w:firstLineChars="200"/>
        <w:jc w:val="center"/>
        <w:rPr>
          <w:rFonts w:ascii="Arial" w:hAnsi="Arial"/>
          <w:sz w:val="21"/>
          <w:szCs w:val="21"/>
        </w:rPr>
      </w:pPr>
    </w:p>
    <w:p w14:paraId="2F98DA3A">
      <w:pPr>
        <w:wordWrap w:val="0"/>
        <w:overflowPunct w:val="0"/>
        <w:spacing w:line="480" w:lineRule="auto"/>
        <w:rPr>
          <w:rFonts w:ascii="Arial" w:hAnsi="Arial"/>
          <w:sz w:val="21"/>
          <w:szCs w:val="21"/>
        </w:rPr>
      </w:pPr>
    </w:p>
    <w:p w14:paraId="15F8C0F5">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（2）</w:t>
      </w:r>
      <w:r>
        <w:rPr>
          <w:rFonts w:ascii="Arial" w:hAnsi="Arial"/>
          <w:sz w:val="21"/>
          <w:szCs w:val="21"/>
        </w:rPr>
        <w:t xml:space="preserve"> </w:t>
      </w:r>
      <w:r>
        <w:rPr>
          <w:rFonts w:hint="eastAsia" w:ascii="Arial" w:hAnsi="Arial"/>
          <w:sz w:val="21"/>
          <w:szCs w:val="21"/>
        </w:rPr>
        <w:t>建立比较因素条件指数表和因素比较修正系数表</w:t>
      </w:r>
      <w:r>
        <w:rPr>
          <w:rFonts w:ascii="Arial" w:hAnsi="Arial"/>
          <w:sz w:val="21"/>
          <w:szCs w:val="21"/>
        </w:rPr>
        <w:t xml:space="preserve"> </w:t>
      </w:r>
    </w:p>
    <w:p w14:paraId="030F4156">
      <w:pPr>
        <w:wordWrap w:val="0"/>
        <w:overflowPunct w:val="0"/>
        <w:spacing w:line="480" w:lineRule="auto"/>
        <w:ind w:firstLine="420" w:firstLineChars="200"/>
        <w:rPr>
          <w:rFonts w:ascii="Arial" w:hAnsi="Arial"/>
          <w:sz w:val="21"/>
          <w:szCs w:val="21"/>
        </w:rPr>
      </w:pPr>
      <w:r>
        <w:rPr>
          <w:rFonts w:ascii="Arial" w:hAnsi="Arial"/>
          <w:sz w:val="21"/>
          <w:szCs w:val="21"/>
        </w:rPr>
        <w:t>根据对估价对象和可比案例情况的分析，把各可比案例的自身状况按照参比因素分别与估价对象的相应状况进行比较，编制比较因素条件指数表。具体如下</w:t>
      </w:r>
      <w:r>
        <w:rPr>
          <w:rFonts w:hint="eastAsia" w:ascii="Arial" w:hAnsi="Arial"/>
          <w:sz w:val="21"/>
          <w:szCs w:val="21"/>
        </w:rPr>
        <w:t>：</w:t>
      </w:r>
    </w:p>
    <w:p w14:paraId="7B4A3AE8">
      <w:pPr>
        <w:overflowPunct w:val="0"/>
        <w:spacing w:line="480" w:lineRule="auto"/>
        <w:ind w:firstLine="420" w:firstLineChars="200"/>
        <w:jc w:val="center"/>
        <w:rPr>
          <w:rFonts w:ascii="Arial" w:hAnsi="Arial"/>
          <w:sz w:val="21"/>
          <w:szCs w:val="21"/>
        </w:rPr>
      </w:pPr>
      <w:r>
        <w:rPr>
          <w:rFonts w:hint="eastAsia" w:ascii="Arial" w:hAnsi="Arial"/>
          <w:sz w:val="21"/>
          <w:szCs w:val="21"/>
        </w:rPr>
        <w:t>福兴雅苑</w:t>
      </w:r>
      <w:r>
        <w:rPr>
          <w:rFonts w:ascii="Arial" w:hAnsi="Arial"/>
          <w:sz w:val="21"/>
          <w:szCs w:val="21"/>
        </w:rPr>
        <w:t>比较因素条件指数表</w:t>
      </w:r>
    </w:p>
    <w:tbl>
      <w:tblPr>
        <w:tblStyle w:val="33"/>
        <w:tblW w:w="4936" w:type="pct"/>
        <w:jc w:val="center"/>
        <w:tblLayout w:type="autofit"/>
        <w:tblCellMar>
          <w:top w:w="57" w:type="dxa"/>
          <w:left w:w="57" w:type="dxa"/>
          <w:bottom w:w="57" w:type="dxa"/>
          <w:right w:w="57" w:type="dxa"/>
        </w:tblCellMar>
      </w:tblPr>
      <w:tblGrid>
        <w:gridCol w:w="566"/>
        <w:gridCol w:w="996"/>
        <w:gridCol w:w="988"/>
        <w:gridCol w:w="988"/>
        <w:gridCol w:w="988"/>
        <w:gridCol w:w="988"/>
        <w:gridCol w:w="3779"/>
      </w:tblGrid>
      <w:tr w14:paraId="73E8CD32">
        <w:tblPrEx>
          <w:tblCellMar>
            <w:top w:w="57" w:type="dxa"/>
            <w:left w:w="57" w:type="dxa"/>
            <w:bottom w:w="57" w:type="dxa"/>
            <w:right w:w="57" w:type="dxa"/>
          </w:tblCellMar>
        </w:tblPrEx>
        <w:trPr>
          <w:trHeight w:val="20" w:hRule="atLeast"/>
          <w:tblHeader/>
          <w:jc w:val="center"/>
        </w:trPr>
        <w:tc>
          <w:tcPr>
            <w:tcW w:w="841" w:type="pct"/>
            <w:gridSpan w:val="2"/>
            <w:vMerge w:val="restart"/>
            <w:tcBorders>
              <w:top w:val="single" w:color="auto" w:sz="4" w:space="0"/>
              <w:left w:val="single" w:color="auto" w:sz="4" w:space="0"/>
              <w:bottom w:val="single" w:color="000000" w:sz="4" w:space="0"/>
              <w:right w:val="single" w:color="000000" w:sz="4" w:space="0"/>
              <w:tl2br w:val="single" w:color="auto" w:sz="4" w:space="0"/>
            </w:tcBorders>
            <w:vAlign w:val="center"/>
          </w:tcPr>
          <w:p w14:paraId="69C2DF1A">
            <w:pPr>
              <w:snapToGrid w:val="0"/>
              <w:spacing w:line="240" w:lineRule="exact"/>
              <w:jc w:val="right"/>
              <w:rPr>
                <w:rFonts w:hint="eastAsia" w:ascii="宋体" w:hAnsi="宋体" w:cs="Arial"/>
                <w:sz w:val="16"/>
                <w:szCs w:val="18"/>
              </w:rPr>
            </w:pPr>
            <w:r>
              <w:rPr>
                <w:rFonts w:ascii="宋体" w:hAnsi="宋体" w:cs="Arial"/>
                <w:sz w:val="16"/>
                <w:szCs w:val="18"/>
              </w:rPr>
              <w:t>估价对象及</w:t>
            </w:r>
          </w:p>
          <w:p w14:paraId="73F5CCEC">
            <w:pPr>
              <w:snapToGrid w:val="0"/>
              <w:spacing w:line="240" w:lineRule="exact"/>
              <w:jc w:val="right"/>
              <w:rPr>
                <w:rFonts w:hint="eastAsia" w:ascii="宋体" w:hAnsi="宋体" w:cs="Arial"/>
                <w:sz w:val="16"/>
                <w:szCs w:val="18"/>
              </w:rPr>
            </w:pPr>
            <w:r>
              <w:rPr>
                <w:rFonts w:ascii="宋体" w:hAnsi="宋体" w:cs="Arial"/>
                <w:sz w:val="16"/>
                <w:szCs w:val="18"/>
              </w:rPr>
              <w:t>可比实例</w:t>
            </w:r>
          </w:p>
          <w:p w14:paraId="37C369D4">
            <w:pPr>
              <w:snapToGrid w:val="0"/>
              <w:spacing w:line="240" w:lineRule="exact"/>
              <w:jc w:val="both"/>
              <w:rPr>
                <w:rFonts w:hint="eastAsia" w:ascii="宋体" w:hAnsi="宋体" w:cs="Arial"/>
                <w:sz w:val="16"/>
                <w:szCs w:val="18"/>
              </w:rPr>
            </w:pPr>
          </w:p>
          <w:p w14:paraId="5EBFB9AA">
            <w:pPr>
              <w:snapToGrid w:val="0"/>
              <w:spacing w:line="240" w:lineRule="exact"/>
              <w:jc w:val="both"/>
              <w:rPr>
                <w:rFonts w:hint="eastAsia" w:ascii="宋体" w:hAnsi="宋体" w:cs="Arial"/>
                <w:sz w:val="16"/>
                <w:szCs w:val="18"/>
              </w:rPr>
            </w:pPr>
          </w:p>
          <w:p w14:paraId="7C428BD1">
            <w:pPr>
              <w:snapToGrid w:val="0"/>
              <w:spacing w:line="240" w:lineRule="exact"/>
              <w:jc w:val="both"/>
              <w:rPr>
                <w:rFonts w:hint="eastAsia" w:ascii="宋体" w:hAnsi="宋体" w:cs="Arial"/>
                <w:sz w:val="16"/>
                <w:szCs w:val="18"/>
              </w:rPr>
            </w:pPr>
            <w:r>
              <w:rPr>
                <w:rFonts w:ascii="宋体" w:hAnsi="宋体" w:cs="Arial"/>
                <w:sz w:val="16"/>
                <w:szCs w:val="18"/>
              </w:rPr>
              <w:t>比较因素</w:t>
            </w:r>
          </w:p>
        </w:tc>
        <w:tc>
          <w:tcPr>
            <w:tcW w:w="531" w:type="pct"/>
            <w:tcBorders>
              <w:top w:val="single" w:color="auto" w:sz="4" w:space="0"/>
              <w:left w:val="nil"/>
              <w:bottom w:val="single" w:color="auto" w:sz="4" w:space="0"/>
              <w:right w:val="single" w:color="auto" w:sz="4" w:space="0"/>
            </w:tcBorders>
            <w:vAlign w:val="center"/>
          </w:tcPr>
          <w:p w14:paraId="1FFAC1B2">
            <w:pPr>
              <w:snapToGrid w:val="0"/>
              <w:spacing w:line="240" w:lineRule="exact"/>
              <w:jc w:val="both"/>
              <w:rPr>
                <w:rFonts w:hint="eastAsia" w:ascii="宋体" w:hAnsi="宋体" w:cs="Arial"/>
                <w:sz w:val="16"/>
                <w:szCs w:val="18"/>
              </w:rPr>
            </w:pPr>
            <w:r>
              <w:rPr>
                <w:rFonts w:ascii="宋体" w:hAnsi="宋体" w:cs="Arial"/>
                <w:sz w:val="16"/>
                <w:szCs w:val="18"/>
              </w:rPr>
              <w:t>估价对象</w:t>
            </w:r>
          </w:p>
        </w:tc>
        <w:tc>
          <w:tcPr>
            <w:tcW w:w="531" w:type="pct"/>
            <w:tcBorders>
              <w:top w:val="single" w:color="auto" w:sz="4" w:space="0"/>
              <w:left w:val="nil"/>
              <w:bottom w:val="single" w:color="auto" w:sz="4" w:space="0"/>
              <w:right w:val="single" w:color="auto" w:sz="4" w:space="0"/>
            </w:tcBorders>
            <w:vAlign w:val="center"/>
          </w:tcPr>
          <w:p w14:paraId="71E58B60">
            <w:pPr>
              <w:snapToGrid w:val="0"/>
              <w:spacing w:line="240" w:lineRule="exact"/>
              <w:jc w:val="both"/>
              <w:rPr>
                <w:rFonts w:hint="eastAsia" w:ascii="宋体" w:hAnsi="宋体" w:cs="Arial"/>
                <w:sz w:val="16"/>
                <w:szCs w:val="18"/>
              </w:rPr>
            </w:pPr>
            <w:r>
              <w:rPr>
                <w:rFonts w:ascii="宋体" w:hAnsi="宋体" w:cs="Arial"/>
                <w:sz w:val="16"/>
                <w:szCs w:val="18"/>
              </w:rPr>
              <w:t>可比实例</w:t>
            </w:r>
            <w:r>
              <w:rPr>
                <w:rFonts w:hint="eastAsia" w:ascii="宋体" w:hAnsi="宋体" w:cs="Arial"/>
                <w:sz w:val="16"/>
                <w:szCs w:val="18"/>
              </w:rPr>
              <w:t>10</w:t>
            </w:r>
          </w:p>
        </w:tc>
        <w:tc>
          <w:tcPr>
            <w:tcW w:w="531" w:type="pct"/>
            <w:tcBorders>
              <w:top w:val="single" w:color="auto" w:sz="4" w:space="0"/>
              <w:left w:val="nil"/>
              <w:bottom w:val="single" w:color="auto" w:sz="4" w:space="0"/>
              <w:right w:val="single" w:color="auto" w:sz="4" w:space="0"/>
            </w:tcBorders>
            <w:vAlign w:val="center"/>
          </w:tcPr>
          <w:p w14:paraId="0E20C72E">
            <w:pPr>
              <w:snapToGrid w:val="0"/>
              <w:spacing w:line="240" w:lineRule="exact"/>
              <w:jc w:val="both"/>
              <w:rPr>
                <w:rFonts w:hint="eastAsia" w:ascii="宋体" w:hAnsi="宋体" w:cs="Arial"/>
                <w:sz w:val="16"/>
                <w:szCs w:val="18"/>
              </w:rPr>
            </w:pPr>
            <w:r>
              <w:rPr>
                <w:rFonts w:ascii="宋体" w:hAnsi="宋体" w:cs="Arial"/>
                <w:sz w:val="16"/>
                <w:szCs w:val="18"/>
              </w:rPr>
              <w:t>可比实例</w:t>
            </w:r>
            <w:r>
              <w:rPr>
                <w:rFonts w:hint="eastAsia" w:ascii="宋体" w:hAnsi="宋体" w:cs="Arial"/>
                <w:sz w:val="16"/>
                <w:szCs w:val="18"/>
              </w:rPr>
              <w:t>11</w:t>
            </w:r>
          </w:p>
        </w:tc>
        <w:tc>
          <w:tcPr>
            <w:tcW w:w="531" w:type="pct"/>
            <w:tcBorders>
              <w:top w:val="single" w:color="auto" w:sz="4" w:space="0"/>
              <w:left w:val="nil"/>
              <w:bottom w:val="single" w:color="auto" w:sz="4" w:space="0"/>
              <w:right w:val="single" w:color="auto" w:sz="4" w:space="0"/>
            </w:tcBorders>
            <w:vAlign w:val="center"/>
          </w:tcPr>
          <w:p w14:paraId="1A85F95E">
            <w:pPr>
              <w:snapToGrid w:val="0"/>
              <w:spacing w:line="240" w:lineRule="exact"/>
              <w:jc w:val="both"/>
              <w:rPr>
                <w:rFonts w:hint="eastAsia" w:ascii="宋体" w:hAnsi="宋体" w:cs="Arial"/>
                <w:sz w:val="16"/>
                <w:szCs w:val="18"/>
              </w:rPr>
            </w:pPr>
            <w:r>
              <w:rPr>
                <w:rFonts w:ascii="宋体" w:hAnsi="宋体" w:cs="Arial"/>
                <w:sz w:val="16"/>
                <w:szCs w:val="18"/>
              </w:rPr>
              <w:t>可比实例</w:t>
            </w:r>
            <w:r>
              <w:rPr>
                <w:rFonts w:hint="eastAsia" w:ascii="宋体" w:hAnsi="宋体" w:cs="Arial"/>
                <w:sz w:val="16"/>
                <w:szCs w:val="18"/>
              </w:rPr>
              <w:t>12</w:t>
            </w:r>
          </w:p>
        </w:tc>
        <w:tc>
          <w:tcPr>
            <w:tcW w:w="2032" w:type="pct"/>
            <w:tcBorders>
              <w:top w:val="single" w:color="auto" w:sz="4" w:space="0"/>
              <w:left w:val="nil"/>
              <w:bottom w:val="single" w:color="auto" w:sz="4" w:space="0"/>
              <w:right w:val="single" w:color="auto" w:sz="4" w:space="0"/>
            </w:tcBorders>
            <w:vAlign w:val="center"/>
          </w:tcPr>
          <w:p w14:paraId="20BC53D5">
            <w:pPr>
              <w:snapToGrid w:val="0"/>
              <w:spacing w:line="240" w:lineRule="exact"/>
              <w:jc w:val="both"/>
              <w:rPr>
                <w:rFonts w:hint="eastAsia" w:ascii="宋体" w:hAnsi="宋体" w:cs="Arial"/>
                <w:sz w:val="16"/>
                <w:szCs w:val="18"/>
              </w:rPr>
            </w:pPr>
            <w:r>
              <w:rPr>
                <w:rFonts w:ascii="宋体" w:hAnsi="宋体" w:cs="Arial"/>
                <w:sz w:val="16"/>
                <w:szCs w:val="18"/>
              </w:rPr>
              <w:t>比较因素调整说明</w:t>
            </w:r>
          </w:p>
        </w:tc>
      </w:tr>
      <w:tr w14:paraId="6D972FD5">
        <w:tblPrEx>
          <w:tblCellMar>
            <w:top w:w="57" w:type="dxa"/>
            <w:left w:w="57" w:type="dxa"/>
            <w:bottom w:w="57" w:type="dxa"/>
            <w:right w:w="57" w:type="dxa"/>
          </w:tblCellMar>
        </w:tblPrEx>
        <w:trPr>
          <w:trHeight w:val="20" w:hRule="atLeast"/>
          <w:tblHeader/>
          <w:jc w:val="center"/>
        </w:trPr>
        <w:tc>
          <w:tcPr>
            <w:tcW w:w="841" w:type="pct"/>
            <w:gridSpan w:val="2"/>
            <w:vMerge w:val="continue"/>
            <w:tcBorders>
              <w:top w:val="single" w:color="auto" w:sz="4" w:space="0"/>
              <w:left w:val="single" w:color="auto" w:sz="4" w:space="0"/>
              <w:bottom w:val="single" w:color="000000" w:sz="4" w:space="0"/>
              <w:right w:val="single" w:color="000000" w:sz="4" w:space="0"/>
            </w:tcBorders>
            <w:vAlign w:val="center"/>
          </w:tcPr>
          <w:p w14:paraId="4514E78E">
            <w:pPr>
              <w:snapToGrid w:val="0"/>
              <w:spacing w:line="240" w:lineRule="exact"/>
              <w:jc w:val="both"/>
              <w:rPr>
                <w:rFonts w:hint="eastAsia" w:ascii="宋体" w:hAnsi="宋体" w:cs="Arial"/>
                <w:sz w:val="16"/>
                <w:szCs w:val="18"/>
              </w:rPr>
            </w:pPr>
          </w:p>
        </w:tc>
        <w:tc>
          <w:tcPr>
            <w:tcW w:w="531" w:type="pct"/>
            <w:tcBorders>
              <w:top w:val="nil"/>
              <w:left w:val="nil"/>
              <w:bottom w:val="single" w:color="auto" w:sz="4" w:space="0"/>
              <w:right w:val="single" w:color="auto" w:sz="4" w:space="0"/>
            </w:tcBorders>
            <w:vAlign w:val="center"/>
          </w:tcPr>
          <w:p w14:paraId="4E041E1C">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福兴雅苑</w:t>
            </w:r>
          </w:p>
        </w:tc>
        <w:tc>
          <w:tcPr>
            <w:tcW w:w="531" w:type="pct"/>
            <w:tcBorders>
              <w:top w:val="nil"/>
              <w:left w:val="nil"/>
              <w:bottom w:val="single" w:color="auto" w:sz="4" w:space="0"/>
              <w:right w:val="single" w:color="auto" w:sz="4" w:space="0"/>
            </w:tcBorders>
            <w:vAlign w:val="center"/>
          </w:tcPr>
          <w:p w14:paraId="0F03E4C0">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531" w:type="pct"/>
            <w:tcBorders>
              <w:top w:val="nil"/>
              <w:left w:val="nil"/>
              <w:bottom w:val="single" w:color="auto" w:sz="4" w:space="0"/>
              <w:right w:val="single" w:color="auto" w:sz="4" w:space="0"/>
            </w:tcBorders>
            <w:vAlign w:val="center"/>
          </w:tcPr>
          <w:p w14:paraId="236B65A8">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漪景园</w:t>
            </w:r>
          </w:p>
        </w:tc>
        <w:tc>
          <w:tcPr>
            <w:tcW w:w="531" w:type="pct"/>
            <w:tcBorders>
              <w:top w:val="nil"/>
              <w:left w:val="nil"/>
              <w:bottom w:val="single" w:color="auto" w:sz="4" w:space="0"/>
              <w:right w:val="single" w:color="auto" w:sz="4" w:space="0"/>
            </w:tcBorders>
            <w:vAlign w:val="center"/>
          </w:tcPr>
          <w:p w14:paraId="6A279194">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c>
          <w:tcPr>
            <w:tcW w:w="2032" w:type="pct"/>
            <w:tcBorders>
              <w:top w:val="nil"/>
              <w:left w:val="nil"/>
              <w:bottom w:val="single" w:color="auto" w:sz="4" w:space="0"/>
              <w:right w:val="single" w:color="auto" w:sz="4" w:space="0"/>
            </w:tcBorders>
            <w:vAlign w:val="center"/>
          </w:tcPr>
          <w:p w14:paraId="0B08D9C6">
            <w:pPr>
              <w:snapToGrid w:val="0"/>
              <w:spacing w:line="240" w:lineRule="exact"/>
              <w:jc w:val="both"/>
              <w:rPr>
                <w:rFonts w:hint="eastAsia" w:ascii="宋体" w:hAnsi="宋体" w:cs="Arial"/>
                <w:sz w:val="16"/>
                <w:szCs w:val="18"/>
              </w:rPr>
            </w:pPr>
            <w:r>
              <w:rPr>
                <w:rFonts w:ascii="宋体" w:hAnsi="宋体" w:cs="Arial"/>
                <w:sz w:val="16"/>
                <w:szCs w:val="18"/>
              </w:rPr>
              <w:t>——</w:t>
            </w:r>
          </w:p>
        </w:tc>
      </w:tr>
      <w:tr w14:paraId="422DA089">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000000" w:sz="4" w:space="0"/>
            </w:tcBorders>
            <w:vAlign w:val="center"/>
          </w:tcPr>
          <w:p w14:paraId="5C12F357">
            <w:pPr>
              <w:snapToGrid w:val="0"/>
              <w:spacing w:line="240" w:lineRule="exact"/>
              <w:jc w:val="both"/>
              <w:rPr>
                <w:rFonts w:hint="eastAsia" w:ascii="宋体" w:hAnsi="宋体" w:cs="Arial"/>
                <w:sz w:val="16"/>
                <w:szCs w:val="18"/>
              </w:rPr>
            </w:pPr>
            <w:r>
              <w:rPr>
                <w:rFonts w:ascii="宋体" w:hAnsi="宋体" w:cs="Arial"/>
                <w:sz w:val="16"/>
                <w:szCs w:val="18"/>
              </w:rPr>
              <w:t>确定的租金价格（元/平方米·天）</w:t>
            </w:r>
          </w:p>
        </w:tc>
        <w:tc>
          <w:tcPr>
            <w:tcW w:w="531" w:type="pct"/>
            <w:tcBorders>
              <w:top w:val="nil"/>
              <w:left w:val="nil"/>
              <w:bottom w:val="single" w:color="auto" w:sz="4" w:space="0"/>
              <w:right w:val="single" w:color="auto" w:sz="4" w:space="0"/>
            </w:tcBorders>
            <w:noWrap/>
            <w:vAlign w:val="center"/>
          </w:tcPr>
          <w:p w14:paraId="5E0E3F46">
            <w:pPr>
              <w:pStyle w:val="61"/>
              <w:autoSpaceDE w:val="0"/>
              <w:autoSpaceDN w:val="0"/>
              <w:spacing w:line="240" w:lineRule="exact"/>
              <w:jc w:val="left"/>
              <w:textAlignment w:val="bottom"/>
              <w:rPr>
                <w:rFonts w:hint="eastAsia" w:hAnsi="宋体" w:cs="Arial"/>
                <w:sz w:val="16"/>
                <w:szCs w:val="18"/>
              </w:rPr>
            </w:pPr>
            <w:r>
              <w:rPr>
                <w:rFonts w:ascii="Arial" w:hAnsi="Arial" w:cs="Arial"/>
                <w:sz w:val="16"/>
                <w:szCs w:val="18"/>
              </w:rPr>
              <w:t>待估</w:t>
            </w:r>
          </w:p>
        </w:tc>
        <w:tc>
          <w:tcPr>
            <w:tcW w:w="531" w:type="pct"/>
            <w:tcBorders>
              <w:top w:val="nil"/>
              <w:left w:val="nil"/>
              <w:bottom w:val="single" w:color="auto" w:sz="4" w:space="0"/>
              <w:right w:val="single" w:color="auto" w:sz="4" w:space="0"/>
            </w:tcBorders>
            <w:noWrap/>
            <w:vAlign w:val="center"/>
          </w:tcPr>
          <w:p w14:paraId="639E4522">
            <w:pPr>
              <w:autoSpaceDE w:val="0"/>
              <w:autoSpaceDN w:val="0"/>
              <w:spacing w:line="240" w:lineRule="exact"/>
              <w:textAlignment w:val="bottom"/>
              <w:rPr>
                <w:rFonts w:ascii="Arial" w:hAnsi="Arial" w:cs="Arial"/>
                <w:sz w:val="16"/>
                <w:szCs w:val="18"/>
              </w:rPr>
            </w:pPr>
            <w:r>
              <w:rPr>
                <w:rFonts w:hint="eastAsia" w:ascii="Arial" w:hAnsi="Arial" w:cs="Arial"/>
                <w:sz w:val="16"/>
                <w:szCs w:val="18"/>
              </w:rPr>
              <w:t>40.52</w:t>
            </w:r>
          </w:p>
        </w:tc>
        <w:tc>
          <w:tcPr>
            <w:tcW w:w="531" w:type="pct"/>
            <w:tcBorders>
              <w:top w:val="nil"/>
              <w:left w:val="nil"/>
              <w:bottom w:val="single" w:color="auto" w:sz="4" w:space="0"/>
              <w:right w:val="single" w:color="auto" w:sz="4" w:space="0"/>
            </w:tcBorders>
            <w:noWrap/>
            <w:vAlign w:val="center"/>
          </w:tcPr>
          <w:p w14:paraId="49CF07FC">
            <w:pPr>
              <w:autoSpaceDE w:val="0"/>
              <w:autoSpaceDN w:val="0"/>
              <w:spacing w:line="240" w:lineRule="exact"/>
              <w:textAlignment w:val="bottom"/>
              <w:rPr>
                <w:rFonts w:ascii="Arial" w:hAnsi="Arial" w:cs="Arial"/>
                <w:sz w:val="16"/>
                <w:szCs w:val="18"/>
              </w:rPr>
            </w:pPr>
            <w:r>
              <w:rPr>
                <w:rFonts w:hint="eastAsia" w:ascii="Arial" w:hAnsi="Arial" w:cs="Arial"/>
                <w:sz w:val="16"/>
                <w:szCs w:val="18"/>
              </w:rPr>
              <w:t>40.12</w:t>
            </w:r>
          </w:p>
        </w:tc>
        <w:tc>
          <w:tcPr>
            <w:tcW w:w="531" w:type="pct"/>
            <w:tcBorders>
              <w:top w:val="nil"/>
              <w:left w:val="nil"/>
              <w:bottom w:val="single" w:color="auto" w:sz="4" w:space="0"/>
              <w:right w:val="single" w:color="auto" w:sz="4" w:space="0"/>
            </w:tcBorders>
            <w:noWrap/>
            <w:vAlign w:val="center"/>
          </w:tcPr>
          <w:p w14:paraId="26723833">
            <w:pPr>
              <w:autoSpaceDE w:val="0"/>
              <w:autoSpaceDN w:val="0"/>
              <w:spacing w:line="240" w:lineRule="exact"/>
              <w:textAlignment w:val="bottom"/>
              <w:rPr>
                <w:rFonts w:ascii="Arial" w:hAnsi="Arial" w:cs="Arial"/>
                <w:sz w:val="16"/>
                <w:szCs w:val="18"/>
              </w:rPr>
            </w:pPr>
            <w:r>
              <w:rPr>
                <w:rFonts w:hint="eastAsia" w:ascii="Arial" w:hAnsi="Arial" w:cs="Arial"/>
                <w:sz w:val="16"/>
                <w:szCs w:val="18"/>
              </w:rPr>
              <w:t>41.28</w:t>
            </w:r>
          </w:p>
        </w:tc>
        <w:tc>
          <w:tcPr>
            <w:tcW w:w="2032" w:type="pct"/>
            <w:tcBorders>
              <w:top w:val="nil"/>
              <w:left w:val="nil"/>
              <w:bottom w:val="single" w:color="auto" w:sz="4" w:space="0"/>
              <w:right w:val="single" w:color="auto" w:sz="4" w:space="0"/>
            </w:tcBorders>
            <w:vAlign w:val="center"/>
          </w:tcPr>
          <w:p w14:paraId="06E2B45A">
            <w:pPr>
              <w:snapToGrid w:val="0"/>
              <w:spacing w:line="240" w:lineRule="exact"/>
              <w:jc w:val="both"/>
              <w:rPr>
                <w:rFonts w:hint="eastAsia" w:ascii="宋体" w:hAnsi="宋体" w:cs="Arial"/>
                <w:sz w:val="16"/>
                <w:szCs w:val="18"/>
              </w:rPr>
            </w:pPr>
            <w:r>
              <w:rPr>
                <w:rFonts w:ascii="宋体" w:hAnsi="宋体" w:cs="Arial"/>
                <w:sz w:val="16"/>
                <w:szCs w:val="18"/>
              </w:rPr>
              <w:t>——</w:t>
            </w:r>
          </w:p>
        </w:tc>
      </w:tr>
      <w:tr w14:paraId="6C151C02">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auto" w:sz="4" w:space="0"/>
            </w:tcBorders>
            <w:vAlign w:val="center"/>
          </w:tcPr>
          <w:p w14:paraId="6B747851">
            <w:pPr>
              <w:snapToGrid w:val="0"/>
              <w:spacing w:line="240" w:lineRule="exact"/>
              <w:jc w:val="both"/>
              <w:rPr>
                <w:rFonts w:hint="eastAsia" w:ascii="宋体" w:hAnsi="宋体" w:cs="Arial"/>
                <w:sz w:val="16"/>
                <w:szCs w:val="18"/>
              </w:rPr>
            </w:pPr>
            <w:r>
              <w:rPr>
                <w:rFonts w:ascii="宋体" w:hAnsi="宋体" w:cs="Arial"/>
                <w:sz w:val="16"/>
                <w:szCs w:val="18"/>
              </w:rPr>
              <w:t>交易时间</w:t>
            </w:r>
          </w:p>
        </w:tc>
        <w:tc>
          <w:tcPr>
            <w:tcW w:w="531" w:type="pct"/>
            <w:tcBorders>
              <w:top w:val="nil"/>
              <w:left w:val="nil"/>
              <w:bottom w:val="single" w:color="auto" w:sz="4" w:space="0"/>
              <w:right w:val="single" w:color="auto" w:sz="4" w:space="0"/>
            </w:tcBorders>
            <w:noWrap/>
            <w:vAlign w:val="center"/>
          </w:tcPr>
          <w:p w14:paraId="6E389F6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D47321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F588A5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2BF44F5">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7EC52478">
            <w:pPr>
              <w:snapToGrid w:val="0"/>
              <w:spacing w:line="240" w:lineRule="exact"/>
              <w:jc w:val="both"/>
              <w:rPr>
                <w:rFonts w:ascii="Arial" w:hAnsi="Arial" w:cs="Arial"/>
                <w:sz w:val="16"/>
                <w:szCs w:val="18"/>
              </w:rPr>
            </w:pPr>
            <w:r>
              <w:rPr>
                <w:rFonts w:ascii="Arial" w:hAnsi="Arial" w:cs="Arial"/>
                <w:sz w:val="16"/>
                <w:szCs w:val="18"/>
              </w:rPr>
              <w:t>估价对象与可比实例的交易时间一致，因此确定估价对象与可比实例该因素指数均为100；</w:t>
            </w:r>
          </w:p>
        </w:tc>
      </w:tr>
      <w:tr w14:paraId="6A81C8FA">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auto" w:sz="4" w:space="0"/>
            </w:tcBorders>
            <w:vAlign w:val="center"/>
          </w:tcPr>
          <w:p w14:paraId="00E078C8">
            <w:pPr>
              <w:snapToGrid w:val="0"/>
              <w:spacing w:line="240" w:lineRule="exact"/>
              <w:jc w:val="both"/>
              <w:rPr>
                <w:rFonts w:hint="eastAsia" w:ascii="宋体" w:hAnsi="宋体" w:cs="Arial"/>
                <w:sz w:val="16"/>
                <w:szCs w:val="18"/>
              </w:rPr>
            </w:pPr>
            <w:r>
              <w:rPr>
                <w:rFonts w:ascii="宋体" w:hAnsi="宋体" w:cs="Arial"/>
                <w:sz w:val="16"/>
                <w:szCs w:val="18"/>
              </w:rPr>
              <w:t>交易情况</w:t>
            </w:r>
          </w:p>
        </w:tc>
        <w:tc>
          <w:tcPr>
            <w:tcW w:w="531" w:type="pct"/>
            <w:tcBorders>
              <w:top w:val="nil"/>
              <w:left w:val="nil"/>
              <w:bottom w:val="single" w:color="auto" w:sz="4" w:space="0"/>
              <w:right w:val="single" w:color="auto" w:sz="4" w:space="0"/>
            </w:tcBorders>
            <w:noWrap/>
            <w:vAlign w:val="center"/>
          </w:tcPr>
          <w:p w14:paraId="3E86547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26341D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4E15D3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4C138AF">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03A84C3F">
            <w:pPr>
              <w:snapToGrid w:val="0"/>
              <w:spacing w:line="240" w:lineRule="exact"/>
              <w:jc w:val="both"/>
              <w:rPr>
                <w:rFonts w:ascii="Arial" w:hAnsi="Arial" w:cs="Arial"/>
                <w:sz w:val="16"/>
                <w:szCs w:val="18"/>
              </w:rPr>
            </w:pPr>
            <w:r>
              <w:rPr>
                <w:rFonts w:ascii="Arial" w:hAnsi="Arial" w:cs="Arial"/>
                <w:sz w:val="16"/>
                <w:szCs w:val="18"/>
              </w:rPr>
              <w:t>可比实例均为正常交易或已修正为正常交易，故不予修正，交易情况指数均100；</w:t>
            </w:r>
          </w:p>
        </w:tc>
      </w:tr>
      <w:tr w14:paraId="6C7C5630">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auto" w:sz="4" w:space="0"/>
            </w:tcBorders>
            <w:vAlign w:val="center"/>
          </w:tcPr>
          <w:p w14:paraId="10081296">
            <w:pPr>
              <w:snapToGrid w:val="0"/>
              <w:spacing w:line="240" w:lineRule="exact"/>
              <w:jc w:val="both"/>
              <w:rPr>
                <w:rFonts w:hint="eastAsia" w:ascii="宋体" w:hAnsi="宋体" w:cs="Arial"/>
                <w:sz w:val="16"/>
                <w:szCs w:val="18"/>
              </w:rPr>
            </w:pPr>
            <w:r>
              <w:rPr>
                <w:rFonts w:ascii="宋体" w:hAnsi="宋体" w:cs="Arial"/>
                <w:sz w:val="16"/>
                <w:szCs w:val="18"/>
              </w:rPr>
              <w:t>项目类型</w:t>
            </w:r>
          </w:p>
        </w:tc>
        <w:tc>
          <w:tcPr>
            <w:tcW w:w="531" w:type="pct"/>
            <w:tcBorders>
              <w:top w:val="nil"/>
              <w:left w:val="nil"/>
              <w:bottom w:val="single" w:color="auto" w:sz="4" w:space="0"/>
              <w:right w:val="single" w:color="auto" w:sz="4" w:space="0"/>
            </w:tcBorders>
            <w:noWrap/>
            <w:vAlign w:val="center"/>
          </w:tcPr>
          <w:p w14:paraId="20BDD05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CEDACB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508850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2E56558">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556DB317">
            <w:pPr>
              <w:snapToGrid w:val="0"/>
              <w:spacing w:line="240" w:lineRule="exact"/>
              <w:jc w:val="both"/>
              <w:rPr>
                <w:rFonts w:ascii="Arial" w:hAnsi="Arial" w:cs="Arial"/>
                <w:sz w:val="16"/>
                <w:szCs w:val="18"/>
              </w:rPr>
            </w:pPr>
            <w:r>
              <w:rPr>
                <w:rFonts w:ascii="Arial" w:hAnsi="Arial" w:cs="Arial"/>
                <w:sz w:val="16"/>
                <w:szCs w:val="18"/>
              </w:rPr>
              <w:t>可比实例均为</w:t>
            </w:r>
            <w:r>
              <w:rPr>
                <w:rFonts w:hint="eastAsia" w:ascii="Arial" w:hAnsi="Arial" w:cs="Arial"/>
                <w:sz w:val="16"/>
                <w:szCs w:val="18"/>
              </w:rPr>
              <w:t>住宅</w:t>
            </w:r>
            <w:r>
              <w:rPr>
                <w:rFonts w:ascii="Arial" w:hAnsi="Arial" w:cs="Arial"/>
                <w:sz w:val="16"/>
                <w:szCs w:val="18"/>
              </w:rPr>
              <w:t>，故不予修正，交易情况指数均100；</w:t>
            </w:r>
          </w:p>
        </w:tc>
      </w:tr>
      <w:tr w14:paraId="3E6AB11B">
        <w:tblPrEx>
          <w:tblCellMar>
            <w:top w:w="57" w:type="dxa"/>
            <w:left w:w="57" w:type="dxa"/>
            <w:bottom w:w="57" w:type="dxa"/>
            <w:right w:w="57" w:type="dxa"/>
          </w:tblCellMar>
        </w:tblPrEx>
        <w:trPr>
          <w:trHeight w:val="20" w:hRule="atLeast"/>
          <w:jc w:val="center"/>
        </w:trPr>
        <w:tc>
          <w:tcPr>
            <w:tcW w:w="305" w:type="pct"/>
            <w:vMerge w:val="restart"/>
            <w:tcBorders>
              <w:top w:val="single" w:color="auto" w:sz="4" w:space="0"/>
              <w:left w:val="single" w:color="auto" w:sz="4" w:space="0"/>
              <w:bottom w:val="single" w:color="auto" w:sz="4" w:space="0"/>
              <w:right w:val="single" w:color="auto" w:sz="4" w:space="0"/>
            </w:tcBorders>
            <w:noWrap/>
            <w:vAlign w:val="center"/>
          </w:tcPr>
          <w:p w14:paraId="790371A9">
            <w:pPr>
              <w:snapToGrid w:val="0"/>
              <w:spacing w:line="240" w:lineRule="exact"/>
              <w:jc w:val="both"/>
              <w:rPr>
                <w:rFonts w:hint="eastAsia" w:ascii="宋体" w:hAnsi="宋体" w:cs="Arial"/>
                <w:sz w:val="16"/>
                <w:szCs w:val="18"/>
              </w:rPr>
            </w:pPr>
            <w:r>
              <w:rPr>
                <w:rFonts w:ascii="宋体" w:hAnsi="宋体" w:cs="Arial"/>
                <w:sz w:val="16"/>
                <w:szCs w:val="18"/>
              </w:rPr>
              <w:t>区域</w:t>
            </w:r>
          </w:p>
          <w:p w14:paraId="142C54E9">
            <w:pPr>
              <w:snapToGrid w:val="0"/>
              <w:spacing w:line="240" w:lineRule="exact"/>
              <w:jc w:val="both"/>
              <w:rPr>
                <w:rFonts w:hint="eastAsia"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03C23382">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居住区成熟度</w:t>
            </w:r>
          </w:p>
        </w:tc>
        <w:tc>
          <w:tcPr>
            <w:tcW w:w="531" w:type="pct"/>
            <w:tcBorders>
              <w:top w:val="nil"/>
              <w:left w:val="nil"/>
              <w:bottom w:val="single" w:color="auto" w:sz="4" w:space="0"/>
              <w:right w:val="single" w:color="auto" w:sz="4" w:space="0"/>
            </w:tcBorders>
            <w:noWrap/>
            <w:vAlign w:val="center"/>
          </w:tcPr>
          <w:p w14:paraId="4C3EB2E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C6330D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455CD4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AAFD09E">
            <w:pPr>
              <w:snapToGrid w:val="0"/>
              <w:spacing w:line="240" w:lineRule="exact"/>
              <w:jc w:val="both"/>
              <w:rPr>
                <w:rFonts w:ascii="Arial" w:hAnsi="Arial" w:cs="Arial"/>
                <w:sz w:val="16"/>
                <w:szCs w:val="18"/>
              </w:rPr>
            </w:pPr>
            <w:r>
              <w:rPr>
                <w:rFonts w:hint="eastAsia" w:ascii="Arial" w:hAnsi="Arial" w:cs="Arial"/>
                <w:sz w:val="16"/>
                <w:szCs w:val="18"/>
              </w:rPr>
              <w:t>98</w:t>
            </w:r>
          </w:p>
        </w:tc>
        <w:tc>
          <w:tcPr>
            <w:tcW w:w="2032" w:type="pct"/>
            <w:tcBorders>
              <w:top w:val="nil"/>
              <w:left w:val="nil"/>
              <w:bottom w:val="single" w:color="auto" w:sz="4" w:space="0"/>
              <w:right w:val="single" w:color="auto" w:sz="4" w:space="0"/>
            </w:tcBorders>
            <w:vAlign w:val="center"/>
          </w:tcPr>
          <w:p w14:paraId="15E2F200">
            <w:pPr>
              <w:snapToGrid w:val="0"/>
              <w:spacing w:line="240" w:lineRule="exact"/>
              <w:jc w:val="both"/>
              <w:rPr>
                <w:rFonts w:ascii="Arial" w:hAnsi="Arial" w:cs="Arial"/>
                <w:sz w:val="16"/>
                <w:szCs w:val="18"/>
              </w:rPr>
            </w:pPr>
            <w:r>
              <w:rPr>
                <w:rFonts w:ascii="Arial" w:hAnsi="Arial" w:cs="Arial"/>
                <w:sz w:val="16"/>
                <w:szCs w:val="18"/>
              </w:rPr>
              <w:t>从好到差划分为优、较优、一般、较劣、劣五个等级，每个等级相差</w:t>
            </w:r>
            <w:r>
              <w:rPr>
                <w:rFonts w:hint="eastAsia" w:ascii="Arial" w:hAnsi="Arial" w:cs="Arial"/>
                <w:sz w:val="16"/>
                <w:szCs w:val="18"/>
              </w:rPr>
              <w:t>2</w:t>
            </w:r>
            <w:r>
              <w:rPr>
                <w:rFonts w:ascii="Arial" w:hAnsi="Arial" w:cs="Arial"/>
                <w:sz w:val="16"/>
                <w:szCs w:val="18"/>
              </w:rPr>
              <w:t>分，确定可比实例1、2、3该因素指数分别为10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w:t>
            </w:r>
            <w:r>
              <w:rPr>
                <w:rFonts w:hint="eastAsia" w:ascii="Arial" w:hAnsi="Arial" w:cs="Arial"/>
                <w:sz w:val="16"/>
                <w:szCs w:val="18"/>
              </w:rPr>
              <w:t>98</w:t>
            </w:r>
            <w:r>
              <w:rPr>
                <w:rFonts w:ascii="Arial" w:hAnsi="Arial" w:cs="Arial"/>
                <w:sz w:val="16"/>
                <w:szCs w:val="18"/>
              </w:rPr>
              <w:t>；</w:t>
            </w:r>
          </w:p>
        </w:tc>
      </w:tr>
      <w:tr w14:paraId="1873ED2F">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1E19411C">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49E3A304">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道路通达度</w:t>
            </w:r>
          </w:p>
        </w:tc>
        <w:tc>
          <w:tcPr>
            <w:tcW w:w="531" w:type="pct"/>
            <w:tcBorders>
              <w:top w:val="nil"/>
              <w:left w:val="nil"/>
              <w:bottom w:val="single" w:color="auto" w:sz="4" w:space="0"/>
              <w:right w:val="single" w:color="auto" w:sz="4" w:space="0"/>
            </w:tcBorders>
            <w:noWrap/>
            <w:vAlign w:val="center"/>
          </w:tcPr>
          <w:p w14:paraId="3CF1B41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F975FF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D49D07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3CE31A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7852B843">
            <w:pPr>
              <w:snapToGrid w:val="0"/>
              <w:spacing w:line="240" w:lineRule="exact"/>
              <w:jc w:val="both"/>
              <w:rPr>
                <w:rFonts w:ascii="Arial" w:hAnsi="Arial" w:cs="Arial"/>
                <w:sz w:val="16"/>
                <w:szCs w:val="18"/>
              </w:rPr>
            </w:pPr>
            <w:r>
              <w:rPr>
                <w:rFonts w:ascii="Arial" w:hAnsi="Arial" w:cs="Arial"/>
                <w:sz w:val="16"/>
                <w:szCs w:val="18"/>
              </w:rPr>
              <w:t>按照距离干道的距离和干道等级分为优、较优、一般、较劣、劣五个等级，每个等级相差2分，确定可比实例1、2、3该因素指数分别为100、100、100；</w:t>
            </w:r>
          </w:p>
        </w:tc>
      </w:tr>
      <w:tr w14:paraId="029C816E">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325EEDE1">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7ED8A75A">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距离轨道交通站点距离</w:t>
            </w:r>
          </w:p>
        </w:tc>
        <w:tc>
          <w:tcPr>
            <w:tcW w:w="531" w:type="pct"/>
            <w:tcBorders>
              <w:top w:val="nil"/>
              <w:left w:val="nil"/>
              <w:bottom w:val="single" w:color="auto" w:sz="4" w:space="0"/>
              <w:right w:val="single" w:color="auto" w:sz="4" w:space="0"/>
            </w:tcBorders>
            <w:noWrap/>
            <w:vAlign w:val="center"/>
          </w:tcPr>
          <w:p w14:paraId="589926F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679F5D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FD997A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99B5A8D">
            <w:pPr>
              <w:snapToGrid w:val="0"/>
              <w:spacing w:line="240" w:lineRule="exact"/>
              <w:jc w:val="both"/>
              <w:rPr>
                <w:rFonts w:ascii="Arial" w:hAnsi="Arial" w:cs="Arial"/>
                <w:sz w:val="16"/>
                <w:szCs w:val="18"/>
              </w:rPr>
            </w:pPr>
            <w:r>
              <w:rPr>
                <w:rFonts w:hint="eastAsia" w:ascii="Arial" w:hAnsi="Arial" w:cs="Arial"/>
                <w:sz w:val="16"/>
                <w:szCs w:val="18"/>
              </w:rPr>
              <w:t>98</w:t>
            </w:r>
          </w:p>
        </w:tc>
        <w:tc>
          <w:tcPr>
            <w:tcW w:w="2032" w:type="pct"/>
            <w:tcBorders>
              <w:top w:val="nil"/>
              <w:left w:val="nil"/>
              <w:bottom w:val="single" w:color="auto" w:sz="4" w:space="0"/>
              <w:right w:val="single" w:color="auto" w:sz="4" w:space="0"/>
            </w:tcBorders>
            <w:vAlign w:val="center"/>
          </w:tcPr>
          <w:p w14:paraId="47EDA33F">
            <w:pPr>
              <w:snapToGrid w:val="0"/>
              <w:spacing w:line="240" w:lineRule="exact"/>
              <w:jc w:val="both"/>
              <w:rPr>
                <w:rFonts w:ascii="Arial" w:hAnsi="Arial" w:cs="Arial"/>
                <w:sz w:val="16"/>
                <w:szCs w:val="18"/>
              </w:rPr>
            </w:pPr>
            <w:r>
              <w:rPr>
                <w:rFonts w:ascii="Arial" w:hAnsi="Arial" w:cs="Arial"/>
                <w:sz w:val="16"/>
                <w:szCs w:val="18"/>
              </w:rPr>
              <w:t>按照距离轨道交通的距离，0.5km为一档，每个等级相差</w:t>
            </w:r>
            <w:r>
              <w:rPr>
                <w:rFonts w:hint="eastAsia" w:ascii="Arial" w:hAnsi="Arial" w:cs="Arial"/>
                <w:sz w:val="16"/>
                <w:szCs w:val="18"/>
              </w:rPr>
              <w:t>2</w:t>
            </w:r>
            <w:r>
              <w:rPr>
                <w:rFonts w:ascii="Arial" w:hAnsi="Arial" w:cs="Arial"/>
                <w:sz w:val="16"/>
                <w:szCs w:val="18"/>
              </w:rPr>
              <w:t>分，确定可比实例1、2、3该因素指数分别为100、100、</w:t>
            </w:r>
            <w:r>
              <w:rPr>
                <w:rFonts w:hint="eastAsia" w:ascii="Arial" w:hAnsi="Arial" w:cs="Arial"/>
                <w:sz w:val="16"/>
                <w:szCs w:val="18"/>
              </w:rPr>
              <w:t>98</w:t>
            </w:r>
            <w:r>
              <w:rPr>
                <w:rFonts w:ascii="Arial" w:hAnsi="Arial" w:cs="Arial"/>
                <w:sz w:val="16"/>
                <w:szCs w:val="18"/>
              </w:rPr>
              <w:t>；</w:t>
            </w:r>
          </w:p>
        </w:tc>
      </w:tr>
      <w:tr w14:paraId="30C5EF7D">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491E0EC2">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2129125B">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距离公交站点距离</w:t>
            </w:r>
          </w:p>
        </w:tc>
        <w:tc>
          <w:tcPr>
            <w:tcW w:w="531" w:type="pct"/>
            <w:tcBorders>
              <w:top w:val="nil"/>
              <w:left w:val="nil"/>
              <w:bottom w:val="single" w:color="auto" w:sz="4" w:space="0"/>
              <w:right w:val="single" w:color="auto" w:sz="4" w:space="0"/>
            </w:tcBorders>
            <w:noWrap/>
            <w:vAlign w:val="center"/>
          </w:tcPr>
          <w:p w14:paraId="3FB1EA6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77B285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AC8970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C56010B">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4A72CA41">
            <w:pPr>
              <w:snapToGrid w:val="0"/>
              <w:spacing w:line="240" w:lineRule="exact"/>
              <w:jc w:val="both"/>
              <w:rPr>
                <w:rFonts w:ascii="Arial" w:hAnsi="Arial" w:cs="Arial"/>
                <w:sz w:val="16"/>
                <w:szCs w:val="18"/>
              </w:rPr>
            </w:pPr>
            <w:r>
              <w:rPr>
                <w:rFonts w:ascii="Arial" w:hAnsi="Arial" w:cs="Arial"/>
                <w:sz w:val="16"/>
                <w:szCs w:val="18"/>
              </w:rPr>
              <w:t>按照距离公交站点的距离，0.5km为一档，每个等级相差2分，确定可比实例1、2、3该因素指数分别为100、100、100；</w:t>
            </w:r>
          </w:p>
        </w:tc>
      </w:tr>
      <w:tr w14:paraId="305D8D28">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34815A04">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6167097E">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环境质量优劣度</w:t>
            </w:r>
          </w:p>
        </w:tc>
        <w:tc>
          <w:tcPr>
            <w:tcW w:w="531" w:type="pct"/>
            <w:tcBorders>
              <w:top w:val="nil"/>
              <w:left w:val="nil"/>
              <w:bottom w:val="single" w:color="auto" w:sz="4" w:space="0"/>
              <w:right w:val="single" w:color="auto" w:sz="4" w:space="0"/>
            </w:tcBorders>
            <w:noWrap/>
            <w:vAlign w:val="center"/>
          </w:tcPr>
          <w:p w14:paraId="48E40FE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042BE5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B8C52D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152D01B">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41067905">
            <w:pPr>
              <w:snapToGrid w:val="0"/>
              <w:spacing w:line="240" w:lineRule="exact"/>
              <w:jc w:val="both"/>
              <w:rPr>
                <w:rFonts w:ascii="Arial" w:hAnsi="Arial" w:cs="Arial"/>
                <w:sz w:val="16"/>
                <w:szCs w:val="18"/>
              </w:rPr>
            </w:pPr>
            <w:r>
              <w:rPr>
                <w:rFonts w:hint="eastAsia" w:ascii="Arial" w:hAnsi="Arial" w:cs="Arial"/>
                <w:sz w:val="16"/>
                <w:szCs w:val="18"/>
              </w:rPr>
              <w:t>根据周边污染源的范围，判断优劣，每档相差2分</w:t>
            </w:r>
            <w:r>
              <w:rPr>
                <w:rFonts w:ascii="Arial" w:hAnsi="Arial" w:cs="Arial"/>
                <w:sz w:val="16"/>
                <w:szCs w:val="18"/>
              </w:rPr>
              <w:t>，确定可比实例1、2、3该因素指数分别为100、100、100</w:t>
            </w:r>
            <w:r>
              <w:rPr>
                <w:rFonts w:hint="eastAsia" w:ascii="Arial" w:hAnsi="Arial" w:cs="Arial"/>
                <w:sz w:val="16"/>
                <w:szCs w:val="18"/>
              </w:rPr>
              <w:t>；</w:t>
            </w:r>
          </w:p>
        </w:tc>
      </w:tr>
      <w:tr w14:paraId="52654820">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0FFD174B">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7B7350F7">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自然环境</w:t>
            </w:r>
          </w:p>
        </w:tc>
        <w:tc>
          <w:tcPr>
            <w:tcW w:w="531" w:type="pct"/>
            <w:tcBorders>
              <w:top w:val="nil"/>
              <w:left w:val="nil"/>
              <w:bottom w:val="single" w:color="auto" w:sz="4" w:space="0"/>
              <w:right w:val="single" w:color="auto" w:sz="4" w:space="0"/>
            </w:tcBorders>
            <w:noWrap/>
            <w:vAlign w:val="center"/>
          </w:tcPr>
          <w:p w14:paraId="11F600D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58A8A7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EEF2C6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8877390">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0F6936BA">
            <w:pPr>
              <w:snapToGrid w:val="0"/>
              <w:spacing w:line="240" w:lineRule="exact"/>
              <w:jc w:val="both"/>
              <w:rPr>
                <w:rFonts w:ascii="Arial" w:hAnsi="Arial" w:cs="Arial"/>
                <w:sz w:val="16"/>
                <w:szCs w:val="18"/>
              </w:rPr>
            </w:pPr>
            <w:r>
              <w:rPr>
                <w:rFonts w:ascii="Arial" w:hAnsi="Arial" w:cs="Arial"/>
                <w:sz w:val="16"/>
                <w:szCs w:val="18"/>
              </w:rPr>
              <w:t>从好到差划分为好、较好、一般、较差、差五个等级，每个等级相差2分，确定可比实例1、2、3该因素指数分别为100、100、100；</w:t>
            </w:r>
          </w:p>
        </w:tc>
      </w:tr>
      <w:tr w14:paraId="755346A5">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128CC334">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3D29519F">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小区环境</w:t>
            </w:r>
          </w:p>
        </w:tc>
        <w:tc>
          <w:tcPr>
            <w:tcW w:w="531" w:type="pct"/>
            <w:tcBorders>
              <w:top w:val="nil"/>
              <w:left w:val="nil"/>
              <w:bottom w:val="single" w:color="auto" w:sz="4" w:space="0"/>
              <w:right w:val="single" w:color="auto" w:sz="4" w:space="0"/>
            </w:tcBorders>
            <w:noWrap/>
            <w:vAlign w:val="center"/>
          </w:tcPr>
          <w:p w14:paraId="752D0F4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CB04B2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23FAC5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FC4A1DD">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05825DC0">
            <w:pPr>
              <w:snapToGrid w:val="0"/>
              <w:spacing w:line="240" w:lineRule="exact"/>
              <w:jc w:val="both"/>
              <w:rPr>
                <w:rFonts w:ascii="Arial" w:hAnsi="Arial" w:cs="Arial"/>
                <w:sz w:val="16"/>
                <w:szCs w:val="18"/>
              </w:rPr>
            </w:pPr>
            <w:r>
              <w:rPr>
                <w:rFonts w:hint="eastAsia" w:ascii="Arial" w:hAnsi="Arial" w:cs="Arial"/>
                <w:sz w:val="16"/>
                <w:szCs w:val="18"/>
              </w:rPr>
              <w:t>根据小区道路、绿化率、景观设计及人车分流情况分为一档，每级相差1分，</w:t>
            </w:r>
            <w:r>
              <w:rPr>
                <w:rFonts w:ascii="Arial" w:hAnsi="Arial" w:cs="Arial"/>
                <w:sz w:val="16"/>
                <w:szCs w:val="18"/>
              </w:rPr>
              <w:t>确定可比实例1、2、3该因素指数分别为100、100、100；</w:t>
            </w:r>
          </w:p>
        </w:tc>
      </w:tr>
      <w:tr w14:paraId="1BF01121">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16CA151D">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6198C609">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公共服务设施状况</w:t>
            </w:r>
          </w:p>
        </w:tc>
        <w:tc>
          <w:tcPr>
            <w:tcW w:w="531" w:type="pct"/>
            <w:tcBorders>
              <w:top w:val="nil"/>
              <w:left w:val="nil"/>
              <w:bottom w:val="single" w:color="auto" w:sz="4" w:space="0"/>
              <w:right w:val="single" w:color="auto" w:sz="4" w:space="0"/>
            </w:tcBorders>
            <w:noWrap/>
            <w:vAlign w:val="center"/>
          </w:tcPr>
          <w:p w14:paraId="3CF2329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28AC2B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05C986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B4EC064">
            <w:pPr>
              <w:snapToGrid w:val="0"/>
              <w:spacing w:line="240" w:lineRule="exact"/>
              <w:jc w:val="both"/>
              <w:rPr>
                <w:rFonts w:ascii="Arial" w:hAnsi="Arial" w:cs="Arial"/>
                <w:sz w:val="16"/>
                <w:szCs w:val="18"/>
              </w:rPr>
            </w:pPr>
            <w:r>
              <w:rPr>
                <w:rFonts w:hint="eastAsia" w:ascii="Arial" w:hAnsi="Arial" w:cs="Arial"/>
                <w:sz w:val="16"/>
                <w:szCs w:val="18"/>
              </w:rPr>
              <w:t>98</w:t>
            </w:r>
          </w:p>
        </w:tc>
        <w:tc>
          <w:tcPr>
            <w:tcW w:w="2032" w:type="pct"/>
            <w:tcBorders>
              <w:top w:val="nil"/>
              <w:left w:val="nil"/>
              <w:bottom w:val="single" w:color="auto" w:sz="4" w:space="0"/>
              <w:right w:val="single" w:color="auto" w:sz="4" w:space="0"/>
            </w:tcBorders>
            <w:vAlign w:val="center"/>
          </w:tcPr>
          <w:p w14:paraId="27379F89">
            <w:pPr>
              <w:snapToGrid w:val="0"/>
              <w:spacing w:line="240" w:lineRule="exact"/>
              <w:jc w:val="both"/>
              <w:rPr>
                <w:rFonts w:ascii="Arial" w:hAnsi="Arial" w:cs="Arial"/>
                <w:sz w:val="16"/>
                <w:szCs w:val="18"/>
              </w:rPr>
            </w:pPr>
            <w:r>
              <w:rPr>
                <w:rFonts w:ascii="Arial" w:hAnsi="Arial" w:cs="Arial"/>
                <w:sz w:val="16"/>
                <w:szCs w:val="18"/>
              </w:rPr>
              <w:t>从好到差划分为齐全、较齐全、一般、较不齐全、不齐全五个等级，每个等级相差</w:t>
            </w:r>
            <w:r>
              <w:rPr>
                <w:rFonts w:hint="eastAsia" w:ascii="Arial" w:hAnsi="Arial" w:cs="Arial"/>
                <w:sz w:val="16"/>
                <w:szCs w:val="18"/>
              </w:rPr>
              <w:t>2</w:t>
            </w:r>
            <w:r>
              <w:rPr>
                <w:rFonts w:ascii="Arial" w:hAnsi="Arial" w:cs="Arial"/>
                <w:sz w:val="16"/>
                <w:szCs w:val="18"/>
              </w:rPr>
              <w:t>分，确定可比实例1、2、3该因素指数分别为100、100、</w:t>
            </w:r>
            <w:r>
              <w:rPr>
                <w:rFonts w:hint="eastAsia" w:ascii="Arial" w:hAnsi="Arial" w:cs="Arial"/>
                <w:sz w:val="16"/>
                <w:szCs w:val="18"/>
              </w:rPr>
              <w:t>98</w:t>
            </w:r>
            <w:r>
              <w:rPr>
                <w:rFonts w:ascii="Arial" w:hAnsi="Arial" w:cs="Arial"/>
                <w:sz w:val="16"/>
                <w:szCs w:val="18"/>
              </w:rPr>
              <w:t>；</w:t>
            </w:r>
          </w:p>
        </w:tc>
      </w:tr>
      <w:tr w14:paraId="7ED80718">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63CDE7F7">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6D48EBC9">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建筑类型</w:t>
            </w:r>
          </w:p>
        </w:tc>
        <w:tc>
          <w:tcPr>
            <w:tcW w:w="531" w:type="pct"/>
            <w:tcBorders>
              <w:top w:val="nil"/>
              <w:left w:val="nil"/>
              <w:bottom w:val="single" w:color="auto" w:sz="4" w:space="0"/>
              <w:right w:val="single" w:color="auto" w:sz="4" w:space="0"/>
            </w:tcBorders>
            <w:noWrap/>
            <w:vAlign w:val="center"/>
          </w:tcPr>
          <w:p w14:paraId="218A5DE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4423A1E">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4</w:t>
            </w:r>
          </w:p>
        </w:tc>
        <w:tc>
          <w:tcPr>
            <w:tcW w:w="531" w:type="pct"/>
            <w:tcBorders>
              <w:top w:val="nil"/>
              <w:left w:val="nil"/>
              <w:bottom w:val="single" w:color="auto" w:sz="4" w:space="0"/>
              <w:right w:val="single" w:color="auto" w:sz="4" w:space="0"/>
            </w:tcBorders>
            <w:noWrap/>
            <w:vAlign w:val="center"/>
          </w:tcPr>
          <w:p w14:paraId="0BBC75C1">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4</w:t>
            </w:r>
          </w:p>
        </w:tc>
        <w:tc>
          <w:tcPr>
            <w:tcW w:w="531" w:type="pct"/>
            <w:tcBorders>
              <w:top w:val="nil"/>
              <w:left w:val="nil"/>
              <w:bottom w:val="single" w:color="auto" w:sz="4" w:space="0"/>
              <w:right w:val="single" w:color="auto" w:sz="4" w:space="0"/>
            </w:tcBorders>
            <w:noWrap/>
            <w:vAlign w:val="center"/>
          </w:tcPr>
          <w:p w14:paraId="57FE3352">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2</w:t>
            </w:r>
          </w:p>
        </w:tc>
        <w:tc>
          <w:tcPr>
            <w:tcW w:w="2032" w:type="pct"/>
            <w:tcBorders>
              <w:top w:val="nil"/>
              <w:left w:val="nil"/>
              <w:bottom w:val="single" w:color="auto" w:sz="4" w:space="0"/>
              <w:right w:val="single" w:color="auto" w:sz="4" w:space="0"/>
            </w:tcBorders>
            <w:vAlign w:val="center"/>
          </w:tcPr>
          <w:p w14:paraId="4E03B232">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多层板楼、小高层板楼、高层板楼、板塔结合、塔楼五</w:t>
            </w:r>
            <w:r>
              <w:rPr>
                <w:rFonts w:ascii="Arial" w:hAnsi="Arial" w:cs="Arial"/>
                <w:sz w:val="16"/>
                <w:szCs w:val="18"/>
              </w:rPr>
              <w:t>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104</w:t>
            </w:r>
            <w:r>
              <w:rPr>
                <w:rFonts w:ascii="Arial" w:hAnsi="Arial" w:cs="Arial"/>
                <w:sz w:val="16"/>
                <w:szCs w:val="18"/>
              </w:rPr>
              <w:t>、</w:t>
            </w:r>
            <w:r>
              <w:rPr>
                <w:rFonts w:hint="eastAsia" w:ascii="Arial" w:hAnsi="Arial" w:cs="Arial"/>
                <w:sz w:val="16"/>
                <w:szCs w:val="18"/>
              </w:rPr>
              <w:t>104</w:t>
            </w:r>
            <w:r>
              <w:rPr>
                <w:rFonts w:ascii="Arial" w:hAnsi="Arial" w:cs="Arial"/>
                <w:sz w:val="16"/>
                <w:szCs w:val="18"/>
              </w:rPr>
              <w:t>、10</w:t>
            </w:r>
            <w:r>
              <w:rPr>
                <w:rFonts w:hint="eastAsia" w:ascii="Arial" w:hAnsi="Arial" w:cs="Arial"/>
                <w:sz w:val="16"/>
                <w:szCs w:val="18"/>
              </w:rPr>
              <w:t>2</w:t>
            </w:r>
            <w:r>
              <w:rPr>
                <w:rFonts w:ascii="Arial" w:hAnsi="Arial" w:cs="Arial"/>
                <w:sz w:val="16"/>
                <w:szCs w:val="18"/>
              </w:rPr>
              <w:t>；</w:t>
            </w:r>
          </w:p>
        </w:tc>
      </w:tr>
      <w:tr w14:paraId="35C4699E">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4095293E">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355BFD60">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楼层</w:t>
            </w:r>
          </w:p>
        </w:tc>
        <w:tc>
          <w:tcPr>
            <w:tcW w:w="531" w:type="pct"/>
            <w:tcBorders>
              <w:top w:val="nil"/>
              <w:left w:val="nil"/>
              <w:bottom w:val="single" w:color="auto" w:sz="4" w:space="0"/>
              <w:right w:val="single" w:color="auto" w:sz="4" w:space="0"/>
            </w:tcBorders>
            <w:noWrap/>
            <w:vAlign w:val="center"/>
          </w:tcPr>
          <w:p w14:paraId="25141B2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F626164">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4C3EF1F9">
            <w:pPr>
              <w:snapToGrid w:val="0"/>
              <w:spacing w:line="240" w:lineRule="exact"/>
              <w:jc w:val="both"/>
              <w:rPr>
                <w:rFonts w:ascii="Arial" w:hAnsi="Arial" w:cs="Arial"/>
                <w:sz w:val="16"/>
                <w:szCs w:val="18"/>
              </w:rPr>
            </w:pPr>
            <w:r>
              <w:rPr>
                <w:rFonts w:hint="eastAsia"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5D5C396">
            <w:pPr>
              <w:snapToGrid w:val="0"/>
              <w:spacing w:line="240" w:lineRule="exact"/>
              <w:jc w:val="both"/>
              <w:rPr>
                <w:rFonts w:ascii="Arial" w:hAnsi="Arial" w:cs="Arial"/>
                <w:sz w:val="16"/>
                <w:szCs w:val="18"/>
              </w:rPr>
            </w:pPr>
            <w:r>
              <w:rPr>
                <w:rFonts w:hint="eastAsia" w:ascii="Arial" w:hAnsi="Arial" w:cs="Arial"/>
                <w:sz w:val="16"/>
                <w:szCs w:val="18"/>
              </w:rPr>
              <w:t>98</w:t>
            </w:r>
          </w:p>
        </w:tc>
        <w:tc>
          <w:tcPr>
            <w:tcW w:w="2032" w:type="pct"/>
            <w:tcBorders>
              <w:top w:val="nil"/>
              <w:left w:val="nil"/>
              <w:bottom w:val="single" w:color="auto" w:sz="4" w:space="0"/>
              <w:right w:val="single" w:color="auto" w:sz="4" w:space="0"/>
            </w:tcBorders>
            <w:vAlign w:val="center"/>
          </w:tcPr>
          <w:p w14:paraId="14BD1B13">
            <w:pPr>
              <w:snapToGrid w:val="0"/>
              <w:spacing w:line="240" w:lineRule="exact"/>
              <w:jc w:val="both"/>
              <w:rPr>
                <w:rFonts w:ascii="Arial" w:hAnsi="Arial" w:cs="Arial"/>
                <w:sz w:val="16"/>
                <w:szCs w:val="18"/>
              </w:rPr>
            </w:pPr>
            <w:r>
              <w:rPr>
                <w:rFonts w:ascii="Arial" w:hAnsi="Arial" w:cs="Arial"/>
                <w:sz w:val="16"/>
                <w:szCs w:val="18"/>
              </w:rPr>
              <w:t>分为高楼层、中楼层、低楼层两个等级，以估价对象指数为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100</w:t>
            </w:r>
            <w:r>
              <w:rPr>
                <w:rFonts w:ascii="Arial" w:hAnsi="Arial" w:cs="Arial"/>
                <w:sz w:val="16"/>
                <w:szCs w:val="18"/>
              </w:rPr>
              <w:t>、</w:t>
            </w:r>
            <w:r>
              <w:rPr>
                <w:rFonts w:hint="eastAsia" w:ascii="Arial" w:hAnsi="Arial" w:cs="Arial"/>
                <w:sz w:val="16"/>
                <w:szCs w:val="18"/>
              </w:rPr>
              <w:t>98</w:t>
            </w:r>
            <w:r>
              <w:rPr>
                <w:rFonts w:ascii="Arial" w:hAnsi="Arial" w:cs="Arial"/>
                <w:sz w:val="16"/>
                <w:szCs w:val="18"/>
              </w:rPr>
              <w:t>；</w:t>
            </w:r>
          </w:p>
        </w:tc>
      </w:tr>
      <w:tr w14:paraId="118F50C2">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4B149156">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6F188042">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朝向</w:t>
            </w:r>
          </w:p>
        </w:tc>
        <w:tc>
          <w:tcPr>
            <w:tcW w:w="531" w:type="pct"/>
            <w:tcBorders>
              <w:top w:val="nil"/>
              <w:left w:val="nil"/>
              <w:bottom w:val="single" w:color="auto" w:sz="4" w:space="0"/>
              <w:right w:val="single" w:color="auto" w:sz="4" w:space="0"/>
            </w:tcBorders>
            <w:noWrap/>
            <w:vAlign w:val="center"/>
          </w:tcPr>
          <w:p w14:paraId="19FD530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666C826">
            <w:pPr>
              <w:snapToGrid w:val="0"/>
              <w:spacing w:line="240" w:lineRule="exact"/>
              <w:jc w:val="both"/>
              <w:rPr>
                <w:rFonts w:ascii="Arial" w:hAnsi="Arial" w:cs="Arial"/>
                <w:sz w:val="16"/>
                <w:szCs w:val="18"/>
              </w:rPr>
            </w:pPr>
            <w:r>
              <w:rPr>
                <w:rFonts w:hint="eastAsia"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01931C5">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531" w:type="pct"/>
            <w:tcBorders>
              <w:top w:val="nil"/>
              <w:left w:val="nil"/>
              <w:bottom w:val="single" w:color="auto" w:sz="4" w:space="0"/>
              <w:right w:val="single" w:color="auto" w:sz="4" w:space="0"/>
            </w:tcBorders>
            <w:noWrap/>
            <w:vAlign w:val="center"/>
          </w:tcPr>
          <w:p w14:paraId="719735D8">
            <w:pPr>
              <w:snapToGrid w:val="0"/>
              <w:spacing w:line="240" w:lineRule="exact"/>
              <w:jc w:val="both"/>
              <w:rPr>
                <w:rFonts w:ascii="Arial" w:hAnsi="Arial" w:cs="Arial"/>
                <w:sz w:val="16"/>
                <w:szCs w:val="18"/>
              </w:rPr>
            </w:pPr>
            <w:r>
              <w:rPr>
                <w:rFonts w:hint="eastAsia"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50F99328">
            <w:pPr>
              <w:snapToGrid w:val="0"/>
              <w:spacing w:line="240" w:lineRule="exact"/>
              <w:jc w:val="both"/>
              <w:rPr>
                <w:rFonts w:ascii="Arial" w:hAnsi="Arial" w:cs="Arial"/>
                <w:sz w:val="16"/>
                <w:szCs w:val="18"/>
              </w:rPr>
            </w:pPr>
            <w:r>
              <w:rPr>
                <w:rFonts w:ascii="Arial" w:hAnsi="Arial" w:cs="Arial"/>
                <w:sz w:val="16"/>
                <w:szCs w:val="18"/>
              </w:rPr>
              <w:t>从优到劣依次为：为南北向；南向；东、南；西、南；东、西；东；西；东、北；西、北；北。每档相差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100、100、100</w:t>
            </w:r>
            <w:r>
              <w:rPr>
                <w:rFonts w:ascii="Arial" w:hAnsi="Arial" w:cs="Arial"/>
                <w:sz w:val="16"/>
                <w:szCs w:val="18"/>
              </w:rPr>
              <w:t>；</w:t>
            </w:r>
          </w:p>
        </w:tc>
      </w:tr>
      <w:tr w14:paraId="3536FC6F">
        <w:tblPrEx>
          <w:tblCellMar>
            <w:top w:w="57" w:type="dxa"/>
            <w:left w:w="57" w:type="dxa"/>
            <w:bottom w:w="57" w:type="dxa"/>
            <w:right w:w="57" w:type="dxa"/>
          </w:tblCellMar>
        </w:tblPrEx>
        <w:trPr>
          <w:trHeight w:val="20" w:hRule="atLeast"/>
          <w:jc w:val="center"/>
        </w:trPr>
        <w:tc>
          <w:tcPr>
            <w:tcW w:w="305" w:type="pct"/>
            <w:vMerge w:val="restart"/>
            <w:tcBorders>
              <w:top w:val="single" w:color="auto" w:sz="4" w:space="0"/>
              <w:left w:val="single" w:color="auto" w:sz="4" w:space="0"/>
              <w:bottom w:val="single" w:color="auto" w:sz="4" w:space="0"/>
              <w:right w:val="single" w:color="auto" w:sz="4" w:space="0"/>
            </w:tcBorders>
            <w:noWrap/>
            <w:vAlign w:val="center"/>
          </w:tcPr>
          <w:p w14:paraId="4219D32E">
            <w:pPr>
              <w:snapToGrid w:val="0"/>
              <w:spacing w:line="240" w:lineRule="exact"/>
              <w:jc w:val="both"/>
              <w:rPr>
                <w:rFonts w:hint="eastAsia" w:ascii="宋体" w:hAnsi="宋体" w:cs="Arial"/>
                <w:sz w:val="16"/>
                <w:szCs w:val="18"/>
              </w:rPr>
            </w:pPr>
            <w:r>
              <w:rPr>
                <w:rFonts w:ascii="宋体" w:hAnsi="宋体" w:cs="Arial"/>
                <w:sz w:val="16"/>
                <w:szCs w:val="18"/>
              </w:rPr>
              <w:t>实物</w:t>
            </w:r>
          </w:p>
          <w:p w14:paraId="73C76818">
            <w:pPr>
              <w:snapToGrid w:val="0"/>
              <w:spacing w:line="240" w:lineRule="exact"/>
              <w:jc w:val="both"/>
              <w:rPr>
                <w:rFonts w:hint="eastAsia"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43F15F7F">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成新度</w:t>
            </w:r>
          </w:p>
        </w:tc>
        <w:tc>
          <w:tcPr>
            <w:tcW w:w="531" w:type="pct"/>
            <w:tcBorders>
              <w:top w:val="nil"/>
              <w:left w:val="nil"/>
              <w:bottom w:val="single" w:color="auto" w:sz="4" w:space="0"/>
              <w:right w:val="single" w:color="auto" w:sz="4" w:space="0"/>
            </w:tcBorders>
            <w:noWrap/>
            <w:vAlign w:val="center"/>
          </w:tcPr>
          <w:p w14:paraId="1DE971D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FC20640">
            <w:pPr>
              <w:snapToGrid w:val="0"/>
              <w:spacing w:line="240" w:lineRule="exact"/>
              <w:jc w:val="both"/>
              <w:rPr>
                <w:rFonts w:ascii="Arial" w:hAnsi="Arial" w:cs="Arial"/>
                <w:sz w:val="16"/>
                <w:szCs w:val="18"/>
              </w:rPr>
            </w:pPr>
            <w:r>
              <w:rPr>
                <w:rFonts w:hint="eastAsia" w:ascii="Arial" w:hAnsi="Arial" w:cs="Arial"/>
                <w:sz w:val="16"/>
                <w:szCs w:val="18"/>
              </w:rPr>
              <w:t>94</w:t>
            </w:r>
          </w:p>
        </w:tc>
        <w:tc>
          <w:tcPr>
            <w:tcW w:w="531" w:type="pct"/>
            <w:tcBorders>
              <w:top w:val="nil"/>
              <w:left w:val="nil"/>
              <w:bottom w:val="single" w:color="auto" w:sz="4" w:space="0"/>
              <w:right w:val="single" w:color="auto" w:sz="4" w:space="0"/>
            </w:tcBorders>
            <w:noWrap/>
            <w:vAlign w:val="center"/>
          </w:tcPr>
          <w:p w14:paraId="71768C5B">
            <w:pPr>
              <w:snapToGrid w:val="0"/>
              <w:spacing w:line="240" w:lineRule="exact"/>
              <w:jc w:val="both"/>
              <w:rPr>
                <w:rFonts w:ascii="Arial" w:hAnsi="Arial" w:cs="Arial"/>
                <w:sz w:val="16"/>
                <w:szCs w:val="18"/>
              </w:rPr>
            </w:pPr>
            <w:r>
              <w:rPr>
                <w:rFonts w:hint="eastAsia" w:ascii="Arial" w:hAnsi="Arial" w:cs="Arial"/>
                <w:sz w:val="16"/>
                <w:szCs w:val="18"/>
              </w:rPr>
              <w:t>94</w:t>
            </w:r>
          </w:p>
        </w:tc>
        <w:tc>
          <w:tcPr>
            <w:tcW w:w="531" w:type="pct"/>
            <w:tcBorders>
              <w:top w:val="nil"/>
              <w:left w:val="nil"/>
              <w:bottom w:val="single" w:color="auto" w:sz="4" w:space="0"/>
              <w:right w:val="single" w:color="auto" w:sz="4" w:space="0"/>
            </w:tcBorders>
            <w:noWrap/>
            <w:vAlign w:val="center"/>
          </w:tcPr>
          <w:p w14:paraId="6BF3675B">
            <w:pPr>
              <w:snapToGrid w:val="0"/>
              <w:spacing w:line="240" w:lineRule="exact"/>
              <w:jc w:val="both"/>
              <w:rPr>
                <w:rFonts w:ascii="Arial" w:hAnsi="Arial" w:cs="Arial"/>
                <w:sz w:val="16"/>
                <w:szCs w:val="18"/>
              </w:rPr>
            </w:pPr>
            <w:r>
              <w:rPr>
                <w:rFonts w:hint="eastAsia" w:ascii="Arial" w:hAnsi="Arial" w:cs="Arial"/>
                <w:sz w:val="16"/>
                <w:szCs w:val="18"/>
              </w:rPr>
              <w:t>96</w:t>
            </w:r>
          </w:p>
        </w:tc>
        <w:tc>
          <w:tcPr>
            <w:tcW w:w="2032" w:type="pct"/>
            <w:tcBorders>
              <w:top w:val="nil"/>
              <w:left w:val="nil"/>
              <w:bottom w:val="single" w:color="auto" w:sz="4" w:space="0"/>
              <w:right w:val="single" w:color="auto" w:sz="4" w:space="0"/>
            </w:tcBorders>
            <w:vAlign w:val="center"/>
          </w:tcPr>
          <w:p w14:paraId="73D10844">
            <w:pPr>
              <w:snapToGrid w:val="0"/>
              <w:spacing w:line="240" w:lineRule="exact"/>
              <w:jc w:val="both"/>
              <w:rPr>
                <w:rFonts w:ascii="Arial" w:hAnsi="Arial" w:cs="Arial"/>
                <w:sz w:val="16"/>
                <w:szCs w:val="18"/>
              </w:rPr>
            </w:pPr>
            <w:r>
              <w:rPr>
                <w:rFonts w:ascii="Arial" w:hAnsi="Arial" w:cs="Arial"/>
                <w:sz w:val="16"/>
                <w:szCs w:val="18"/>
              </w:rPr>
              <w:t>根据90%（含）-100%、80%（含）-90%、70%（含）-80%、60%（含）-70%、60%以下分为五个等级，每级相差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94、94、96</w:t>
            </w:r>
            <w:r>
              <w:rPr>
                <w:rFonts w:ascii="Arial" w:hAnsi="Arial" w:cs="Arial"/>
                <w:sz w:val="16"/>
                <w:szCs w:val="18"/>
              </w:rPr>
              <w:t>；</w:t>
            </w:r>
          </w:p>
        </w:tc>
      </w:tr>
      <w:tr w14:paraId="448D7FD2">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197EFF2D">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38101473">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公共区域装修</w:t>
            </w:r>
          </w:p>
        </w:tc>
        <w:tc>
          <w:tcPr>
            <w:tcW w:w="988" w:type="dxa"/>
            <w:tcBorders>
              <w:top w:val="nil"/>
              <w:left w:val="nil"/>
              <w:bottom w:val="single" w:color="auto" w:sz="4" w:space="0"/>
              <w:right w:val="single" w:color="auto" w:sz="4" w:space="0"/>
            </w:tcBorders>
            <w:noWrap/>
            <w:vAlign w:val="center"/>
          </w:tcPr>
          <w:p w14:paraId="5BED54F8">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3AE19C17">
            <w:pPr>
              <w:snapToGrid w:val="0"/>
              <w:spacing w:line="240" w:lineRule="exact"/>
              <w:jc w:val="both"/>
              <w:rPr>
                <w:rFonts w:ascii="Arial" w:hAnsi="Arial" w:cs="Arial"/>
                <w:sz w:val="16"/>
                <w:szCs w:val="18"/>
              </w:rPr>
            </w:pPr>
            <w:r>
              <w:rPr>
                <w:rFonts w:hint="eastAsia" w:ascii="Arial" w:hAnsi="Arial" w:cs="Arial"/>
                <w:sz w:val="16"/>
                <w:szCs w:val="18"/>
              </w:rPr>
              <w:t>98</w:t>
            </w:r>
          </w:p>
        </w:tc>
        <w:tc>
          <w:tcPr>
            <w:tcW w:w="988" w:type="dxa"/>
            <w:tcBorders>
              <w:top w:val="nil"/>
              <w:left w:val="nil"/>
              <w:bottom w:val="single" w:color="auto" w:sz="4" w:space="0"/>
              <w:right w:val="single" w:color="auto" w:sz="4" w:space="0"/>
            </w:tcBorders>
            <w:noWrap/>
            <w:vAlign w:val="center"/>
          </w:tcPr>
          <w:p w14:paraId="7C2DEAB4">
            <w:pPr>
              <w:snapToGrid w:val="0"/>
              <w:spacing w:line="240" w:lineRule="exact"/>
              <w:jc w:val="both"/>
              <w:rPr>
                <w:rFonts w:ascii="Arial" w:hAnsi="Arial" w:cs="Arial"/>
                <w:sz w:val="16"/>
                <w:szCs w:val="18"/>
              </w:rPr>
            </w:pPr>
            <w:r>
              <w:rPr>
                <w:rFonts w:hint="eastAsia" w:ascii="Arial" w:hAnsi="Arial" w:cs="Arial"/>
                <w:sz w:val="16"/>
                <w:szCs w:val="18"/>
              </w:rPr>
              <w:t>98</w:t>
            </w:r>
          </w:p>
        </w:tc>
        <w:tc>
          <w:tcPr>
            <w:tcW w:w="988" w:type="dxa"/>
            <w:tcBorders>
              <w:top w:val="nil"/>
              <w:left w:val="nil"/>
              <w:bottom w:val="single" w:color="auto" w:sz="4" w:space="0"/>
              <w:right w:val="single" w:color="auto" w:sz="4" w:space="0"/>
            </w:tcBorders>
            <w:noWrap/>
            <w:vAlign w:val="center"/>
          </w:tcPr>
          <w:p w14:paraId="0891FF1E">
            <w:pPr>
              <w:snapToGrid w:val="0"/>
              <w:spacing w:line="240" w:lineRule="exact"/>
              <w:jc w:val="both"/>
              <w:rPr>
                <w:rFonts w:ascii="Arial" w:hAnsi="Arial" w:cs="Arial"/>
                <w:sz w:val="16"/>
                <w:szCs w:val="18"/>
              </w:rPr>
            </w:pPr>
            <w:r>
              <w:rPr>
                <w:rFonts w:ascii="Arial" w:hAnsi="Arial" w:cs="Arial"/>
                <w:sz w:val="16"/>
                <w:szCs w:val="18"/>
              </w:rPr>
              <w:t>100</w:t>
            </w:r>
          </w:p>
        </w:tc>
        <w:tc>
          <w:tcPr>
            <w:tcW w:w="3779" w:type="dxa"/>
            <w:tcBorders>
              <w:top w:val="nil"/>
              <w:left w:val="nil"/>
              <w:bottom w:val="single" w:color="auto" w:sz="4" w:space="0"/>
              <w:right w:val="single" w:color="auto" w:sz="4" w:space="0"/>
            </w:tcBorders>
            <w:vAlign w:val="center"/>
          </w:tcPr>
          <w:p w14:paraId="63F4E1F6">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装修等，以估价对象指数为100，每级相差2分，确定可比实例1、2、3该因素指数分别为</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98</w:t>
            </w:r>
            <w:r>
              <w:rPr>
                <w:rFonts w:ascii="Arial" w:hAnsi="Arial" w:cs="Arial"/>
                <w:sz w:val="16"/>
                <w:szCs w:val="18"/>
              </w:rPr>
              <w:t>、100；</w:t>
            </w:r>
          </w:p>
        </w:tc>
      </w:tr>
      <w:tr w14:paraId="7D5814A3">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036D72E2">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18DD088B">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室内装饰装修</w:t>
            </w:r>
          </w:p>
        </w:tc>
        <w:tc>
          <w:tcPr>
            <w:tcW w:w="988" w:type="dxa"/>
            <w:tcBorders>
              <w:top w:val="nil"/>
              <w:left w:val="nil"/>
              <w:bottom w:val="single" w:color="auto" w:sz="4" w:space="0"/>
              <w:right w:val="single" w:color="auto" w:sz="4" w:space="0"/>
            </w:tcBorders>
            <w:noWrap/>
            <w:vAlign w:val="center"/>
          </w:tcPr>
          <w:p w14:paraId="729D7810">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1E13E72A">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7C97F8B7">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6D2D891A">
            <w:pPr>
              <w:snapToGrid w:val="0"/>
              <w:spacing w:line="240" w:lineRule="exact"/>
              <w:jc w:val="both"/>
              <w:rPr>
                <w:rFonts w:ascii="Arial" w:hAnsi="Arial" w:cs="Arial"/>
                <w:sz w:val="16"/>
                <w:szCs w:val="18"/>
              </w:rPr>
            </w:pPr>
            <w:r>
              <w:rPr>
                <w:rFonts w:ascii="Arial" w:hAnsi="Arial" w:cs="Arial"/>
                <w:sz w:val="16"/>
                <w:szCs w:val="18"/>
              </w:rPr>
              <w:t>100</w:t>
            </w:r>
          </w:p>
        </w:tc>
        <w:tc>
          <w:tcPr>
            <w:tcW w:w="3779" w:type="dxa"/>
            <w:tcBorders>
              <w:top w:val="nil"/>
              <w:left w:val="nil"/>
              <w:bottom w:val="single" w:color="auto" w:sz="4" w:space="0"/>
              <w:right w:val="single" w:color="auto" w:sz="4" w:space="0"/>
            </w:tcBorders>
            <w:vAlign w:val="center"/>
          </w:tcPr>
          <w:p w14:paraId="06F197C5">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 100，每级相差3分，确定可比实例1、2、3该因素指数分别为</w:t>
            </w:r>
            <w:r>
              <w:rPr>
                <w:rFonts w:hint="eastAsia" w:ascii="Arial" w:hAnsi="Arial" w:cs="Arial"/>
                <w:sz w:val="16"/>
                <w:szCs w:val="18"/>
              </w:rPr>
              <w:t>100、100、100</w:t>
            </w:r>
            <w:r>
              <w:rPr>
                <w:rFonts w:ascii="Arial" w:hAnsi="Arial" w:cs="Arial"/>
                <w:sz w:val="16"/>
                <w:szCs w:val="18"/>
              </w:rPr>
              <w:t>；</w:t>
            </w:r>
          </w:p>
        </w:tc>
      </w:tr>
      <w:tr w14:paraId="193C5609">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371CBAA2">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6430B7C9">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设施设备</w:t>
            </w:r>
          </w:p>
        </w:tc>
        <w:tc>
          <w:tcPr>
            <w:tcW w:w="531" w:type="pct"/>
            <w:tcBorders>
              <w:top w:val="nil"/>
              <w:left w:val="nil"/>
              <w:bottom w:val="single" w:color="auto" w:sz="4" w:space="0"/>
              <w:right w:val="single" w:color="auto" w:sz="4" w:space="0"/>
            </w:tcBorders>
            <w:noWrap/>
            <w:vAlign w:val="center"/>
          </w:tcPr>
          <w:p w14:paraId="3C07792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5C0A76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AE34ED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D549D4C">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02232483">
            <w:pPr>
              <w:snapToGrid w:val="0"/>
              <w:spacing w:line="240" w:lineRule="exact"/>
              <w:jc w:val="both"/>
              <w:rPr>
                <w:rFonts w:ascii="Arial" w:hAnsi="Arial" w:cs="Arial"/>
                <w:sz w:val="16"/>
                <w:szCs w:val="18"/>
              </w:rPr>
            </w:pPr>
            <w:r>
              <w:rPr>
                <w:rFonts w:ascii="Arial" w:hAnsi="Arial" w:cs="Arial"/>
                <w:sz w:val="16"/>
                <w:szCs w:val="18"/>
              </w:rPr>
              <w:t>根据实际配备情况，分为完善、较完善、一般、较不完善、不完善五个等级，每级相差</w:t>
            </w:r>
            <w:r>
              <w:rPr>
                <w:rFonts w:hint="eastAsia" w:ascii="Arial" w:hAnsi="Arial" w:cs="Arial"/>
                <w:sz w:val="16"/>
                <w:szCs w:val="18"/>
              </w:rPr>
              <w:t>3</w:t>
            </w:r>
            <w:r>
              <w:rPr>
                <w:rFonts w:ascii="Arial" w:hAnsi="Arial" w:cs="Arial"/>
                <w:sz w:val="16"/>
                <w:szCs w:val="18"/>
              </w:rPr>
              <w:t>分，确定可比实例1、2、3该因素指数分别为</w:t>
            </w:r>
            <w:r>
              <w:rPr>
                <w:rFonts w:hint="eastAsia" w:ascii="Arial" w:hAnsi="Arial" w:cs="Arial"/>
                <w:sz w:val="16"/>
                <w:szCs w:val="18"/>
              </w:rPr>
              <w:t>100、100、100</w:t>
            </w:r>
            <w:r>
              <w:rPr>
                <w:rFonts w:ascii="Arial" w:hAnsi="Arial" w:cs="Arial"/>
                <w:sz w:val="16"/>
                <w:szCs w:val="18"/>
              </w:rPr>
              <w:t>；</w:t>
            </w:r>
          </w:p>
        </w:tc>
      </w:tr>
      <w:tr w14:paraId="3797E8A6">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3ABD63B3">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0EA69F00">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综合管理服务设施</w:t>
            </w:r>
          </w:p>
        </w:tc>
        <w:tc>
          <w:tcPr>
            <w:tcW w:w="531" w:type="pct"/>
            <w:tcBorders>
              <w:top w:val="nil"/>
              <w:left w:val="nil"/>
              <w:bottom w:val="single" w:color="auto" w:sz="4" w:space="0"/>
              <w:right w:val="single" w:color="auto" w:sz="4" w:space="0"/>
            </w:tcBorders>
            <w:noWrap/>
            <w:vAlign w:val="center"/>
          </w:tcPr>
          <w:p w14:paraId="292E75B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667394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10D81C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E37BA08">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2AE8948E">
            <w:pPr>
              <w:snapToGrid w:val="0"/>
              <w:spacing w:line="240" w:lineRule="exact"/>
              <w:jc w:val="both"/>
              <w:rPr>
                <w:rFonts w:ascii="Arial" w:hAnsi="Arial" w:cs="Arial"/>
                <w:sz w:val="16"/>
                <w:szCs w:val="18"/>
              </w:rPr>
            </w:pPr>
            <w:r>
              <w:rPr>
                <w:rFonts w:ascii="Arial" w:hAnsi="Arial" w:cs="Arial"/>
                <w:sz w:val="16"/>
                <w:szCs w:val="18"/>
              </w:rPr>
              <w:t>根据实际管理服务，确定可比实例1、2、3该因素指数分别为100、100、100；</w:t>
            </w:r>
          </w:p>
        </w:tc>
      </w:tr>
      <w:tr w14:paraId="224676A7">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59C4F2B5">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739FF1C0">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户型布局</w:t>
            </w:r>
          </w:p>
        </w:tc>
        <w:tc>
          <w:tcPr>
            <w:tcW w:w="531" w:type="pct"/>
            <w:tcBorders>
              <w:top w:val="nil"/>
              <w:left w:val="nil"/>
              <w:bottom w:val="single" w:color="auto" w:sz="4" w:space="0"/>
              <w:right w:val="single" w:color="auto" w:sz="4" w:space="0"/>
            </w:tcBorders>
            <w:noWrap/>
            <w:vAlign w:val="center"/>
          </w:tcPr>
          <w:p w14:paraId="5A0A577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9C9A4A0">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531" w:type="pct"/>
            <w:tcBorders>
              <w:top w:val="nil"/>
              <w:left w:val="nil"/>
              <w:bottom w:val="single" w:color="auto" w:sz="4" w:space="0"/>
              <w:right w:val="single" w:color="auto" w:sz="4" w:space="0"/>
            </w:tcBorders>
            <w:noWrap/>
            <w:vAlign w:val="center"/>
          </w:tcPr>
          <w:p w14:paraId="27BD83C4">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531" w:type="pct"/>
            <w:tcBorders>
              <w:top w:val="nil"/>
              <w:left w:val="nil"/>
              <w:bottom w:val="single" w:color="auto" w:sz="4" w:space="0"/>
              <w:right w:val="single" w:color="auto" w:sz="4" w:space="0"/>
            </w:tcBorders>
            <w:noWrap/>
            <w:vAlign w:val="center"/>
          </w:tcPr>
          <w:p w14:paraId="2C74B06D">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2032" w:type="pct"/>
            <w:tcBorders>
              <w:top w:val="nil"/>
              <w:left w:val="nil"/>
              <w:bottom w:val="single" w:color="auto" w:sz="4" w:space="0"/>
              <w:right w:val="single" w:color="auto" w:sz="4" w:space="0"/>
            </w:tcBorders>
            <w:vAlign w:val="center"/>
          </w:tcPr>
          <w:p w14:paraId="13A0FE3F">
            <w:pPr>
              <w:snapToGrid w:val="0"/>
              <w:spacing w:line="240" w:lineRule="exact"/>
              <w:jc w:val="both"/>
              <w:rPr>
                <w:rFonts w:ascii="Arial" w:hAnsi="Arial" w:cs="Arial"/>
                <w:sz w:val="16"/>
                <w:szCs w:val="18"/>
              </w:rPr>
            </w:pPr>
            <w:r>
              <w:rPr>
                <w:rFonts w:ascii="Arial" w:hAnsi="Arial" w:cs="Arial"/>
                <w:sz w:val="16"/>
                <w:szCs w:val="18"/>
              </w:rPr>
              <w:t>根据布局对于使用率的影响，确定可比实例1、2、3该因素指数分别为10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w:t>
            </w:r>
          </w:p>
        </w:tc>
      </w:tr>
      <w:tr w14:paraId="3EEA57C2">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0442AE40">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0D238EF7">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户型结构</w:t>
            </w:r>
          </w:p>
        </w:tc>
        <w:tc>
          <w:tcPr>
            <w:tcW w:w="531" w:type="pct"/>
            <w:tcBorders>
              <w:top w:val="nil"/>
              <w:left w:val="nil"/>
              <w:bottom w:val="single" w:color="auto" w:sz="4" w:space="0"/>
              <w:right w:val="single" w:color="auto" w:sz="4" w:space="0"/>
            </w:tcBorders>
            <w:noWrap/>
            <w:vAlign w:val="center"/>
          </w:tcPr>
          <w:p w14:paraId="283058A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1C6882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86195C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2BB14A8">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0E14616D">
            <w:pPr>
              <w:snapToGrid w:val="0"/>
              <w:spacing w:line="240" w:lineRule="exact"/>
              <w:jc w:val="both"/>
              <w:rPr>
                <w:rFonts w:ascii="Arial" w:hAnsi="Arial" w:cs="Arial"/>
                <w:sz w:val="16"/>
                <w:szCs w:val="18"/>
              </w:rPr>
            </w:pPr>
            <w:r>
              <w:rPr>
                <w:rFonts w:ascii="Arial" w:hAnsi="Arial" w:cs="Arial"/>
                <w:sz w:val="16"/>
                <w:szCs w:val="18"/>
              </w:rPr>
              <w:t>估价对象与案例均为</w:t>
            </w:r>
            <w:r>
              <w:rPr>
                <w:rFonts w:hint="eastAsia" w:ascii="Arial" w:hAnsi="Arial" w:cs="Arial"/>
                <w:sz w:val="16"/>
                <w:szCs w:val="18"/>
              </w:rPr>
              <w:t>平层，</w:t>
            </w:r>
            <w:r>
              <w:rPr>
                <w:rFonts w:ascii="Arial" w:hAnsi="Arial" w:cs="Arial"/>
                <w:sz w:val="16"/>
                <w:szCs w:val="18"/>
              </w:rPr>
              <w:t>确定可比实例1、2、3该因素指数分别为100、100、100；</w:t>
            </w:r>
          </w:p>
        </w:tc>
      </w:tr>
      <w:tr w14:paraId="30A20F94">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3F357A0E">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019836FE">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建筑面积</w:t>
            </w:r>
          </w:p>
        </w:tc>
        <w:tc>
          <w:tcPr>
            <w:tcW w:w="531" w:type="pct"/>
            <w:tcBorders>
              <w:top w:val="nil"/>
              <w:left w:val="nil"/>
              <w:bottom w:val="single" w:color="auto" w:sz="4" w:space="0"/>
              <w:right w:val="single" w:color="auto" w:sz="4" w:space="0"/>
            </w:tcBorders>
            <w:noWrap/>
            <w:vAlign w:val="center"/>
          </w:tcPr>
          <w:p w14:paraId="478261D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FEFB44B">
            <w:pPr>
              <w:snapToGrid w:val="0"/>
              <w:spacing w:line="240" w:lineRule="exact"/>
              <w:jc w:val="both"/>
              <w:rPr>
                <w:rFonts w:ascii="Arial" w:hAnsi="Arial" w:cs="Arial"/>
                <w:sz w:val="16"/>
                <w:szCs w:val="18"/>
              </w:rPr>
            </w:pPr>
            <w:r>
              <w:rPr>
                <w:rFonts w:hint="eastAsia"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9E481FA">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531" w:type="pct"/>
            <w:tcBorders>
              <w:top w:val="nil"/>
              <w:left w:val="nil"/>
              <w:bottom w:val="single" w:color="auto" w:sz="4" w:space="0"/>
              <w:right w:val="single" w:color="auto" w:sz="4" w:space="0"/>
            </w:tcBorders>
            <w:noWrap/>
            <w:vAlign w:val="center"/>
          </w:tcPr>
          <w:p w14:paraId="2E5B40D8">
            <w:pPr>
              <w:snapToGrid w:val="0"/>
              <w:spacing w:line="240" w:lineRule="exact"/>
              <w:jc w:val="both"/>
              <w:rPr>
                <w:rFonts w:ascii="Arial" w:hAnsi="Arial" w:cs="Arial"/>
                <w:sz w:val="16"/>
                <w:szCs w:val="18"/>
              </w:rPr>
            </w:pPr>
            <w:r>
              <w:rPr>
                <w:rFonts w:hint="eastAsia" w:ascii="Arial" w:hAnsi="Arial" w:cs="Arial"/>
                <w:sz w:val="16"/>
                <w:szCs w:val="18"/>
              </w:rPr>
              <w:t>1</w:t>
            </w:r>
            <w:r>
              <w:rPr>
                <w:rFonts w:ascii="Arial" w:hAnsi="Arial" w:cs="Arial"/>
                <w:sz w:val="16"/>
                <w:szCs w:val="18"/>
              </w:rPr>
              <w:t>0</w:t>
            </w:r>
            <w:r>
              <w:rPr>
                <w:rFonts w:hint="eastAsia" w:ascii="Arial" w:hAnsi="Arial" w:cs="Arial"/>
                <w:sz w:val="16"/>
                <w:szCs w:val="18"/>
              </w:rPr>
              <w:t>2</w:t>
            </w:r>
          </w:p>
        </w:tc>
        <w:tc>
          <w:tcPr>
            <w:tcW w:w="2032" w:type="pct"/>
            <w:tcBorders>
              <w:top w:val="nil"/>
              <w:left w:val="nil"/>
              <w:bottom w:val="single" w:color="auto" w:sz="4" w:space="0"/>
              <w:right w:val="single" w:color="auto" w:sz="4" w:space="0"/>
            </w:tcBorders>
            <w:vAlign w:val="center"/>
          </w:tcPr>
          <w:p w14:paraId="7DD35CF5">
            <w:pPr>
              <w:snapToGrid w:val="0"/>
              <w:spacing w:line="240" w:lineRule="exact"/>
              <w:jc w:val="both"/>
              <w:rPr>
                <w:rFonts w:ascii="Arial" w:hAnsi="Arial"/>
              </w:rPr>
            </w:pPr>
            <w:r>
              <w:rPr>
                <w:rFonts w:ascii="Arial" w:hAnsi="Arial" w:cs="Arial"/>
                <w:sz w:val="16"/>
                <w:szCs w:val="18"/>
              </w:rPr>
              <w:t>根据建筑面积对其价值的影响，从好到差划分为</w:t>
            </w:r>
            <w:r>
              <w:rPr>
                <w:rFonts w:hint="eastAsia" w:ascii="Arial" w:hAnsi="Arial" w:cs="Arial"/>
                <w:sz w:val="16"/>
                <w:szCs w:val="18"/>
              </w:rPr>
              <w:t>60</w:t>
            </w:r>
            <w:r>
              <w:rPr>
                <w:rFonts w:ascii="Arial" w:hAnsi="Arial" w:cs="Arial"/>
                <w:sz w:val="16"/>
                <w:szCs w:val="18"/>
              </w:rPr>
              <w:t>（含）平方米及以下、</w:t>
            </w:r>
            <w:r>
              <w:rPr>
                <w:rFonts w:hint="eastAsia" w:ascii="Arial" w:hAnsi="Arial" w:cs="Arial"/>
                <w:sz w:val="16"/>
                <w:szCs w:val="18"/>
              </w:rPr>
              <w:t>60</w:t>
            </w:r>
            <w:r>
              <w:rPr>
                <w:rFonts w:ascii="Arial" w:hAnsi="Arial" w:cs="Arial"/>
                <w:sz w:val="16"/>
                <w:szCs w:val="18"/>
              </w:rPr>
              <w:t>-</w:t>
            </w:r>
            <w:r>
              <w:rPr>
                <w:rFonts w:hint="eastAsia" w:ascii="Arial" w:hAnsi="Arial" w:cs="Arial"/>
                <w:sz w:val="16"/>
                <w:szCs w:val="18"/>
              </w:rPr>
              <w:t>7</w:t>
            </w:r>
            <w:r>
              <w:rPr>
                <w:rFonts w:ascii="Arial" w:hAnsi="Arial" w:cs="Arial"/>
                <w:sz w:val="16"/>
                <w:szCs w:val="18"/>
              </w:rPr>
              <w:t>0（含）平方米、</w:t>
            </w:r>
            <w:r>
              <w:rPr>
                <w:rFonts w:hint="eastAsia" w:ascii="Arial" w:hAnsi="Arial" w:cs="Arial"/>
                <w:sz w:val="16"/>
                <w:szCs w:val="18"/>
              </w:rPr>
              <w:t>7</w:t>
            </w:r>
            <w:r>
              <w:rPr>
                <w:rFonts w:ascii="Arial" w:hAnsi="Arial" w:cs="Arial"/>
                <w:sz w:val="16"/>
                <w:szCs w:val="18"/>
              </w:rPr>
              <w:t>0-</w:t>
            </w:r>
            <w:r>
              <w:rPr>
                <w:rFonts w:hint="eastAsia" w:ascii="Arial" w:hAnsi="Arial" w:cs="Arial"/>
                <w:sz w:val="16"/>
                <w:szCs w:val="18"/>
              </w:rPr>
              <w:t>8</w:t>
            </w:r>
            <w:r>
              <w:rPr>
                <w:rFonts w:ascii="Arial" w:hAnsi="Arial" w:cs="Arial"/>
                <w:sz w:val="16"/>
                <w:szCs w:val="18"/>
              </w:rPr>
              <w:t>0（含）</w:t>
            </w: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w:t>
            </w:r>
            <w:r>
              <w:rPr>
                <w:rFonts w:ascii="Arial" w:hAnsi="Arial" w:cs="Arial"/>
                <w:sz w:val="16"/>
                <w:szCs w:val="18"/>
              </w:rPr>
              <w:t>0（含）</w:t>
            </w:r>
            <w:r>
              <w:rPr>
                <w:rFonts w:hint="eastAsia" w:ascii="Arial" w:hAnsi="Arial" w:cs="Arial"/>
                <w:sz w:val="16"/>
                <w:szCs w:val="18"/>
              </w:rPr>
              <w:t>、90</w:t>
            </w:r>
            <w:r>
              <w:rPr>
                <w:rFonts w:ascii="Arial" w:hAnsi="Arial" w:cs="Arial"/>
                <w:sz w:val="16"/>
                <w:szCs w:val="18"/>
              </w:rPr>
              <w:t>-</w:t>
            </w:r>
            <w:r>
              <w:rPr>
                <w:rFonts w:hint="eastAsia" w:ascii="Arial" w:hAnsi="Arial" w:cs="Arial"/>
                <w:sz w:val="16"/>
                <w:szCs w:val="18"/>
              </w:rPr>
              <w:t>10</w:t>
            </w:r>
            <w:r>
              <w:rPr>
                <w:rFonts w:ascii="Arial" w:hAnsi="Arial" w:cs="Arial"/>
                <w:sz w:val="16"/>
                <w:szCs w:val="18"/>
              </w:rPr>
              <w:t>0（含）</w:t>
            </w:r>
            <w:r>
              <w:rPr>
                <w:rFonts w:hint="eastAsia" w:ascii="Arial" w:hAnsi="Arial" w:cs="Arial"/>
                <w:sz w:val="16"/>
                <w:szCs w:val="18"/>
              </w:rPr>
              <w:t>、100</w:t>
            </w:r>
            <w:r>
              <w:rPr>
                <w:rFonts w:ascii="Arial" w:hAnsi="Arial" w:cs="Arial"/>
                <w:sz w:val="16"/>
                <w:szCs w:val="18"/>
              </w:rPr>
              <w:t>-</w:t>
            </w:r>
            <w:r>
              <w:rPr>
                <w:rFonts w:hint="eastAsia" w:ascii="Arial" w:hAnsi="Arial" w:cs="Arial"/>
                <w:sz w:val="16"/>
                <w:szCs w:val="18"/>
              </w:rPr>
              <w:t>11</w:t>
            </w:r>
            <w:r>
              <w:rPr>
                <w:rFonts w:ascii="Arial" w:hAnsi="Arial" w:cs="Arial"/>
                <w:sz w:val="16"/>
                <w:szCs w:val="18"/>
              </w:rPr>
              <w:t>0（含）</w:t>
            </w:r>
            <w:r>
              <w:rPr>
                <w:rFonts w:hint="eastAsia" w:ascii="Arial" w:hAnsi="Arial" w:cs="Arial"/>
                <w:sz w:val="16"/>
                <w:szCs w:val="18"/>
              </w:rPr>
              <w:t>、110</w:t>
            </w:r>
            <w:r>
              <w:rPr>
                <w:rFonts w:ascii="Arial" w:hAnsi="Arial" w:cs="Arial"/>
                <w:sz w:val="16"/>
                <w:szCs w:val="18"/>
              </w:rPr>
              <w:t>-</w:t>
            </w:r>
            <w:r>
              <w:rPr>
                <w:rFonts w:hint="eastAsia" w:ascii="Arial" w:hAnsi="Arial" w:cs="Arial"/>
                <w:sz w:val="16"/>
                <w:szCs w:val="18"/>
              </w:rPr>
              <w:t>12</w:t>
            </w:r>
            <w:r>
              <w:rPr>
                <w:rFonts w:ascii="Arial" w:hAnsi="Arial" w:cs="Arial"/>
                <w:sz w:val="16"/>
                <w:szCs w:val="18"/>
              </w:rPr>
              <w:t>0（含）</w:t>
            </w:r>
            <w:r>
              <w:rPr>
                <w:rFonts w:hint="eastAsia" w:ascii="Arial" w:hAnsi="Arial" w:cs="Arial"/>
                <w:sz w:val="16"/>
                <w:szCs w:val="18"/>
              </w:rPr>
              <w:t>、120</w:t>
            </w:r>
            <w:r>
              <w:rPr>
                <w:rFonts w:ascii="Arial" w:hAnsi="Arial" w:cs="Arial"/>
                <w:sz w:val="16"/>
                <w:szCs w:val="18"/>
              </w:rPr>
              <w:t>-</w:t>
            </w:r>
            <w:r>
              <w:rPr>
                <w:rFonts w:hint="eastAsia" w:ascii="Arial" w:hAnsi="Arial" w:cs="Arial"/>
                <w:sz w:val="16"/>
                <w:szCs w:val="18"/>
              </w:rPr>
              <w:t>13</w:t>
            </w:r>
            <w:r>
              <w:rPr>
                <w:rFonts w:ascii="Arial" w:hAnsi="Arial" w:cs="Arial"/>
                <w:sz w:val="16"/>
                <w:szCs w:val="18"/>
              </w:rPr>
              <w:t>0（含）</w:t>
            </w:r>
            <w:r>
              <w:rPr>
                <w:rFonts w:hint="eastAsia" w:ascii="Arial" w:hAnsi="Arial" w:cs="Arial"/>
                <w:sz w:val="16"/>
                <w:szCs w:val="18"/>
              </w:rPr>
              <w:t>、130</w:t>
            </w:r>
            <w:r>
              <w:rPr>
                <w:rFonts w:ascii="Arial" w:hAnsi="Arial" w:cs="Arial"/>
                <w:sz w:val="16"/>
                <w:szCs w:val="18"/>
              </w:rPr>
              <w:t>-</w:t>
            </w:r>
            <w:r>
              <w:rPr>
                <w:rFonts w:hint="eastAsia" w:ascii="Arial" w:hAnsi="Arial" w:cs="Arial"/>
                <w:sz w:val="16"/>
                <w:szCs w:val="18"/>
              </w:rPr>
              <w:t>14</w:t>
            </w:r>
            <w:r>
              <w:rPr>
                <w:rFonts w:ascii="Arial" w:hAnsi="Arial" w:cs="Arial"/>
                <w:sz w:val="16"/>
                <w:szCs w:val="18"/>
              </w:rPr>
              <w:t>0（含）平方米及以上。以估价对象该因素指数为100，各可比实例与之相比，确定可比实例1、2、3该因素指数分别为</w:t>
            </w:r>
            <w:r>
              <w:rPr>
                <w:rFonts w:hint="eastAsia" w:ascii="Arial" w:hAnsi="Arial" w:cs="Arial"/>
                <w:sz w:val="16"/>
                <w:szCs w:val="18"/>
              </w:rPr>
              <w:t>100、100、102</w:t>
            </w:r>
            <w:r>
              <w:rPr>
                <w:rFonts w:ascii="Arial" w:hAnsi="Arial" w:cs="Arial"/>
                <w:sz w:val="16"/>
                <w:szCs w:val="18"/>
              </w:rPr>
              <w:t>；</w:t>
            </w:r>
          </w:p>
        </w:tc>
      </w:tr>
      <w:tr w14:paraId="56211EB9">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543C5BE2">
            <w:pPr>
              <w:snapToGrid w:val="0"/>
              <w:spacing w:line="240" w:lineRule="exact"/>
              <w:jc w:val="both"/>
              <w:rPr>
                <w:rFonts w:hint="eastAsia" w:ascii="宋体" w:hAnsi="宋体" w:cs="Arial"/>
                <w:sz w:val="16"/>
                <w:szCs w:val="18"/>
              </w:rPr>
            </w:pPr>
          </w:p>
        </w:tc>
        <w:tc>
          <w:tcPr>
            <w:tcW w:w="996" w:type="dxa"/>
            <w:tcBorders>
              <w:top w:val="nil"/>
              <w:left w:val="nil"/>
              <w:bottom w:val="single" w:color="auto" w:sz="4" w:space="0"/>
              <w:right w:val="single" w:color="auto" w:sz="4" w:space="0"/>
            </w:tcBorders>
            <w:vAlign w:val="center"/>
          </w:tcPr>
          <w:p w14:paraId="2A9DD301">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家具家电</w:t>
            </w:r>
          </w:p>
        </w:tc>
        <w:tc>
          <w:tcPr>
            <w:tcW w:w="988" w:type="dxa"/>
            <w:tcBorders>
              <w:top w:val="nil"/>
              <w:left w:val="nil"/>
              <w:bottom w:val="single" w:color="auto" w:sz="4" w:space="0"/>
              <w:right w:val="single" w:color="auto" w:sz="4" w:space="0"/>
            </w:tcBorders>
            <w:noWrap/>
            <w:vAlign w:val="center"/>
          </w:tcPr>
          <w:p w14:paraId="03B4A868">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44AD457E">
            <w:pPr>
              <w:snapToGrid w:val="0"/>
              <w:spacing w:line="240" w:lineRule="exact"/>
              <w:jc w:val="both"/>
              <w:rPr>
                <w:rFonts w:ascii="Arial" w:hAnsi="Arial" w:cs="Arial"/>
                <w:sz w:val="16"/>
                <w:szCs w:val="18"/>
              </w:rPr>
            </w:pPr>
            <w:r>
              <w:rPr>
                <w:rFonts w:hint="eastAsia" w:ascii="Arial" w:hAnsi="Arial" w:cs="Arial"/>
                <w:sz w:val="16"/>
                <w:szCs w:val="18"/>
              </w:rPr>
              <w:t>91</w:t>
            </w:r>
          </w:p>
        </w:tc>
        <w:tc>
          <w:tcPr>
            <w:tcW w:w="988" w:type="dxa"/>
            <w:tcBorders>
              <w:top w:val="nil"/>
              <w:left w:val="nil"/>
              <w:bottom w:val="single" w:color="auto" w:sz="4" w:space="0"/>
              <w:right w:val="single" w:color="auto" w:sz="4" w:space="0"/>
            </w:tcBorders>
            <w:noWrap/>
            <w:vAlign w:val="center"/>
          </w:tcPr>
          <w:p w14:paraId="464FD6F4">
            <w:pPr>
              <w:snapToGrid w:val="0"/>
              <w:spacing w:line="240" w:lineRule="exact"/>
              <w:jc w:val="both"/>
              <w:rPr>
                <w:rFonts w:ascii="Arial" w:hAnsi="Arial" w:cs="Arial"/>
                <w:sz w:val="16"/>
                <w:szCs w:val="18"/>
              </w:rPr>
            </w:pPr>
            <w:r>
              <w:rPr>
                <w:rFonts w:hint="eastAsia" w:ascii="Arial" w:hAnsi="Arial" w:cs="Arial"/>
                <w:sz w:val="16"/>
                <w:szCs w:val="18"/>
              </w:rPr>
              <w:t>91</w:t>
            </w:r>
          </w:p>
        </w:tc>
        <w:tc>
          <w:tcPr>
            <w:tcW w:w="988" w:type="dxa"/>
            <w:tcBorders>
              <w:top w:val="nil"/>
              <w:left w:val="nil"/>
              <w:bottom w:val="single" w:color="auto" w:sz="4" w:space="0"/>
              <w:right w:val="single" w:color="auto" w:sz="4" w:space="0"/>
            </w:tcBorders>
            <w:noWrap/>
            <w:vAlign w:val="center"/>
          </w:tcPr>
          <w:p w14:paraId="7FF622DB">
            <w:pPr>
              <w:snapToGrid w:val="0"/>
              <w:spacing w:line="240" w:lineRule="exact"/>
              <w:jc w:val="both"/>
              <w:rPr>
                <w:rFonts w:ascii="Arial" w:hAnsi="Arial" w:cs="Arial"/>
                <w:sz w:val="16"/>
                <w:szCs w:val="18"/>
              </w:rPr>
            </w:pPr>
            <w:r>
              <w:rPr>
                <w:rFonts w:hint="eastAsia" w:ascii="Arial" w:hAnsi="Arial" w:cs="Arial"/>
                <w:sz w:val="16"/>
                <w:szCs w:val="18"/>
              </w:rPr>
              <w:t>91</w:t>
            </w:r>
          </w:p>
        </w:tc>
        <w:tc>
          <w:tcPr>
            <w:tcW w:w="3779" w:type="dxa"/>
            <w:tcBorders>
              <w:top w:val="nil"/>
              <w:left w:val="nil"/>
              <w:bottom w:val="single" w:color="auto" w:sz="4" w:space="0"/>
              <w:right w:val="single" w:color="auto" w:sz="4" w:space="0"/>
            </w:tcBorders>
            <w:vAlign w:val="center"/>
          </w:tcPr>
          <w:p w14:paraId="20A4320F">
            <w:pPr>
              <w:widowControl/>
              <w:adjustRightInd/>
              <w:spacing w:line="240" w:lineRule="auto"/>
              <w:textAlignment w:val="auto"/>
              <w:rPr>
                <w:rFonts w:ascii="Arial" w:hAnsi="Arial"/>
              </w:rPr>
            </w:pPr>
            <w:r>
              <w:rPr>
                <w:rFonts w:ascii="Arial" w:hAnsi="Arial" w:cs="Arial"/>
                <w:sz w:val="16"/>
                <w:szCs w:val="18"/>
              </w:rPr>
              <w:t>根据家具家电配备齐全程度，以估价对象该因素指数为100，各可比实例与之相比，确定可比实例1、2、3该因素指数分别为</w:t>
            </w:r>
            <w:r>
              <w:rPr>
                <w:rFonts w:hint="eastAsia" w:ascii="Arial" w:hAnsi="Arial" w:cs="Arial"/>
                <w:sz w:val="16"/>
                <w:szCs w:val="18"/>
              </w:rPr>
              <w:t>91、91、91</w:t>
            </w:r>
          </w:p>
        </w:tc>
      </w:tr>
      <w:tr w14:paraId="136078A0">
        <w:tblPrEx>
          <w:tblCellMar>
            <w:top w:w="57" w:type="dxa"/>
            <w:left w:w="57" w:type="dxa"/>
            <w:bottom w:w="57" w:type="dxa"/>
            <w:right w:w="57" w:type="dxa"/>
          </w:tblCellMar>
        </w:tblPrEx>
        <w:trPr>
          <w:trHeight w:val="20" w:hRule="atLeast"/>
          <w:jc w:val="center"/>
        </w:trPr>
        <w:tc>
          <w:tcPr>
            <w:tcW w:w="305" w:type="pct"/>
            <w:vMerge w:val="restart"/>
            <w:tcBorders>
              <w:top w:val="single" w:color="auto" w:sz="4" w:space="0"/>
              <w:left w:val="single" w:color="auto" w:sz="4" w:space="0"/>
              <w:bottom w:val="single" w:color="auto" w:sz="4" w:space="0"/>
              <w:right w:val="single" w:color="auto" w:sz="4" w:space="0"/>
            </w:tcBorders>
            <w:vAlign w:val="center"/>
          </w:tcPr>
          <w:p w14:paraId="4FA47EAA">
            <w:pPr>
              <w:snapToGrid w:val="0"/>
              <w:spacing w:line="240" w:lineRule="exact"/>
              <w:jc w:val="both"/>
              <w:rPr>
                <w:rFonts w:hint="eastAsia" w:ascii="宋体" w:hAnsi="宋体" w:cs="Arial"/>
                <w:sz w:val="16"/>
                <w:szCs w:val="18"/>
              </w:rPr>
            </w:pPr>
            <w:r>
              <w:rPr>
                <w:rFonts w:ascii="宋体" w:hAnsi="宋体" w:cs="Arial"/>
                <w:sz w:val="16"/>
                <w:szCs w:val="18"/>
              </w:rPr>
              <w:t>权益状况</w:t>
            </w:r>
          </w:p>
        </w:tc>
        <w:tc>
          <w:tcPr>
            <w:tcW w:w="535" w:type="pct"/>
            <w:tcBorders>
              <w:top w:val="single" w:color="auto" w:sz="4" w:space="0"/>
              <w:left w:val="nil"/>
              <w:bottom w:val="single" w:color="auto" w:sz="4" w:space="0"/>
              <w:right w:val="single" w:color="auto" w:sz="4" w:space="0"/>
            </w:tcBorders>
            <w:vAlign w:val="center"/>
          </w:tcPr>
          <w:p w14:paraId="749C2954">
            <w:pPr>
              <w:snapToGrid w:val="0"/>
              <w:spacing w:line="240" w:lineRule="exact"/>
              <w:jc w:val="both"/>
              <w:rPr>
                <w:rFonts w:hint="eastAsia" w:ascii="宋体" w:hAnsi="宋体" w:cs="Arial"/>
                <w:sz w:val="16"/>
                <w:szCs w:val="18"/>
              </w:rPr>
            </w:pPr>
            <w:r>
              <w:rPr>
                <w:rFonts w:ascii="宋体" w:hAnsi="宋体" w:cs="Arial"/>
                <w:sz w:val="16"/>
                <w:szCs w:val="18"/>
              </w:rPr>
              <w:t>服务及管理水平</w:t>
            </w:r>
          </w:p>
        </w:tc>
        <w:tc>
          <w:tcPr>
            <w:tcW w:w="531" w:type="pct"/>
            <w:tcBorders>
              <w:top w:val="nil"/>
              <w:left w:val="nil"/>
              <w:bottom w:val="single" w:color="auto" w:sz="4" w:space="0"/>
              <w:right w:val="single" w:color="auto" w:sz="4" w:space="0"/>
            </w:tcBorders>
            <w:noWrap/>
            <w:vAlign w:val="center"/>
          </w:tcPr>
          <w:p w14:paraId="25EA791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F34780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AEE0E2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9A26F18">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178CE601">
            <w:pPr>
              <w:widowControl/>
              <w:adjustRightInd/>
              <w:spacing w:line="240" w:lineRule="auto"/>
              <w:textAlignment w:val="auto"/>
              <w:rPr>
                <w:rFonts w:ascii="Arial" w:hAnsi="Arial" w:cs="Arial"/>
                <w:sz w:val="16"/>
                <w:szCs w:val="18"/>
              </w:rPr>
            </w:pPr>
            <w:r>
              <w:rPr>
                <w:rFonts w:ascii="Arial" w:hAnsi="Arial" w:cs="Arial"/>
                <w:sz w:val="16"/>
                <w:szCs w:val="18"/>
              </w:rPr>
              <w:t>根据是否配置服务管家、是否封闭式管理，以估价对象该因素指数为100，各可比实例与之相比，确定可比实例1、2、3该因素指数分别为</w:t>
            </w:r>
            <w:r>
              <w:rPr>
                <w:rFonts w:hint="eastAsia" w:ascii="Arial" w:hAnsi="Arial" w:cs="Arial"/>
                <w:sz w:val="16"/>
                <w:szCs w:val="18"/>
              </w:rPr>
              <w:t>100、100、100</w:t>
            </w:r>
            <w:r>
              <w:rPr>
                <w:rFonts w:ascii="Arial" w:hAnsi="Arial" w:cs="Arial"/>
                <w:sz w:val="16"/>
                <w:szCs w:val="18"/>
              </w:rPr>
              <w:t>。</w:t>
            </w:r>
          </w:p>
        </w:tc>
      </w:tr>
      <w:tr w14:paraId="31B7D043">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770057CE">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63357730">
            <w:pPr>
              <w:snapToGrid w:val="0"/>
              <w:spacing w:line="240" w:lineRule="exact"/>
              <w:jc w:val="both"/>
              <w:rPr>
                <w:rFonts w:hint="eastAsia" w:ascii="宋体" w:hAnsi="宋体" w:cs="Arial"/>
                <w:sz w:val="16"/>
                <w:szCs w:val="18"/>
              </w:rPr>
            </w:pPr>
            <w:r>
              <w:rPr>
                <w:rFonts w:ascii="宋体" w:hAnsi="宋体" w:cs="Arial"/>
                <w:sz w:val="16"/>
                <w:szCs w:val="18"/>
              </w:rPr>
              <w:t>水电气费执行标准</w:t>
            </w:r>
          </w:p>
        </w:tc>
        <w:tc>
          <w:tcPr>
            <w:tcW w:w="531" w:type="pct"/>
            <w:tcBorders>
              <w:top w:val="nil"/>
              <w:left w:val="nil"/>
              <w:bottom w:val="single" w:color="auto" w:sz="4" w:space="0"/>
              <w:right w:val="single" w:color="auto" w:sz="4" w:space="0"/>
            </w:tcBorders>
            <w:noWrap/>
            <w:vAlign w:val="center"/>
          </w:tcPr>
          <w:p w14:paraId="152A684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6EFE8C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CC0EFF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0C34F0B">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3FBC3130">
            <w:pPr>
              <w:widowControl/>
              <w:adjustRightInd/>
              <w:spacing w:line="240" w:lineRule="auto"/>
              <w:textAlignment w:val="auto"/>
              <w:rPr>
                <w:rFonts w:ascii="Arial" w:hAnsi="Arial" w:cs="Arial"/>
                <w:sz w:val="16"/>
                <w:szCs w:val="18"/>
              </w:rPr>
            </w:pPr>
            <w:r>
              <w:rPr>
                <w:rFonts w:ascii="Arial" w:hAnsi="Arial" w:cs="Arial"/>
                <w:sz w:val="16"/>
                <w:szCs w:val="18"/>
              </w:rPr>
              <w:t>估价对象与案例均采用民水民电，确定可比实例1、2、3该因素指数分别为100、100、100。</w:t>
            </w:r>
          </w:p>
        </w:tc>
      </w:tr>
    </w:tbl>
    <w:p w14:paraId="73BD5B4D">
      <w:pPr>
        <w:wordWrap w:val="0"/>
        <w:overflowPunct w:val="0"/>
        <w:spacing w:line="480" w:lineRule="auto"/>
        <w:rPr>
          <w:rFonts w:ascii="Arial" w:hAnsi="Arial"/>
          <w:sz w:val="21"/>
          <w:szCs w:val="21"/>
        </w:rPr>
      </w:pPr>
    </w:p>
    <w:p w14:paraId="42648552">
      <w:pPr>
        <w:wordWrap w:val="0"/>
        <w:overflowPunct w:val="0"/>
        <w:spacing w:line="480" w:lineRule="auto"/>
        <w:rPr>
          <w:rFonts w:ascii="Arial" w:hAnsi="Arial"/>
          <w:sz w:val="21"/>
          <w:szCs w:val="21"/>
        </w:rPr>
      </w:pPr>
    </w:p>
    <w:p w14:paraId="255B6771">
      <w:pPr>
        <w:rPr>
          <w:rFonts w:ascii="Arial" w:hAnsi="Arial"/>
          <w:sz w:val="21"/>
          <w:szCs w:val="21"/>
        </w:rPr>
      </w:pPr>
      <w:r>
        <w:rPr>
          <w:rFonts w:hint="eastAsia" w:ascii="Arial" w:hAnsi="Arial"/>
          <w:sz w:val="21"/>
          <w:szCs w:val="21"/>
        </w:rPr>
        <w:br w:type="page"/>
      </w:r>
    </w:p>
    <w:p w14:paraId="3E9C2CEC">
      <w:pPr>
        <w:wordWrap w:val="0"/>
        <w:overflowPunct w:val="0"/>
        <w:spacing w:line="480" w:lineRule="auto"/>
        <w:ind w:firstLine="420" w:firstLineChars="200"/>
        <w:rPr>
          <w:rFonts w:ascii="Arial" w:hAnsi="Arial"/>
          <w:sz w:val="21"/>
          <w:szCs w:val="21"/>
        </w:rPr>
      </w:pPr>
      <w:r>
        <w:rPr>
          <w:rFonts w:hint="eastAsia" w:ascii="Arial" w:hAnsi="Arial"/>
          <w:sz w:val="21"/>
          <w:szCs w:val="21"/>
        </w:rPr>
        <w:t>（3）编制因素比较修正系数表</w:t>
      </w:r>
      <w:r>
        <w:rPr>
          <w:rFonts w:ascii="Arial" w:hAnsi="Arial"/>
          <w:sz w:val="21"/>
          <w:szCs w:val="21"/>
        </w:rPr>
        <w:t xml:space="preserve"> </w:t>
      </w:r>
    </w:p>
    <w:p w14:paraId="08742F88">
      <w:pPr>
        <w:wordWrap w:val="0"/>
        <w:overflowPunct w:val="0"/>
        <w:spacing w:line="480" w:lineRule="auto"/>
        <w:ind w:firstLine="420" w:firstLineChars="200"/>
        <w:rPr>
          <w:rFonts w:ascii="Arial" w:hAnsi="Arial"/>
          <w:sz w:val="21"/>
          <w:szCs w:val="21"/>
        </w:rPr>
      </w:pPr>
      <w:r>
        <w:rPr>
          <w:rFonts w:hint="eastAsia" w:ascii="Arial" w:hAnsi="Arial"/>
          <w:sz w:val="21"/>
          <w:szCs w:val="21"/>
        </w:rPr>
        <w:t>根据比较因素条件指数表，编制因素各项目比较修正系数表，详见下表：</w:t>
      </w:r>
    </w:p>
    <w:p w14:paraId="6C50270E">
      <w:pPr>
        <w:overflowPunct w:val="0"/>
        <w:spacing w:line="480" w:lineRule="auto"/>
        <w:ind w:firstLine="420" w:firstLineChars="200"/>
        <w:jc w:val="center"/>
        <w:rPr>
          <w:rFonts w:ascii="Arial" w:hAnsi="Arial"/>
          <w:sz w:val="21"/>
          <w:szCs w:val="21"/>
        </w:rPr>
      </w:pPr>
      <w:r>
        <w:rPr>
          <w:rFonts w:hint="eastAsia" w:ascii="Arial" w:hAnsi="Arial"/>
          <w:sz w:val="21"/>
          <w:szCs w:val="21"/>
        </w:rPr>
        <w:t>因素比较修正系数表</w:t>
      </w:r>
    </w:p>
    <w:tbl>
      <w:tblPr>
        <w:tblStyle w:val="33"/>
        <w:tblW w:w="5000" w:type="pct"/>
        <w:tblInd w:w="0" w:type="dxa"/>
        <w:tblLayout w:type="autofit"/>
        <w:tblCellMar>
          <w:top w:w="0" w:type="dxa"/>
          <w:left w:w="108" w:type="dxa"/>
          <w:bottom w:w="0" w:type="dxa"/>
          <w:right w:w="108" w:type="dxa"/>
        </w:tblCellMar>
      </w:tblPr>
      <w:tblGrid>
        <w:gridCol w:w="1506"/>
        <w:gridCol w:w="2887"/>
        <w:gridCol w:w="1707"/>
        <w:gridCol w:w="1707"/>
        <w:gridCol w:w="1708"/>
      </w:tblGrid>
      <w:tr w14:paraId="65640934">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59F73C32">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897" w:type="pct"/>
            <w:tcBorders>
              <w:top w:val="single" w:color="auto" w:sz="4" w:space="0"/>
              <w:left w:val="nil"/>
              <w:bottom w:val="single" w:color="auto" w:sz="4" w:space="0"/>
              <w:right w:val="single" w:color="auto" w:sz="4" w:space="0"/>
            </w:tcBorders>
            <w:vAlign w:val="center"/>
          </w:tcPr>
          <w:p w14:paraId="7CCD2A98">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10</w:t>
            </w:r>
          </w:p>
        </w:tc>
        <w:tc>
          <w:tcPr>
            <w:tcW w:w="897" w:type="pct"/>
            <w:tcBorders>
              <w:top w:val="single" w:color="auto" w:sz="4" w:space="0"/>
              <w:left w:val="nil"/>
              <w:bottom w:val="single" w:color="auto" w:sz="4" w:space="0"/>
              <w:right w:val="single" w:color="auto" w:sz="4" w:space="0"/>
            </w:tcBorders>
            <w:vAlign w:val="center"/>
          </w:tcPr>
          <w:p w14:paraId="65E800A7">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11</w:t>
            </w:r>
          </w:p>
        </w:tc>
        <w:tc>
          <w:tcPr>
            <w:tcW w:w="897" w:type="pct"/>
            <w:tcBorders>
              <w:top w:val="single" w:color="auto" w:sz="4" w:space="0"/>
              <w:left w:val="nil"/>
              <w:bottom w:val="single" w:color="auto" w:sz="4" w:space="0"/>
              <w:right w:val="single" w:color="auto" w:sz="4" w:space="0"/>
            </w:tcBorders>
            <w:vAlign w:val="center"/>
          </w:tcPr>
          <w:p w14:paraId="106DF531">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12</w:t>
            </w:r>
          </w:p>
        </w:tc>
      </w:tr>
      <w:tr w14:paraId="7AE0BF91">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49C1F6C4">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897" w:type="pct"/>
            <w:tcBorders>
              <w:top w:val="nil"/>
              <w:left w:val="nil"/>
              <w:bottom w:val="single" w:color="auto" w:sz="4" w:space="0"/>
              <w:right w:val="single" w:color="auto" w:sz="4" w:space="0"/>
            </w:tcBorders>
            <w:vAlign w:val="center"/>
          </w:tcPr>
          <w:p w14:paraId="3124A61B">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897" w:type="pct"/>
            <w:tcBorders>
              <w:top w:val="nil"/>
              <w:left w:val="nil"/>
              <w:bottom w:val="single" w:color="auto" w:sz="4" w:space="0"/>
              <w:right w:val="single" w:color="auto" w:sz="4" w:space="0"/>
            </w:tcBorders>
            <w:vAlign w:val="center"/>
          </w:tcPr>
          <w:p w14:paraId="660518AC">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漪景园</w:t>
            </w:r>
          </w:p>
        </w:tc>
        <w:tc>
          <w:tcPr>
            <w:tcW w:w="897" w:type="pct"/>
            <w:tcBorders>
              <w:top w:val="nil"/>
              <w:left w:val="nil"/>
              <w:bottom w:val="single" w:color="auto" w:sz="4" w:space="0"/>
              <w:right w:val="single" w:color="auto" w:sz="4" w:space="0"/>
            </w:tcBorders>
            <w:vAlign w:val="center"/>
          </w:tcPr>
          <w:p w14:paraId="6C906788">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r>
      <w:tr w14:paraId="382F9F48">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1B2224ED">
            <w:pPr>
              <w:widowControl/>
              <w:adjustRightInd/>
              <w:spacing w:line="240" w:lineRule="auto"/>
              <w:textAlignment w:val="auto"/>
              <w:rPr>
                <w:rFonts w:ascii="Arial" w:hAnsi="Arial" w:cs="Arial"/>
                <w:sz w:val="16"/>
                <w:szCs w:val="18"/>
              </w:rPr>
            </w:pPr>
            <w:r>
              <w:rPr>
                <w:rFonts w:ascii="Arial" w:hAnsi="Arial" w:cs="Arial"/>
                <w:sz w:val="16"/>
                <w:szCs w:val="18"/>
              </w:rPr>
              <w:t>平均租金（元/平方米·月）</w:t>
            </w:r>
          </w:p>
        </w:tc>
        <w:tc>
          <w:tcPr>
            <w:tcW w:w="897" w:type="pct"/>
            <w:tcBorders>
              <w:top w:val="nil"/>
              <w:left w:val="nil"/>
              <w:bottom w:val="single" w:color="auto" w:sz="4" w:space="0"/>
              <w:right w:val="single" w:color="auto" w:sz="4" w:space="0"/>
            </w:tcBorders>
            <w:vAlign w:val="center"/>
          </w:tcPr>
          <w:p w14:paraId="07EF4655">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30.81</w:t>
            </w:r>
          </w:p>
        </w:tc>
        <w:tc>
          <w:tcPr>
            <w:tcW w:w="897" w:type="pct"/>
            <w:tcBorders>
              <w:top w:val="nil"/>
              <w:left w:val="nil"/>
              <w:bottom w:val="single" w:color="auto" w:sz="4" w:space="0"/>
              <w:right w:val="single" w:color="auto" w:sz="4" w:space="0"/>
            </w:tcBorders>
            <w:vAlign w:val="center"/>
          </w:tcPr>
          <w:p w14:paraId="0169E122">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33.53</w:t>
            </w:r>
          </w:p>
        </w:tc>
        <w:tc>
          <w:tcPr>
            <w:tcW w:w="897" w:type="pct"/>
            <w:tcBorders>
              <w:top w:val="nil"/>
              <w:left w:val="nil"/>
              <w:bottom w:val="single" w:color="auto" w:sz="4" w:space="0"/>
              <w:right w:val="single" w:color="auto" w:sz="4" w:space="0"/>
            </w:tcBorders>
            <w:vAlign w:val="center"/>
          </w:tcPr>
          <w:p w14:paraId="55EE75F2">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30.63</w:t>
            </w:r>
          </w:p>
        </w:tc>
      </w:tr>
      <w:tr w14:paraId="3322357C">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15FE4E59">
            <w:pPr>
              <w:widowControl/>
              <w:adjustRightInd/>
              <w:spacing w:line="240" w:lineRule="auto"/>
              <w:textAlignment w:val="auto"/>
              <w:rPr>
                <w:rFonts w:ascii="Arial" w:hAnsi="Arial" w:cs="Arial"/>
                <w:sz w:val="16"/>
                <w:szCs w:val="18"/>
              </w:rPr>
            </w:pPr>
            <w:r>
              <w:rPr>
                <w:rFonts w:ascii="Arial" w:hAnsi="Arial" w:cs="Arial"/>
                <w:sz w:val="16"/>
                <w:szCs w:val="18"/>
              </w:rPr>
              <w:t>交易时间</w:t>
            </w:r>
          </w:p>
        </w:tc>
        <w:tc>
          <w:tcPr>
            <w:tcW w:w="897" w:type="pct"/>
            <w:tcBorders>
              <w:top w:val="nil"/>
              <w:left w:val="nil"/>
              <w:bottom w:val="single" w:color="auto" w:sz="4" w:space="0"/>
              <w:right w:val="single" w:color="auto" w:sz="4" w:space="0"/>
            </w:tcBorders>
            <w:vAlign w:val="center"/>
          </w:tcPr>
          <w:p w14:paraId="581060D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760981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FB663D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6393EC7">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426A96DC">
            <w:pPr>
              <w:widowControl/>
              <w:adjustRightInd/>
              <w:spacing w:line="240" w:lineRule="auto"/>
              <w:textAlignment w:val="auto"/>
              <w:rPr>
                <w:rFonts w:ascii="Arial" w:hAnsi="Arial" w:cs="Arial"/>
                <w:sz w:val="16"/>
                <w:szCs w:val="18"/>
              </w:rPr>
            </w:pPr>
            <w:r>
              <w:rPr>
                <w:rFonts w:ascii="Arial" w:hAnsi="Arial" w:cs="Arial"/>
                <w:sz w:val="16"/>
                <w:szCs w:val="18"/>
              </w:rPr>
              <w:t>交易情况</w:t>
            </w:r>
          </w:p>
        </w:tc>
        <w:tc>
          <w:tcPr>
            <w:tcW w:w="897" w:type="pct"/>
            <w:tcBorders>
              <w:top w:val="nil"/>
              <w:left w:val="nil"/>
              <w:bottom w:val="single" w:color="auto" w:sz="4" w:space="0"/>
              <w:right w:val="single" w:color="auto" w:sz="4" w:space="0"/>
            </w:tcBorders>
            <w:vAlign w:val="center"/>
          </w:tcPr>
          <w:p w14:paraId="0E2A545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8F215A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A345F4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E27A19F">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6D2A3367">
            <w:pPr>
              <w:widowControl/>
              <w:adjustRightInd/>
              <w:spacing w:line="240" w:lineRule="auto"/>
              <w:textAlignment w:val="auto"/>
              <w:rPr>
                <w:rFonts w:ascii="Arial" w:hAnsi="Arial" w:cs="Arial"/>
                <w:sz w:val="16"/>
                <w:szCs w:val="18"/>
              </w:rPr>
            </w:pPr>
            <w:r>
              <w:rPr>
                <w:rFonts w:ascii="Arial" w:hAnsi="Arial" w:cs="Arial"/>
                <w:sz w:val="16"/>
                <w:szCs w:val="18"/>
              </w:rPr>
              <w:t>项目类型</w:t>
            </w:r>
          </w:p>
        </w:tc>
        <w:tc>
          <w:tcPr>
            <w:tcW w:w="897" w:type="pct"/>
            <w:tcBorders>
              <w:top w:val="nil"/>
              <w:left w:val="nil"/>
              <w:bottom w:val="single" w:color="auto" w:sz="4" w:space="0"/>
              <w:right w:val="single" w:color="auto" w:sz="4" w:space="0"/>
            </w:tcBorders>
            <w:vAlign w:val="center"/>
          </w:tcPr>
          <w:p w14:paraId="0702F1D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7040BC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144F99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710A9C7">
        <w:tblPrEx>
          <w:tblCellMar>
            <w:top w:w="0" w:type="dxa"/>
            <w:left w:w="108" w:type="dxa"/>
            <w:bottom w:w="0" w:type="dxa"/>
            <w:right w:w="108" w:type="dxa"/>
          </w:tblCellMar>
        </w:tblPrEx>
        <w:trPr>
          <w:trHeight w:val="227" w:hRule="atLeast"/>
        </w:trPr>
        <w:tc>
          <w:tcPr>
            <w:tcW w:w="791" w:type="pct"/>
            <w:vMerge w:val="restart"/>
            <w:tcBorders>
              <w:top w:val="nil"/>
              <w:left w:val="single" w:color="auto" w:sz="4" w:space="0"/>
              <w:bottom w:val="single" w:color="auto" w:sz="4" w:space="0"/>
              <w:right w:val="single" w:color="auto" w:sz="4" w:space="0"/>
            </w:tcBorders>
            <w:vAlign w:val="center"/>
          </w:tcPr>
          <w:p w14:paraId="71701817">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1517" w:type="pct"/>
            <w:tcBorders>
              <w:top w:val="nil"/>
              <w:left w:val="nil"/>
              <w:bottom w:val="single" w:color="auto" w:sz="4" w:space="0"/>
              <w:right w:val="single" w:color="auto" w:sz="4" w:space="0"/>
            </w:tcBorders>
            <w:vAlign w:val="center"/>
          </w:tcPr>
          <w:p w14:paraId="7459278F">
            <w:pPr>
              <w:widowControl/>
              <w:adjustRightInd/>
              <w:spacing w:line="240" w:lineRule="auto"/>
              <w:textAlignment w:val="auto"/>
              <w:rPr>
                <w:rFonts w:ascii="Arial" w:hAnsi="Arial" w:cs="Arial"/>
                <w:sz w:val="16"/>
                <w:szCs w:val="18"/>
              </w:rPr>
            </w:pPr>
            <w:r>
              <w:rPr>
                <w:rFonts w:ascii="Arial" w:hAnsi="Arial" w:cs="Arial"/>
                <w:sz w:val="16"/>
                <w:szCs w:val="18"/>
              </w:rPr>
              <w:t>居住区成熟度</w:t>
            </w:r>
          </w:p>
        </w:tc>
        <w:tc>
          <w:tcPr>
            <w:tcW w:w="897" w:type="pct"/>
            <w:tcBorders>
              <w:top w:val="nil"/>
              <w:left w:val="nil"/>
              <w:bottom w:val="single" w:color="auto" w:sz="4" w:space="0"/>
              <w:right w:val="single" w:color="auto" w:sz="4" w:space="0"/>
            </w:tcBorders>
            <w:vAlign w:val="center"/>
          </w:tcPr>
          <w:p w14:paraId="1B4F86D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4F5DE7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7648A0A">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1B1C8980">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54E12C9">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1F33542E">
            <w:pPr>
              <w:widowControl/>
              <w:adjustRightInd/>
              <w:spacing w:line="240" w:lineRule="auto"/>
              <w:textAlignment w:val="auto"/>
              <w:rPr>
                <w:rFonts w:ascii="Arial" w:hAnsi="Arial" w:cs="Arial"/>
                <w:sz w:val="16"/>
                <w:szCs w:val="18"/>
              </w:rPr>
            </w:pPr>
            <w:r>
              <w:rPr>
                <w:rFonts w:ascii="Arial" w:hAnsi="Arial" w:cs="Arial"/>
                <w:sz w:val="16"/>
                <w:szCs w:val="18"/>
              </w:rPr>
              <w:t>道路通达度</w:t>
            </w:r>
          </w:p>
        </w:tc>
        <w:tc>
          <w:tcPr>
            <w:tcW w:w="897" w:type="pct"/>
            <w:tcBorders>
              <w:top w:val="nil"/>
              <w:left w:val="nil"/>
              <w:bottom w:val="single" w:color="auto" w:sz="4" w:space="0"/>
              <w:right w:val="single" w:color="auto" w:sz="4" w:space="0"/>
            </w:tcBorders>
            <w:vAlign w:val="center"/>
          </w:tcPr>
          <w:p w14:paraId="0F31342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DAB05B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5077B9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9B9F067">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0D3B7D6">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5405965">
            <w:pPr>
              <w:widowControl/>
              <w:adjustRightInd/>
              <w:spacing w:line="240" w:lineRule="auto"/>
              <w:textAlignment w:val="auto"/>
              <w:rPr>
                <w:rFonts w:ascii="Arial" w:hAnsi="Arial" w:cs="Arial"/>
                <w:sz w:val="16"/>
                <w:szCs w:val="18"/>
              </w:rPr>
            </w:pPr>
            <w:r>
              <w:rPr>
                <w:rFonts w:ascii="Arial" w:hAnsi="Arial" w:cs="Arial"/>
                <w:sz w:val="16"/>
                <w:szCs w:val="18"/>
              </w:rPr>
              <w:t>距离轨道交通站点距离</w:t>
            </w:r>
          </w:p>
        </w:tc>
        <w:tc>
          <w:tcPr>
            <w:tcW w:w="897" w:type="pct"/>
            <w:tcBorders>
              <w:top w:val="nil"/>
              <w:left w:val="nil"/>
              <w:bottom w:val="single" w:color="auto" w:sz="4" w:space="0"/>
              <w:right w:val="single" w:color="auto" w:sz="4" w:space="0"/>
            </w:tcBorders>
            <w:vAlign w:val="center"/>
          </w:tcPr>
          <w:p w14:paraId="50B24A9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2E34C1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4EB80D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D9A7BBD">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D48596A">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B9B019D">
            <w:pPr>
              <w:widowControl/>
              <w:adjustRightInd/>
              <w:spacing w:line="240" w:lineRule="auto"/>
              <w:textAlignment w:val="auto"/>
              <w:rPr>
                <w:rFonts w:ascii="Arial" w:hAnsi="Arial" w:cs="Arial"/>
                <w:sz w:val="16"/>
                <w:szCs w:val="18"/>
              </w:rPr>
            </w:pPr>
            <w:r>
              <w:rPr>
                <w:rFonts w:ascii="Arial" w:hAnsi="Arial" w:cs="Arial"/>
                <w:sz w:val="16"/>
                <w:szCs w:val="18"/>
              </w:rPr>
              <w:t>距离公交站点距离</w:t>
            </w:r>
          </w:p>
        </w:tc>
        <w:tc>
          <w:tcPr>
            <w:tcW w:w="897" w:type="pct"/>
            <w:tcBorders>
              <w:top w:val="nil"/>
              <w:left w:val="nil"/>
              <w:bottom w:val="single" w:color="auto" w:sz="4" w:space="0"/>
              <w:right w:val="single" w:color="auto" w:sz="4" w:space="0"/>
            </w:tcBorders>
            <w:vAlign w:val="center"/>
          </w:tcPr>
          <w:p w14:paraId="7499B02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70803B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9834FD6">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7F7D8CF8">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A89E7F1">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793B9B4">
            <w:pPr>
              <w:widowControl/>
              <w:adjustRightInd/>
              <w:spacing w:line="240" w:lineRule="auto"/>
              <w:textAlignment w:val="auto"/>
              <w:rPr>
                <w:rFonts w:ascii="Arial" w:hAnsi="Arial" w:cs="Arial"/>
                <w:sz w:val="16"/>
                <w:szCs w:val="18"/>
              </w:rPr>
            </w:pPr>
            <w:r>
              <w:rPr>
                <w:rFonts w:hint="eastAsia" w:ascii="Arial" w:hAnsi="Arial" w:cs="Arial"/>
                <w:sz w:val="16"/>
                <w:szCs w:val="18"/>
              </w:rPr>
              <w:t>环境质量优劣度</w:t>
            </w:r>
          </w:p>
        </w:tc>
        <w:tc>
          <w:tcPr>
            <w:tcW w:w="897" w:type="pct"/>
            <w:tcBorders>
              <w:top w:val="nil"/>
              <w:left w:val="nil"/>
              <w:bottom w:val="single" w:color="auto" w:sz="4" w:space="0"/>
              <w:right w:val="single" w:color="auto" w:sz="4" w:space="0"/>
            </w:tcBorders>
            <w:vAlign w:val="center"/>
          </w:tcPr>
          <w:p w14:paraId="29480E3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C5686C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E7CA97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049FED6">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E961164">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E25D038">
            <w:pPr>
              <w:widowControl/>
              <w:adjustRightInd/>
              <w:spacing w:line="240" w:lineRule="auto"/>
              <w:textAlignment w:val="auto"/>
              <w:rPr>
                <w:rFonts w:ascii="Arial" w:hAnsi="Arial" w:cs="Arial"/>
                <w:sz w:val="16"/>
                <w:szCs w:val="18"/>
              </w:rPr>
            </w:pPr>
            <w:r>
              <w:rPr>
                <w:rFonts w:ascii="Arial" w:hAnsi="Arial" w:cs="Arial"/>
                <w:sz w:val="16"/>
                <w:szCs w:val="18"/>
              </w:rPr>
              <w:t>自然环境</w:t>
            </w:r>
          </w:p>
        </w:tc>
        <w:tc>
          <w:tcPr>
            <w:tcW w:w="897" w:type="pct"/>
            <w:tcBorders>
              <w:top w:val="nil"/>
              <w:left w:val="nil"/>
              <w:bottom w:val="single" w:color="auto" w:sz="4" w:space="0"/>
              <w:right w:val="single" w:color="auto" w:sz="4" w:space="0"/>
            </w:tcBorders>
            <w:vAlign w:val="center"/>
          </w:tcPr>
          <w:p w14:paraId="7BB1B23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B0F82F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D20D9A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9504408">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1C20932">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BE79881">
            <w:pPr>
              <w:widowControl/>
              <w:adjustRightInd/>
              <w:spacing w:line="240" w:lineRule="auto"/>
              <w:textAlignment w:val="auto"/>
              <w:rPr>
                <w:rFonts w:ascii="Arial" w:hAnsi="Arial" w:cs="Arial"/>
                <w:sz w:val="16"/>
                <w:szCs w:val="18"/>
              </w:rPr>
            </w:pPr>
            <w:r>
              <w:rPr>
                <w:rFonts w:hint="eastAsia" w:ascii="Arial" w:hAnsi="Arial" w:cs="Arial"/>
                <w:sz w:val="16"/>
                <w:szCs w:val="18"/>
              </w:rPr>
              <w:t>小区环境</w:t>
            </w:r>
          </w:p>
        </w:tc>
        <w:tc>
          <w:tcPr>
            <w:tcW w:w="897" w:type="pct"/>
            <w:tcBorders>
              <w:top w:val="nil"/>
              <w:left w:val="nil"/>
              <w:bottom w:val="single" w:color="auto" w:sz="4" w:space="0"/>
              <w:right w:val="single" w:color="auto" w:sz="4" w:space="0"/>
            </w:tcBorders>
            <w:vAlign w:val="center"/>
          </w:tcPr>
          <w:p w14:paraId="7ED2972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FFEA58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721734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135E971">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174ECD90">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530BB18">
            <w:pPr>
              <w:widowControl/>
              <w:adjustRightInd/>
              <w:spacing w:line="240" w:lineRule="auto"/>
              <w:textAlignment w:val="auto"/>
              <w:rPr>
                <w:rFonts w:ascii="Arial" w:hAnsi="Arial" w:cs="Arial"/>
                <w:sz w:val="16"/>
                <w:szCs w:val="18"/>
              </w:rPr>
            </w:pPr>
            <w:r>
              <w:rPr>
                <w:rFonts w:hint="eastAsia" w:ascii="Arial" w:hAnsi="Arial" w:cs="Arial"/>
                <w:sz w:val="16"/>
                <w:szCs w:val="18"/>
              </w:rPr>
              <w:t>公共服务设施状况</w:t>
            </w:r>
          </w:p>
        </w:tc>
        <w:tc>
          <w:tcPr>
            <w:tcW w:w="897" w:type="pct"/>
            <w:tcBorders>
              <w:top w:val="nil"/>
              <w:left w:val="nil"/>
              <w:bottom w:val="single" w:color="auto" w:sz="4" w:space="0"/>
              <w:right w:val="single" w:color="auto" w:sz="4" w:space="0"/>
            </w:tcBorders>
            <w:vAlign w:val="center"/>
          </w:tcPr>
          <w:p w14:paraId="798660E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33F9DC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A950036">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10FBFC8E">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7C495503">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44F4070">
            <w:pPr>
              <w:widowControl/>
              <w:adjustRightInd/>
              <w:spacing w:line="240" w:lineRule="auto"/>
              <w:textAlignment w:val="auto"/>
              <w:rPr>
                <w:rFonts w:ascii="Arial" w:hAnsi="Arial" w:cs="Arial"/>
                <w:sz w:val="16"/>
                <w:szCs w:val="18"/>
              </w:rPr>
            </w:pPr>
            <w:r>
              <w:rPr>
                <w:rFonts w:hint="eastAsia" w:ascii="Arial" w:hAnsi="Arial" w:cs="Arial"/>
                <w:sz w:val="16"/>
                <w:szCs w:val="18"/>
              </w:rPr>
              <w:t>建筑类型</w:t>
            </w:r>
          </w:p>
        </w:tc>
        <w:tc>
          <w:tcPr>
            <w:tcW w:w="897" w:type="pct"/>
            <w:tcBorders>
              <w:top w:val="nil"/>
              <w:left w:val="nil"/>
              <w:bottom w:val="single" w:color="auto" w:sz="4" w:space="0"/>
              <w:right w:val="single" w:color="auto" w:sz="4" w:space="0"/>
            </w:tcBorders>
            <w:vAlign w:val="center"/>
          </w:tcPr>
          <w:p w14:paraId="0F67D558">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104</w:t>
            </w:r>
          </w:p>
        </w:tc>
        <w:tc>
          <w:tcPr>
            <w:tcW w:w="897" w:type="pct"/>
            <w:tcBorders>
              <w:top w:val="nil"/>
              <w:left w:val="nil"/>
              <w:bottom w:val="single" w:color="auto" w:sz="4" w:space="0"/>
              <w:right w:val="single" w:color="auto" w:sz="4" w:space="0"/>
            </w:tcBorders>
            <w:vAlign w:val="center"/>
          </w:tcPr>
          <w:p w14:paraId="1D703D7B">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4</w:t>
            </w:r>
          </w:p>
        </w:tc>
        <w:tc>
          <w:tcPr>
            <w:tcW w:w="897" w:type="pct"/>
            <w:tcBorders>
              <w:top w:val="nil"/>
              <w:left w:val="nil"/>
              <w:bottom w:val="single" w:color="auto" w:sz="4" w:space="0"/>
              <w:right w:val="single" w:color="auto" w:sz="4" w:space="0"/>
            </w:tcBorders>
            <w:vAlign w:val="center"/>
          </w:tcPr>
          <w:p w14:paraId="75F3471C">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2</w:t>
            </w:r>
          </w:p>
        </w:tc>
      </w:tr>
      <w:tr w14:paraId="6B4884FF">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2E147EF9">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357D073">
            <w:pPr>
              <w:widowControl/>
              <w:adjustRightInd/>
              <w:spacing w:line="240" w:lineRule="auto"/>
              <w:textAlignment w:val="auto"/>
              <w:rPr>
                <w:rFonts w:ascii="Arial" w:hAnsi="Arial" w:cs="Arial"/>
                <w:sz w:val="16"/>
                <w:szCs w:val="18"/>
              </w:rPr>
            </w:pPr>
            <w:r>
              <w:rPr>
                <w:rFonts w:ascii="Arial" w:hAnsi="Arial" w:cs="Arial"/>
                <w:sz w:val="16"/>
                <w:szCs w:val="18"/>
              </w:rPr>
              <w:t>楼层</w:t>
            </w:r>
          </w:p>
        </w:tc>
        <w:tc>
          <w:tcPr>
            <w:tcW w:w="897" w:type="pct"/>
            <w:tcBorders>
              <w:top w:val="nil"/>
              <w:left w:val="nil"/>
              <w:bottom w:val="single" w:color="auto" w:sz="4" w:space="0"/>
              <w:right w:val="single" w:color="auto" w:sz="4" w:space="0"/>
            </w:tcBorders>
            <w:vAlign w:val="center"/>
          </w:tcPr>
          <w:p w14:paraId="3AE4BC3F">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897" w:type="pct"/>
            <w:tcBorders>
              <w:top w:val="nil"/>
              <w:left w:val="nil"/>
              <w:bottom w:val="single" w:color="auto" w:sz="4" w:space="0"/>
              <w:right w:val="single" w:color="auto" w:sz="4" w:space="0"/>
            </w:tcBorders>
            <w:vAlign w:val="center"/>
          </w:tcPr>
          <w:p w14:paraId="74168903">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100</w:t>
            </w:r>
          </w:p>
        </w:tc>
        <w:tc>
          <w:tcPr>
            <w:tcW w:w="897" w:type="pct"/>
            <w:tcBorders>
              <w:top w:val="nil"/>
              <w:left w:val="nil"/>
              <w:bottom w:val="single" w:color="auto" w:sz="4" w:space="0"/>
              <w:right w:val="single" w:color="auto" w:sz="4" w:space="0"/>
            </w:tcBorders>
            <w:vAlign w:val="center"/>
          </w:tcPr>
          <w:p w14:paraId="1F9326E9">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0A04A94B">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582307FF">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2F6A810">
            <w:pPr>
              <w:widowControl/>
              <w:adjustRightInd/>
              <w:spacing w:line="240" w:lineRule="auto"/>
              <w:textAlignment w:val="auto"/>
              <w:rPr>
                <w:rFonts w:ascii="Arial" w:hAnsi="Arial" w:cs="Arial"/>
                <w:sz w:val="16"/>
                <w:szCs w:val="18"/>
              </w:rPr>
            </w:pPr>
            <w:r>
              <w:rPr>
                <w:rFonts w:ascii="Arial" w:hAnsi="Arial" w:cs="Arial"/>
                <w:sz w:val="16"/>
                <w:szCs w:val="18"/>
              </w:rPr>
              <w:t>朝向</w:t>
            </w:r>
          </w:p>
        </w:tc>
        <w:tc>
          <w:tcPr>
            <w:tcW w:w="897" w:type="pct"/>
            <w:tcBorders>
              <w:top w:val="nil"/>
              <w:left w:val="nil"/>
              <w:bottom w:val="single" w:color="auto" w:sz="4" w:space="0"/>
              <w:right w:val="single" w:color="auto" w:sz="4" w:space="0"/>
            </w:tcBorders>
            <w:vAlign w:val="center"/>
          </w:tcPr>
          <w:p w14:paraId="5B9A5344">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100</w:t>
            </w:r>
          </w:p>
        </w:tc>
        <w:tc>
          <w:tcPr>
            <w:tcW w:w="897" w:type="pct"/>
            <w:tcBorders>
              <w:top w:val="nil"/>
              <w:left w:val="nil"/>
              <w:bottom w:val="single" w:color="auto" w:sz="4" w:space="0"/>
              <w:right w:val="single" w:color="auto" w:sz="4" w:space="0"/>
            </w:tcBorders>
            <w:vAlign w:val="center"/>
          </w:tcPr>
          <w:p w14:paraId="4A792F4B">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897" w:type="pct"/>
            <w:tcBorders>
              <w:top w:val="nil"/>
              <w:left w:val="nil"/>
              <w:bottom w:val="single" w:color="auto" w:sz="4" w:space="0"/>
              <w:right w:val="single" w:color="auto" w:sz="4" w:space="0"/>
            </w:tcBorders>
            <w:vAlign w:val="center"/>
          </w:tcPr>
          <w:p w14:paraId="2618370D">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100</w:t>
            </w:r>
          </w:p>
        </w:tc>
      </w:tr>
      <w:tr w14:paraId="3CCC9730">
        <w:tblPrEx>
          <w:tblCellMar>
            <w:top w:w="0" w:type="dxa"/>
            <w:left w:w="108" w:type="dxa"/>
            <w:bottom w:w="0" w:type="dxa"/>
            <w:right w:w="108" w:type="dxa"/>
          </w:tblCellMar>
        </w:tblPrEx>
        <w:trPr>
          <w:trHeight w:val="227" w:hRule="atLeast"/>
        </w:trPr>
        <w:tc>
          <w:tcPr>
            <w:tcW w:w="791" w:type="pct"/>
            <w:vMerge w:val="restart"/>
            <w:tcBorders>
              <w:top w:val="single" w:color="auto" w:sz="4" w:space="0"/>
              <w:left w:val="single" w:color="auto" w:sz="4" w:space="0"/>
              <w:bottom w:val="single" w:color="auto" w:sz="4" w:space="0"/>
              <w:right w:val="single" w:color="auto" w:sz="4" w:space="0"/>
            </w:tcBorders>
            <w:vAlign w:val="center"/>
          </w:tcPr>
          <w:p w14:paraId="6FDF653B">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1517" w:type="pct"/>
            <w:tcBorders>
              <w:top w:val="nil"/>
              <w:left w:val="nil"/>
              <w:bottom w:val="single" w:color="auto" w:sz="4" w:space="0"/>
              <w:right w:val="single" w:color="auto" w:sz="4" w:space="0"/>
            </w:tcBorders>
            <w:vAlign w:val="center"/>
          </w:tcPr>
          <w:p w14:paraId="683B711B">
            <w:pPr>
              <w:widowControl/>
              <w:adjustRightInd/>
              <w:spacing w:line="240" w:lineRule="auto"/>
              <w:textAlignment w:val="auto"/>
              <w:rPr>
                <w:rFonts w:ascii="Arial" w:hAnsi="Arial" w:cs="Arial"/>
                <w:sz w:val="16"/>
                <w:szCs w:val="18"/>
              </w:rPr>
            </w:pPr>
            <w:r>
              <w:rPr>
                <w:rFonts w:ascii="Arial" w:hAnsi="Arial" w:cs="Arial"/>
                <w:sz w:val="16"/>
                <w:szCs w:val="18"/>
              </w:rPr>
              <w:t>成新度</w:t>
            </w:r>
          </w:p>
        </w:tc>
        <w:tc>
          <w:tcPr>
            <w:tcW w:w="897" w:type="pct"/>
            <w:tcBorders>
              <w:top w:val="nil"/>
              <w:left w:val="nil"/>
              <w:bottom w:val="single" w:color="auto" w:sz="4" w:space="0"/>
              <w:right w:val="single" w:color="auto" w:sz="4" w:space="0"/>
            </w:tcBorders>
            <w:vAlign w:val="center"/>
          </w:tcPr>
          <w:p w14:paraId="4B6F0F92">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94</w:t>
            </w:r>
          </w:p>
        </w:tc>
        <w:tc>
          <w:tcPr>
            <w:tcW w:w="897" w:type="pct"/>
            <w:tcBorders>
              <w:top w:val="nil"/>
              <w:left w:val="nil"/>
              <w:bottom w:val="single" w:color="auto" w:sz="4" w:space="0"/>
              <w:right w:val="single" w:color="auto" w:sz="4" w:space="0"/>
            </w:tcBorders>
            <w:vAlign w:val="center"/>
          </w:tcPr>
          <w:p w14:paraId="7EB52A0E">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94</w:t>
            </w:r>
          </w:p>
        </w:tc>
        <w:tc>
          <w:tcPr>
            <w:tcW w:w="897" w:type="pct"/>
            <w:tcBorders>
              <w:top w:val="nil"/>
              <w:left w:val="nil"/>
              <w:bottom w:val="single" w:color="auto" w:sz="4" w:space="0"/>
              <w:right w:val="single" w:color="auto" w:sz="4" w:space="0"/>
            </w:tcBorders>
            <w:vAlign w:val="center"/>
          </w:tcPr>
          <w:p w14:paraId="071B4902">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96</w:t>
            </w:r>
          </w:p>
        </w:tc>
      </w:tr>
      <w:tr w14:paraId="4F7E6F65">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FD0CE87">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88FCC76">
            <w:pPr>
              <w:widowControl/>
              <w:adjustRightInd/>
              <w:spacing w:line="240" w:lineRule="auto"/>
              <w:textAlignment w:val="auto"/>
              <w:rPr>
                <w:rFonts w:ascii="Arial" w:hAnsi="Arial" w:cs="Arial"/>
                <w:sz w:val="16"/>
                <w:szCs w:val="18"/>
              </w:rPr>
            </w:pPr>
            <w:r>
              <w:rPr>
                <w:rFonts w:ascii="Arial" w:hAnsi="Arial" w:cs="Arial"/>
                <w:sz w:val="16"/>
                <w:szCs w:val="18"/>
              </w:rPr>
              <w:t>公共区域装修</w:t>
            </w:r>
          </w:p>
        </w:tc>
        <w:tc>
          <w:tcPr>
            <w:tcW w:w="897" w:type="pct"/>
            <w:tcBorders>
              <w:top w:val="nil"/>
              <w:left w:val="nil"/>
              <w:bottom w:val="single" w:color="auto" w:sz="4" w:space="0"/>
              <w:right w:val="single" w:color="auto" w:sz="4" w:space="0"/>
            </w:tcBorders>
            <w:vAlign w:val="center"/>
          </w:tcPr>
          <w:p w14:paraId="1FA3A64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42EE2B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5BC2FB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CC64204">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4084444B">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D3CB97A">
            <w:pPr>
              <w:widowControl/>
              <w:adjustRightInd/>
              <w:spacing w:line="240" w:lineRule="auto"/>
              <w:textAlignment w:val="auto"/>
              <w:rPr>
                <w:rFonts w:ascii="Arial" w:hAnsi="Arial" w:cs="Arial"/>
                <w:sz w:val="16"/>
                <w:szCs w:val="18"/>
              </w:rPr>
            </w:pPr>
            <w:r>
              <w:rPr>
                <w:rFonts w:ascii="Arial" w:hAnsi="Arial" w:cs="Arial"/>
                <w:sz w:val="16"/>
                <w:szCs w:val="18"/>
              </w:rPr>
              <w:t>室内装饰装修</w:t>
            </w:r>
          </w:p>
        </w:tc>
        <w:tc>
          <w:tcPr>
            <w:tcW w:w="897" w:type="pct"/>
            <w:tcBorders>
              <w:top w:val="nil"/>
              <w:left w:val="nil"/>
              <w:bottom w:val="single" w:color="auto" w:sz="4" w:space="0"/>
              <w:right w:val="single" w:color="auto" w:sz="4" w:space="0"/>
            </w:tcBorders>
            <w:vAlign w:val="center"/>
          </w:tcPr>
          <w:p w14:paraId="0DA45B0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5460AD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B1AC36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9EA3839">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CDF953B">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86CC2FC">
            <w:pPr>
              <w:widowControl/>
              <w:adjustRightInd/>
              <w:spacing w:line="240" w:lineRule="auto"/>
              <w:textAlignment w:val="auto"/>
              <w:rPr>
                <w:rFonts w:ascii="Arial" w:hAnsi="Arial" w:cs="Arial"/>
                <w:sz w:val="16"/>
                <w:szCs w:val="18"/>
              </w:rPr>
            </w:pPr>
            <w:r>
              <w:rPr>
                <w:rFonts w:ascii="Arial" w:hAnsi="Arial" w:cs="Arial"/>
                <w:sz w:val="16"/>
                <w:szCs w:val="18"/>
              </w:rPr>
              <w:t>设施设备</w:t>
            </w:r>
          </w:p>
        </w:tc>
        <w:tc>
          <w:tcPr>
            <w:tcW w:w="897" w:type="pct"/>
            <w:tcBorders>
              <w:top w:val="nil"/>
              <w:left w:val="nil"/>
              <w:bottom w:val="single" w:color="auto" w:sz="4" w:space="0"/>
              <w:right w:val="single" w:color="auto" w:sz="4" w:space="0"/>
            </w:tcBorders>
            <w:vAlign w:val="center"/>
          </w:tcPr>
          <w:p w14:paraId="7F81337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AA0F24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B7BDD6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F52468E">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397BC131">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BAF5083">
            <w:pPr>
              <w:widowControl/>
              <w:adjustRightInd/>
              <w:spacing w:line="240" w:lineRule="auto"/>
              <w:textAlignment w:val="auto"/>
              <w:rPr>
                <w:rFonts w:ascii="Arial" w:hAnsi="Arial" w:cs="Arial"/>
                <w:sz w:val="16"/>
                <w:szCs w:val="18"/>
              </w:rPr>
            </w:pPr>
            <w:r>
              <w:rPr>
                <w:rFonts w:ascii="Arial" w:hAnsi="Arial" w:cs="Arial"/>
                <w:sz w:val="16"/>
                <w:szCs w:val="18"/>
              </w:rPr>
              <w:t>综合管理服务设施</w:t>
            </w:r>
          </w:p>
        </w:tc>
        <w:tc>
          <w:tcPr>
            <w:tcW w:w="897" w:type="pct"/>
            <w:tcBorders>
              <w:top w:val="nil"/>
              <w:left w:val="nil"/>
              <w:bottom w:val="single" w:color="auto" w:sz="4" w:space="0"/>
              <w:right w:val="single" w:color="auto" w:sz="4" w:space="0"/>
            </w:tcBorders>
            <w:vAlign w:val="center"/>
          </w:tcPr>
          <w:p w14:paraId="6FB0980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4C4B6E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9A9BA0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5271F67">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2698F47">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6AA5A88">
            <w:pPr>
              <w:widowControl/>
              <w:adjustRightInd/>
              <w:spacing w:line="240" w:lineRule="auto"/>
              <w:textAlignment w:val="auto"/>
              <w:rPr>
                <w:rFonts w:ascii="Arial" w:hAnsi="Arial" w:cs="Arial"/>
                <w:sz w:val="16"/>
                <w:szCs w:val="18"/>
              </w:rPr>
            </w:pPr>
            <w:r>
              <w:rPr>
                <w:rFonts w:ascii="Arial" w:hAnsi="Arial" w:cs="Arial"/>
                <w:sz w:val="16"/>
                <w:szCs w:val="18"/>
              </w:rPr>
              <w:t>户型布局</w:t>
            </w:r>
          </w:p>
        </w:tc>
        <w:tc>
          <w:tcPr>
            <w:tcW w:w="897" w:type="pct"/>
            <w:tcBorders>
              <w:top w:val="nil"/>
              <w:left w:val="nil"/>
              <w:bottom w:val="single" w:color="auto" w:sz="4" w:space="0"/>
              <w:right w:val="single" w:color="auto" w:sz="4" w:space="0"/>
            </w:tcBorders>
            <w:vAlign w:val="center"/>
          </w:tcPr>
          <w:p w14:paraId="705FCEAD">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897" w:type="pct"/>
            <w:tcBorders>
              <w:top w:val="nil"/>
              <w:left w:val="nil"/>
              <w:bottom w:val="single" w:color="auto" w:sz="4" w:space="0"/>
              <w:right w:val="single" w:color="auto" w:sz="4" w:space="0"/>
            </w:tcBorders>
            <w:vAlign w:val="center"/>
          </w:tcPr>
          <w:p w14:paraId="2688A754">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897" w:type="pct"/>
            <w:tcBorders>
              <w:top w:val="nil"/>
              <w:left w:val="nil"/>
              <w:bottom w:val="single" w:color="auto" w:sz="4" w:space="0"/>
              <w:right w:val="single" w:color="auto" w:sz="4" w:space="0"/>
            </w:tcBorders>
            <w:vAlign w:val="center"/>
          </w:tcPr>
          <w:p w14:paraId="63880B51">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r>
      <w:tr w14:paraId="0FDE1AE7">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78ECB1B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B6AD110">
            <w:pPr>
              <w:widowControl/>
              <w:adjustRightInd/>
              <w:spacing w:line="240" w:lineRule="auto"/>
              <w:textAlignment w:val="auto"/>
              <w:rPr>
                <w:rFonts w:ascii="Arial" w:hAnsi="Arial" w:cs="Arial"/>
                <w:sz w:val="16"/>
                <w:szCs w:val="18"/>
              </w:rPr>
            </w:pPr>
            <w:r>
              <w:rPr>
                <w:rFonts w:ascii="Arial" w:hAnsi="Arial" w:cs="Arial"/>
                <w:sz w:val="16"/>
                <w:szCs w:val="18"/>
              </w:rPr>
              <w:t>户型结构</w:t>
            </w:r>
          </w:p>
        </w:tc>
        <w:tc>
          <w:tcPr>
            <w:tcW w:w="897" w:type="pct"/>
            <w:tcBorders>
              <w:top w:val="nil"/>
              <w:left w:val="nil"/>
              <w:bottom w:val="single" w:color="auto" w:sz="4" w:space="0"/>
              <w:right w:val="single" w:color="auto" w:sz="4" w:space="0"/>
            </w:tcBorders>
            <w:vAlign w:val="center"/>
          </w:tcPr>
          <w:p w14:paraId="3BE317F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21B780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2D8BD2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D02D702">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56BAC232">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5B8CD6E">
            <w:pPr>
              <w:widowControl/>
              <w:adjustRightInd/>
              <w:spacing w:line="240" w:lineRule="auto"/>
              <w:textAlignment w:val="auto"/>
              <w:rPr>
                <w:rFonts w:ascii="Arial" w:hAnsi="Arial" w:cs="Arial"/>
                <w:sz w:val="16"/>
                <w:szCs w:val="18"/>
              </w:rPr>
            </w:pPr>
            <w:r>
              <w:rPr>
                <w:rFonts w:ascii="Arial" w:hAnsi="Arial" w:cs="Arial"/>
                <w:sz w:val="16"/>
                <w:szCs w:val="18"/>
              </w:rPr>
              <w:t>建筑面积</w:t>
            </w:r>
          </w:p>
        </w:tc>
        <w:tc>
          <w:tcPr>
            <w:tcW w:w="897" w:type="pct"/>
            <w:tcBorders>
              <w:top w:val="nil"/>
              <w:left w:val="nil"/>
              <w:bottom w:val="single" w:color="auto" w:sz="4" w:space="0"/>
              <w:right w:val="single" w:color="auto" w:sz="4" w:space="0"/>
            </w:tcBorders>
            <w:vAlign w:val="center"/>
          </w:tcPr>
          <w:p w14:paraId="2DADE9ED">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897" w:type="pct"/>
            <w:tcBorders>
              <w:top w:val="nil"/>
              <w:left w:val="nil"/>
              <w:bottom w:val="single" w:color="auto" w:sz="4" w:space="0"/>
              <w:right w:val="single" w:color="auto" w:sz="4" w:space="0"/>
            </w:tcBorders>
            <w:vAlign w:val="center"/>
          </w:tcPr>
          <w:p w14:paraId="03F3F155">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897" w:type="pct"/>
            <w:tcBorders>
              <w:top w:val="nil"/>
              <w:left w:val="nil"/>
              <w:bottom w:val="single" w:color="auto" w:sz="4" w:space="0"/>
              <w:right w:val="single" w:color="auto" w:sz="4" w:space="0"/>
            </w:tcBorders>
            <w:vAlign w:val="center"/>
          </w:tcPr>
          <w:p w14:paraId="407E0140">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2</w:t>
            </w:r>
          </w:p>
        </w:tc>
      </w:tr>
      <w:tr w14:paraId="05242AE0">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30FF2AA4">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81390EC">
            <w:pPr>
              <w:widowControl/>
              <w:adjustRightInd/>
              <w:spacing w:line="240" w:lineRule="auto"/>
              <w:textAlignment w:val="auto"/>
              <w:rPr>
                <w:rFonts w:ascii="Arial" w:hAnsi="Arial" w:cs="Arial"/>
                <w:sz w:val="16"/>
                <w:szCs w:val="18"/>
              </w:rPr>
            </w:pPr>
            <w:r>
              <w:rPr>
                <w:rFonts w:ascii="Arial" w:hAnsi="Arial" w:cs="Arial"/>
                <w:sz w:val="16"/>
                <w:szCs w:val="18"/>
              </w:rPr>
              <w:t>家具家电</w:t>
            </w:r>
          </w:p>
        </w:tc>
        <w:tc>
          <w:tcPr>
            <w:tcW w:w="897" w:type="pct"/>
            <w:tcBorders>
              <w:top w:val="nil"/>
              <w:left w:val="nil"/>
              <w:bottom w:val="single" w:color="auto" w:sz="4" w:space="0"/>
              <w:right w:val="single" w:color="auto" w:sz="4" w:space="0"/>
            </w:tcBorders>
            <w:vAlign w:val="center"/>
          </w:tcPr>
          <w:p w14:paraId="31AB822E">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c>
          <w:tcPr>
            <w:tcW w:w="897" w:type="pct"/>
            <w:tcBorders>
              <w:top w:val="nil"/>
              <w:left w:val="nil"/>
              <w:bottom w:val="single" w:color="auto" w:sz="4" w:space="0"/>
              <w:right w:val="single" w:color="auto" w:sz="4" w:space="0"/>
            </w:tcBorders>
            <w:vAlign w:val="center"/>
          </w:tcPr>
          <w:p w14:paraId="1BADED63">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c>
          <w:tcPr>
            <w:tcW w:w="897" w:type="pct"/>
            <w:tcBorders>
              <w:top w:val="nil"/>
              <w:left w:val="nil"/>
              <w:bottom w:val="single" w:color="auto" w:sz="4" w:space="0"/>
              <w:right w:val="single" w:color="auto" w:sz="4" w:space="0"/>
            </w:tcBorders>
            <w:vAlign w:val="center"/>
          </w:tcPr>
          <w:p w14:paraId="7A78BE29">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r>
      <w:tr w14:paraId="5C64B71D">
        <w:tblPrEx>
          <w:tblCellMar>
            <w:top w:w="0" w:type="dxa"/>
            <w:left w:w="108" w:type="dxa"/>
            <w:bottom w:w="0" w:type="dxa"/>
            <w:right w:w="108" w:type="dxa"/>
          </w:tblCellMar>
        </w:tblPrEx>
        <w:trPr>
          <w:trHeight w:val="217" w:hRule="atLeast"/>
        </w:trPr>
        <w:tc>
          <w:tcPr>
            <w:tcW w:w="791" w:type="pct"/>
            <w:vMerge w:val="restart"/>
            <w:tcBorders>
              <w:left w:val="single" w:color="auto" w:sz="4" w:space="0"/>
              <w:bottom w:val="single" w:color="auto" w:sz="4" w:space="0"/>
              <w:right w:val="single" w:color="auto" w:sz="4" w:space="0"/>
            </w:tcBorders>
            <w:vAlign w:val="center"/>
          </w:tcPr>
          <w:p w14:paraId="578D9024">
            <w:pPr>
              <w:widowControl/>
              <w:adjustRightInd/>
              <w:spacing w:line="240" w:lineRule="auto"/>
              <w:textAlignment w:val="auto"/>
              <w:rPr>
                <w:rFonts w:ascii="Arial" w:hAnsi="Arial" w:cs="Arial"/>
                <w:sz w:val="16"/>
                <w:szCs w:val="18"/>
              </w:rPr>
            </w:pPr>
            <w:r>
              <w:rPr>
                <w:rFonts w:ascii="Arial" w:hAnsi="Arial" w:cs="Arial"/>
                <w:sz w:val="16"/>
                <w:szCs w:val="18"/>
              </w:rPr>
              <w:t>权益状况</w:t>
            </w:r>
          </w:p>
        </w:tc>
        <w:tc>
          <w:tcPr>
            <w:tcW w:w="1517" w:type="pct"/>
            <w:tcBorders>
              <w:top w:val="nil"/>
              <w:left w:val="nil"/>
              <w:bottom w:val="single" w:color="auto" w:sz="4" w:space="0"/>
              <w:right w:val="single" w:color="auto" w:sz="4" w:space="0"/>
            </w:tcBorders>
            <w:vAlign w:val="center"/>
          </w:tcPr>
          <w:p w14:paraId="6CDF9AD4">
            <w:pPr>
              <w:widowControl/>
              <w:adjustRightInd/>
              <w:spacing w:line="240" w:lineRule="auto"/>
              <w:textAlignment w:val="auto"/>
              <w:rPr>
                <w:rFonts w:ascii="Arial" w:hAnsi="Arial" w:cs="Arial"/>
                <w:sz w:val="16"/>
                <w:szCs w:val="18"/>
              </w:rPr>
            </w:pPr>
            <w:r>
              <w:rPr>
                <w:rFonts w:ascii="Arial" w:hAnsi="Arial" w:cs="Arial"/>
                <w:sz w:val="16"/>
                <w:szCs w:val="18"/>
              </w:rPr>
              <w:t>服务及管理水平</w:t>
            </w:r>
          </w:p>
        </w:tc>
        <w:tc>
          <w:tcPr>
            <w:tcW w:w="897" w:type="pct"/>
            <w:tcBorders>
              <w:top w:val="nil"/>
              <w:left w:val="nil"/>
              <w:bottom w:val="single" w:color="auto" w:sz="4" w:space="0"/>
              <w:right w:val="single" w:color="auto" w:sz="4" w:space="0"/>
            </w:tcBorders>
            <w:vAlign w:val="center"/>
          </w:tcPr>
          <w:p w14:paraId="5943AA7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3F0071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A4C4E4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973D4CC">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1ED1B6F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E64FCFE">
            <w:pPr>
              <w:widowControl/>
              <w:adjustRightInd/>
              <w:spacing w:line="240" w:lineRule="auto"/>
              <w:textAlignment w:val="auto"/>
              <w:rPr>
                <w:rFonts w:ascii="Arial" w:hAnsi="Arial" w:cs="Arial"/>
                <w:sz w:val="16"/>
                <w:szCs w:val="18"/>
              </w:rPr>
            </w:pPr>
            <w:r>
              <w:rPr>
                <w:rFonts w:ascii="Arial" w:hAnsi="Arial" w:cs="Arial"/>
                <w:sz w:val="16"/>
                <w:szCs w:val="18"/>
              </w:rPr>
              <w:t>水电气费执行标准</w:t>
            </w:r>
          </w:p>
        </w:tc>
        <w:tc>
          <w:tcPr>
            <w:tcW w:w="897" w:type="pct"/>
            <w:tcBorders>
              <w:top w:val="nil"/>
              <w:left w:val="nil"/>
              <w:bottom w:val="single" w:color="auto" w:sz="4" w:space="0"/>
              <w:right w:val="single" w:color="auto" w:sz="4" w:space="0"/>
            </w:tcBorders>
            <w:vAlign w:val="center"/>
          </w:tcPr>
          <w:p w14:paraId="334A7F4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C00B88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2B3092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DF1B4EB">
        <w:tblPrEx>
          <w:tblCellMar>
            <w:top w:w="0" w:type="dxa"/>
            <w:left w:w="108" w:type="dxa"/>
            <w:bottom w:w="0" w:type="dxa"/>
            <w:right w:w="108" w:type="dxa"/>
          </w:tblCellMar>
        </w:tblPrEx>
        <w:trPr>
          <w:trHeight w:val="19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2BB75A98">
            <w:pPr>
              <w:widowControl/>
              <w:adjustRightInd/>
              <w:spacing w:line="240" w:lineRule="auto"/>
              <w:textAlignment w:val="auto"/>
              <w:rPr>
                <w:rFonts w:ascii="Arial" w:hAnsi="Arial" w:cs="Arial"/>
                <w:sz w:val="16"/>
                <w:szCs w:val="18"/>
              </w:rPr>
            </w:pPr>
            <w:r>
              <w:rPr>
                <w:rFonts w:ascii="Arial" w:hAnsi="Arial" w:cs="Arial"/>
                <w:sz w:val="16"/>
                <w:szCs w:val="18"/>
              </w:rPr>
              <w:t>修正系数</w:t>
            </w:r>
          </w:p>
        </w:tc>
        <w:tc>
          <w:tcPr>
            <w:tcW w:w="897" w:type="pct"/>
            <w:tcBorders>
              <w:top w:val="single" w:color="auto" w:sz="4" w:space="0"/>
              <w:left w:val="nil"/>
              <w:bottom w:val="single" w:color="auto" w:sz="4" w:space="0"/>
              <w:right w:val="single" w:color="auto" w:sz="4" w:space="0"/>
            </w:tcBorders>
            <w:vAlign w:val="center"/>
          </w:tcPr>
          <w:p w14:paraId="341B53CF">
            <w:pPr>
              <w:spacing w:line="240" w:lineRule="auto"/>
              <w:jc w:val="center"/>
              <w:rPr>
                <w:rFonts w:ascii="Arial" w:hAnsi="Arial" w:cs="Arial"/>
                <w:sz w:val="16"/>
                <w:szCs w:val="18"/>
              </w:rPr>
            </w:pPr>
            <w:r>
              <w:rPr>
                <w:rFonts w:hint="eastAsia" w:ascii="Arial" w:hAnsi="Arial" w:cs="Arial"/>
                <w:sz w:val="16"/>
                <w:szCs w:val="18"/>
              </w:rPr>
              <w:t>1.1704</w:t>
            </w:r>
          </w:p>
        </w:tc>
        <w:tc>
          <w:tcPr>
            <w:tcW w:w="897" w:type="pct"/>
            <w:tcBorders>
              <w:top w:val="single" w:color="auto" w:sz="4" w:space="0"/>
              <w:left w:val="nil"/>
              <w:bottom w:val="single" w:color="auto" w:sz="4" w:space="0"/>
              <w:right w:val="single" w:color="auto" w:sz="4" w:space="0"/>
            </w:tcBorders>
            <w:vAlign w:val="center"/>
          </w:tcPr>
          <w:p w14:paraId="176AF6D5">
            <w:pPr>
              <w:spacing w:line="240" w:lineRule="auto"/>
              <w:jc w:val="center"/>
              <w:rPr>
                <w:rFonts w:ascii="Arial" w:hAnsi="Arial" w:cs="Arial"/>
                <w:sz w:val="16"/>
                <w:szCs w:val="18"/>
              </w:rPr>
            </w:pPr>
            <w:r>
              <w:rPr>
                <w:rFonts w:hint="eastAsia" w:ascii="Arial" w:hAnsi="Arial" w:cs="Arial"/>
                <w:sz w:val="16"/>
                <w:szCs w:val="18"/>
              </w:rPr>
              <w:t>1.1470</w:t>
            </w:r>
          </w:p>
        </w:tc>
        <w:tc>
          <w:tcPr>
            <w:tcW w:w="897" w:type="pct"/>
            <w:tcBorders>
              <w:top w:val="single" w:color="auto" w:sz="4" w:space="0"/>
              <w:left w:val="nil"/>
              <w:bottom w:val="single" w:color="auto" w:sz="4" w:space="0"/>
              <w:right w:val="single" w:color="auto" w:sz="4" w:space="0"/>
            </w:tcBorders>
            <w:vAlign w:val="center"/>
          </w:tcPr>
          <w:p w14:paraId="7D8BF98E">
            <w:pPr>
              <w:spacing w:line="240" w:lineRule="auto"/>
              <w:jc w:val="center"/>
              <w:rPr>
                <w:rFonts w:ascii="Arial" w:hAnsi="Arial" w:cs="Arial"/>
                <w:sz w:val="16"/>
                <w:szCs w:val="18"/>
              </w:rPr>
            </w:pPr>
            <w:r>
              <w:rPr>
                <w:rFonts w:hint="eastAsia" w:ascii="Arial" w:hAnsi="Arial" w:cs="Arial"/>
                <w:sz w:val="16"/>
                <w:szCs w:val="18"/>
              </w:rPr>
              <w:t>1.1928</w:t>
            </w:r>
          </w:p>
        </w:tc>
      </w:tr>
      <w:tr w14:paraId="76B4A1C6">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3CB690C9">
            <w:pPr>
              <w:widowControl/>
              <w:adjustRightInd/>
              <w:spacing w:line="240" w:lineRule="auto"/>
              <w:textAlignment w:val="auto"/>
              <w:rPr>
                <w:rFonts w:ascii="Arial" w:hAnsi="Arial" w:cs="Arial"/>
                <w:sz w:val="16"/>
                <w:szCs w:val="18"/>
              </w:rPr>
            </w:pPr>
            <w:r>
              <w:rPr>
                <w:rFonts w:ascii="Arial" w:hAnsi="Arial" w:cs="Arial"/>
                <w:sz w:val="16"/>
                <w:szCs w:val="18"/>
              </w:rPr>
              <w:t>比准价格（元/平方米·月）</w:t>
            </w:r>
          </w:p>
        </w:tc>
        <w:tc>
          <w:tcPr>
            <w:tcW w:w="897" w:type="pct"/>
            <w:tcBorders>
              <w:top w:val="single" w:color="auto" w:sz="4" w:space="0"/>
              <w:left w:val="nil"/>
              <w:bottom w:val="single" w:color="auto" w:sz="4" w:space="0"/>
              <w:right w:val="single" w:color="auto" w:sz="4" w:space="0"/>
            </w:tcBorders>
            <w:vAlign w:val="center"/>
          </w:tcPr>
          <w:p w14:paraId="42DD3AC6">
            <w:pPr>
              <w:spacing w:line="240" w:lineRule="auto"/>
              <w:jc w:val="center"/>
              <w:rPr>
                <w:rFonts w:ascii="Arial" w:hAnsi="Arial" w:cs="Arial"/>
                <w:sz w:val="16"/>
                <w:szCs w:val="18"/>
              </w:rPr>
            </w:pPr>
            <w:r>
              <w:rPr>
                <w:rFonts w:hint="eastAsia" w:ascii="Arial" w:hAnsi="Arial" w:cs="Arial"/>
                <w:sz w:val="16"/>
                <w:szCs w:val="18"/>
              </w:rPr>
              <w:t>36.06</w:t>
            </w:r>
          </w:p>
        </w:tc>
        <w:tc>
          <w:tcPr>
            <w:tcW w:w="897" w:type="pct"/>
            <w:tcBorders>
              <w:top w:val="single" w:color="auto" w:sz="4" w:space="0"/>
              <w:left w:val="nil"/>
              <w:bottom w:val="single" w:color="auto" w:sz="4" w:space="0"/>
              <w:right w:val="single" w:color="auto" w:sz="4" w:space="0"/>
            </w:tcBorders>
            <w:vAlign w:val="center"/>
          </w:tcPr>
          <w:p w14:paraId="3C2489E8">
            <w:pPr>
              <w:spacing w:line="240" w:lineRule="auto"/>
              <w:jc w:val="center"/>
              <w:rPr>
                <w:rFonts w:ascii="Arial" w:hAnsi="Arial" w:cs="Arial"/>
                <w:sz w:val="16"/>
                <w:szCs w:val="18"/>
              </w:rPr>
            </w:pPr>
            <w:r>
              <w:rPr>
                <w:rFonts w:hint="eastAsia" w:ascii="Arial" w:hAnsi="Arial" w:cs="Arial"/>
                <w:sz w:val="16"/>
                <w:szCs w:val="18"/>
              </w:rPr>
              <w:t>38.46</w:t>
            </w:r>
          </w:p>
        </w:tc>
        <w:tc>
          <w:tcPr>
            <w:tcW w:w="897" w:type="pct"/>
            <w:tcBorders>
              <w:top w:val="single" w:color="auto" w:sz="4" w:space="0"/>
              <w:left w:val="nil"/>
              <w:bottom w:val="single" w:color="auto" w:sz="4" w:space="0"/>
              <w:right w:val="single" w:color="auto" w:sz="4" w:space="0"/>
            </w:tcBorders>
            <w:vAlign w:val="center"/>
          </w:tcPr>
          <w:p w14:paraId="60CB6A29">
            <w:pPr>
              <w:spacing w:line="240" w:lineRule="auto"/>
              <w:jc w:val="center"/>
              <w:rPr>
                <w:rFonts w:ascii="Arial" w:hAnsi="Arial" w:cs="Arial"/>
                <w:sz w:val="16"/>
                <w:szCs w:val="18"/>
              </w:rPr>
            </w:pPr>
            <w:r>
              <w:rPr>
                <w:rFonts w:hint="eastAsia" w:ascii="Arial" w:hAnsi="Arial" w:cs="Arial"/>
                <w:sz w:val="16"/>
                <w:szCs w:val="18"/>
              </w:rPr>
              <w:t>36.54</w:t>
            </w:r>
          </w:p>
        </w:tc>
      </w:tr>
    </w:tbl>
    <w:p w14:paraId="0AAF24F1">
      <w:pPr>
        <w:wordWrap w:val="0"/>
        <w:overflowPunct w:val="0"/>
        <w:spacing w:before="240" w:beforeLines="100" w:line="480" w:lineRule="auto"/>
        <w:ind w:firstLine="420" w:firstLineChars="200"/>
        <w:rPr>
          <w:rFonts w:ascii="Arial" w:hAnsi="Arial"/>
          <w:sz w:val="21"/>
          <w:szCs w:val="21"/>
        </w:rPr>
      </w:pPr>
      <w:r>
        <w:rPr>
          <w:rFonts w:hint="eastAsia" w:ascii="Arial" w:hAnsi="Arial"/>
          <w:sz w:val="21"/>
          <w:szCs w:val="21"/>
        </w:rPr>
        <w:t>注：</w:t>
      </w:r>
      <w:r>
        <w:rPr>
          <w:rFonts w:ascii="Arial" w:hAnsi="Arial"/>
          <w:sz w:val="21"/>
          <w:szCs w:val="21"/>
        </w:rPr>
        <w:t>比准价格＝比较</w:t>
      </w:r>
      <w:r>
        <w:rPr>
          <w:rFonts w:hint="eastAsia" w:ascii="Arial" w:hAnsi="Arial"/>
          <w:sz w:val="21"/>
          <w:szCs w:val="21"/>
        </w:rPr>
        <w:t>实例</w:t>
      </w:r>
      <w:r>
        <w:rPr>
          <w:rFonts w:ascii="Arial" w:hAnsi="Arial"/>
          <w:sz w:val="21"/>
          <w:szCs w:val="21"/>
        </w:rPr>
        <w:t>平均租金×（待估房地产</w:t>
      </w:r>
      <w:r>
        <w:rPr>
          <w:rFonts w:hint="eastAsia" w:ascii="Arial" w:hAnsi="Arial"/>
          <w:sz w:val="21"/>
          <w:szCs w:val="21"/>
        </w:rPr>
        <w:t>交易时间</w:t>
      </w:r>
      <w:r>
        <w:rPr>
          <w:rFonts w:ascii="Arial" w:hAnsi="Arial"/>
          <w:sz w:val="21"/>
          <w:szCs w:val="21"/>
        </w:rPr>
        <w:t>房地产价租赁格指数/可比实例交易</w:t>
      </w:r>
      <w:r>
        <w:rPr>
          <w:rFonts w:hint="eastAsia" w:ascii="Arial" w:hAnsi="Arial"/>
          <w:sz w:val="21"/>
          <w:szCs w:val="21"/>
        </w:rPr>
        <w:t>时间</w:t>
      </w:r>
      <w:r>
        <w:rPr>
          <w:rFonts w:ascii="Arial" w:hAnsi="Arial"/>
          <w:sz w:val="21"/>
          <w:szCs w:val="21"/>
        </w:rPr>
        <w:t>房地产租赁价格指数）×（待估房地产交易情况指数/可比实例</w:t>
      </w:r>
      <w:r>
        <w:rPr>
          <w:rFonts w:hint="eastAsia" w:ascii="Arial" w:hAnsi="Arial"/>
          <w:sz w:val="21"/>
          <w:szCs w:val="21"/>
        </w:rPr>
        <w:t>交易情况</w:t>
      </w:r>
      <w:r>
        <w:rPr>
          <w:rFonts w:ascii="Arial" w:hAnsi="Arial"/>
          <w:sz w:val="21"/>
          <w:szCs w:val="21"/>
        </w:rPr>
        <w:t>指数）×（待估房地产</w:t>
      </w:r>
      <w:r>
        <w:rPr>
          <w:rFonts w:hint="eastAsia" w:ascii="Arial" w:hAnsi="Arial"/>
          <w:sz w:val="21"/>
          <w:szCs w:val="21"/>
        </w:rPr>
        <w:t>项目类型</w:t>
      </w:r>
      <w:r>
        <w:rPr>
          <w:rFonts w:ascii="Arial" w:hAnsi="Arial"/>
          <w:sz w:val="21"/>
          <w:szCs w:val="21"/>
        </w:rPr>
        <w:t>指数/可比实例</w:t>
      </w:r>
      <w:r>
        <w:rPr>
          <w:rFonts w:hint="eastAsia" w:ascii="Arial" w:hAnsi="Arial"/>
          <w:sz w:val="21"/>
          <w:szCs w:val="21"/>
        </w:rPr>
        <w:t>项目类型</w:t>
      </w:r>
      <w:r>
        <w:rPr>
          <w:rFonts w:ascii="Arial" w:hAnsi="Arial"/>
          <w:sz w:val="21"/>
          <w:szCs w:val="21"/>
        </w:rPr>
        <w:t>指数）×（待估房地产区域状况条件指数/可比实例房地产区域状况条件指数）×（待估房地产实物状况条件指数/可比实例房地产实物状况条件指数）×（待估房地产</w:t>
      </w:r>
      <w:r>
        <w:rPr>
          <w:rFonts w:hint="eastAsia" w:ascii="Arial" w:hAnsi="Arial"/>
          <w:sz w:val="21"/>
          <w:szCs w:val="21"/>
        </w:rPr>
        <w:t>权益</w:t>
      </w:r>
      <w:r>
        <w:rPr>
          <w:rFonts w:ascii="Arial" w:hAnsi="Arial"/>
          <w:sz w:val="21"/>
          <w:szCs w:val="21"/>
        </w:rPr>
        <w:t>状况条件指数/可比实例房地产</w:t>
      </w:r>
      <w:r>
        <w:rPr>
          <w:rFonts w:hint="eastAsia" w:ascii="Arial" w:hAnsi="Arial"/>
          <w:sz w:val="21"/>
          <w:szCs w:val="21"/>
        </w:rPr>
        <w:t>权益</w:t>
      </w:r>
      <w:r>
        <w:rPr>
          <w:rFonts w:ascii="Arial" w:hAnsi="Arial"/>
          <w:sz w:val="21"/>
          <w:szCs w:val="21"/>
        </w:rPr>
        <w:t>状况条件指数）</w:t>
      </w:r>
    </w:p>
    <w:p w14:paraId="7C28D656">
      <w:pPr>
        <w:wordWrap w:val="0"/>
        <w:overflowPunct w:val="0"/>
        <w:spacing w:line="480" w:lineRule="auto"/>
        <w:ind w:firstLine="420" w:firstLineChars="200"/>
        <w:rPr>
          <w:rFonts w:ascii="Arial" w:hAnsi="Arial"/>
          <w:sz w:val="21"/>
          <w:szCs w:val="21"/>
        </w:rPr>
      </w:pPr>
      <w:r>
        <w:rPr>
          <w:rFonts w:hint="eastAsia" w:ascii="Arial" w:hAnsi="Arial"/>
          <w:sz w:val="21"/>
          <w:szCs w:val="21"/>
        </w:rPr>
        <w:t>（4）影响因素选择实例修正后的价值计算</w:t>
      </w:r>
      <w:r>
        <w:rPr>
          <w:rFonts w:ascii="Arial" w:hAnsi="Arial"/>
          <w:sz w:val="21"/>
          <w:szCs w:val="21"/>
        </w:rPr>
        <w:t xml:space="preserve"> </w:t>
      </w:r>
    </w:p>
    <w:p w14:paraId="45B3A890">
      <w:pPr>
        <w:overflowPunct w:val="0"/>
        <w:spacing w:line="480" w:lineRule="auto"/>
        <w:ind w:firstLine="420" w:firstLineChars="200"/>
        <w:jc w:val="both"/>
        <w:rPr>
          <w:rFonts w:ascii="Arial" w:hAnsi="Arial"/>
          <w:sz w:val="21"/>
          <w:szCs w:val="21"/>
        </w:rPr>
      </w:pPr>
      <w:r>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hint="eastAsia" w:ascii="Arial" w:hAnsi="Arial"/>
          <w:sz w:val="21"/>
          <w:szCs w:val="21"/>
        </w:rPr>
        <w:t>3</w:t>
      </w:r>
      <w:r>
        <w:rPr>
          <w:rFonts w:ascii="Arial" w:hAnsi="Arial"/>
          <w:sz w:val="21"/>
          <w:szCs w:val="21"/>
        </w:rPr>
        <w:t>个可比案例的比准价格的简单算术平均值作为项目</w:t>
      </w:r>
      <w:r>
        <w:rPr>
          <w:rFonts w:hint="eastAsia" w:ascii="Arial" w:hAnsi="Arial"/>
          <w:sz w:val="21"/>
          <w:szCs w:val="21"/>
        </w:rPr>
        <w:t>典型户型</w:t>
      </w:r>
      <w:r>
        <w:rPr>
          <w:rFonts w:ascii="Arial" w:hAnsi="Arial"/>
          <w:sz w:val="21"/>
          <w:szCs w:val="21"/>
        </w:rPr>
        <w:t>的评估价格</w:t>
      </w:r>
      <w:r>
        <w:rPr>
          <w:rFonts w:hint="eastAsia" w:ascii="Arial" w:hAnsi="Arial"/>
          <w:sz w:val="21"/>
          <w:szCs w:val="21"/>
        </w:rPr>
        <w:t>。</w:t>
      </w:r>
    </w:p>
    <w:p w14:paraId="185677F4">
      <w:pPr>
        <w:wordWrap w:val="0"/>
        <w:overflowPunct w:val="0"/>
        <w:spacing w:line="480" w:lineRule="auto"/>
        <w:ind w:firstLine="420" w:firstLineChars="200"/>
        <w:rPr>
          <w:rFonts w:ascii="Arial" w:hAnsi="Arial"/>
          <w:sz w:val="21"/>
          <w:szCs w:val="21"/>
        </w:rPr>
      </w:pPr>
      <w:r>
        <w:rPr>
          <w:rFonts w:hint="eastAsia" w:ascii="Arial" w:hAnsi="Arial"/>
          <w:sz w:val="21"/>
          <w:szCs w:val="21"/>
        </w:rPr>
        <w:t>即：标准房4</w:t>
      </w:r>
      <w:r>
        <w:rPr>
          <w:rFonts w:hint="eastAsia" w:ascii="Arial" w:hAnsi="Arial"/>
          <w:bCs/>
          <w:sz w:val="21"/>
        </w:rPr>
        <w:t>市场租赁住房租金</w:t>
      </w:r>
      <w:r>
        <w:rPr>
          <w:rFonts w:hint="eastAsia" w:ascii="Arial" w:hAnsi="Arial"/>
          <w:sz w:val="21"/>
          <w:szCs w:val="21"/>
        </w:rPr>
        <w:t>＝（36.06+38.46+36.54）÷</w:t>
      </w:r>
      <w:r>
        <w:rPr>
          <w:rFonts w:ascii="Arial" w:hAnsi="Arial"/>
          <w:sz w:val="21"/>
          <w:szCs w:val="21"/>
        </w:rPr>
        <w:t>3</w:t>
      </w:r>
      <w:r>
        <w:rPr>
          <w:rFonts w:hint="eastAsia" w:ascii="Arial" w:hAnsi="Arial"/>
          <w:sz w:val="21"/>
          <w:szCs w:val="21"/>
        </w:rPr>
        <w:t>+3</w:t>
      </w:r>
    </w:p>
    <w:p w14:paraId="484484BC">
      <w:pPr>
        <w:wordWrap w:val="0"/>
        <w:overflowPunct w:val="0"/>
        <w:spacing w:line="480" w:lineRule="auto"/>
        <w:ind w:firstLine="3360" w:firstLineChars="1600"/>
        <w:rPr>
          <w:rFonts w:ascii="Arial" w:hAnsi="Arial"/>
          <w:sz w:val="21"/>
          <w:szCs w:val="21"/>
        </w:rPr>
      </w:pPr>
      <w:r>
        <w:rPr>
          <w:rFonts w:hint="eastAsia" w:ascii="Arial" w:hAnsi="Arial"/>
          <w:sz w:val="21"/>
          <w:szCs w:val="21"/>
        </w:rPr>
        <w:t>＝37.02+3</w:t>
      </w:r>
    </w:p>
    <w:p w14:paraId="07A509E0">
      <w:pPr>
        <w:wordWrap w:val="0"/>
        <w:overflowPunct w:val="0"/>
        <w:spacing w:line="480" w:lineRule="auto"/>
        <w:ind w:firstLine="420" w:firstLineChars="200"/>
        <w:rPr>
          <w:rFonts w:hint="eastAsia" w:ascii="宋体" w:hAnsi="宋体"/>
          <w:sz w:val="21"/>
          <w:szCs w:val="21"/>
        </w:rPr>
      </w:pPr>
      <w:r>
        <w:rPr>
          <w:rFonts w:ascii="Arial" w:hAnsi="Arial"/>
          <w:sz w:val="21"/>
          <w:szCs w:val="21"/>
        </w:rPr>
        <w:t xml:space="preserve">                            </w:t>
      </w:r>
      <w:r>
        <w:rPr>
          <w:rFonts w:hint="eastAsia" w:ascii="Arial" w:hAnsi="Arial"/>
          <w:sz w:val="21"/>
          <w:szCs w:val="21"/>
        </w:rPr>
        <w:t>＝40.02（元/平方米·月）</w:t>
      </w:r>
      <w:r>
        <w:rPr>
          <w:rFonts w:hint="eastAsia" w:ascii="宋体" w:hAnsi="宋体"/>
          <w:sz w:val="21"/>
          <w:szCs w:val="21"/>
        </w:rPr>
        <w:t>（含物业费、不含取暖费）</w:t>
      </w:r>
    </w:p>
    <w:p w14:paraId="6178873A">
      <w:pPr>
        <w:wordWrap w:val="0"/>
        <w:overflowPunct w:val="0"/>
        <w:spacing w:line="480" w:lineRule="auto"/>
        <w:ind w:firstLine="422" w:firstLineChars="200"/>
        <w:rPr>
          <w:rFonts w:ascii="Arial" w:hAnsi="Arial" w:cs="Arial"/>
          <w:b/>
          <w:sz w:val="21"/>
          <w:szCs w:val="21"/>
        </w:rPr>
      </w:pPr>
      <w:r>
        <w:rPr>
          <w:rFonts w:hint="eastAsia" w:ascii="Arial" w:hAnsi="Arial" w:cs="Arial"/>
          <w:b/>
          <w:sz w:val="21"/>
          <w:szCs w:val="21"/>
        </w:rPr>
        <w:t>E.标准房5（三居室</w:t>
      </w:r>
      <w:r>
        <w:rPr>
          <w:rFonts w:hint="eastAsia" w:ascii="宋体" w:hAnsi="宋体"/>
          <w:b/>
          <w:sz w:val="21"/>
          <w:szCs w:val="21"/>
        </w:rPr>
        <w:t>标准房市场租金水平）</w:t>
      </w:r>
    </w:p>
    <w:p w14:paraId="67E8A664">
      <w:pPr>
        <w:wordWrap w:val="0"/>
        <w:overflowPunct w:val="0"/>
        <w:spacing w:line="480" w:lineRule="auto"/>
        <w:ind w:firstLine="420" w:firstLineChars="200"/>
        <w:rPr>
          <w:rFonts w:ascii="Arial" w:hAnsi="Arial" w:cs="Arial"/>
          <w:sz w:val="21"/>
          <w:szCs w:val="21"/>
        </w:rPr>
      </w:pPr>
      <w:r>
        <w:rPr>
          <w:rFonts w:ascii="Arial" w:hAnsi="Arial" w:cs="Arial"/>
          <w:sz w:val="21"/>
          <w:szCs w:val="21"/>
        </w:rPr>
        <w:t>1.选取案例并作因素条件说明</w:t>
      </w:r>
    </w:p>
    <w:p w14:paraId="634440DD">
      <w:pPr>
        <w:wordWrap w:val="0"/>
        <w:overflowPunct w:val="0"/>
        <w:spacing w:line="480" w:lineRule="auto"/>
        <w:ind w:firstLine="420" w:firstLineChars="200"/>
        <w:rPr>
          <w:rFonts w:ascii="Arial" w:hAnsi="Arial" w:cs="Arial"/>
          <w:sz w:val="21"/>
          <w:szCs w:val="21"/>
        </w:rPr>
      </w:pPr>
      <w:r>
        <w:rPr>
          <w:rFonts w:ascii="Arial" w:hAnsi="Arial" w:cs="Arial"/>
          <w:sz w:val="21"/>
          <w:szCs w:val="21"/>
        </w:rPr>
        <w:t>通过对北京市</w:t>
      </w:r>
      <w:r>
        <w:rPr>
          <w:rFonts w:hint="eastAsia" w:ascii="Arial" w:hAnsi="Arial" w:cs="Arial"/>
          <w:sz w:val="21"/>
          <w:szCs w:val="21"/>
        </w:rPr>
        <w:t>大兴</w:t>
      </w:r>
      <w:r>
        <w:rPr>
          <w:rFonts w:ascii="Arial" w:hAnsi="Arial" w:cs="Arial"/>
          <w:sz w:val="21"/>
          <w:szCs w:val="21"/>
        </w:rPr>
        <w:t>区</w:t>
      </w:r>
      <w:r>
        <w:rPr>
          <w:rFonts w:hint="eastAsia" w:ascii="Arial" w:hAnsi="Arial" w:cs="Arial"/>
          <w:sz w:val="21"/>
          <w:szCs w:val="21"/>
        </w:rPr>
        <w:t>周边住宅</w:t>
      </w:r>
      <w:r>
        <w:rPr>
          <w:rFonts w:ascii="Arial" w:hAnsi="Arial" w:cs="Arial"/>
          <w:sz w:val="21"/>
          <w:szCs w:val="21"/>
        </w:rPr>
        <w:t>市场的调查，选取近期同一供需圈内邻近地区的三个租赁</w:t>
      </w:r>
      <w:r>
        <w:rPr>
          <w:rFonts w:hint="eastAsia" w:ascii="Arial" w:hAnsi="Arial" w:cs="Arial"/>
          <w:sz w:val="21"/>
          <w:szCs w:val="21"/>
        </w:rPr>
        <w:t>实例</w:t>
      </w:r>
      <w:r>
        <w:rPr>
          <w:rFonts w:ascii="Arial" w:hAnsi="Arial" w:cs="Arial"/>
          <w:sz w:val="21"/>
          <w:szCs w:val="21"/>
        </w:rPr>
        <w:t>进行比较。</w:t>
      </w:r>
    </w:p>
    <w:p w14:paraId="4C7945C3">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可比实例13</w:t>
      </w:r>
      <w:r>
        <w:rPr>
          <w:rFonts w:ascii="Arial" w:hAnsi="Arial" w:cs="Arial"/>
          <w:sz w:val="21"/>
          <w:szCs w:val="21"/>
        </w:rPr>
        <w:t>：</w:t>
      </w:r>
    </w:p>
    <w:p w14:paraId="63761DC2">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兴水家园</w:t>
      </w:r>
    </w:p>
    <w:p w14:paraId="45608619">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大兴区林校路69号</w:t>
      </w:r>
    </w:p>
    <w:p w14:paraId="23055921">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1F391DFB">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6D3FFB99">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4AA41F7B">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可比实例13周边2公里内有漪景苑、埝坛华庭北区、壹品兴创颐和公馆、矿林庄小区、锦华园小区、义和庄东里等居住项目，居住小区规模适中，入住率较好，综合评价居住区成熟度较好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主干道——林校路</w:t>
      </w:r>
      <w:r>
        <w:rPr>
          <w:rFonts w:ascii="Arial" w:hAnsi="Arial" w:cs="Arial"/>
          <w:sz w:val="21"/>
          <w:szCs w:val="21"/>
        </w:rPr>
        <w:t>，</w:t>
      </w:r>
      <w:r>
        <w:rPr>
          <w:rFonts w:hint="eastAsia" w:ascii="Arial" w:hAnsi="Arial" w:cs="Arial"/>
          <w:kern w:val="2"/>
          <w:sz w:val="21"/>
          <w:szCs w:val="21"/>
        </w:rPr>
        <w:t>周边2公里范围内有轨道交通站点（地铁4号线义和庄站），周边1公里内有827路、829路、840路、兴11路、兴21路等公交线路途径并设立站点，综合评价交通便捷度较好；</w:t>
      </w:r>
      <w:r>
        <w:rPr>
          <w:rFonts w:ascii="Arial" w:hAnsi="Arial" w:cs="Arial"/>
          <w:sz w:val="21"/>
          <w:szCs w:val="21"/>
        </w:rPr>
        <w:t>周边有</w:t>
      </w:r>
      <w:r>
        <w:rPr>
          <w:rFonts w:hint="eastAsia" w:ascii="Arial" w:hAnsi="Arial" w:cs="Arial"/>
          <w:kern w:val="2"/>
          <w:sz w:val="21"/>
          <w:szCs w:val="21"/>
        </w:rPr>
        <w:t>孙村公园、新凤河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w:t>
      </w:r>
      <w:r>
        <w:rPr>
          <w:rFonts w:hint="eastAsia" w:ascii="Arial" w:hAnsi="Arial" w:cs="Arial"/>
          <w:sz w:val="21"/>
          <w:szCs w:val="21"/>
        </w:rPr>
        <w:t>周边2公里有念坛公园、兴良路公园、永定公园、小龙河等自然景观，有中央文化和旅游管理干部学院、国家林业和草原局管理干部学院等人文环境、综合评价自然与人文环境较好</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可比实例13</w:t>
      </w:r>
      <w:r>
        <w:rPr>
          <w:rFonts w:ascii="Arial" w:hAnsi="Arial" w:cs="Arial"/>
          <w:sz w:val="21"/>
          <w:szCs w:val="21"/>
        </w:rPr>
        <w:t>为</w:t>
      </w:r>
      <w:r>
        <w:rPr>
          <w:rFonts w:hint="eastAsia" w:ascii="Arial" w:hAnsi="Arial" w:cs="Arial"/>
          <w:sz w:val="21"/>
          <w:szCs w:val="21"/>
        </w:rPr>
        <w:t>三</w:t>
      </w:r>
      <w:r>
        <w:rPr>
          <w:rFonts w:ascii="Arial" w:hAnsi="Arial" w:cs="Arial"/>
          <w:sz w:val="21"/>
          <w:szCs w:val="21"/>
        </w:rPr>
        <w:t>居室户型，</w:t>
      </w:r>
      <w:r>
        <w:rPr>
          <w:rFonts w:hint="eastAsia" w:ascii="Arial" w:hAnsi="Arial" w:cs="Arial"/>
          <w:sz w:val="21"/>
          <w:szCs w:val="21"/>
        </w:rPr>
        <w:t>中</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2007</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w:t>
      </w:r>
      <w:r>
        <w:rPr>
          <w:rFonts w:hint="eastAsia" w:ascii="Arial" w:hAnsi="Arial" w:cs="Arial"/>
          <w:sz w:val="21"/>
          <w:szCs w:val="21"/>
        </w:rPr>
        <w:t>装修为</w:t>
      </w:r>
      <w:r>
        <w:rPr>
          <w:rFonts w:hint="eastAsia" w:ascii="Arial" w:hAnsi="Arial" w:cs="Arial"/>
          <w:sz w:val="21"/>
          <w:szCs w:val="21"/>
          <w:lang w:val="en-US" w:eastAsia="zh-CN"/>
        </w:rPr>
        <w:t>低</w:t>
      </w:r>
      <w:r>
        <w:rPr>
          <w:rFonts w:hint="eastAsia" w:ascii="Arial" w:hAnsi="Arial" w:cs="Arial"/>
          <w:sz w:val="21"/>
          <w:szCs w:val="21"/>
        </w:rPr>
        <w:t>档装修</w:t>
      </w:r>
      <w:r>
        <w:rPr>
          <w:rFonts w:ascii="Arial" w:hAnsi="Arial" w:cs="Arial"/>
          <w:sz w:val="21"/>
          <w:szCs w:val="21"/>
        </w:rPr>
        <w:t>，建筑面积为</w:t>
      </w:r>
      <w:r>
        <w:rPr>
          <w:rFonts w:hint="eastAsia" w:ascii="Arial" w:hAnsi="Arial" w:cs="Arial"/>
          <w:sz w:val="21"/>
          <w:szCs w:val="21"/>
        </w:rPr>
        <w:t>112.96</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为31.87元/平方米·月（含物业费1.1元/平方米·月、取暖费2.5元/平方米·月）。</w:t>
      </w:r>
    </w:p>
    <w:p w14:paraId="1558981D">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可比实例14</w:t>
      </w:r>
      <w:r>
        <w:rPr>
          <w:rFonts w:ascii="Arial" w:hAnsi="Arial" w:cs="Arial"/>
          <w:sz w:val="21"/>
          <w:szCs w:val="21"/>
        </w:rPr>
        <w:t>：</w:t>
      </w:r>
    </w:p>
    <w:p w14:paraId="02D04FA1">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漪景园</w:t>
      </w:r>
    </w:p>
    <w:p w14:paraId="0C8B84B8">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大兴区林校路60号</w:t>
      </w:r>
    </w:p>
    <w:p w14:paraId="5F6F4748">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4</w:t>
      </w:r>
      <w:r>
        <w:rPr>
          <w:rFonts w:ascii="Arial" w:hAnsi="Arial" w:cs="Arial"/>
          <w:sz w:val="21"/>
          <w:szCs w:val="21"/>
        </w:rPr>
        <w:t>月</w:t>
      </w:r>
    </w:p>
    <w:p w14:paraId="4B0E8E15">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086D8CA1">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6DB8BD86">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可比实例14周边2公里内有漪景苑、埝坛华庭北区、壹品兴创颐和公馆、矿林庄小区、锦华园小区、义和庄东里等居住项目，居住小区规模适中，入住率较好，综合评价居住区成熟度较好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主干道——林校路</w:t>
      </w:r>
      <w:r>
        <w:rPr>
          <w:rFonts w:ascii="Arial" w:hAnsi="Arial" w:cs="Arial"/>
          <w:sz w:val="21"/>
          <w:szCs w:val="21"/>
        </w:rPr>
        <w:t>，</w:t>
      </w:r>
      <w:r>
        <w:rPr>
          <w:rFonts w:hint="eastAsia" w:ascii="Arial" w:hAnsi="Arial" w:cs="Arial"/>
          <w:kern w:val="2"/>
          <w:sz w:val="21"/>
          <w:szCs w:val="21"/>
        </w:rPr>
        <w:t>周边2公里范围内有轨道交通站点（地铁4号线义和庄站），周边1公里内有827路、829路、840路、兴11路、兴21路等公交线路途径并设立站点，综合评价交通便捷度较好；</w:t>
      </w:r>
      <w:r>
        <w:rPr>
          <w:rFonts w:ascii="Arial" w:hAnsi="Arial" w:cs="Arial"/>
          <w:sz w:val="21"/>
          <w:szCs w:val="21"/>
        </w:rPr>
        <w:t>周边有</w:t>
      </w:r>
      <w:r>
        <w:rPr>
          <w:rFonts w:hint="eastAsia" w:ascii="Arial" w:hAnsi="Arial" w:cs="Arial"/>
          <w:kern w:val="2"/>
          <w:sz w:val="21"/>
          <w:szCs w:val="21"/>
        </w:rPr>
        <w:t>孙村公园、新凤河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w:t>
      </w:r>
      <w:r>
        <w:rPr>
          <w:rFonts w:hint="eastAsia" w:ascii="Arial" w:hAnsi="Arial" w:cs="Arial"/>
          <w:sz w:val="21"/>
          <w:szCs w:val="21"/>
        </w:rPr>
        <w:t>周边2公里有念坛公园、兴良路公园、永定公园、小龙河等自然景观，有中央文化和旅游管理干部学院、国家林业和草原局管理干部学院等人文环境、综合评价自然与人文环境较好</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可比实例14</w:t>
      </w:r>
      <w:r>
        <w:rPr>
          <w:rFonts w:ascii="Arial" w:hAnsi="Arial" w:cs="Arial"/>
          <w:sz w:val="21"/>
          <w:szCs w:val="21"/>
        </w:rPr>
        <w:t>为</w:t>
      </w:r>
      <w:r>
        <w:rPr>
          <w:rFonts w:hint="eastAsia" w:ascii="Arial" w:hAnsi="Arial" w:cs="Arial"/>
          <w:sz w:val="21"/>
          <w:szCs w:val="21"/>
        </w:rPr>
        <w:t>三</w:t>
      </w:r>
      <w:r>
        <w:rPr>
          <w:rFonts w:ascii="Arial" w:hAnsi="Arial" w:cs="Arial"/>
          <w:sz w:val="21"/>
          <w:szCs w:val="21"/>
        </w:rPr>
        <w:t>居室户型，</w:t>
      </w:r>
      <w:r>
        <w:rPr>
          <w:rFonts w:hint="eastAsia" w:ascii="Arial" w:hAnsi="Arial" w:cs="Arial"/>
          <w:sz w:val="21"/>
          <w:szCs w:val="21"/>
        </w:rPr>
        <w:t>中</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02</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w:t>
      </w:r>
      <w:r>
        <w:rPr>
          <w:rFonts w:hint="eastAsia" w:ascii="Arial" w:hAnsi="Arial" w:cs="Arial"/>
          <w:sz w:val="21"/>
          <w:szCs w:val="21"/>
        </w:rPr>
        <w:t>装修为</w:t>
      </w:r>
      <w:r>
        <w:rPr>
          <w:rFonts w:hint="eastAsia" w:ascii="Arial" w:hAnsi="Arial" w:cs="Arial"/>
          <w:sz w:val="21"/>
          <w:szCs w:val="21"/>
          <w:lang w:val="en-US" w:eastAsia="zh-CN"/>
        </w:rPr>
        <w:t>低</w:t>
      </w:r>
      <w:r>
        <w:rPr>
          <w:rFonts w:hint="eastAsia" w:ascii="Arial" w:hAnsi="Arial" w:cs="Arial"/>
          <w:sz w:val="21"/>
          <w:szCs w:val="21"/>
        </w:rPr>
        <w:t>档装修</w:t>
      </w:r>
      <w:r>
        <w:rPr>
          <w:rFonts w:ascii="Arial" w:hAnsi="Arial" w:cs="Arial"/>
          <w:sz w:val="21"/>
          <w:szCs w:val="21"/>
        </w:rPr>
        <w:t>，建筑面积为</w:t>
      </w:r>
      <w:r>
        <w:rPr>
          <w:rFonts w:hint="eastAsia" w:ascii="Arial" w:hAnsi="Arial" w:cs="Arial"/>
          <w:sz w:val="21"/>
          <w:szCs w:val="21"/>
        </w:rPr>
        <w:t>117.67</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为33.99元/平方米·月（含物业费1.2元/平方米·月、取暖费2.5元/平方米·月）</w:t>
      </w:r>
      <w:r>
        <w:rPr>
          <w:rFonts w:ascii="Arial" w:hAnsi="Arial" w:cs="Arial"/>
          <w:sz w:val="21"/>
          <w:szCs w:val="21"/>
        </w:rPr>
        <w:t>。</w:t>
      </w:r>
    </w:p>
    <w:p w14:paraId="634BB0FE">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可比实例15</w:t>
      </w:r>
      <w:r>
        <w:rPr>
          <w:rFonts w:ascii="Arial" w:hAnsi="Arial" w:cs="Arial"/>
          <w:sz w:val="21"/>
          <w:szCs w:val="21"/>
        </w:rPr>
        <w:t>：</w:t>
      </w:r>
    </w:p>
    <w:p w14:paraId="69D1EF17">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义和庄东里</w:t>
      </w:r>
    </w:p>
    <w:p w14:paraId="35CE37FF">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：大兴区义平路58号</w:t>
      </w:r>
    </w:p>
    <w:p w14:paraId="43470807">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170BDEF2">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3D749AB1">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3D5F5BA8">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可比实例15周边2公里内有义和庄北里、中骏金辉未来云城、漪景苑、埝坛华庭北区、壹品兴创颐和公馆、矿林庄小区、等居住项目，居住小区规模适中，入住率较好，综合评价居住区成熟度较好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主干道——兴华大街</w:t>
      </w:r>
      <w:r>
        <w:rPr>
          <w:rFonts w:ascii="Arial" w:hAnsi="Arial" w:cs="Arial"/>
          <w:sz w:val="21"/>
          <w:szCs w:val="21"/>
        </w:rPr>
        <w:t>，</w:t>
      </w:r>
      <w:r>
        <w:rPr>
          <w:rFonts w:hint="eastAsia" w:ascii="Arial" w:hAnsi="Arial" w:cs="Arial"/>
          <w:kern w:val="2"/>
          <w:sz w:val="21"/>
          <w:szCs w:val="21"/>
        </w:rPr>
        <w:t>周边2公里范围内有轨道交通站点（地铁4号线黄村火车站），周边1公里内有兴12路、兴16路、兴37路、兴77路等公交线路途径并设立站点，综合评价交通便捷度较好；</w:t>
      </w:r>
      <w:r>
        <w:rPr>
          <w:rFonts w:hint="eastAsia" w:ascii="Arial" w:hAnsi="Arial" w:cs="Arial"/>
          <w:sz w:val="21"/>
          <w:szCs w:val="21"/>
        </w:rPr>
        <w:t>周边2公里有念坛公园、兴良路公园、永定公园、小龙河等自然景观，有中央文化和旅游管理干部学院、国家林业和草原局管理干部学院等人文环境、综合评价自然与人文环境较好</w:t>
      </w:r>
      <w:r>
        <w:rPr>
          <w:rFonts w:ascii="Arial" w:hAnsi="Arial" w:cs="Arial"/>
          <w:sz w:val="21"/>
          <w:szCs w:val="21"/>
        </w:rPr>
        <w:t>；</w:t>
      </w:r>
      <w:r>
        <w:rPr>
          <w:rFonts w:hint="eastAsia" w:ascii="Arial" w:hAnsi="Arial" w:cs="Arial"/>
          <w:sz w:val="21"/>
          <w:szCs w:val="21"/>
        </w:rPr>
        <w:t>周边2公里范围内有大兴星城商厦、大兴大悦春风里等商业场所；有北京市大兴区永华实验学校、</w:t>
      </w:r>
      <w:r>
        <w:rPr>
          <w:rFonts w:hint="eastAsia" w:ascii="Arial" w:hAnsi="Arial" w:cs="Arial"/>
          <w:sz w:val="21"/>
          <w:szCs w:val="21"/>
          <w:lang w:eastAsia="zh-CN"/>
        </w:rPr>
        <w:t>北京市</w:t>
      </w:r>
      <w:r>
        <w:rPr>
          <w:rFonts w:hint="eastAsia" w:ascii="Arial" w:hAnsi="Arial" w:cs="Arial"/>
          <w:sz w:val="21"/>
          <w:szCs w:val="21"/>
        </w:rPr>
        <w:t>大兴区第一中学、北京市大兴区第八小学、泰禾幼儿园（大兴园区）等教育机构，有北京市大兴区心康医院、北京市大兴区人民医院等医疗机构；有华夏银行、北京银行等金融网点，公共配套设施状况较好</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rPr>
        <w:t>社区</w:t>
      </w:r>
      <w:r>
        <w:rPr>
          <w:rFonts w:ascii="Arial" w:hAnsi="Arial" w:cs="Arial"/>
          <w:sz w:val="21"/>
          <w:szCs w:val="21"/>
        </w:rPr>
        <w:t>有一定数量的专业人员管理，居住管理一般；</w:t>
      </w:r>
      <w:r>
        <w:rPr>
          <w:rFonts w:hint="eastAsia" w:ascii="Arial" w:hAnsi="Arial" w:cs="Arial"/>
          <w:sz w:val="21"/>
          <w:szCs w:val="21"/>
        </w:rPr>
        <w:t>可比实例15</w:t>
      </w:r>
      <w:r>
        <w:rPr>
          <w:rFonts w:ascii="Arial" w:hAnsi="Arial" w:cs="Arial"/>
          <w:sz w:val="21"/>
          <w:szCs w:val="21"/>
        </w:rPr>
        <w:t>为</w:t>
      </w:r>
      <w:r>
        <w:rPr>
          <w:rFonts w:hint="eastAsia" w:ascii="Arial" w:hAnsi="Arial" w:cs="Arial"/>
          <w:sz w:val="21"/>
          <w:szCs w:val="21"/>
        </w:rPr>
        <w:t>三</w:t>
      </w:r>
      <w:r>
        <w:rPr>
          <w:rFonts w:ascii="Arial" w:hAnsi="Arial" w:cs="Arial"/>
          <w:sz w:val="21"/>
          <w:szCs w:val="21"/>
        </w:rPr>
        <w:t>居室户型，</w:t>
      </w:r>
      <w:r>
        <w:rPr>
          <w:rFonts w:hint="eastAsia" w:ascii="Arial" w:hAnsi="Arial" w:cs="Arial"/>
          <w:sz w:val="21"/>
          <w:szCs w:val="21"/>
        </w:rPr>
        <w:t>高</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06</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w:t>
      </w:r>
      <w:r>
        <w:rPr>
          <w:rFonts w:hint="eastAsia" w:ascii="Arial" w:hAnsi="Arial" w:cs="Arial"/>
          <w:sz w:val="21"/>
          <w:szCs w:val="21"/>
        </w:rPr>
        <w:t>装修为</w:t>
      </w:r>
      <w:r>
        <w:rPr>
          <w:rFonts w:hint="eastAsia" w:ascii="Arial" w:hAnsi="Arial" w:cs="Arial"/>
          <w:sz w:val="21"/>
          <w:szCs w:val="21"/>
          <w:lang w:val="en-US" w:eastAsia="zh-CN"/>
        </w:rPr>
        <w:t>低</w:t>
      </w:r>
      <w:r>
        <w:rPr>
          <w:rFonts w:hint="eastAsia" w:ascii="Arial" w:hAnsi="Arial" w:cs="Arial"/>
          <w:sz w:val="21"/>
          <w:szCs w:val="21"/>
        </w:rPr>
        <w:t>档装修</w:t>
      </w:r>
      <w:r>
        <w:rPr>
          <w:rFonts w:ascii="Arial" w:hAnsi="Arial" w:cs="Arial"/>
          <w:sz w:val="21"/>
          <w:szCs w:val="21"/>
        </w:rPr>
        <w:t>，建筑面积为</w:t>
      </w:r>
      <w:r>
        <w:rPr>
          <w:rFonts w:hint="eastAsia" w:ascii="Arial" w:hAnsi="Arial" w:cs="Arial"/>
          <w:sz w:val="21"/>
          <w:szCs w:val="21"/>
        </w:rPr>
        <w:t>123</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为34.15元/平方米·月（含物业费0.8元/平方米·月、取暖费2.5元/平方米·月）</w:t>
      </w:r>
      <w:r>
        <w:rPr>
          <w:rFonts w:ascii="Arial" w:hAnsi="Arial" w:cs="Arial"/>
          <w:sz w:val="21"/>
          <w:szCs w:val="21"/>
        </w:rPr>
        <w:t>。</w:t>
      </w:r>
    </w:p>
    <w:p w14:paraId="0E4C1054">
      <w:pPr>
        <w:rPr>
          <w:rFonts w:hint="eastAsia" w:ascii="宋体" w:hAnsi="宋体"/>
          <w:sz w:val="21"/>
          <w:szCs w:val="21"/>
        </w:rPr>
      </w:pPr>
      <w:r>
        <w:rPr>
          <w:rFonts w:hint="eastAsia" w:ascii="宋体" w:hAnsi="宋体"/>
          <w:sz w:val="21"/>
          <w:szCs w:val="21"/>
        </w:rPr>
        <w:br w:type="page"/>
      </w:r>
    </w:p>
    <w:p w14:paraId="171B2742">
      <w:pPr>
        <w:wordWrap w:val="0"/>
        <w:overflowPunct w:val="0"/>
        <w:spacing w:line="480" w:lineRule="auto"/>
        <w:ind w:firstLine="420" w:firstLineChars="200"/>
        <w:rPr>
          <w:rFonts w:hint="eastAsia" w:ascii="宋体" w:hAnsi="宋体"/>
          <w:sz w:val="21"/>
          <w:szCs w:val="21"/>
        </w:rPr>
      </w:pPr>
      <w:r>
        <w:rPr>
          <w:rFonts w:hint="eastAsia" w:ascii="宋体" w:hAnsi="宋体"/>
          <w:sz w:val="21"/>
          <w:szCs w:val="21"/>
        </w:rPr>
        <w:t>建立比较基础</w:t>
      </w:r>
    </w:p>
    <w:tbl>
      <w:tblPr>
        <w:tblStyle w:val="33"/>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2047"/>
        <w:gridCol w:w="1812"/>
        <w:gridCol w:w="1812"/>
        <w:gridCol w:w="1812"/>
        <w:gridCol w:w="1815"/>
      </w:tblGrid>
      <w:tr w14:paraId="74E5C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07BDC00F">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交易案例</w:t>
            </w:r>
          </w:p>
        </w:tc>
        <w:tc>
          <w:tcPr>
            <w:tcW w:w="1812" w:type="dxa"/>
            <w:vAlign w:val="center"/>
          </w:tcPr>
          <w:p w14:paraId="157DB1F4">
            <w:pPr>
              <w:pStyle w:val="61"/>
              <w:autoSpaceDE w:val="0"/>
              <w:autoSpaceDN w:val="0"/>
              <w:spacing w:line="240" w:lineRule="exact"/>
              <w:textAlignment w:val="bottom"/>
              <w:rPr>
                <w:rFonts w:ascii="Arial" w:hAnsi="Arial" w:cs="Arial"/>
                <w:sz w:val="16"/>
                <w:szCs w:val="18"/>
              </w:rPr>
            </w:pPr>
            <w:r>
              <w:rPr>
                <w:rFonts w:ascii="Arial" w:hAnsi="Arial" w:cs="Arial"/>
                <w:sz w:val="16"/>
                <w:szCs w:val="18"/>
              </w:rPr>
              <w:t>估价对象</w:t>
            </w:r>
          </w:p>
        </w:tc>
        <w:tc>
          <w:tcPr>
            <w:tcW w:w="1812" w:type="dxa"/>
            <w:vAlign w:val="center"/>
          </w:tcPr>
          <w:p w14:paraId="1220A174">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w:t>
            </w:r>
            <w:r>
              <w:rPr>
                <w:rFonts w:hint="eastAsia" w:ascii="Arial" w:hAnsi="Arial" w:cs="Arial"/>
                <w:sz w:val="16"/>
                <w:szCs w:val="18"/>
              </w:rPr>
              <w:t>13</w:t>
            </w:r>
          </w:p>
        </w:tc>
        <w:tc>
          <w:tcPr>
            <w:tcW w:w="1812" w:type="dxa"/>
            <w:vAlign w:val="center"/>
          </w:tcPr>
          <w:p w14:paraId="08DEA162">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w:t>
            </w:r>
            <w:r>
              <w:rPr>
                <w:rFonts w:hint="eastAsia" w:ascii="Arial" w:hAnsi="Arial" w:cs="Arial"/>
                <w:sz w:val="16"/>
                <w:szCs w:val="18"/>
              </w:rPr>
              <w:t>14</w:t>
            </w:r>
          </w:p>
        </w:tc>
        <w:tc>
          <w:tcPr>
            <w:tcW w:w="1815" w:type="dxa"/>
            <w:vAlign w:val="center"/>
          </w:tcPr>
          <w:p w14:paraId="5FE1CF97">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w:t>
            </w:r>
            <w:r>
              <w:rPr>
                <w:rFonts w:hint="eastAsia" w:ascii="Arial" w:hAnsi="Arial" w:cs="Arial"/>
                <w:sz w:val="16"/>
                <w:szCs w:val="18"/>
              </w:rPr>
              <w:t>15</w:t>
            </w:r>
          </w:p>
        </w:tc>
      </w:tr>
      <w:tr w14:paraId="2EC60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2F0540A2">
            <w:pPr>
              <w:pStyle w:val="61"/>
              <w:autoSpaceDE w:val="0"/>
              <w:autoSpaceDN w:val="0"/>
              <w:spacing w:line="240" w:lineRule="exact"/>
              <w:textAlignment w:val="bottom"/>
              <w:rPr>
                <w:rFonts w:ascii="Arial" w:hAnsi="Arial" w:cs="Arial"/>
                <w:sz w:val="16"/>
                <w:szCs w:val="18"/>
              </w:rPr>
            </w:pPr>
            <w:r>
              <w:rPr>
                <w:rFonts w:ascii="Arial" w:hAnsi="Arial" w:cs="Arial"/>
                <w:sz w:val="16"/>
                <w:szCs w:val="18"/>
              </w:rPr>
              <w:t>项目名称</w:t>
            </w:r>
          </w:p>
        </w:tc>
        <w:tc>
          <w:tcPr>
            <w:tcW w:w="1812" w:type="dxa"/>
            <w:vAlign w:val="center"/>
          </w:tcPr>
          <w:p w14:paraId="778D4F74">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福兴雅苑</w:t>
            </w:r>
          </w:p>
        </w:tc>
        <w:tc>
          <w:tcPr>
            <w:tcW w:w="1812" w:type="dxa"/>
            <w:vAlign w:val="center"/>
          </w:tcPr>
          <w:p w14:paraId="032E15B9">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1812" w:type="dxa"/>
            <w:vAlign w:val="center"/>
          </w:tcPr>
          <w:p w14:paraId="1A0401FF">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漪景园</w:t>
            </w:r>
          </w:p>
        </w:tc>
        <w:tc>
          <w:tcPr>
            <w:tcW w:w="1815" w:type="dxa"/>
            <w:vAlign w:val="center"/>
          </w:tcPr>
          <w:p w14:paraId="26CD586D">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义和庄东里</w:t>
            </w:r>
          </w:p>
        </w:tc>
      </w:tr>
      <w:tr w14:paraId="70DEC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7F20D0AE">
            <w:pPr>
              <w:pStyle w:val="61"/>
              <w:autoSpaceDE w:val="0"/>
              <w:autoSpaceDN w:val="0"/>
              <w:spacing w:line="240" w:lineRule="exact"/>
              <w:textAlignment w:val="bottom"/>
              <w:rPr>
                <w:rFonts w:ascii="Arial" w:hAnsi="Arial" w:cs="Arial"/>
                <w:sz w:val="16"/>
                <w:szCs w:val="18"/>
              </w:rPr>
            </w:pPr>
            <w:r>
              <w:rPr>
                <w:rFonts w:ascii="Arial" w:hAnsi="Arial" w:cs="Arial"/>
                <w:sz w:val="16"/>
                <w:szCs w:val="18"/>
              </w:rPr>
              <w:t>租金价格（元/㎡·</w:t>
            </w:r>
            <w:r>
              <w:rPr>
                <w:rFonts w:hint="eastAsia" w:ascii="Arial" w:hAnsi="Arial" w:cs="Arial"/>
                <w:sz w:val="16"/>
                <w:szCs w:val="18"/>
              </w:rPr>
              <w:t>月</w:t>
            </w:r>
            <w:r>
              <w:rPr>
                <w:rFonts w:ascii="Arial" w:hAnsi="Arial" w:cs="Arial"/>
                <w:sz w:val="16"/>
                <w:szCs w:val="18"/>
              </w:rPr>
              <w:t>）</w:t>
            </w:r>
          </w:p>
        </w:tc>
        <w:tc>
          <w:tcPr>
            <w:tcW w:w="1812" w:type="dxa"/>
            <w:vAlign w:val="center"/>
          </w:tcPr>
          <w:p w14:paraId="28F2A271">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7F4E8D02">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31.87</w:t>
            </w:r>
          </w:p>
        </w:tc>
        <w:tc>
          <w:tcPr>
            <w:tcW w:w="1812" w:type="dxa"/>
            <w:vAlign w:val="center"/>
          </w:tcPr>
          <w:p w14:paraId="03847C44">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33.99</w:t>
            </w:r>
          </w:p>
        </w:tc>
        <w:tc>
          <w:tcPr>
            <w:tcW w:w="1815" w:type="dxa"/>
            <w:vAlign w:val="center"/>
          </w:tcPr>
          <w:p w14:paraId="0C9FFDF8">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34.15</w:t>
            </w:r>
          </w:p>
        </w:tc>
      </w:tr>
      <w:tr w14:paraId="2D151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2" w:hRule="atLeast"/>
          <w:jc w:val="center"/>
        </w:trPr>
        <w:tc>
          <w:tcPr>
            <w:tcW w:w="2047" w:type="dxa"/>
            <w:vMerge w:val="restart"/>
            <w:vAlign w:val="center"/>
          </w:tcPr>
          <w:p w14:paraId="2EA832E0">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p>
        </w:tc>
        <w:tc>
          <w:tcPr>
            <w:tcW w:w="1812" w:type="dxa"/>
            <w:vAlign w:val="center"/>
          </w:tcPr>
          <w:p w14:paraId="05B481E3">
            <w:pPr>
              <w:pStyle w:val="61"/>
              <w:autoSpaceDE w:val="0"/>
              <w:autoSpaceDN w:val="0"/>
              <w:spacing w:line="240" w:lineRule="exact"/>
              <w:textAlignment w:val="bottom"/>
              <w:rPr>
                <w:rFonts w:hint="eastAsia" w:ascii="Arial" w:hAnsi="Arial" w:eastAsia="宋体" w:cs="Arial"/>
                <w:sz w:val="16"/>
                <w:szCs w:val="18"/>
                <w:lang w:eastAsia="zh-CN"/>
              </w:rPr>
            </w:pPr>
            <w:r>
              <w:rPr>
                <w:rFonts w:hint="eastAsia" w:ascii="Arial" w:hAnsi="Arial" w:cs="Arial"/>
                <w:sz w:val="16"/>
                <w:szCs w:val="18"/>
                <w:lang w:eastAsia="zh-CN"/>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p>
        </w:tc>
        <w:tc>
          <w:tcPr>
            <w:tcW w:w="1812" w:type="dxa"/>
            <w:vAlign w:val="center"/>
          </w:tcPr>
          <w:p w14:paraId="78E79204">
            <w:pPr>
              <w:autoSpaceDE w:val="0"/>
              <w:autoSpaceDN w:val="0"/>
              <w:spacing w:line="240" w:lineRule="exact"/>
              <w:jc w:val="center"/>
              <w:textAlignment w:val="bottom"/>
              <w:rPr>
                <w:rFonts w:hint="eastAsia" w:ascii="Arial" w:hAnsi="Arial" w:eastAsia="宋体" w:cs="Arial"/>
                <w:sz w:val="16"/>
                <w:szCs w:val="18"/>
                <w:lang w:eastAsia="zh-CN"/>
              </w:rPr>
            </w:pPr>
            <w:r>
              <w:rPr>
                <w:rFonts w:hint="eastAsia" w:ascii="Arial" w:hAnsi="Arial" w:cs="Arial"/>
                <w:sz w:val="16"/>
                <w:szCs w:val="18"/>
                <w:lang w:eastAsia="zh-CN"/>
              </w:rPr>
              <w:t>含房屋、家具家电使用费及租赁税费、物业费、供暖费、有线电视费，不含增值服务费、制冷费、水电费、天然气费、通信费、上网宽带费、车位使用费等</w:t>
            </w:r>
          </w:p>
        </w:tc>
        <w:tc>
          <w:tcPr>
            <w:tcW w:w="1812" w:type="dxa"/>
            <w:vAlign w:val="center"/>
          </w:tcPr>
          <w:p w14:paraId="66D99844">
            <w:pPr>
              <w:spacing w:line="276" w:lineRule="auto"/>
              <w:rPr>
                <w:rFonts w:hint="eastAsia" w:eastAsia="宋体"/>
                <w:sz w:val="16"/>
                <w:lang w:eastAsia="zh-CN"/>
              </w:rPr>
            </w:pPr>
            <w:r>
              <w:rPr>
                <w:rFonts w:hint="eastAsia" w:ascii="Arial" w:hAnsi="Arial" w:cs="Arial"/>
                <w:sz w:val="16"/>
                <w:szCs w:val="18"/>
                <w:lang w:eastAsia="zh-CN"/>
              </w:rPr>
              <w:t>含房屋、家具家电使用费及租赁税费、物业费、供暖费、有线电视费，不含增值服务费、制冷费、水电费、天然气费、通信费、上网宽带费、车位使用费等</w:t>
            </w:r>
          </w:p>
        </w:tc>
        <w:tc>
          <w:tcPr>
            <w:tcW w:w="1815" w:type="dxa"/>
            <w:vAlign w:val="center"/>
          </w:tcPr>
          <w:p w14:paraId="44B34970">
            <w:pPr>
              <w:spacing w:line="276" w:lineRule="auto"/>
              <w:rPr>
                <w:rFonts w:hint="eastAsia" w:eastAsia="宋体"/>
                <w:sz w:val="16"/>
                <w:lang w:eastAsia="zh-CN"/>
              </w:rPr>
            </w:pPr>
            <w:r>
              <w:rPr>
                <w:rFonts w:hint="eastAsia" w:ascii="Arial" w:hAnsi="Arial" w:cs="Arial"/>
                <w:sz w:val="16"/>
                <w:szCs w:val="18"/>
                <w:lang w:eastAsia="zh-CN"/>
              </w:rPr>
              <w:t>含房屋、家具家电使用费及租赁税费、物业费、供暖费、有线电视费，不含增值服务费、制冷费、水电费、天然气费、通信费、上网宽带费、车位使用费等</w:t>
            </w:r>
          </w:p>
        </w:tc>
      </w:tr>
      <w:tr w14:paraId="504FA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1CB778F4">
            <w:pPr>
              <w:pStyle w:val="61"/>
              <w:autoSpaceDE w:val="0"/>
              <w:autoSpaceDN w:val="0"/>
              <w:spacing w:line="240" w:lineRule="exact"/>
              <w:textAlignment w:val="bottom"/>
              <w:rPr>
                <w:rFonts w:ascii="Arial" w:hAnsi="Arial" w:cs="Arial"/>
                <w:sz w:val="16"/>
                <w:szCs w:val="18"/>
              </w:rPr>
            </w:pPr>
          </w:p>
        </w:tc>
        <w:tc>
          <w:tcPr>
            <w:tcW w:w="1812" w:type="dxa"/>
            <w:vAlign w:val="center"/>
          </w:tcPr>
          <w:p w14:paraId="45A7F2F8">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扣减物业费、供暖费</w:t>
            </w:r>
            <w:r>
              <w:rPr>
                <w:rFonts w:ascii="Arial" w:hAnsi="Arial" w:cs="Arial"/>
                <w:sz w:val="16"/>
                <w:szCs w:val="18"/>
              </w:rPr>
              <w:t>（</w:t>
            </w:r>
            <w:r>
              <w:rPr>
                <w:rFonts w:hint="eastAsia" w:ascii="Arial" w:hAnsi="Arial" w:cs="Arial"/>
                <w:sz w:val="16"/>
                <w:szCs w:val="18"/>
                <w:lang w:eastAsia="zh-CN"/>
              </w:rPr>
              <w:t>元/㎡·月</w:t>
            </w:r>
            <w:r>
              <w:rPr>
                <w:rFonts w:ascii="Arial" w:hAnsi="Arial" w:cs="Arial"/>
                <w:sz w:val="16"/>
                <w:szCs w:val="18"/>
              </w:rPr>
              <w:t>）</w:t>
            </w:r>
          </w:p>
        </w:tc>
        <w:tc>
          <w:tcPr>
            <w:tcW w:w="1812" w:type="dxa"/>
            <w:vAlign w:val="center"/>
          </w:tcPr>
          <w:p w14:paraId="5720F520">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3.60</w:t>
            </w:r>
          </w:p>
        </w:tc>
        <w:tc>
          <w:tcPr>
            <w:tcW w:w="1812" w:type="dxa"/>
            <w:vAlign w:val="center"/>
          </w:tcPr>
          <w:p w14:paraId="2668AF15">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3.70</w:t>
            </w:r>
          </w:p>
        </w:tc>
        <w:tc>
          <w:tcPr>
            <w:tcW w:w="1815" w:type="dxa"/>
            <w:vAlign w:val="center"/>
          </w:tcPr>
          <w:p w14:paraId="19118608">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3.30</w:t>
            </w:r>
          </w:p>
        </w:tc>
      </w:tr>
      <w:tr w14:paraId="1C6A1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1BA27B3F">
            <w:pPr>
              <w:pStyle w:val="61"/>
              <w:autoSpaceDE w:val="0"/>
              <w:autoSpaceDN w:val="0"/>
              <w:spacing w:line="240" w:lineRule="exact"/>
              <w:textAlignment w:val="bottom"/>
              <w:rPr>
                <w:rFonts w:ascii="Arial" w:hAnsi="Arial" w:cs="Arial"/>
                <w:sz w:val="16"/>
                <w:szCs w:val="18"/>
              </w:rPr>
            </w:pPr>
          </w:p>
        </w:tc>
        <w:tc>
          <w:tcPr>
            <w:tcW w:w="1812" w:type="dxa"/>
            <w:vAlign w:val="center"/>
          </w:tcPr>
          <w:p w14:paraId="435ED649">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r>
              <w:rPr>
                <w:rFonts w:hint="eastAsia" w:ascii="Arial" w:hAnsi="Arial" w:cs="Arial"/>
                <w:sz w:val="16"/>
                <w:szCs w:val="18"/>
              </w:rPr>
              <w:t>后价格</w:t>
            </w:r>
            <w:r>
              <w:rPr>
                <w:rFonts w:ascii="Arial" w:hAnsi="Arial" w:cs="Arial"/>
                <w:sz w:val="16"/>
                <w:szCs w:val="18"/>
              </w:rPr>
              <w:t>（</w:t>
            </w:r>
            <w:r>
              <w:rPr>
                <w:rFonts w:hint="eastAsia" w:ascii="Arial" w:hAnsi="Arial" w:cs="Arial"/>
                <w:sz w:val="16"/>
                <w:szCs w:val="18"/>
                <w:lang w:eastAsia="zh-CN"/>
              </w:rPr>
              <w:t>元/㎡·月</w:t>
            </w:r>
            <w:r>
              <w:rPr>
                <w:rFonts w:ascii="Arial" w:hAnsi="Arial" w:cs="Arial"/>
                <w:sz w:val="16"/>
                <w:szCs w:val="18"/>
              </w:rPr>
              <w:t>）</w:t>
            </w:r>
          </w:p>
        </w:tc>
        <w:tc>
          <w:tcPr>
            <w:tcW w:w="1812" w:type="dxa"/>
            <w:vAlign w:val="center"/>
          </w:tcPr>
          <w:p w14:paraId="284F836A">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28.27</w:t>
            </w:r>
          </w:p>
        </w:tc>
        <w:tc>
          <w:tcPr>
            <w:tcW w:w="1812" w:type="dxa"/>
            <w:vAlign w:val="center"/>
          </w:tcPr>
          <w:p w14:paraId="0D714BA2">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30.29</w:t>
            </w:r>
          </w:p>
        </w:tc>
        <w:tc>
          <w:tcPr>
            <w:tcW w:w="1815" w:type="dxa"/>
            <w:vAlign w:val="center"/>
          </w:tcPr>
          <w:p w14:paraId="4E6F3C53">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30.85</w:t>
            </w:r>
          </w:p>
        </w:tc>
      </w:tr>
      <w:tr w14:paraId="627A3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2D281F74">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统一租赁行为条件</w:t>
            </w:r>
          </w:p>
        </w:tc>
        <w:tc>
          <w:tcPr>
            <w:tcW w:w="1812" w:type="dxa"/>
            <w:vAlign w:val="center"/>
          </w:tcPr>
          <w:p w14:paraId="774B8259">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26D48F0A">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43802C1A">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5" w:type="dxa"/>
          </w:tcPr>
          <w:p w14:paraId="2728C780">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r>
      <w:tr w14:paraId="428E2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0660EA5F">
            <w:pPr>
              <w:pStyle w:val="61"/>
              <w:autoSpaceDE w:val="0"/>
              <w:autoSpaceDN w:val="0"/>
              <w:spacing w:line="240" w:lineRule="exact"/>
              <w:textAlignment w:val="bottom"/>
              <w:rPr>
                <w:rFonts w:ascii="Arial" w:hAnsi="Arial" w:cs="Arial"/>
                <w:sz w:val="16"/>
                <w:szCs w:val="18"/>
              </w:rPr>
            </w:pPr>
          </w:p>
        </w:tc>
        <w:tc>
          <w:tcPr>
            <w:tcW w:w="1812" w:type="dxa"/>
            <w:vAlign w:val="center"/>
          </w:tcPr>
          <w:p w14:paraId="4F0BFD14">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19F8B572">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75558D55">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6E1BFB8C">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1A8A6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63357674">
            <w:pPr>
              <w:pStyle w:val="61"/>
              <w:autoSpaceDE w:val="0"/>
              <w:autoSpaceDN w:val="0"/>
              <w:spacing w:line="240" w:lineRule="exact"/>
              <w:textAlignment w:val="bottom"/>
              <w:rPr>
                <w:rFonts w:ascii="Arial" w:hAnsi="Arial" w:cs="Arial"/>
                <w:sz w:val="16"/>
                <w:szCs w:val="18"/>
              </w:rPr>
            </w:pPr>
            <w:r>
              <w:rPr>
                <w:rFonts w:ascii="Arial" w:hAnsi="Arial" w:cs="Arial"/>
                <w:sz w:val="16"/>
                <w:szCs w:val="18"/>
              </w:rPr>
              <w:t>统一计价单位</w:t>
            </w:r>
          </w:p>
        </w:tc>
        <w:tc>
          <w:tcPr>
            <w:tcW w:w="1812" w:type="dxa"/>
            <w:vAlign w:val="center"/>
          </w:tcPr>
          <w:p w14:paraId="150E30B0">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5C6E7CAB">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15B196D2">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5" w:type="dxa"/>
            <w:vAlign w:val="center"/>
          </w:tcPr>
          <w:p w14:paraId="58F3C2F1">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r>
      <w:tr w14:paraId="21E94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4B218707">
            <w:pPr>
              <w:pStyle w:val="61"/>
              <w:autoSpaceDE w:val="0"/>
              <w:autoSpaceDN w:val="0"/>
              <w:spacing w:line="240" w:lineRule="exact"/>
              <w:textAlignment w:val="bottom"/>
              <w:rPr>
                <w:rFonts w:ascii="Arial" w:hAnsi="Arial" w:cs="Arial"/>
                <w:sz w:val="16"/>
                <w:szCs w:val="18"/>
              </w:rPr>
            </w:pPr>
          </w:p>
        </w:tc>
        <w:tc>
          <w:tcPr>
            <w:tcW w:w="1812" w:type="dxa"/>
            <w:vAlign w:val="center"/>
          </w:tcPr>
          <w:p w14:paraId="6045F08E">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762A6FB1">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550BE005">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439E106F">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048DD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0E24588C">
            <w:pPr>
              <w:pStyle w:val="61"/>
              <w:autoSpaceDE w:val="0"/>
              <w:autoSpaceDN w:val="0"/>
              <w:spacing w:line="240" w:lineRule="exact"/>
              <w:textAlignment w:val="bottom"/>
              <w:rPr>
                <w:rFonts w:ascii="Arial" w:hAnsi="Arial" w:cs="Arial"/>
                <w:sz w:val="16"/>
                <w:szCs w:val="18"/>
              </w:rPr>
            </w:pPr>
            <w:r>
              <w:rPr>
                <w:rFonts w:ascii="Arial" w:hAnsi="Arial" w:cs="Arial"/>
                <w:sz w:val="16"/>
                <w:szCs w:val="18"/>
              </w:rPr>
              <w:t>价格（</w:t>
            </w:r>
            <w:r>
              <w:rPr>
                <w:rFonts w:hint="eastAsia" w:ascii="Arial" w:hAnsi="Arial" w:cs="Arial"/>
                <w:sz w:val="16"/>
                <w:szCs w:val="18"/>
                <w:lang w:eastAsia="zh-CN"/>
              </w:rPr>
              <w:t>元/㎡·月</w:t>
            </w:r>
            <w:r>
              <w:rPr>
                <w:rFonts w:ascii="Arial" w:hAnsi="Arial" w:cs="Arial"/>
                <w:sz w:val="16"/>
                <w:szCs w:val="18"/>
              </w:rPr>
              <w:t>）</w:t>
            </w:r>
          </w:p>
        </w:tc>
        <w:tc>
          <w:tcPr>
            <w:tcW w:w="1812" w:type="dxa"/>
            <w:vAlign w:val="center"/>
          </w:tcPr>
          <w:p w14:paraId="23659986">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0BBF7908">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28.27</w:t>
            </w:r>
          </w:p>
        </w:tc>
        <w:tc>
          <w:tcPr>
            <w:tcW w:w="1812" w:type="dxa"/>
            <w:vAlign w:val="center"/>
          </w:tcPr>
          <w:p w14:paraId="4B92E918">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30.29</w:t>
            </w:r>
          </w:p>
        </w:tc>
        <w:tc>
          <w:tcPr>
            <w:tcW w:w="1815" w:type="dxa"/>
            <w:vAlign w:val="center"/>
          </w:tcPr>
          <w:p w14:paraId="5E05189B">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30.85</w:t>
            </w:r>
          </w:p>
        </w:tc>
      </w:tr>
    </w:tbl>
    <w:p w14:paraId="50C3699F">
      <w:pPr>
        <w:wordWrap w:val="0"/>
        <w:overflowPunct w:val="0"/>
        <w:spacing w:line="480" w:lineRule="auto"/>
        <w:ind w:firstLine="420" w:firstLineChars="200"/>
        <w:rPr>
          <w:rFonts w:hint="eastAsia" w:ascii="宋体" w:hAnsi="宋体"/>
          <w:sz w:val="21"/>
          <w:szCs w:val="21"/>
        </w:rPr>
      </w:pPr>
      <w:r>
        <w:rPr>
          <w:rFonts w:ascii="宋体" w:hAnsi="宋体"/>
          <w:sz w:val="21"/>
          <w:szCs w:val="21"/>
        </w:rPr>
        <w:br w:type="page"/>
      </w:r>
      <w:r>
        <w:rPr>
          <w:rFonts w:hint="eastAsia" w:ascii="宋体" w:hAnsi="宋体"/>
          <w:sz w:val="21"/>
          <w:szCs w:val="21"/>
        </w:rPr>
        <w:t>各实例位置如下：</w:t>
      </w:r>
    </w:p>
    <w:tbl>
      <w:tblPr>
        <w:tblStyle w:val="33"/>
        <w:tblW w:w="9300"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28" w:type="dxa"/>
          <w:left w:w="28" w:type="dxa"/>
          <w:bottom w:w="28" w:type="dxa"/>
          <w:right w:w="28" w:type="dxa"/>
        </w:tblCellMar>
      </w:tblPr>
      <w:tblGrid>
        <w:gridCol w:w="9300"/>
      </w:tblGrid>
      <w:tr w14:paraId="6D22DA9C">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jc w:val="center"/>
        </w:trPr>
        <w:tc>
          <w:tcPr>
            <w:tcW w:w="9300" w:type="dxa"/>
            <w:tcBorders>
              <w:top w:val="dotted" w:color="404040" w:sz="2" w:space="0"/>
              <w:left w:val="dotted" w:color="404040" w:sz="2" w:space="0"/>
              <w:bottom w:val="dotted" w:color="404040" w:sz="2" w:space="0"/>
              <w:right w:val="dotted" w:color="404040" w:sz="2" w:space="0"/>
            </w:tcBorders>
          </w:tcPr>
          <w:p w14:paraId="73B7CC3B">
            <w:pPr>
              <w:jc w:val="center"/>
              <w:rPr>
                <w:rFonts w:hint="eastAsia" w:ascii="华文细黑" w:hAnsi="华文细黑" w:eastAsia="华文细黑"/>
              </w:rPr>
            </w:pPr>
            <w:r>
              <w:rPr>
                <w:rFonts w:hint="eastAsia" w:ascii="华文细黑" w:hAnsi="华文细黑" w:eastAsia="华文细黑"/>
              </w:rPr>
              <w:t>实例位置</w:t>
            </w:r>
          </w:p>
        </w:tc>
      </w:tr>
      <w:tr w14:paraId="69E6E751">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PrEx>
        <w:trPr>
          <w:cantSplit/>
          <w:trHeight w:val="6166" w:hRule="atLeast"/>
          <w:jc w:val="center"/>
        </w:trPr>
        <w:tc>
          <w:tcPr>
            <w:tcW w:w="9300" w:type="dxa"/>
            <w:tcBorders>
              <w:top w:val="dotted" w:color="404040" w:sz="2" w:space="0"/>
              <w:left w:val="dotted" w:color="404040" w:sz="2" w:space="0"/>
              <w:bottom w:val="dotted" w:color="404040" w:sz="2" w:space="0"/>
              <w:right w:val="dotted" w:color="404040" w:sz="2" w:space="0"/>
            </w:tcBorders>
          </w:tcPr>
          <w:p w14:paraId="6D297127">
            <w:pPr>
              <w:jc w:val="center"/>
              <w:rPr>
                <w:rFonts w:ascii="Calibri" w:hAnsi="Calibri"/>
              </w:rPr>
            </w:pPr>
            <w:r>
              <w:drawing>
                <wp:inline distT="0" distB="0" distL="114300" distR="114300">
                  <wp:extent cx="5868035" cy="3947795"/>
                  <wp:effectExtent l="0" t="0" r="14605" b="1460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52"/>
                          <a:stretch>
                            <a:fillRect/>
                          </a:stretch>
                        </pic:blipFill>
                        <pic:spPr>
                          <a:xfrm>
                            <a:off x="0" y="0"/>
                            <a:ext cx="5868035" cy="3947795"/>
                          </a:xfrm>
                          <a:prstGeom prst="rect">
                            <a:avLst/>
                          </a:prstGeom>
                          <a:noFill/>
                          <a:ln>
                            <a:noFill/>
                          </a:ln>
                        </pic:spPr>
                      </pic:pic>
                    </a:graphicData>
                  </a:graphic>
                </wp:inline>
              </w:drawing>
            </w:r>
          </w:p>
        </w:tc>
      </w:tr>
    </w:tbl>
    <w:p w14:paraId="5A44FBE5"/>
    <w:p w14:paraId="2380687E">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（1）建立比较因素条件说明表</w:t>
      </w:r>
      <w:r>
        <w:rPr>
          <w:rFonts w:ascii="Arial" w:hAnsi="Arial"/>
          <w:sz w:val="21"/>
          <w:szCs w:val="21"/>
        </w:rPr>
        <w:t xml:space="preserve"> </w:t>
      </w:r>
    </w:p>
    <w:p w14:paraId="10357D9F">
      <w:pPr>
        <w:wordWrap w:val="0"/>
        <w:overflowPunct w:val="0"/>
        <w:spacing w:line="480" w:lineRule="auto"/>
        <w:ind w:firstLine="420" w:firstLineChars="200"/>
        <w:rPr>
          <w:rFonts w:ascii="Arial" w:hAnsi="Arial"/>
          <w:sz w:val="21"/>
          <w:szCs w:val="21"/>
        </w:rPr>
      </w:pPr>
      <w:r>
        <w:rPr>
          <w:rFonts w:ascii="Arial" w:hAnsi="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Pr>
          <w:rFonts w:hint="eastAsia" w:ascii="Arial" w:hAnsi="Arial"/>
          <w:sz w:val="21"/>
          <w:szCs w:val="21"/>
        </w:rPr>
        <w:t>：</w:t>
      </w:r>
    </w:p>
    <w:p w14:paraId="6F20FA0D">
      <w:pPr>
        <w:overflowPunct w:val="0"/>
        <w:spacing w:line="480" w:lineRule="auto"/>
        <w:ind w:firstLine="420" w:firstLineChars="200"/>
        <w:jc w:val="center"/>
        <w:rPr>
          <w:rFonts w:ascii="Arial" w:hAnsi="Arial"/>
          <w:sz w:val="21"/>
          <w:szCs w:val="21"/>
        </w:rPr>
      </w:pPr>
      <w:r>
        <w:rPr>
          <w:rFonts w:hint="eastAsia" w:ascii="Arial" w:hAnsi="Arial"/>
          <w:sz w:val="21"/>
          <w:szCs w:val="21"/>
        </w:rPr>
        <w:t>比较因素情况描述表</w:t>
      </w:r>
    </w:p>
    <w:tbl>
      <w:tblPr>
        <w:tblStyle w:val="33"/>
        <w:tblW w:w="5000" w:type="pct"/>
        <w:jc w:val="center"/>
        <w:tblLayout w:type="autofit"/>
        <w:tblCellMar>
          <w:top w:w="0" w:type="dxa"/>
          <w:left w:w="108" w:type="dxa"/>
          <w:bottom w:w="0" w:type="dxa"/>
          <w:right w:w="108" w:type="dxa"/>
        </w:tblCellMar>
      </w:tblPr>
      <w:tblGrid>
        <w:gridCol w:w="689"/>
        <w:gridCol w:w="1447"/>
        <w:gridCol w:w="1844"/>
        <w:gridCol w:w="1844"/>
        <w:gridCol w:w="1844"/>
        <w:gridCol w:w="1847"/>
      </w:tblGrid>
      <w:tr w14:paraId="372C39CE">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000000" w:sz="4" w:space="0"/>
            </w:tcBorders>
            <w:vAlign w:val="center"/>
          </w:tcPr>
          <w:p w14:paraId="5F25B4E4">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968" w:type="pct"/>
            <w:tcBorders>
              <w:top w:val="single" w:color="auto" w:sz="4" w:space="0"/>
              <w:left w:val="nil"/>
              <w:bottom w:val="single" w:color="auto" w:sz="4" w:space="0"/>
              <w:right w:val="single" w:color="auto" w:sz="4" w:space="0"/>
            </w:tcBorders>
            <w:vAlign w:val="center"/>
          </w:tcPr>
          <w:p w14:paraId="44996585">
            <w:pPr>
              <w:widowControl/>
              <w:adjustRightInd/>
              <w:spacing w:line="240" w:lineRule="auto"/>
              <w:jc w:val="center"/>
              <w:textAlignment w:val="auto"/>
              <w:rPr>
                <w:rFonts w:ascii="Arial" w:hAnsi="Arial" w:cs="Arial"/>
                <w:sz w:val="16"/>
                <w:szCs w:val="18"/>
              </w:rPr>
            </w:pPr>
            <w:r>
              <w:rPr>
                <w:rFonts w:ascii="Arial" w:hAnsi="Arial" w:cs="Arial"/>
                <w:sz w:val="16"/>
                <w:szCs w:val="18"/>
              </w:rPr>
              <w:t>估价对象</w:t>
            </w:r>
          </w:p>
        </w:tc>
        <w:tc>
          <w:tcPr>
            <w:tcW w:w="968" w:type="pct"/>
            <w:tcBorders>
              <w:top w:val="single" w:color="auto" w:sz="4" w:space="0"/>
              <w:left w:val="nil"/>
              <w:bottom w:val="single" w:color="auto" w:sz="4" w:space="0"/>
              <w:right w:val="single" w:color="auto" w:sz="4" w:space="0"/>
            </w:tcBorders>
            <w:vAlign w:val="center"/>
          </w:tcPr>
          <w:p w14:paraId="4BD87F39">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13</w:t>
            </w:r>
          </w:p>
        </w:tc>
        <w:tc>
          <w:tcPr>
            <w:tcW w:w="968" w:type="pct"/>
            <w:tcBorders>
              <w:top w:val="single" w:color="auto" w:sz="4" w:space="0"/>
              <w:left w:val="nil"/>
              <w:bottom w:val="single" w:color="auto" w:sz="4" w:space="0"/>
              <w:right w:val="single" w:color="auto" w:sz="4" w:space="0"/>
            </w:tcBorders>
            <w:vAlign w:val="center"/>
          </w:tcPr>
          <w:p w14:paraId="4B959ABA">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14</w:t>
            </w:r>
          </w:p>
        </w:tc>
        <w:tc>
          <w:tcPr>
            <w:tcW w:w="970" w:type="pct"/>
            <w:tcBorders>
              <w:top w:val="single" w:color="auto" w:sz="4" w:space="0"/>
              <w:left w:val="nil"/>
              <w:bottom w:val="single" w:color="auto" w:sz="4" w:space="0"/>
              <w:right w:val="single" w:color="auto" w:sz="4" w:space="0"/>
            </w:tcBorders>
            <w:vAlign w:val="center"/>
          </w:tcPr>
          <w:p w14:paraId="455DB66C">
            <w:pPr>
              <w:widowControl/>
              <w:adjustRightInd/>
              <w:spacing w:line="240" w:lineRule="auto"/>
              <w:jc w:val="center"/>
              <w:textAlignment w:val="auto"/>
              <w:rPr>
                <w:rFonts w:ascii="Arial" w:hAnsi="Arial" w:cs="Arial"/>
                <w:sz w:val="16"/>
                <w:szCs w:val="18"/>
              </w:rPr>
            </w:pPr>
            <w:r>
              <w:rPr>
                <w:rFonts w:ascii="Arial" w:hAnsi="Arial" w:cs="Arial"/>
                <w:sz w:val="16"/>
                <w:szCs w:val="18"/>
              </w:rPr>
              <w:t>可比案例</w:t>
            </w:r>
            <w:r>
              <w:rPr>
                <w:rFonts w:hint="eastAsia" w:ascii="Arial" w:hAnsi="Arial" w:cs="Arial"/>
                <w:sz w:val="16"/>
                <w:szCs w:val="18"/>
              </w:rPr>
              <w:t>15</w:t>
            </w:r>
          </w:p>
        </w:tc>
      </w:tr>
      <w:tr w14:paraId="6E91C37E">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36B2753E">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968" w:type="pct"/>
            <w:tcBorders>
              <w:top w:val="nil"/>
              <w:left w:val="nil"/>
              <w:bottom w:val="single" w:color="auto" w:sz="4" w:space="0"/>
              <w:right w:val="single" w:color="auto" w:sz="4" w:space="0"/>
            </w:tcBorders>
            <w:vAlign w:val="center"/>
          </w:tcPr>
          <w:p w14:paraId="7748AA74">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福兴雅苑</w:t>
            </w:r>
          </w:p>
        </w:tc>
        <w:tc>
          <w:tcPr>
            <w:tcW w:w="968" w:type="pct"/>
            <w:tcBorders>
              <w:top w:val="nil"/>
              <w:left w:val="nil"/>
              <w:bottom w:val="single" w:color="auto" w:sz="4" w:space="0"/>
              <w:right w:val="single" w:color="auto" w:sz="4" w:space="0"/>
            </w:tcBorders>
            <w:vAlign w:val="center"/>
          </w:tcPr>
          <w:p w14:paraId="39C029AA">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968" w:type="pct"/>
            <w:tcBorders>
              <w:top w:val="nil"/>
              <w:left w:val="nil"/>
              <w:bottom w:val="single" w:color="auto" w:sz="4" w:space="0"/>
              <w:right w:val="single" w:color="auto" w:sz="4" w:space="0"/>
            </w:tcBorders>
            <w:vAlign w:val="center"/>
          </w:tcPr>
          <w:p w14:paraId="1C0B2C9C">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漪景园</w:t>
            </w:r>
          </w:p>
        </w:tc>
        <w:tc>
          <w:tcPr>
            <w:tcW w:w="970" w:type="pct"/>
            <w:tcBorders>
              <w:top w:val="nil"/>
              <w:left w:val="nil"/>
              <w:bottom w:val="single" w:color="auto" w:sz="4" w:space="0"/>
              <w:right w:val="single" w:color="auto" w:sz="4" w:space="0"/>
            </w:tcBorders>
            <w:vAlign w:val="center"/>
          </w:tcPr>
          <w:p w14:paraId="73BB2BF1">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义和庄东里</w:t>
            </w:r>
          </w:p>
        </w:tc>
      </w:tr>
      <w:tr w14:paraId="5202EF45">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6905BE38">
            <w:pPr>
              <w:widowControl/>
              <w:adjustRightInd/>
              <w:spacing w:line="240" w:lineRule="auto"/>
              <w:jc w:val="center"/>
              <w:textAlignment w:val="auto"/>
              <w:rPr>
                <w:rFonts w:ascii="Arial" w:hAnsi="Arial" w:cs="Arial"/>
                <w:sz w:val="16"/>
                <w:szCs w:val="18"/>
              </w:rPr>
            </w:pPr>
            <w:r>
              <w:rPr>
                <w:rFonts w:ascii="Arial" w:hAnsi="Arial" w:cs="Arial"/>
                <w:sz w:val="16"/>
                <w:szCs w:val="18"/>
              </w:rPr>
              <w:t>平均租金（元/平方米·月）</w:t>
            </w:r>
          </w:p>
        </w:tc>
        <w:tc>
          <w:tcPr>
            <w:tcW w:w="968" w:type="pct"/>
            <w:tcBorders>
              <w:top w:val="nil"/>
              <w:left w:val="nil"/>
              <w:bottom w:val="single" w:color="auto" w:sz="4" w:space="0"/>
              <w:right w:val="single" w:color="auto" w:sz="4" w:space="0"/>
            </w:tcBorders>
            <w:vAlign w:val="center"/>
          </w:tcPr>
          <w:p w14:paraId="1C5F5784">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44" w:type="dxa"/>
            <w:tcBorders>
              <w:top w:val="nil"/>
              <w:left w:val="nil"/>
              <w:bottom w:val="single" w:color="auto" w:sz="4" w:space="0"/>
              <w:right w:val="single" w:color="auto" w:sz="4" w:space="0"/>
            </w:tcBorders>
            <w:vAlign w:val="center"/>
          </w:tcPr>
          <w:p w14:paraId="10AD2F62">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28.27</w:t>
            </w:r>
          </w:p>
        </w:tc>
        <w:tc>
          <w:tcPr>
            <w:tcW w:w="1844" w:type="dxa"/>
            <w:tcBorders>
              <w:top w:val="nil"/>
              <w:left w:val="nil"/>
              <w:bottom w:val="single" w:color="auto" w:sz="4" w:space="0"/>
              <w:right w:val="single" w:color="auto" w:sz="4" w:space="0"/>
            </w:tcBorders>
            <w:vAlign w:val="center"/>
          </w:tcPr>
          <w:p w14:paraId="5EFF8091">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30.29</w:t>
            </w:r>
          </w:p>
        </w:tc>
        <w:tc>
          <w:tcPr>
            <w:tcW w:w="1847" w:type="dxa"/>
            <w:tcBorders>
              <w:top w:val="nil"/>
              <w:left w:val="nil"/>
              <w:bottom w:val="single" w:color="auto" w:sz="4" w:space="0"/>
              <w:right w:val="single" w:color="auto" w:sz="4" w:space="0"/>
            </w:tcBorders>
            <w:vAlign w:val="center"/>
          </w:tcPr>
          <w:p w14:paraId="0AF41CD6">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30.85</w:t>
            </w:r>
          </w:p>
        </w:tc>
      </w:tr>
      <w:tr w14:paraId="041692B4">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55A20661">
            <w:pPr>
              <w:widowControl/>
              <w:adjustRightInd/>
              <w:spacing w:line="240" w:lineRule="auto"/>
              <w:jc w:val="center"/>
              <w:textAlignment w:val="auto"/>
              <w:rPr>
                <w:rFonts w:ascii="Arial" w:hAnsi="Arial" w:cs="Arial"/>
                <w:sz w:val="16"/>
                <w:szCs w:val="18"/>
              </w:rPr>
            </w:pPr>
            <w:r>
              <w:rPr>
                <w:rFonts w:ascii="Arial" w:hAnsi="Arial" w:cs="Arial"/>
                <w:sz w:val="16"/>
                <w:szCs w:val="18"/>
              </w:rPr>
              <w:t>交易时间</w:t>
            </w:r>
          </w:p>
        </w:tc>
        <w:tc>
          <w:tcPr>
            <w:tcW w:w="968" w:type="pct"/>
            <w:tcBorders>
              <w:top w:val="nil"/>
              <w:left w:val="nil"/>
              <w:bottom w:val="single" w:color="auto" w:sz="4" w:space="0"/>
              <w:right w:val="single" w:color="auto" w:sz="4" w:space="0"/>
            </w:tcBorders>
            <w:vAlign w:val="center"/>
          </w:tcPr>
          <w:p w14:paraId="43DB88A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2026年4月7日</w:t>
            </w:r>
          </w:p>
        </w:tc>
        <w:tc>
          <w:tcPr>
            <w:tcW w:w="968" w:type="pct"/>
            <w:tcBorders>
              <w:top w:val="nil"/>
              <w:left w:val="nil"/>
              <w:bottom w:val="single" w:color="auto" w:sz="4" w:space="0"/>
              <w:right w:val="single" w:color="auto" w:sz="4" w:space="0"/>
            </w:tcBorders>
            <w:vAlign w:val="center"/>
          </w:tcPr>
          <w:p w14:paraId="58178C6C">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c>
          <w:tcPr>
            <w:tcW w:w="968" w:type="pct"/>
            <w:tcBorders>
              <w:top w:val="nil"/>
              <w:left w:val="nil"/>
              <w:bottom w:val="single" w:color="auto" w:sz="4" w:space="0"/>
              <w:right w:val="single" w:color="auto" w:sz="4" w:space="0"/>
            </w:tcBorders>
            <w:vAlign w:val="center"/>
          </w:tcPr>
          <w:p w14:paraId="1A72E5D3">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4</w:t>
            </w:r>
            <w:r>
              <w:rPr>
                <w:rFonts w:ascii="Arial" w:hAnsi="Arial" w:cs="Arial"/>
                <w:sz w:val="16"/>
                <w:szCs w:val="18"/>
              </w:rPr>
              <w:t>月</w:t>
            </w:r>
          </w:p>
        </w:tc>
        <w:tc>
          <w:tcPr>
            <w:tcW w:w="970" w:type="pct"/>
            <w:tcBorders>
              <w:top w:val="nil"/>
              <w:left w:val="nil"/>
              <w:bottom w:val="single" w:color="auto" w:sz="4" w:space="0"/>
              <w:right w:val="single" w:color="auto" w:sz="4" w:space="0"/>
            </w:tcBorders>
            <w:vAlign w:val="center"/>
          </w:tcPr>
          <w:p w14:paraId="44E79A48">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r>
      <w:tr w14:paraId="691D278D">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7106AEFF">
            <w:pPr>
              <w:widowControl/>
              <w:adjustRightInd/>
              <w:spacing w:line="240" w:lineRule="auto"/>
              <w:jc w:val="center"/>
              <w:textAlignment w:val="auto"/>
              <w:rPr>
                <w:rFonts w:ascii="Arial" w:hAnsi="Arial" w:cs="Arial"/>
                <w:sz w:val="16"/>
                <w:szCs w:val="18"/>
              </w:rPr>
            </w:pPr>
            <w:r>
              <w:rPr>
                <w:rFonts w:ascii="Arial" w:hAnsi="Arial" w:cs="Arial"/>
                <w:sz w:val="16"/>
                <w:szCs w:val="18"/>
              </w:rPr>
              <w:t>交易情况</w:t>
            </w:r>
          </w:p>
        </w:tc>
        <w:tc>
          <w:tcPr>
            <w:tcW w:w="968" w:type="pct"/>
            <w:tcBorders>
              <w:top w:val="nil"/>
              <w:left w:val="nil"/>
              <w:bottom w:val="single" w:color="auto" w:sz="4" w:space="0"/>
              <w:right w:val="single" w:color="auto" w:sz="4" w:space="0"/>
            </w:tcBorders>
            <w:vAlign w:val="center"/>
          </w:tcPr>
          <w:p w14:paraId="287461E7">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13DC98BD">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10DC3885">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70" w:type="pct"/>
            <w:tcBorders>
              <w:top w:val="nil"/>
              <w:left w:val="nil"/>
              <w:bottom w:val="single" w:color="auto" w:sz="4" w:space="0"/>
              <w:right w:val="single" w:color="auto" w:sz="4" w:space="0"/>
            </w:tcBorders>
            <w:vAlign w:val="center"/>
          </w:tcPr>
          <w:p w14:paraId="6B710015">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r>
      <w:tr w14:paraId="21BB936A">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1E834B3A">
            <w:pPr>
              <w:widowControl/>
              <w:adjustRightInd/>
              <w:spacing w:line="240" w:lineRule="auto"/>
              <w:jc w:val="center"/>
              <w:textAlignment w:val="auto"/>
              <w:rPr>
                <w:rFonts w:ascii="Arial" w:hAnsi="Arial" w:cs="Arial"/>
                <w:sz w:val="16"/>
                <w:szCs w:val="18"/>
              </w:rPr>
            </w:pPr>
            <w:r>
              <w:rPr>
                <w:rFonts w:ascii="Arial" w:hAnsi="Arial" w:cs="Arial"/>
                <w:sz w:val="16"/>
                <w:szCs w:val="18"/>
              </w:rPr>
              <w:t>项目类型</w:t>
            </w:r>
          </w:p>
        </w:tc>
        <w:tc>
          <w:tcPr>
            <w:tcW w:w="968" w:type="pct"/>
            <w:tcBorders>
              <w:top w:val="nil"/>
              <w:left w:val="nil"/>
              <w:bottom w:val="single" w:color="auto" w:sz="4" w:space="0"/>
              <w:right w:val="single" w:color="auto" w:sz="4" w:space="0"/>
            </w:tcBorders>
            <w:vAlign w:val="center"/>
          </w:tcPr>
          <w:p w14:paraId="2DE9C55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7C44693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6784DE7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70" w:type="pct"/>
            <w:tcBorders>
              <w:top w:val="nil"/>
              <w:left w:val="nil"/>
              <w:bottom w:val="single" w:color="auto" w:sz="4" w:space="0"/>
              <w:right w:val="single" w:color="auto" w:sz="4" w:space="0"/>
            </w:tcBorders>
            <w:vAlign w:val="center"/>
          </w:tcPr>
          <w:p w14:paraId="6F5818C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r>
      <w:tr w14:paraId="72751547">
        <w:tblPrEx>
          <w:tblCellMar>
            <w:top w:w="0" w:type="dxa"/>
            <w:left w:w="108" w:type="dxa"/>
            <w:bottom w:w="0" w:type="dxa"/>
            <w:right w:w="108" w:type="dxa"/>
          </w:tblCellMar>
        </w:tblPrEx>
        <w:trPr>
          <w:trHeight w:val="1442" w:hRule="atLeast"/>
          <w:jc w:val="center"/>
        </w:trPr>
        <w:tc>
          <w:tcPr>
            <w:tcW w:w="362" w:type="pct"/>
            <w:vMerge w:val="restart"/>
            <w:tcBorders>
              <w:top w:val="nil"/>
              <w:left w:val="single" w:color="auto" w:sz="4" w:space="0"/>
              <w:bottom w:val="single" w:color="000000" w:sz="4" w:space="0"/>
              <w:right w:val="single" w:color="auto" w:sz="4" w:space="0"/>
            </w:tcBorders>
            <w:vAlign w:val="center"/>
          </w:tcPr>
          <w:p w14:paraId="34130C92">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760" w:type="pct"/>
            <w:tcBorders>
              <w:top w:val="nil"/>
              <w:left w:val="nil"/>
              <w:bottom w:val="single" w:color="auto" w:sz="4" w:space="0"/>
              <w:right w:val="single" w:color="auto" w:sz="4" w:space="0"/>
            </w:tcBorders>
            <w:vAlign w:val="center"/>
          </w:tcPr>
          <w:p w14:paraId="59D60651">
            <w:pPr>
              <w:widowControl/>
              <w:adjustRightInd/>
              <w:spacing w:line="240" w:lineRule="auto"/>
              <w:jc w:val="center"/>
              <w:textAlignment w:val="auto"/>
              <w:rPr>
                <w:rFonts w:ascii="Arial" w:hAnsi="Arial" w:cs="Arial"/>
                <w:sz w:val="16"/>
                <w:szCs w:val="18"/>
              </w:rPr>
            </w:pPr>
            <w:r>
              <w:rPr>
                <w:rFonts w:ascii="Arial" w:hAnsi="Arial" w:cs="Arial"/>
                <w:sz w:val="16"/>
                <w:szCs w:val="18"/>
              </w:rPr>
              <w:t>居住区成熟度</w:t>
            </w:r>
          </w:p>
        </w:tc>
        <w:tc>
          <w:tcPr>
            <w:tcW w:w="968" w:type="pct"/>
            <w:tcBorders>
              <w:top w:val="nil"/>
              <w:left w:val="nil"/>
              <w:bottom w:val="single" w:color="auto" w:sz="4" w:space="0"/>
              <w:right w:val="single" w:color="auto" w:sz="4" w:space="0"/>
            </w:tcBorders>
            <w:vAlign w:val="center"/>
          </w:tcPr>
          <w:p w14:paraId="02BD43F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内有车站中里小区、海悦公馆、海子角小区、物资局小区、义和庄东里、锦华园小区、兴水家园、漪景园、埝坛华庭等居住项目，居住小区规模适中，入住率较好，综合评价居住社区成熟度较好</w:t>
            </w:r>
          </w:p>
        </w:tc>
        <w:tc>
          <w:tcPr>
            <w:tcW w:w="968" w:type="pct"/>
            <w:tcBorders>
              <w:top w:val="nil"/>
              <w:left w:val="nil"/>
              <w:bottom w:val="single" w:color="auto" w:sz="4" w:space="0"/>
              <w:right w:val="single" w:color="auto" w:sz="4" w:space="0"/>
            </w:tcBorders>
            <w:vAlign w:val="center"/>
          </w:tcPr>
          <w:p w14:paraId="31E636B3">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周边2公里内有漪景苑、埝坛华庭北区、壹品兴创颐和公馆、矿林庄小区、锦华园小区、义和庄东里等居住项目，居住小区规模适中，入住率较好，综合评价居住区成熟度较好</w:t>
            </w:r>
          </w:p>
        </w:tc>
        <w:tc>
          <w:tcPr>
            <w:tcW w:w="968" w:type="pct"/>
            <w:tcBorders>
              <w:top w:val="nil"/>
              <w:left w:val="nil"/>
              <w:bottom w:val="single" w:color="auto" w:sz="4" w:space="0"/>
              <w:right w:val="single" w:color="auto" w:sz="4" w:space="0"/>
            </w:tcBorders>
            <w:vAlign w:val="center"/>
          </w:tcPr>
          <w:p w14:paraId="67CD392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周边2公里内有义和庄北里、中骏金辉未来云城、漪景苑、埝坛华庭北区、壹品兴创颐和公馆、矿林庄小区、义和庄东里等居住项目，居住小区规模适中，入住率较好，综合评价居住区成熟度较好</w:t>
            </w:r>
          </w:p>
        </w:tc>
        <w:tc>
          <w:tcPr>
            <w:tcW w:w="970" w:type="pct"/>
            <w:tcBorders>
              <w:top w:val="nil"/>
              <w:left w:val="nil"/>
              <w:bottom w:val="single" w:color="auto" w:sz="4" w:space="0"/>
              <w:right w:val="single" w:color="auto" w:sz="4" w:space="0"/>
            </w:tcBorders>
            <w:vAlign w:val="center"/>
          </w:tcPr>
          <w:p w14:paraId="4717ADD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周边2公里内有义和庄北里、中骏金辉未来云城、漪景苑、埝坛华庭北区、壹品兴创颐和公馆、矿林庄小区、等居住项目，居住小区规模适中，入住率较好，综合评价居住区成熟度较好</w:t>
            </w:r>
          </w:p>
        </w:tc>
      </w:tr>
      <w:tr w14:paraId="059FAA20">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10BE2E85">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6B0B632E">
            <w:pPr>
              <w:widowControl/>
              <w:adjustRightInd/>
              <w:spacing w:line="240" w:lineRule="auto"/>
              <w:jc w:val="center"/>
              <w:textAlignment w:val="auto"/>
              <w:rPr>
                <w:rFonts w:ascii="Arial" w:hAnsi="Arial" w:cs="Arial"/>
                <w:sz w:val="16"/>
                <w:szCs w:val="18"/>
              </w:rPr>
            </w:pPr>
            <w:r>
              <w:rPr>
                <w:rFonts w:ascii="Arial" w:hAnsi="Arial" w:cs="Arial"/>
                <w:sz w:val="16"/>
                <w:szCs w:val="18"/>
              </w:rPr>
              <w:t>道路通达度</w:t>
            </w:r>
          </w:p>
        </w:tc>
        <w:tc>
          <w:tcPr>
            <w:tcW w:w="968" w:type="pct"/>
            <w:tcBorders>
              <w:top w:val="nil"/>
              <w:left w:val="nil"/>
              <w:bottom w:val="single" w:color="auto" w:sz="4" w:space="0"/>
              <w:right w:val="single" w:color="auto" w:sz="4" w:space="0"/>
            </w:tcBorders>
            <w:vAlign w:val="center"/>
          </w:tcPr>
          <w:p w14:paraId="2EE8C4C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周边500米内有城市主干道——林校路</w:t>
            </w:r>
          </w:p>
        </w:tc>
        <w:tc>
          <w:tcPr>
            <w:tcW w:w="968" w:type="pct"/>
            <w:tcBorders>
              <w:top w:val="nil"/>
              <w:left w:val="nil"/>
              <w:bottom w:val="single" w:color="auto" w:sz="4" w:space="0"/>
              <w:right w:val="single" w:color="auto" w:sz="4" w:space="0"/>
            </w:tcBorders>
            <w:vAlign w:val="center"/>
          </w:tcPr>
          <w:p w14:paraId="32D139C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周边500米内有城市主干道——林校路</w:t>
            </w:r>
          </w:p>
        </w:tc>
        <w:tc>
          <w:tcPr>
            <w:tcW w:w="968" w:type="pct"/>
            <w:tcBorders>
              <w:top w:val="nil"/>
              <w:left w:val="nil"/>
              <w:bottom w:val="single" w:color="auto" w:sz="4" w:space="0"/>
              <w:right w:val="single" w:color="auto" w:sz="4" w:space="0"/>
            </w:tcBorders>
            <w:vAlign w:val="center"/>
          </w:tcPr>
          <w:p w14:paraId="1FA2E921">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周边500米内有城市主干道——兴华大街</w:t>
            </w:r>
          </w:p>
        </w:tc>
        <w:tc>
          <w:tcPr>
            <w:tcW w:w="970" w:type="pct"/>
            <w:tcBorders>
              <w:top w:val="nil"/>
              <w:left w:val="nil"/>
              <w:bottom w:val="single" w:color="auto" w:sz="4" w:space="0"/>
              <w:right w:val="single" w:color="auto" w:sz="4" w:space="0"/>
            </w:tcBorders>
            <w:vAlign w:val="center"/>
          </w:tcPr>
          <w:p w14:paraId="47D65C4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周边500米内有城市主干道——兴华大街</w:t>
            </w:r>
          </w:p>
        </w:tc>
      </w:tr>
      <w:tr w14:paraId="5D60A525">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594E5149">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2C91382F">
            <w:pPr>
              <w:widowControl/>
              <w:adjustRightInd/>
              <w:spacing w:line="240" w:lineRule="auto"/>
              <w:jc w:val="center"/>
              <w:textAlignment w:val="auto"/>
              <w:rPr>
                <w:rFonts w:ascii="Arial" w:hAnsi="Arial" w:cs="Arial"/>
                <w:sz w:val="16"/>
                <w:szCs w:val="18"/>
              </w:rPr>
            </w:pPr>
            <w:r>
              <w:rPr>
                <w:rFonts w:ascii="Arial" w:hAnsi="Arial" w:cs="Arial"/>
                <w:sz w:val="16"/>
                <w:szCs w:val="18"/>
              </w:rPr>
              <w:t>距离轨道交通站点距离</w:t>
            </w:r>
          </w:p>
        </w:tc>
        <w:tc>
          <w:tcPr>
            <w:tcW w:w="968" w:type="pct"/>
            <w:tcBorders>
              <w:top w:val="nil"/>
              <w:left w:val="nil"/>
              <w:bottom w:val="single" w:color="auto" w:sz="4" w:space="0"/>
              <w:right w:val="single" w:color="auto" w:sz="4" w:space="0"/>
            </w:tcBorders>
            <w:vAlign w:val="center"/>
          </w:tcPr>
          <w:p w14:paraId="5A2534A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周边2公里范围内有轨道交通站点（地铁4号线黄村火车站）</w:t>
            </w:r>
          </w:p>
        </w:tc>
        <w:tc>
          <w:tcPr>
            <w:tcW w:w="968" w:type="pct"/>
            <w:tcBorders>
              <w:top w:val="nil"/>
              <w:left w:val="nil"/>
              <w:bottom w:val="single" w:color="auto" w:sz="4" w:space="0"/>
              <w:right w:val="single" w:color="auto" w:sz="4" w:space="0"/>
            </w:tcBorders>
            <w:vAlign w:val="center"/>
          </w:tcPr>
          <w:p w14:paraId="60627CE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周边2公里范围内有轨道交通站点（地铁4号线义和庄站）</w:t>
            </w:r>
          </w:p>
        </w:tc>
        <w:tc>
          <w:tcPr>
            <w:tcW w:w="968" w:type="pct"/>
            <w:tcBorders>
              <w:top w:val="nil"/>
              <w:left w:val="nil"/>
              <w:bottom w:val="single" w:color="auto" w:sz="4" w:space="0"/>
              <w:right w:val="single" w:color="auto" w:sz="4" w:space="0"/>
            </w:tcBorders>
            <w:vAlign w:val="center"/>
          </w:tcPr>
          <w:p w14:paraId="3D5EA2A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周边2公里范围内有轨道交通站点（地铁4号线黄村火车站）</w:t>
            </w:r>
          </w:p>
        </w:tc>
        <w:tc>
          <w:tcPr>
            <w:tcW w:w="970" w:type="pct"/>
            <w:tcBorders>
              <w:top w:val="nil"/>
              <w:left w:val="nil"/>
              <w:bottom w:val="single" w:color="auto" w:sz="4" w:space="0"/>
              <w:right w:val="single" w:color="auto" w:sz="4" w:space="0"/>
            </w:tcBorders>
            <w:vAlign w:val="center"/>
          </w:tcPr>
          <w:p w14:paraId="7291C5D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周边2公里范围内有轨道交通站点（地铁4号线黄村火车站）</w:t>
            </w:r>
          </w:p>
        </w:tc>
      </w:tr>
      <w:tr w14:paraId="2473FEA1">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5FAC7201">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759E69F9">
            <w:pPr>
              <w:widowControl/>
              <w:adjustRightInd/>
              <w:spacing w:line="240" w:lineRule="auto"/>
              <w:jc w:val="center"/>
              <w:textAlignment w:val="auto"/>
              <w:rPr>
                <w:rFonts w:ascii="Arial" w:hAnsi="Arial" w:cs="Arial"/>
                <w:sz w:val="16"/>
                <w:szCs w:val="18"/>
              </w:rPr>
            </w:pPr>
            <w:r>
              <w:rPr>
                <w:rFonts w:ascii="Arial" w:hAnsi="Arial" w:cs="Arial"/>
                <w:sz w:val="16"/>
                <w:szCs w:val="18"/>
              </w:rPr>
              <w:t>距离公交站点距离</w:t>
            </w:r>
          </w:p>
        </w:tc>
        <w:tc>
          <w:tcPr>
            <w:tcW w:w="968" w:type="pct"/>
            <w:tcBorders>
              <w:top w:val="nil"/>
              <w:left w:val="nil"/>
              <w:bottom w:val="single" w:color="auto" w:sz="4" w:space="0"/>
              <w:right w:val="single" w:color="auto" w:sz="4" w:space="0"/>
            </w:tcBorders>
            <w:vAlign w:val="center"/>
          </w:tcPr>
          <w:p w14:paraId="59547EF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周边1公里内有827路、829路、840路、兴11路、兴21路、兴52路等公交线路途径并设立站点</w:t>
            </w:r>
          </w:p>
        </w:tc>
        <w:tc>
          <w:tcPr>
            <w:tcW w:w="968" w:type="pct"/>
            <w:tcBorders>
              <w:top w:val="nil"/>
              <w:left w:val="nil"/>
              <w:bottom w:val="single" w:color="auto" w:sz="4" w:space="0"/>
              <w:right w:val="single" w:color="auto" w:sz="4" w:space="0"/>
            </w:tcBorders>
            <w:vAlign w:val="center"/>
          </w:tcPr>
          <w:p w14:paraId="1997161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周边1公里内有827路、829路、840路、兴11路、兴21路等公交线路途径并设立站点</w:t>
            </w:r>
          </w:p>
        </w:tc>
        <w:tc>
          <w:tcPr>
            <w:tcW w:w="968" w:type="pct"/>
            <w:tcBorders>
              <w:top w:val="nil"/>
              <w:left w:val="nil"/>
              <w:bottom w:val="single" w:color="auto" w:sz="4" w:space="0"/>
              <w:right w:val="single" w:color="auto" w:sz="4" w:space="0"/>
            </w:tcBorders>
            <w:vAlign w:val="center"/>
          </w:tcPr>
          <w:p w14:paraId="5437DDE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周边1公里内有兴12路、兴16路、兴37路、兴77路等公交线路途径并设立站点</w:t>
            </w:r>
          </w:p>
        </w:tc>
        <w:tc>
          <w:tcPr>
            <w:tcW w:w="970" w:type="pct"/>
            <w:tcBorders>
              <w:top w:val="nil"/>
              <w:left w:val="nil"/>
              <w:bottom w:val="single" w:color="auto" w:sz="4" w:space="0"/>
              <w:right w:val="single" w:color="auto" w:sz="4" w:space="0"/>
            </w:tcBorders>
            <w:vAlign w:val="center"/>
          </w:tcPr>
          <w:p w14:paraId="7E47D2E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周边1公里内有兴12路、兴16路、兴37路、兴77路等公交线路途径并设立站点</w:t>
            </w:r>
          </w:p>
        </w:tc>
      </w:tr>
      <w:tr w14:paraId="2E188C20">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10FC3E3C">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37EC2BC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环境质量优劣度</w:t>
            </w:r>
          </w:p>
        </w:tc>
        <w:tc>
          <w:tcPr>
            <w:tcW w:w="968" w:type="pct"/>
            <w:tcBorders>
              <w:top w:val="nil"/>
              <w:left w:val="nil"/>
              <w:bottom w:val="single" w:color="auto" w:sz="4" w:space="0"/>
              <w:right w:val="single" w:color="auto" w:sz="4" w:space="0"/>
            </w:tcBorders>
            <w:vAlign w:val="center"/>
          </w:tcPr>
          <w:p w14:paraId="7A597DE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68" w:type="pct"/>
            <w:tcBorders>
              <w:top w:val="nil"/>
              <w:left w:val="nil"/>
              <w:bottom w:val="single" w:color="auto" w:sz="4" w:space="0"/>
              <w:right w:val="single" w:color="auto" w:sz="4" w:space="0"/>
            </w:tcBorders>
            <w:vAlign w:val="center"/>
          </w:tcPr>
          <w:p w14:paraId="563F5790">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周边5km内无污染源</w:t>
            </w:r>
          </w:p>
        </w:tc>
        <w:tc>
          <w:tcPr>
            <w:tcW w:w="968" w:type="pct"/>
            <w:tcBorders>
              <w:top w:val="nil"/>
              <w:left w:val="nil"/>
              <w:bottom w:val="single" w:color="auto" w:sz="4" w:space="0"/>
              <w:right w:val="single" w:color="auto" w:sz="4" w:space="0"/>
            </w:tcBorders>
            <w:vAlign w:val="center"/>
          </w:tcPr>
          <w:p w14:paraId="570F10F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70" w:type="pct"/>
            <w:tcBorders>
              <w:top w:val="nil"/>
              <w:left w:val="nil"/>
              <w:bottom w:val="single" w:color="auto" w:sz="4" w:space="0"/>
              <w:right w:val="single" w:color="auto" w:sz="4" w:space="0"/>
            </w:tcBorders>
            <w:vAlign w:val="center"/>
          </w:tcPr>
          <w:p w14:paraId="7809E16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r>
      <w:tr w14:paraId="77BE9A3E">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7EC47685">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5203D6C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自然及人文环境</w:t>
            </w:r>
          </w:p>
        </w:tc>
        <w:tc>
          <w:tcPr>
            <w:tcW w:w="968" w:type="pct"/>
            <w:tcBorders>
              <w:top w:val="nil"/>
              <w:left w:val="nil"/>
              <w:bottom w:val="single" w:color="auto" w:sz="4" w:space="0"/>
              <w:right w:val="single" w:color="auto" w:sz="4" w:space="0"/>
            </w:tcBorders>
            <w:vAlign w:val="center"/>
          </w:tcPr>
          <w:p w14:paraId="7853AA4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估价对象周边2公里有念坛公园、兴良路公园、永定公园、小龙河等自然景观，有中央文化和旅游管理干部学院、国家林业和草原局管理干部学院等人文环境、综合评价自然与人文环境较好</w:t>
            </w:r>
          </w:p>
        </w:tc>
        <w:tc>
          <w:tcPr>
            <w:tcW w:w="968" w:type="pct"/>
            <w:tcBorders>
              <w:top w:val="nil"/>
              <w:left w:val="nil"/>
              <w:bottom w:val="single" w:color="auto" w:sz="4" w:space="0"/>
              <w:right w:val="single" w:color="auto" w:sz="4" w:space="0"/>
            </w:tcBorders>
            <w:vAlign w:val="center"/>
          </w:tcPr>
          <w:p w14:paraId="3CB7FD52">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周边2公里有念坛公园、兴良路公园、永定公园、小龙河等自然景观，有中央文化和旅游管理干部学院、国家林业和草原局管理干部学院等人文环境、综合评价自然与人文环境较好</w:t>
            </w:r>
          </w:p>
        </w:tc>
        <w:tc>
          <w:tcPr>
            <w:tcW w:w="968" w:type="pct"/>
            <w:tcBorders>
              <w:top w:val="nil"/>
              <w:left w:val="nil"/>
              <w:bottom w:val="single" w:color="auto" w:sz="4" w:space="0"/>
              <w:right w:val="single" w:color="auto" w:sz="4" w:space="0"/>
            </w:tcBorders>
            <w:vAlign w:val="center"/>
          </w:tcPr>
          <w:p w14:paraId="797E0E20">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周边2公里有念坛公园、兴良路公园、永定公园、小龙河等自然景观，有中央文化和旅游管理干部学院、国家林业和草原局管理干部学院等人文环境、综合评价自然与人文环境较好</w:t>
            </w:r>
          </w:p>
        </w:tc>
        <w:tc>
          <w:tcPr>
            <w:tcW w:w="970" w:type="pct"/>
            <w:tcBorders>
              <w:top w:val="nil"/>
              <w:left w:val="nil"/>
              <w:bottom w:val="single" w:color="auto" w:sz="4" w:space="0"/>
              <w:right w:val="single" w:color="auto" w:sz="4" w:space="0"/>
            </w:tcBorders>
            <w:vAlign w:val="center"/>
          </w:tcPr>
          <w:p w14:paraId="73F0CB92">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周边2公里有念坛公园、兴良路公园、永定公园、小龙河等自然景观，有中央文化和旅游管理干部学院、国家林业和草原局管理干部学院等人文环境、综合评价自然与人文环境较好</w:t>
            </w:r>
          </w:p>
        </w:tc>
      </w:tr>
      <w:tr w14:paraId="49E4B777">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6630469D">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6511EC3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小区环境</w:t>
            </w:r>
          </w:p>
        </w:tc>
        <w:tc>
          <w:tcPr>
            <w:tcW w:w="968" w:type="pct"/>
            <w:tcBorders>
              <w:top w:val="nil"/>
              <w:left w:val="nil"/>
              <w:bottom w:val="single" w:color="auto" w:sz="4" w:space="0"/>
              <w:right w:val="single" w:color="auto" w:sz="4" w:space="0"/>
            </w:tcBorders>
            <w:vAlign w:val="center"/>
          </w:tcPr>
          <w:p w14:paraId="7BA1065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68" w:type="pct"/>
            <w:tcBorders>
              <w:top w:val="nil"/>
              <w:left w:val="nil"/>
              <w:bottom w:val="single" w:color="auto" w:sz="4" w:space="0"/>
              <w:right w:val="single" w:color="auto" w:sz="4" w:space="0"/>
            </w:tcBorders>
            <w:vAlign w:val="center"/>
          </w:tcPr>
          <w:p w14:paraId="6B7D7FE3">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小区道路整洁、绿化率高、有景观设计、人车分</w:t>
            </w:r>
            <w:r>
              <w:rPr>
                <w:rFonts w:hint="eastAsia" w:ascii="Arial" w:hAnsi="Arial" w:cs="Arial"/>
                <w:sz w:val="16"/>
                <w:szCs w:val="18"/>
              </w:rPr>
              <w:t>流</w:t>
            </w:r>
          </w:p>
        </w:tc>
        <w:tc>
          <w:tcPr>
            <w:tcW w:w="968" w:type="pct"/>
            <w:tcBorders>
              <w:top w:val="nil"/>
              <w:left w:val="nil"/>
              <w:bottom w:val="single" w:color="auto" w:sz="4" w:space="0"/>
              <w:right w:val="single" w:color="auto" w:sz="4" w:space="0"/>
            </w:tcBorders>
            <w:vAlign w:val="center"/>
          </w:tcPr>
          <w:p w14:paraId="48A0158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70" w:type="pct"/>
            <w:tcBorders>
              <w:top w:val="nil"/>
              <w:left w:val="nil"/>
              <w:bottom w:val="single" w:color="auto" w:sz="4" w:space="0"/>
              <w:right w:val="single" w:color="auto" w:sz="4" w:space="0"/>
            </w:tcBorders>
            <w:vAlign w:val="center"/>
          </w:tcPr>
          <w:p w14:paraId="4066FC2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r>
      <w:tr w14:paraId="795A2632">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665F32C2">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6D2B373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公共服务设施状况</w:t>
            </w:r>
          </w:p>
        </w:tc>
        <w:tc>
          <w:tcPr>
            <w:tcW w:w="968" w:type="pct"/>
            <w:tcBorders>
              <w:top w:val="nil"/>
              <w:left w:val="nil"/>
              <w:bottom w:val="single" w:color="auto" w:sz="4" w:space="0"/>
              <w:right w:val="single" w:color="auto" w:sz="4" w:space="0"/>
            </w:tcBorders>
            <w:vAlign w:val="center"/>
          </w:tcPr>
          <w:p w14:paraId="2DF1DA5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估价对象所在区域周边2公里范围内有大兴星城商厦、大兴大悦春风里等商业场所；有北京市大兴区永华实验学校、</w:t>
            </w:r>
            <w:r>
              <w:rPr>
                <w:rFonts w:hint="eastAsia" w:ascii="Arial" w:hAnsi="Arial" w:cs="Arial"/>
                <w:sz w:val="16"/>
                <w:szCs w:val="18"/>
                <w:lang w:eastAsia="zh-CN"/>
              </w:rPr>
              <w:t>北京市</w:t>
            </w:r>
            <w:r>
              <w:rPr>
                <w:rFonts w:hint="eastAsia" w:ascii="Arial" w:hAnsi="Arial" w:cs="Arial"/>
                <w:sz w:val="16"/>
                <w:szCs w:val="18"/>
              </w:rPr>
              <w:t>大兴区第一中学、北京市大兴区第八小学、泰禾幼儿园（大兴园区）等教育机构，有北京市大兴区心康医院、北京市大兴区人民医院等医疗机构；有华夏银行、北京银行等金融网点，公共配套设施状况较好</w:t>
            </w:r>
          </w:p>
        </w:tc>
        <w:tc>
          <w:tcPr>
            <w:tcW w:w="968" w:type="pct"/>
            <w:tcBorders>
              <w:top w:val="nil"/>
              <w:left w:val="nil"/>
              <w:bottom w:val="single" w:color="auto" w:sz="4" w:space="0"/>
              <w:right w:val="single" w:color="auto" w:sz="4" w:space="0"/>
            </w:tcBorders>
            <w:vAlign w:val="center"/>
          </w:tcPr>
          <w:p w14:paraId="3251758C">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周边2公里范围内有大兴星城商厦、大兴大悦春风里等商业场所；有北京市大兴区永华实验学校、</w:t>
            </w:r>
            <w:r>
              <w:rPr>
                <w:rFonts w:hint="eastAsia" w:ascii="宋体" w:hAnsi="宋体" w:cs="Arial"/>
                <w:sz w:val="16"/>
                <w:szCs w:val="18"/>
                <w:lang w:eastAsia="zh-CN"/>
              </w:rPr>
              <w:t>北京市</w:t>
            </w:r>
            <w:r>
              <w:rPr>
                <w:rFonts w:hint="eastAsia" w:ascii="宋体" w:hAnsi="宋体" w:cs="Arial"/>
                <w:sz w:val="16"/>
                <w:szCs w:val="18"/>
              </w:rPr>
              <w:t>大兴区第一中学、北京市大兴区第八小学、泰禾幼儿园（大兴园区）等教育机构，有北京市大兴区心康医院、北京市大兴区人民医院等医疗机构；有华夏银行、北京银行等金融网点，公共配套设施状况较好</w:t>
            </w:r>
          </w:p>
        </w:tc>
        <w:tc>
          <w:tcPr>
            <w:tcW w:w="968" w:type="pct"/>
            <w:tcBorders>
              <w:top w:val="nil"/>
              <w:left w:val="nil"/>
              <w:bottom w:val="single" w:color="auto" w:sz="4" w:space="0"/>
              <w:right w:val="single" w:color="auto" w:sz="4" w:space="0"/>
            </w:tcBorders>
            <w:vAlign w:val="center"/>
          </w:tcPr>
          <w:p w14:paraId="7A175C1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周边2公里范围内有大兴星城商厦、大兴大悦春风里等商业场所；有北京市大兴区永华实验学校、</w:t>
            </w:r>
            <w:r>
              <w:rPr>
                <w:rFonts w:hint="eastAsia" w:ascii="Arial" w:hAnsi="Arial" w:cs="Arial"/>
                <w:sz w:val="16"/>
                <w:szCs w:val="18"/>
                <w:lang w:eastAsia="zh-CN"/>
              </w:rPr>
              <w:t>北京市</w:t>
            </w:r>
            <w:r>
              <w:rPr>
                <w:rFonts w:hint="eastAsia" w:ascii="Arial" w:hAnsi="Arial" w:cs="Arial"/>
                <w:sz w:val="16"/>
                <w:szCs w:val="18"/>
              </w:rPr>
              <w:t>大兴区第一中学、北京市大兴区第八小学、泰禾幼儿园（大兴园区）等教育机构，有北京市大兴区心康医院、北京市大兴区人民医院等医疗机构；有华夏银行、北京银行等金融网点，公共配套设施状况较好</w:t>
            </w:r>
          </w:p>
        </w:tc>
        <w:tc>
          <w:tcPr>
            <w:tcW w:w="970" w:type="pct"/>
            <w:tcBorders>
              <w:top w:val="nil"/>
              <w:left w:val="nil"/>
              <w:bottom w:val="single" w:color="auto" w:sz="4" w:space="0"/>
              <w:right w:val="single" w:color="auto" w:sz="4" w:space="0"/>
            </w:tcBorders>
            <w:vAlign w:val="center"/>
          </w:tcPr>
          <w:p w14:paraId="6D33DAB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周边2公里范围内有大兴星城商厦、大兴大悦春风里等商业场所；有北京市大兴区永华实验学校、</w:t>
            </w:r>
            <w:r>
              <w:rPr>
                <w:rFonts w:hint="eastAsia" w:ascii="Arial" w:hAnsi="Arial" w:cs="Arial"/>
                <w:sz w:val="16"/>
                <w:szCs w:val="18"/>
                <w:lang w:eastAsia="zh-CN"/>
              </w:rPr>
              <w:t>北京市</w:t>
            </w:r>
            <w:r>
              <w:rPr>
                <w:rFonts w:hint="eastAsia" w:ascii="Arial" w:hAnsi="Arial" w:cs="Arial"/>
                <w:sz w:val="16"/>
                <w:szCs w:val="18"/>
              </w:rPr>
              <w:t>大兴区第一中学、北京市大兴区第八小学、泰禾幼儿园（大兴园区）等教育机构，有北京市大兴区心康医院、北京市大兴区人民医院等医疗机构；有华夏银行、北京银行等金融网点，公共配套设施状况较好</w:t>
            </w:r>
          </w:p>
        </w:tc>
      </w:tr>
      <w:tr w14:paraId="6CDC0978">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12784148">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2A6D170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建筑类型</w:t>
            </w:r>
          </w:p>
        </w:tc>
        <w:tc>
          <w:tcPr>
            <w:tcW w:w="968" w:type="pct"/>
            <w:tcBorders>
              <w:top w:val="nil"/>
              <w:left w:val="nil"/>
              <w:bottom w:val="single" w:color="auto" w:sz="4" w:space="0"/>
              <w:right w:val="single" w:color="auto" w:sz="4" w:space="0"/>
            </w:tcBorders>
            <w:vAlign w:val="center"/>
          </w:tcPr>
          <w:p w14:paraId="361990B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高层板楼</w:t>
            </w:r>
          </w:p>
        </w:tc>
        <w:tc>
          <w:tcPr>
            <w:tcW w:w="968" w:type="pct"/>
            <w:tcBorders>
              <w:top w:val="nil"/>
              <w:left w:val="nil"/>
              <w:bottom w:val="single" w:color="auto" w:sz="4" w:space="0"/>
              <w:right w:val="single" w:color="auto" w:sz="4" w:space="0"/>
            </w:tcBorders>
            <w:vAlign w:val="center"/>
          </w:tcPr>
          <w:p w14:paraId="0DD2355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68" w:type="pct"/>
            <w:tcBorders>
              <w:top w:val="nil"/>
              <w:left w:val="nil"/>
              <w:bottom w:val="single" w:color="auto" w:sz="4" w:space="0"/>
              <w:right w:val="single" w:color="auto" w:sz="4" w:space="0"/>
            </w:tcBorders>
            <w:vAlign w:val="center"/>
          </w:tcPr>
          <w:p w14:paraId="5454470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70" w:type="pct"/>
            <w:tcBorders>
              <w:top w:val="nil"/>
              <w:left w:val="nil"/>
              <w:bottom w:val="single" w:color="auto" w:sz="4" w:space="0"/>
              <w:right w:val="single" w:color="auto" w:sz="4" w:space="0"/>
            </w:tcBorders>
            <w:vAlign w:val="center"/>
          </w:tcPr>
          <w:p w14:paraId="4035D93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r>
      <w:tr w14:paraId="7E463C4C">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50643AA7">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302AEE76">
            <w:pPr>
              <w:widowControl/>
              <w:adjustRightInd/>
              <w:spacing w:line="240" w:lineRule="auto"/>
              <w:jc w:val="center"/>
              <w:textAlignment w:val="auto"/>
              <w:rPr>
                <w:rFonts w:ascii="Arial" w:hAnsi="Arial" w:cs="Arial"/>
                <w:sz w:val="16"/>
                <w:szCs w:val="18"/>
              </w:rPr>
            </w:pP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7A0AFDE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12BA98D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1B869D4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c>
          <w:tcPr>
            <w:tcW w:w="970" w:type="pct"/>
            <w:tcBorders>
              <w:top w:val="nil"/>
              <w:left w:val="nil"/>
              <w:bottom w:val="single" w:color="auto" w:sz="4" w:space="0"/>
              <w:right w:val="single" w:color="auto" w:sz="4" w:space="0"/>
            </w:tcBorders>
            <w:vAlign w:val="center"/>
          </w:tcPr>
          <w:p w14:paraId="164C0AC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r>
      <w:tr w14:paraId="223E5080">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auto" w:sz="4" w:space="0"/>
              <w:right w:val="single" w:color="auto" w:sz="4" w:space="0"/>
            </w:tcBorders>
            <w:vAlign w:val="center"/>
          </w:tcPr>
          <w:p w14:paraId="67841ECD">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529E8D97">
            <w:pPr>
              <w:widowControl/>
              <w:adjustRightInd/>
              <w:spacing w:line="240" w:lineRule="auto"/>
              <w:jc w:val="center"/>
              <w:textAlignment w:val="auto"/>
              <w:rPr>
                <w:rFonts w:ascii="Arial" w:hAnsi="Arial" w:cs="Arial"/>
                <w:sz w:val="16"/>
                <w:szCs w:val="18"/>
              </w:rPr>
            </w:pPr>
            <w:r>
              <w:rPr>
                <w:rFonts w:ascii="Arial" w:hAnsi="Arial" w:cs="Arial"/>
                <w:sz w:val="16"/>
                <w:szCs w:val="18"/>
              </w:rPr>
              <w:t>朝向</w:t>
            </w:r>
          </w:p>
        </w:tc>
        <w:tc>
          <w:tcPr>
            <w:tcW w:w="968" w:type="pct"/>
            <w:tcBorders>
              <w:top w:val="nil"/>
              <w:left w:val="nil"/>
              <w:bottom w:val="single" w:color="auto" w:sz="4" w:space="0"/>
              <w:right w:val="single" w:color="auto" w:sz="4" w:space="0"/>
            </w:tcBorders>
            <w:vAlign w:val="center"/>
          </w:tcPr>
          <w:p w14:paraId="27AAC20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w:t>
            </w:r>
          </w:p>
        </w:tc>
        <w:tc>
          <w:tcPr>
            <w:tcW w:w="968" w:type="pct"/>
            <w:tcBorders>
              <w:top w:val="nil"/>
              <w:left w:val="nil"/>
              <w:bottom w:val="single" w:color="auto" w:sz="4" w:space="0"/>
              <w:right w:val="single" w:color="auto" w:sz="4" w:space="0"/>
            </w:tcBorders>
            <w:vAlign w:val="center"/>
          </w:tcPr>
          <w:p w14:paraId="5CE18CA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68" w:type="pct"/>
            <w:tcBorders>
              <w:top w:val="nil"/>
              <w:left w:val="nil"/>
              <w:bottom w:val="single" w:color="auto" w:sz="4" w:space="0"/>
              <w:right w:val="single" w:color="auto" w:sz="4" w:space="0"/>
            </w:tcBorders>
            <w:vAlign w:val="center"/>
          </w:tcPr>
          <w:p w14:paraId="53DD0EB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70" w:type="pct"/>
            <w:tcBorders>
              <w:top w:val="nil"/>
              <w:left w:val="nil"/>
              <w:bottom w:val="single" w:color="auto" w:sz="4" w:space="0"/>
              <w:right w:val="single" w:color="auto" w:sz="4" w:space="0"/>
            </w:tcBorders>
            <w:vAlign w:val="center"/>
          </w:tcPr>
          <w:p w14:paraId="628BA4C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r>
      <w:tr w14:paraId="62554DAC">
        <w:tblPrEx>
          <w:tblCellMar>
            <w:top w:w="0" w:type="dxa"/>
            <w:left w:w="108" w:type="dxa"/>
            <w:bottom w:w="0" w:type="dxa"/>
            <w:right w:w="108" w:type="dxa"/>
          </w:tblCellMar>
        </w:tblPrEx>
        <w:trPr>
          <w:trHeight w:val="397" w:hRule="atLeast"/>
          <w:jc w:val="center"/>
        </w:trPr>
        <w:tc>
          <w:tcPr>
            <w:tcW w:w="362" w:type="pct"/>
            <w:vMerge w:val="restart"/>
            <w:tcBorders>
              <w:top w:val="single" w:color="auto" w:sz="4" w:space="0"/>
              <w:left w:val="single" w:color="auto" w:sz="4" w:space="0"/>
              <w:bottom w:val="single" w:color="auto" w:sz="4" w:space="0"/>
              <w:right w:val="single" w:color="auto" w:sz="4" w:space="0"/>
            </w:tcBorders>
            <w:vAlign w:val="center"/>
          </w:tcPr>
          <w:p w14:paraId="4BA2F3EC">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760" w:type="pct"/>
            <w:tcBorders>
              <w:top w:val="single" w:color="auto" w:sz="4" w:space="0"/>
              <w:left w:val="nil"/>
              <w:bottom w:val="single" w:color="auto" w:sz="4" w:space="0"/>
              <w:right w:val="single" w:color="auto" w:sz="4" w:space="0"/>
            </w:tcBorders>
            <w:vAlign w:val="center"/>
          </w:tcPr>
          <w:p w14:paraId="45749221">
            <w:pPr>
              <w:widowControl/>
              <w:adjustRightInd/>
              <w:spacing w:line="240" w:lineRule="auto"/>
              <w:jc w:val="center"/>
              <w:textAlignment w:val="auto"/>
              <w:rPr>
                <w:rFonts w:ascii="Arial" w:hAnsi="Arial" w:cs="Arial"/>
                <w:sz w:val="16"/>
                <w:szCs w:val="18"/>
              </w:rPr>
            </w:pPr>
            <w:r>
              <w:rPr>
                <w:rFonts w:ascii="Arial" w:hAnsi="Arial" w:cs="Arial"/>
                <w:sz w:val="16"/>
                <w:szCs w:val="18"/>
              </w:rPr>
              <w:t>成新度</w:t>
            </w:r>
          </w:p>
        </w:tc>
        <w:tc>
          <w:tcPr>
            <w:tcW w:w="968" w:type="pct"/>
            <w:tcBorders>
              <w:top w:val="single" w:color="auto" w:sz="4" w:space="0"/>
              <w:left w:val="nil"/>
              <w:bottom w:val="single" w:color="auto" w:sz="4" w:space="0"/>
              <w:right w:val="single" w:color="auto" w:sz="4" w:space="0"/>
            </w:tcBorders>
            <w:vAlign w:val="center"/>
          </w:tcPr>
          <w:p w14:paraId="2416DD5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9</w:t>
            </w:r>
            <w:r>
              <w:rPr>
                <w:rFonts w:ascii="Arial" w:hAnsi="Arial" w:cs="Arial"/>
                <w:sz w:val="16"/>
                <w:szCs w:val="18"/>
              </w:rPr>
              <w:t>0-</w:t>
            </w:r>
            <w:r>
              <w:rPr>
                <w:rFonts w:hint="eastAsia" w:ascii="Arial" w:hAnsi="Arial" w:cs="Arial"/>
                <w:sz w:val="16"/>
                <w:szCs w:val="18"/>
              </w:rPr>
              <w:t>100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1C356AC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w:t>
            </w:r>
            <w:r>
              <w:rPr>
                <w:rFonts w:ascii="Arial" w:hAnsi="Arial" w:cs="Arial"/>
                <w:sz w:val="16"/>
                <w:szCs w:val="18"/>
              </w:rPr>
              <w:t>0-</w:t>
            </w:r>
            <w:r>
              <w:rPr>
                <w:rFonts w:hint="eastAsia" w:ascii="Arial" w:hAnsi="Arial" w:cs="Arial"/>
                <w:sz w:val="16"/>
                <w:szCs w:val="18"/>
              </w:rPr>
              <w:t>70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484D516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w:t>
            </w:r>
            <w:r>
              <w:rPr>
                <w:rFonts w:ascii="Arial" w:hAnsi="Arial" w:cs="Arial"/>
                <w:sz w:val="16"/>
                <w:szCs w:val="18"/>
              </w:rPr>
              <w:t>0-</w:t>
            </w:r>
            <w:r>
              <w:rPr>
                <w:rFonts w:hint="eastAsia" w:ascii="Arial" w:hAnsi="Arial" w:cs="Arial"/>
                <w:sz w:val="16"/>
                <w:szCs w:val="18"/>
              </w:rPr>
              <w:t>70</w:t>
            </w:r>
            <w:r>
              <w:rPr>
                <w:rFonts w:ascii="Arial" w:hAnsi="Arial" w:cs="Arial"/>
                <w:sz w:val="16"/>
                <w:szCs w:val="18"/>
              </w:rPr>
              <w:t>%</w:t>
            </w:r>
          </w:p>
        </w:tc>
        <w:tc>
          <w:tcPr>
            <w:tcW w:w="970" w:type="pct"/>
            <w:tcBorders>
              <w:top w:val="single" w:color="auto" w:sz="4" w:space="0"/>
              <w:left w:val="nil"/>
              <w:bottom w:val="single" w:color="auto" w:sz="4" w:space="0"/>
              <w:right w:val="single" w:color="auto" w:sz="4" w:space="0"/>
            </w:tcBorders>
            <w:vAlign w:val="center"/>
          </w:tcPr>
          <w:p w14:paraId="59385D0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w:t>
            </w:r>
            <w:r>
              <w:rPr>
                <w:rFonts w:ascii="Arial" w:hAnsi="Arial" w:cs="Arial"/>
                <w:sz w:val="16"/>
                <w:szCs w:val="18"/>
              </w:rPr>
              <w:t>0-</w:t>
            </w:r>
            <w:r>
              <w:rPr>
                <w:rFonts w:hint="eastAsia" w:ascii="Arial" w:hAnsi="Arial" w:cs="Arial"/>
                <w:sz w:val="16"/>
                <w:szCs w:val="18"/>
              </w:rPr>
              <w:t>70</w:t>
            </w:r>
            <w:r>
              <w:rPr>
                <w:rFonts w:ascii="Arial" w:hAnsi="Arial" w:cs="Arial"/>
                <w:sz w:val="16"/>
                <w:szCs w:val="18"/>
              </w:rPr>
              <w:t>%</w:t>
            </w:r>
          </w:p>
        </w:tc>
      </w:tr>
      <w:tr w14:paraId="6DE1B1F5">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7D91BCE9">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5B093965">
            <w:pPr>
              <w:widowControl/>
              <w:adjustRightInd/>
              <w:spacing w:line="240" w:lineRule="auto"/>
              <w:jc w:val="center"/>
              <w:textAlignment w:val="auto"/>
              <w:rPr>
                <w:rFonts w:ascii="Arial" w:hAnsi="Arial" w:cs="Arial"/>
                <w:sz w:val="16"/>
                <w:szCs w:val="18"/>
              </w:rPr>
            </w:pPr>
            <w:r>
              <w:rPr>
                <w:rFonts w:ascii="Arial" w:hAnsi="Arial" w:cs="Arial"/>
                <w:sz w:val="16"/>
                <w:szCs w:val="18"/>
              </w:rPr>
              <w:t>公共区域装修</w:t>
            </w:r>
          </w:p>
        </w:tc>
        <w:tc>
          <w:tcPr>
            <w:tcW w:w="1844" w:type="dxa"/>
            <w:tcBorders>
              <w:top w:val="single" w:color="auto" w:sz="4" w:space="0"/>
              <w:left w:val="nil"/>
              <w:bottom w:val="single" w:color="auto" w:sz="4" w:space="0"/>
              <w:right w:val="single" w:color="auto" w:sz="4" w:space="0"/>
            </w:tcBorders>
            <w:vAlign w:val="center"/>
          </w:tcPr>
          <w:p w14:paraId="0BEBB02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1844" w:type="dxa"/>
            <w:tcBorders>
              <w:top w:val="single" w:color="auto" w:sz="4" w:space="0"/>
              <w:left w:val="nil"/>
              <w:bottom w:val="single" w:color="auto" w:sz="4" w:space="0"/>
              <w:right w:val="single" w:color="auto" w:sz="4" w:space="0"/>
            </w:tcBorders>
            <w:vAlign w:val="center"/>
          </w:tcPr>
          <w:p w14:paraId="6BD2C26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低档</w:t>
            </w:r>
            <w:r>
              <w:rPr>
                <w:rFonts w:ascii="Arial" w:hAnsi="Arial" w:cs="Arial"/>
                <w:sz w:val="16"/>
                <w:szCs w:val="18"/>
              </w:rPr>
              <w:t>装修</w:t>
            </w:r>
          </w:p>
        </w:tc>
        <w:tc>
          <w:tcPr>
            <w:tcW w:w="1844" w:type="dxa"/>
            <w:tcBorders>
              <w:top w:val="single" w:color="auto" w:sz="4" w:space="0"/>
              <w:left w:val="nil"/>
              <w:bottom w:val="single" w:color="auto" w:sz="4" w:space="0"/>
              <w:right w:val="single" w:color="auto" w:sz="4" w:space="0"/>
            </w:tcBorders>
            <w:vAlign w:val="center"/>
          </w:tcPr>
          <w:p w14:paraId="0F78E6A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低档</w:t>
            </w:r>
            <w:r>
              <w:rPr>
                <w:rFonts w:ascii="Arial" w:hAnsi="Arial" w:cs="Arial"/>
                <w:sz w:val="16"/>
                <w:szCs w:val="18"/>
              </w:rPr>
              <w:t>装修</w:t>
            </w:r>
          </w:p>
        </w:tc>
        <w:tc>
          <w:tcPr>
            <w:tcW w:w="1847" w:type="dxa"/>
            <w:tcBorders>
              <w:top w:val="single" w:color="auto" w:sz="4" w:space="0"/>
              <w:left w:val="nil"/>
              <w:bottom w:val="single" w:color="auto" w:sz="4" w:space="0"/>
              <w:right w:val="single" w:color="auto" w:sz="4" w:space="0"/>
            </w:tcBorders>
            <w:vAlign w:val="center"/>
          </w:tcPr>
          <w:p w14:paraId="2C344FA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低档</w:t>
            </w:r>
            <w:r>
              <w:rPr>
                <w:rFonts w:ascii="Arial" w:hAnsi="Arial" w:cs="Arial"/>
                <w:sz w:val="16"/>
                <w:szCs w:val="18"/>
              </w:rPr>
              <w:t>装修</w:t>
            </w:r>
          </w:p>
        </w:tc>
      </w:tr>
      <w:tr w14:paraId="7564C4D0">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0674E57D">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4D94AC06">
            <w:pPr>
              <w:widowControl/>
              <w:adjustRightInd/>
              <w:spacing w:line="240" w:lineRule="auto"/>
              <w:jc w:val="center"/>
              <w:textAlignment w:val="auto"/>
              <w:rPr>
                <w:rFonts w:ascii="Arial" w:hAnsi="Arial" w:cs="Arial"/>
                <w:sz w:val="16"/>
                <w:szCs w:val="18"/>
              </w:rPr>
            </w:pPr>
            <w:r>
              <w:rPr>
                <w:rFonts w:ascii="Arial" w:hAnsi="Arial" w:cs="Arial"/>
                <w:sz w:val="16"/>
                <w:szCs w:val="18"/>
              </w:rPr>
              <w:t>室内装饰装修</w:t>
            </w:r>
          </w:p>
        </w:tc>
        <w:tc>
          <w:tcPr>
            <w:tcW w:w="1844" w:type="dxa"/>
            <w:tcBorders>
              <w:top w:val="single" w:color="auto" w:sz="4" w:space="0"/>
              <w:left w:val="nil"/>
              <w:bottom w:val="single" w:color="auto" w:sz="4" w:space="0"/>
              <w:right w:val="single" w:color="auto" w:sz="4" w:space="0"/>
            </w:tcBorders>
            <w:vAlign w:val="center"/>
          </w:tcPr>
          <w:p w14:paraId="5B98442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1844" w:type="dxa"/>
            <w:tcBorders>
              <w:top w:val="single" w:color="auto" w:sz="4" w:space="0"/>
              <w:left w:val="nil"/>
              <w:bottom w:val="single" w:color="auto" w:sz="4" w:space="0"/>
              <w:right w:val="single" w:color="auto" w:sz="4" w:space="0"/>
            </w:tcBorders>
            <w:vAlign w:val="center"/>
          </w:tcPr>
          <w:p w14:paraId="7B7CAF6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1844" w:type="dxa"/>
            <w:tcBorders>
              <w:top w:val="single" w:color="auto" w:sz="4" w:space="0"/>
              <w:left w:val="nil"/>
              <w:bottom w:val="single" w:color="auto" w:sz="4" w:space="0"/>
              <w:right w:val="single" w:color="auto" w:sz="4" w:space="0"/>
            </w:tcBorders>
            <w:vAlign w:val="center"/>
          </w:tcPr>
          <w:p w14:paraId="796173E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1847" w:type="dxa"/>
            <w:tcBorders>
              <w:top w:val="single" w:color="auto" w:sz="4" w:space="0"/>
              <w:left w:val="nil"/>
              <w:bottom w:val="single" w:color="auto" w:sz="4" w:space="0"/>
              <w:right w:val="single" w:color="auto" w:sz="4" w:space="0"/>
            </w:tcBorders>
            <w:vAlign w:val="center"/>
          </w:tcPr>
          <w:p w14:paraId="2AA775F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r>
      <w:tr w14:paraId="55966CFC">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35DF6217">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55C2D004">
            <w:pPr>
              <w:widowControl/>
              <w:adjustRightInd/>
              <w:spacing w:line="240" w:lineRule="auto"/>
              <w:jc w:val="center"/>
              <w:textAlignment w:val="auto"/>
              <w:rPr>
                <w:rFonts w:ascii="Arial" w:hAnsi="Arial" w:cs="Arial"/>
                <w:sz w:val="16"/>
                <w:szCs w:val="18"/>
              </w:rPr>
            </w:pPr>
            <w:r>
              <w:rPr>
                <w:rFonts w:ascii="Arial" w:hAnsi="Arial" w:cs="Arial"/>
                <w:sz w:val="16"/>
                <w:szCs w:val="18"/>
              </w:rPr>
              <w:t>设施设备</w:t>
            </w:r>
          </w:p>
        </w:tc>
        <w:tc>
          <w:tcPr>
            <w:tcW w:w="968" w:type="pct"/>
            <w:tcBorders>
              <w:top w:val="single" w:color="auto" w:sz="4" w:space="0"/>
              <w:left w:val="nil"/>
              <w:bottom w:val="single" w:color="auto" w:sz="4" w:space="0"/>
              <w:right w:val="single" w:color="auto" w:sz="4" w:space="0"/>
            </w:tcBorders>
            <w:vAlign w:val="center"/>
          </w:tcPr>
          <w:p w14:paraId="2DB3041E">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47B1C47F">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09CC0E90">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70" w:type="pct"/>
            <w:tcBorders>
              <w:top w:val="single" w:color="auto" w:sz="4" w:space="0"/>
              <w:left w:val="nil"/>
              <w:bottom w:val="single" w:color="auto" w:sz="4" w:space="0"/>
              <w:right w:val="single" w:color="auto" w:sz="4" w:space="0"/>
            </w:tcBorders>
            <w:vAlign w:val="center"/>
          </w:tcPr>
          <w:p w14:paraId="7457564B">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r>
      <w:tr w14:paraId="533903FE">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06DFF590">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58DC4C02">
            <w:pPr>
              <w:widowControl/>
              <w:adjustRightInd/>
              <w:spacing w:line="240" w:lineRule="auto"/>
              <w:jc w:val="center"/>
              <w:textAlignment w:val="auto"/>
              <w:rPr>
                <w:rFonts w:ascii="Arial" w:hAnsi="Arial" w:cs="Arial"/>
                <w:sz w:val="16"/>
                <w:szCs w:val="18"/>
              </w:rPr>
            </w:pPr>
            <w:r>
              <w:rPr>
                <w:rFonts w:ascii="Arial" w:hAnsi="Arial" w:cs="Arial"/>
                <w:sz w:val="16"/>
                <w:szCs w:val="18"/>
              </w:rPr>
              <w:t>综合管理服务设施</w:t>
            </w:r>
          </w:p>
        </w:tc>
        <w:tc>
          <w:tcPr>
            <w:tcW w:w="968" w:type="pct"/>
            <w:tcBorders>
              <w:top w:val="single" w:color="auto" w:sz="4" w:space="0"/>
              <w:left w:val="nil"/>
              <w:bottom w:val="single" w:color="auto" w:sz="4" w:space="0"/>
              <w:right w:val="single" w:color="auto" w:sz="4" w:space="0"/>
            </w:tcBorders>
            <w:vAlign w:val="center"/>
          </w:tcPr>
          <w:p w14:paraId="165CD97F">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03109EC7">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2FA7F044">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70" w:type="pct"/>
            <w:tcBorders>
              <w:top w:val="single" w:color="auto" w:sz="4" w:space="0"/>
              <w:left w:val="nil"/>
              <w:bottom w:val="single" w:color="auto" w:sz="4" w:space="0"/>
              <w:right w:val="single" w:color="auto" w:sz="4" w:space="0"/>
            </w:tcBorders>
            <w:vAlign w:val="center"/>
          </w:tcPr>
          <w:p w14:paraId="58B92E7B">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r>
      <w:tr w14:paraId="64A0B7EF">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4D5B02E9">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378B841B">
            <w:pPr>
              <w:widowControl/>
              <w:adjustRightInd/>
              <w:spacing w:line="240" w:lineRule="auto"/>
              <w:jc w:val="center"/>
              <w:textAlignment w:val="auto"/>
              <w:rPr>
                <w:rFonts w:ascii="Arial" w:hAnsi="Arial" w:cs="Arial"/>
                <w:sz w:val="16"/>
                <w:szCs w:val="18"/>
              </w:rPr>
            </w:pPr>
            <w:r>
              <w:rPr>
                <w:rFonts w:ascii="Arial" w:hAnsi="Arial" w:cs="Arial"/>
                <w:sz w:val="16"/>
                <w:szCs w:val="18"/>
              </w:rPr>
              <w:t>户型布局</w:t>
            </w:r>
          </w:p>
        </w:tc>
        <w:tc>
          <w:tcPr>
            <w:tcW w:w="968" w:type="pct"/>
            <w:tcBorders>
              <w:top w:val="single" w:color="auto" w:sz="4" w:space="0"/>
              <w:left w:val="nil"/>
              <w:bottom w:val="single" w:color="auto" w:sz="4" w:space="0"/>
              <w:right w:val="single" w:color="auto" w:sz="4" w:space="0"/>
            </w:tcBorders>
            <w:vAlign w:val="center"/>
          </w:tcPr>
          <w:p w14:paraId="7E57C30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三居室</w:t>
            </w:r>
          </w:p>
        </w:tc>
        <w:tc>
          <w:tcPr>
            <w:tcW w:w="968" w:type="pct"/>
            <w:tcBorders>
              <w:top w:val="single" w:color="auto" w:sz="4" w:space="0"/>
              <w:left w:val="nil"/>
              <w:bottom w:val="single" w:color="auto" w:sz="4" w:space="0"/>
              <w:right w:val="single" w:color="auto" w:sz="4" w:space="0"/>
            </w:tcBorders>
            <w:vAlign w:val="center"/>
          </w:tcPr>
          <w:p w14:paraId="07E16E0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三居室</w:t>
            </w:r>
          </w:p>
        </w:tc>
        <w:tc>
          <w:tcPr>
            <w:tcW w:w="968" w:type="pct"/>
            <w:tcBorders>
              <w:top w:val="single" w:color="auto" w:sz="4" w:space="0"/>
              <w:left w:val="nil"/>
              <w:bottom w:val="single" w:color="auto" w:sz="4" w:space="0"/>
              <w:right w:val="single" w:color="auto" w:sz="4" w:space="0"/>
            </w:tcBorders>
            <w:vAlign w:val="center"/>
          </w:tcPr>
          <w:p w14:paraId="6E47133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三居室</w:t>
            </w:r>
          </w:p>
        </w:tc>
        <w:tc>
          <w:tcPr>
            <w:tcW w:w="970" w:type="pct"/>
            <w:tcBorders>
              <w:top w:val="single" w:color="auto" w:sz="4" w:space="0"/>
              <w:left w:val="nil"/>
              <w:bottom w:val="single" w:color="auto" w:sz="4" w:space="0"/>
              <w:right w:val="single" w:color="auto" w:sz="4" w:space="0"/>
            </w:tcBorders>
            <w:vAlign w:val="center"/>
          </w:tcPr>
          <w:p w14:paraId="37B98E9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三居室</w:t>
            </w:r>
          </w:p>
        </w:tc>
      </w:tr>
      <w:tr w14:paraId="4BE42660">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04BD2DAF">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688E4E97">
            <w:pPr>
              <w:widowControl/>
              <w:adjustRightInd/>
              <w:spacing w:line="240" w:lineRule="auto"/>
              <w:jc w:val="center"/>
              <w:textAlignment w:val="auto"/>
              <w:rPr>
                <w:rFonts w:ascii="Arial" w:hAnsi="Arial" w:cs="Arial"/>
                <w:sz w:val="16"/>
                <w:szCs w:val="18"/>
              </w:rPr>
            </w:pPr>
            <w:r>
              <w:rPr>
                <w:rFonts w:ascii="Arial" w:hAnsi="Arial" w:cs="Arial"/>
                <w:sz w:val="16"/>
                <w:szCs w:val="18"/>
              </w:rPr>
              <w:t>户型结构</w:t>
            </w:r>
          </w:p>
        </w:tc>
        <w:tc>
          <w:tcPr>
            <w:tcW w:w="968" w:type="pct"/>
            <w:tcBorders>
              <w:top w:val="single" w:color="auto" w:sz="4" w:space="0"/>
              <w:left w:val="nil"/>
              <w:bottom w:val="single" w:color="auto" w:sz="4" w:space="0"/>
              <w:right w:val="single" w:color="auto" w:sz="4" w:space="0"/>
            </w:tcBorders>
            <w:vAlign w:val="center"/>
          </w:tcPr>
          <w:p w14:paraId="3669E3A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174F4D9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586178F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70" w:type="pct"/>
            <w:tcBorders>
              <w:top w:val="single" w:color="auto" w:sz="4" w:space="0"/>
              <w:left w:val="nil"/>
              <w:bottom w:val="single" w:color="auto" w:sz="4" w:space="0"/>
              <w:right w:val="single" w:color="auto" w:sz="4" w:space="0"/>
            </w:tcBorders>
            <w:vAlign w:val="center"/>
          </w:tcPr>
          <w:p w14:paraId="2E6AA26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r>
      <w:tr w14:paraId="6AADEC7E">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0AA10120">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5DB4F0B4">
            <w:pPr>
              <w:widowControl/>
              <w:adjustRightInd/>
              <w:spacing w:line="240" w:lineRule="auto"/>
              <w:jc w:val="center"/>
              <w:textAlignment w:val="auto"/>
              <w:rPr>
                <w:rFonts w:ascii="Arial" w:hAnsi="Arial" w:cs="Arial"/>
                <w:sz w:val="16"/>
                <w:szCs w:val="18"/>
              </w:rPr>
            </w:pPr>
            <w:r>
              <w:rPr>
                <w:rFonts w:ascii="Arial" w:hAnsi="Arial" w:cs="Arial"/>
                <w:sz w:val="16"/>
                <w:szCs w:val="18"/>
              </w:rPr>
              <w:t>建筑面积（㎡）</w:t>
            </w:r>
          </w:p>
        </w:tc>
        <w:tc>
          <w:tcPr>
            <w:tcW w:w="968" w:type="pct"/>
            <w:tcBorders>
              <w:top w:val="single" w:color="auto" w:sz="4" w:space="0"/>
              <w:left w:val="nil"/>
              <w:bottom w:val="single" w:color="auto" w:sz="4" w:space="0"/>
              <w:right w:val="single" w:color="auto" w:sz="4" w:space="0"/>
            </w:tcBorders>
            <w:vAlign w:val="center"/>
          </w:tcPr>
          <w:p w14:paraId="01831F8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107.74</w:t>
            </w:r>
          </w:p>
        </w:tc>
        <w:tc>
          <w:tcPr>
            <w:tcW w:w="968" w:type="pct"/>
            <w:tcBorders>
              <w:top w:val="single" w:color="auto" w:sz="4" w:space="0"/>
              <w:left w:val="nil"/>
              <w:bottom w:val="single" w:color="auto" w:sz="4" w:space="0"/>
              <w:right w:val="single" w:color="auto" w:sz="4" w:space="0"/>
            </w:tcBorders>
            <w:vAlign w:val="center"/>
          </w:tcPr>
          <w:p w14:paraId="1E5E4F3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112.96</w:t>
            </w:r>
          </w:p>
        </w:tc>
        <w:tc>
          <w:tcPr>
            <w:tcW w:w="968" w:type="pct"/>
            <w:tcBorders>
              <w:top w:val="single" w:color="auto" w:sz="4" w:space="0"/>
              <w:left w:val="nil"/>
              <w:bottom w:val="single" w:color="auto" w:sz="4" w:space="0"/>
              <w:right w:val="single" w:color="auto" w:sz="4" w:space="0"/>
            </w:tcBorders>
            <w:vAlign w:val="center"/>
          </w:tcPr>
          <w:p w14:paraId="2311FFD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117.67</w:t>
            </w:r>
          </w:p>
        </w:tc>
        <w:tc>
          <w:tcPr>
            <w:tcW w:w="970" w:type="pct"/>
            <w:tcBorders>
              <w:top w:val="single" w:color="auto" w:sz="4" w:space="0"/>
              <w:left w:val="nil"/>
              <w:bottom w:val="single" w:color="auto" w:sz="4" w:space="0"/>
              <w:right w:val="single" w:color="auto" w:sz="4" w:space="0"/>
            </w:tcBorders>
            <w:vAlign w:val="center"/>
          </w:tcPr>
          <w:p w14:paraId="0491DBE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123</w:t>
            </w:r>
          </w:p>
        </w:tc>
      </w:tr>
      <w:tr w14:paraId="1B6F8686">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2D568F7B">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6CCB1A7A">
            <w:pPr>
              <w:widowControl/>
              <w:adjustRightInd/>
              <w:spacing w:line="240" w:lineRule="auto"/>
              <w:jc w:val="center"/>
              <w:textAlignment w:val="auto"/>
              <w:rPr>
                <w:rFonts w:ascii="Arial" w:hAnsi="Arial" w:cs="Arial"/>
                <w:sz w:val="16"/>
                <w:szCs w:val="18"/>
              </w:rPr>
            </w:pPr>
            <w:r>
              <w:rPr>
                <w:rFonts w:ascii="Arial" w:hAnsi="Arial" w:cs="Arial"/>
                <w:sz w:val="16"/>
                <w:szCs w:val="18"/>
              </w:rPr>
              <w:t>家具家电</w:t>
            </w:r>
          </w:p>
        </w:tc>
        <w:tc>
          <w:tcPr>
            <w:tcW w:w="1844" w:type="dxa"/>
            <w:tcBorders>
              <w:top w:val="single" w:color="auto" w:sz="4" w:space="0"/>
              <w:left w:val="nil"/>
              <w:bottom w:val="single" w:color="auto" w:sz="4" w:space="0"/>
              <w:right w:val="single" w:color="auto" w:sz="4" w:space="0"/>
            </w:tcBorders>
            <w:vAlign w:val="center"/>
          </w:tcPr>
          <w:p w14:paraId="46C3AE62">
            <w:pPr>
              <w:widowControl/>
              <w:adjustRightInd/>
              <w:spacing w:line="240" w:lineRule="auto"/>
              <w:jc w:val="center"/>
              <w:textAlignment w:val="auto"/>
              <w:rPr>
                <w:rFonts w:ascii="Arial" w:hAnsi="Arial" w:cs="Arial"/>
                <w:sz w:val="16"/>
                <w:szCs w:val="18"/>
              </w:rPr>
            </w:pPr>
            <w:r>
              <w:rPr>
                <w:rFonts w:ascii="Arial" w:hAnsi="Arial" w:cs="Arial"/>
                <w:sz w:val="16"/>
                <w:szCs w:val="18"/>
              </w:rPr>
              <w:t>配备</w:t>
            </w:r>
            <w:r>
              <w:rPr>
                <w:rFonts w:hint="eastAsia" w:ascii="Arial" w:hAnsi="Arial" w:cs="Arial"/>
                <w:sz w:val="16"/>
                <w:szCs w:val="18"/>
              </w:rPr>
              <w:t>品牌</w:t>
            </w:r>
            <w:r>
              <w:rPr>
                <w:rFonts w:ascii="Arial" w:hAnsi="Arial" w:cs="Arial"/>
                <w:sz w:val="16"/>
                <w:szCs w:val="18"/>
              </w:rPr>
              <w:t>家具、</w:t>
            </w:r>
            <w:r>
              <w:rPr>
                <w:rFonts w:hint="eastAsia" w:ascii="Arial" w:hAnsi="Arial" w:cs="Arial"/>
                <w:sz w:val="16"/>
                <w:szCs w:val="18"/>
              </w:rPr>
              <w:t>品牌</w:t>
            </w:r>
            <w:r>
              <w:rPr>
                <w:rFonts w:ascii="Arial" w:hAnsi="Arial" w:cs="Arial"/>
                <w:sz w:val="16"/>
                <w:szCs w:val="18"/>
              </w:rPr>
              <w:t>家电齐全；功能正常，质量有保证</w:t>
            </w:r>
            <w:r>
              <w:rPr>
                <w:rFonts w:hint="eastAsia" w:ascii="Arial" w:hAnsi="Arial" w:cs="Arial"/>
                <w:sz w:val="16"/>
                <w:szCs w:val="18"/>
              </w:rPr>
              <w:t>；配备网络设施；</w:t>
            </w:r>
            <w:r>
              <w:rPr>
                <w:rFonts w:ascii="Arial" w:hAnsi="Arial" w:cs="Arial"/>
                <w:sz w:val="16"/>
                <w:szCs w:val="18"/>
              </w:rPr>
              <w:t>好</w:t>
            </w:r>
          </w:p>
        </w:tc>
        <w:tc>
          <w:tcPr>
            <w:tcW w:w="1844" w:type="dxa"/>
            <w:tcBorders>
              <w:top w:val="single" w:color="auto" w:sz="4" w:space="0"/>
              <w:left w:val="nil"/>
              <w:bottom w:val="single" w:color="auto" w:sz="4" w:space="0"/>
              <w:right w:val="single" w:color="auto" w:sz="4" w:space="0"/>
            </w:tcBorders>
            <w:vAlign w:val="center"/>
          </w:tcPr>
          <w:p w14:paraId="5C05CD60">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1844" w:type="dxa"/>
            <w:tcBorders>
              <w:top w:val="single" w:color="auto" w:sz="4" w:space="0"/>
              <w:left w:val="nil"/>
              <w:bottom w:val="single" w:color="auto" w:sz="4" w:space="0"/>
              <w:right w:val="single" w:color="auto" w:sz="4" w:space="0"/>
            </w:tcBorders>
            <w:vAlign w:val="center"/>
          </w:tcPr>
          <w:p w14:paraId="65A4CBAB">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1847" w:type="dxa"/>
            <w:tcBorders>
              <w:top w:val="single" w:color="auto" w:sz="4" w:space="0"/>
              <w:left w:val="nil"/>
              <w:bottom w:val="single" w:color="auto" w:sz="4" w:space="0"/>
              <w:right w:val="single" w:color="auto" w:sz="4" w:space="0"/>
            </w:tcBorders>
            <w:vAlign w:val="center"/>
          </w:tcPr>
          <w:p w14:paraId="7E263942">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r>
      <w:tr w14:paraId="73473EA2">
        <w:tblPrEx>
          <w:tblCellMar>
            <w:top w:w="0" w:type="dxa"/>
            <w:left w:w="108" w:type="dxa"/>
            <w:bottom w:w="0" w:type="dxa"/>
            <w:right w:w="108" w:type="dxa"/>
          </w:tblCellMar>
        </w:tblPrEx>
        <w:trPr>
          <w:trHeight w:val="397" w:hRule="atLeast"/>
          <w:jc w:val="center"/>
        </w:trPr>
        <w:tc>
          <w:tcPr>
            <w:tcW w:w="362" w:type="pct"/>
            <w:vMerge w:val="restart"/>
            <w:tcBorders>
              <w:left w:val="single" w:color="auto" w:sz="4" w:space="0"/>
              <w:bottom w:val="single" w:color="auto" w:sz="4" w:space="0"/>
              <w:right w:val="single" w:color="auto" w:sz="4" w:space="0"/>
            </w:tcBorders>
            <w:vAlign w:val="center"/>
          </w:tcPr>
          <w:p w14:paraId="20888BBD">
            <w:pPr>
              <w:widowControl/>
              <w:adjustRightInd/>
              <w:spacing w:line="240" w:lineRule="auto"/>
              <w:jc w:val="center"/>
              <w:textAlignment w:val="auto"/>
              <w:rPr>
                <w:rFonts w:ascii="Arial" w:hAnsi="Arial" w:cs="Arial"/>
                <w:sz w:val="16"/>
                <w:szCs w:val="18"/>
              </w:rPr>
            </w:pPr>
            <w:r>
              <w:rPr>
                <w:rFonts w:ascii="Arial" w:hAnsi="Arial" w:cs="Arial"/>
                <w:sz w:val="16"/>
                <w:szCs w:val="18"/>
              </w:rPr>
              <w:t>权益状况</w:t>
            </w:r>
          </w:p>
        </w:tc>
        <w:tc>
          <w:tcPr>
            <w:tcW w:w="760" w:type="pct"/>
            <w:tcBorders>
              <w:top w:val="single" w:color="auto" w:sz="4" w:space="0"/>
              <w:left w:val="nil"/>
              <w:bottom w:val="single" w:color="auto" w:sz="4" w:space="0"/>
              <w:right w:val="single" w:color="auto" w:sz="4" w:space="0"/>
            </w:tcBorders>
            <w:vAlign w:val="center"/>
          </w:tcPr>
          <w:p w14:paraId="316588F5">
            <w:pPr>
              <w:widowControl/>
              <w:adjustRightInd/>
              <w:spacing w:line="240" w:lineRule="auto"/>
              <w:jc w:val="center"/>
              <w:textAlignment w:val="auto"/>
              <w:rPr>
                <w:rFonts w:ascii="Arial" w:hAnsi="Arial" w:cs="Arial"/>
                <w:sz w:val="16"/>
                <w:szCs w:val="18"/>
              </w:rPr>
            </w:pPr>
            <w:r>
              <w:rPr>
                <w:rFonts w:ascii="Arial" w:hAnsi="Arial" w:cs="Arial"/>
                <w:sz w:val="16"/>
                <w:szCs w:val="18"/>
              </w:rPr>
              <w:t>服务及管理水平</w:t>
            </w:r>
          </w:p>
        </w:tc>
        <w:tc>
          <w:tcPr>
            <w:tcW w:w="968" w:type="pct"/>
            <w:tcBorders>
              <w:top w:val="single" w:color="auto" w:sz="4" w:space="0"/>
              <w:left w:val="nil"/>
              <w:bottom w:val="single" w:color="auto" w:sz="4" w:space="0"/>
              <w:right w:val="single" w:color="auto" w:sz="4" w:space="0"/>
            </w:tcBorders>
            <w:vAlign w:val="center"/>
          </w:tcPr>
          <w:p w14:paraId="1F43FACB">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0DF904C8">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253927A0">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70" w:type="pct"/>
            <w:tcBorders>
              <w:top w:val="single" w:color="auto" w:sz="4" w:space="0"/>
              <w:left w:val="nil"/>
              <w:bottom w:val="single" w:color="auto" w:sz="4" w:space="0"/>
              <w:right w:val="single" w:color="auto" w:sz="4" w:space="0"/>
            </w:tcBorders>
            <w:vAlign w:val="center"/>
          </w:tcPr>
          <w:p w14:paraId="1CB1FD18">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r>
      <w:tr w14:paraId="54E914D1">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0F3AC08B">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5BF9595B">
            <w:pPr>
              <w:widowControl/>
              <w:adjustRightInd/>
              <w:spacing w:line="240" w:lineRule="auto"/>
              <w:jc w:val="center"/>
              <w:textAlignment w:val="auto"/>
              <w:rPr>
                <w:rFonts w:ascii="Arial" w:hAnsi="Arial" w:cs="Arial"/>
                <w:sz w:val="16"/>
                <w:szCs w:val="18"/>
              </w:rPr>
            </w:pPr>
            <w:r>
              <w:rPr>
                <w:rFonts w:ascii="Arial" w:hAnsi="Arial" w:cs="Arial"/>
                <w:sz w:val="16"/>
                <w:szCs w:val="18"/>
              </w:rPr>
              <w:t>水电气费执行标准</w:t>
            </w:r>
          </w:p>
        </w:tc>
        <w:tc>
          <w:tcPr>
            <w:tcW w:w="968" w:type="pct"/>
            <w:tcBorders>
              <w:top w:val="single" w:color="auto" w:sz="4" w:space="0"/>
              <w:left w:val="nil"/>
              <w:bottom w:val="single" w:color="auto" w:sz="4" w:space="0"/>
              <w:right w:val="single" w:color="auto" w:sz="4" w:space="0"/>
            </w:tcBorders>
            <w:vAlign w:val="center"/>
          </w:tcPr>
          <w:p w14:paraId="07E5CF21">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1647DB04">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5DA9DA81">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70" w:type="pct"/>
            <w:tcBorders>
              <w:top w:val="single" w:color="auto" w:sz="4" w:space="0"/>
              <w:left w:val="nil"/>
              <w:bottom w:val="single" w:color="auto" w:sz="4" w:space="0"/>
              <w:right w:val="single" w:color="auto" w:sz="4" w:space="0"/>
            </w:tcBorders>
            <w:vAlign w:val="center"/>
          </w:tcPr>
          <w:p w14:paraId="58306D97">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r>
    </w:tbl>
    <w:p w14:paraId="0CD08366">
      <w:pPr>
        <w:overflowPunct w:val="0"/>
        <w:spacing w:line="480" w:lineRule="auto"/>
        <w:ind w:firstLine="420" w:firstLineChars="200"/>
        <w:jc w:val="center"/>
        <w:rPr>
          <w:rFonts w:ascii="Arial" w:hAnsi="Arial"/>
          <w:sz w:val="21"/>
          <w:szCs w:val="21"/>
        </w:rPr>
      </w:pPr>
    </w:p>
    <w:p w14:paraId="364DA1FE">
      <w:pPr>
        <w:overflowPunct w:val="0"/>
        <w:spacing w:line="480" w:lineRule="auto"/>
        <w:ind w:firstLine="420" w:firstLineChars="200"/>
        <w:jc w:val="center"/>
        <w:rPr>
          <w:rFonts w:ascii="Arial" w:hAnsi="Arial"/>
          <w:sz w:val="21"/>
          <w:szCs w:val="21"/>
        </w:rPr>
      </w:pPr>
    </w:p>
    <w:p w14:paraId="5B4C611E">
      <w:pPr>
        <w:overflowPunct w:val="0"/>
        <w:spacing w:line="480" w:lineRule="auto"/>
        <w:ind w:firstLine="420" w:firstLineChars="200"/>
        <w:jc w:val="center"/>
        <w:rPr>
          <w:rFonts w:ascii="Arial" w:hAnsi="Arial"/>
          <w:sz w:val="21"/>
          <w:szCs w:val="21"/>
        </w:rPr>
      </w:pPr>
    </w:p>
    <w:p w14:paraId="1C369F8E">
      <w:pPr>
        <w:overflowPunct w:val="0"/>
        <w:spacing w:line="480" w:lineRule="auto"/>
        <w:ind w:firstLine="420" w:firstLineChars="200"/>
        <w:jc w:val="center"/>
        <w:rPr>
          <w:rFonts w:ascii="Arial" w:hAnsi="Arial"/>
          <w:sz w:val="21"/>
          <w:szCs w:val="21"/>
        </w:rPr>
      </w:pPr>
    </w:p>
    <w:p w14:paraId="7693D463">
      <w:pPr>
        <w:overflowPunct w:val="0"/>
        <w:spacing w:line="480" w:lineRule="auto"/>
        <w:ind w:firstLine="420" w:firstLineChars="200"/>
        <w:jc w:val="center"/>
        <w:rPr>
          <w:rFonts w:ascii="Arial" w:hAnsi="Arial"/>
          <w:sz w:val="21"/>
          <w:szCs w:val="21"/>
        </w:rPr>
      </w:pPr>
    </w:p>
    <w:p w14:paraId="2047D6F3">
      <w:pPr>
        <w:overflowPunct w:val="0"/>
        <w:spacing w:line="480" w:lineRule="auto"/>
        <w:ind w:firstLine="420" w:firstLineChars="200"/>
        <w:jc w:val="center"/>
        <w:rPr>
          <w:rFonts w:ascii="Arial" w:hAnsi="Arial"/>
          <w:sz w:val="21"/>
          <w:szCs w:val="21"/>
        </w:rPr>
      </w:pPr>
    </w:p>
    <w:p w14:paraId="7F0DDADA">
      <w:pPr>
        <w:overflowPunct w:val="0"/>
        <w:spacing w:line="480" w:lineRule="auto"/>
        <w:ind w:firstLine="420" w:firstLineChars="200"/>
        <w:jc w:val="center"/>
        <w:rPr>
          <w:rFonts w:ascii="Arial" w:hAnsi="Arial"/>
          <w:sz w:val="21"/>
          <w:szCs w:val="21"/>
        </w:rPr>
      </w:pPr>
    </w:p>
    <w:p w14:paraId="5191CE56">
      <w:pPr>
        <w:overflowPunct w:val="0"/>
        <w:spacing w:line="480" w:lineRule="auto"/>
        <w:ind w:firstLine="420" w:firstLineChars="200"/>
        <w:jc w:val="center"/>
        <w:rPr>
          <w:rFonts w:ascii="Arial" w:hAnsi="Arial"/>
          <w:sz w:val="21"/>
          <w:szCs w:val="21"/>
        </w:rPr>
      </w:pPr>
    </w:p>
    <w:p w14:paraId="61A59DDF">
      <w:pPr>
        <w:overflowPunct w:val="0"/>
        <w:spacing w:line="480" w:lineRule="auto"/>
        <w:ind w:firstLine="420" w:firstLineChars="200"/>
        <w:jc w:val="center"/>
        <w:rPr>
          <w:rFonts w:ascii="Arial" w:hAnsi="Arial"/>
          <w:sz w:val="21"/>
          <w:szCs w:val="21"/>
        </w:rPr>
      </w:pPr>
    </w:p>
    <w:p w14:paraId="29A64BAE">
      <w:pPr>
        <w:wordWrap w:val="0"/>
        <w:overflowPunct w:val="0"/>
        <w:spacing w:line="480" w:lineRule="auto"/>
        <w:rPr>
          <w:rFonts w:ascii="Arial" w:hAnsi="Arial"/>
          <w:sz w:val="21"/>
          <w:szCs w:val="21"/>
        </w:rPr>
      </w:pPr>
    </w:p>
    <w:p w14:paraId="6BB2199E">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（2）</w:t>
      </w:r>
      <w:r>
        <w:rPr>
          <w:rFonts w:ascii="Arial" w:hAnsi="Arial"/>
          <w:sz w:val="21"/>
          <w:szCs w:val="21"/>
        </w:rPr>
        <w:t xml:space="preserve"> </w:t>
      </w:r>
      <w:r>
        <w:rPr>
          <w:rFonts w:hint="eastAsia" w:ascii="Arial" w:hAnsi="Arial"/>
          <w:sz w:val="21"/>
          <w:szCs w:val="21"/>
        </w:rPr>
        <w:t>建立比较因素条件指数表和因素比较修正系数表</w:t>
      </w:r>
      <w:r>
        <w:rPr>
          <w:rFonts w:ascii="Arial" w:hAnsi="Arial"/>
          <w:sz w:val="21"/>
          <w:szCs w:val="21"/>
        </w:rPr>
        <w:t xml:space="preserve"> </w:t>
      </w:r>
    </w:p>
    <w:p w14:paraId="2A8DA036">
      <w:pPr>
        <w:wordWrap w:val="0"/>
        <w:overflowPunct w:val="0"/>
        <w:spacing w:line="480" w:lineRule="auto"/>
        <w:ind w:firstLine="420" w:firstLineChars="200"/>
        <w:rPr>
          <w:rFonts w:ascii="Arial" w:hAnsi="Arial"/>
          <w:sz w:val="21"/>
          <w:szCs w:val="21"/>
        </w:rPr>
      </w:pPr>
      <w:r>
        <w:rPr>
          <w:rFonts w:ascii="Arial" w:hAnsi="Arial"/>
          <w:sz w:val="21"/>
          <w:szCs w:val="21"/>
        </w:rPr>
        <w:t>根据对估价对象和可比案例情况的分析，把各可比案例的自身状况按照参比因素分别与估价对象的相应状况进行比较，编制比较因素条件指数表。具体如下</w:t>
      </w:r>
      <w:r>
        <w:rPr>
          <w:rFonts w:hint="eastAsia" w:ascii="Arial" w:hAnsi="Arial"/>
          <w:sz w:val="21"/>
          <w:szCs w:val="21"/>
        </w:rPr>
        <w:t>：</w:t>
      </w:r>
    </w:p>
    <w:p w14:paraId="1647FAFB">
      <w:pPr>
        <w:overflowPunct w:val="0"/>
        <w:spacing w:line="480" w:lineRule="auto"/>
        <w:ind w:firstLine="420" w:firstLineChars="200"/>
        <w:jc w:val="center"/>
        <w:rPr>
          <w:rFonts w:ascii="Arial" w:hAnsi="Arial"/>
          <w:sz w:val="21"/>
          <w:szCs w:val="21"/>
        </w:rPr>
      </w:pPr>
      <w:r>
        <w:rPr>
          <w:rFonts w:hint="eastAsia" w:ascii="Arial" w:hAnsi="Arial"/>
          <w:sz w:val="21"/>
          <w:szCs w:val="21"/>
        </w:rPr>
        <w:t>福兴雅苑</w:t>
      </w:r>
      <w:r>
        <w:rPr>
          <w:rFonts w:ascii="Arial" w:hAnsi="Arial"/>
          <w:sz w:val="21"/>
          <w:szCs w:val="21"/>
        </w:rPr>
        <w:t>比较因素条件指数表</w:t>
      </w:r>
    </w:p>
    <w:tbl>
      <w:tblPr>
        <w:tblStyle w:val="33"/>
        <w:tblW w:w="4936" w:type="pct"/>
        <w:jc w:val="center"/>
        <w:tblLayout w:type="autofit"/>
        <w:tblCellMar>
          <w:top w:w="57" w:type="dxa"/>
          <w:left w:w="57" w:type="dxa"/>
          <w:bottom w:w="57" w:type="dxa"/>
          <w:right w:w="57" w:type="dxa"/>
        </w:tblCellMar>
      </w:tblPr>
      <w:tblGrid>
        <w:gridCol w:w="564"/>
        <w:gridCol w:w="996"/>
        <w:gridCol w:w="988"/>
        <w:gridCol w:w="988"/>
        <w:gridCol w:w="988"/>
        <w:gridCol w:w="988"/>
        <w:gridCol w:w="3781"/>
      </w:tblGrid>
      <w:tr w14:paraId="0378FD32">
        <w:tblPrEx>
          <w:tblCellMar>
            <w:top w:w="57" w:type="dxa"/>
            <w:left w:w="57" w:type="dxa"/>
            <w:bottom w:w="57" w:type="dxa"/>
            <w:right w:w="57" w:type="dxa"/>
          </w:tblCellMar>
        </w:tblPrEx>
        <w:trPr>
          <w:trHeight w:val="20" w:hRule="atLeast"/>
          <w:tblHeader/>
          <w:jc w:val="center"/>
        </w:trPr>
        <w:tc>
          <w:tcPr>
            <w:tcW w:w="840" w:type="pct"/>
            <w:gridSpan w:val="2"/>
            <w:vMerge w:val="restart"/>
            <w:tcBorders>
              <w:top w:val="single" w:color="auto" w:sz="4" w:space="0"/>
              <w:left w:val="single" w:color="auto" w:sz="4" w:space="0"/>
              <w:bottom w:val="single" w:color="000000" w:sz="4" w:space="0"/>
              <w:right w:val="single" w:color="000000" w:sz="4" w:space="0"/>
              <w:tl2br w:val="single" w:color="auto" w:sz="4" w:space="0"/>
            </w:tcBorders>
            <w:vAlign w:val="center"/>
          </w:tcPr>
          <w:p w14:paraId="62742DF9">
            <w:pPr>
              <w:snapToGrid w:val="0"/>
              <w:spacing w:line="240" w:lineRule="exact"/>
              <w:jc w:val="right"/>
              <w:rPr>
                <w:rFonts w:hint="eastAsia" w:ascii="宋体" w:hAnsi="宋体" w:cs="Arial"/>
                <w:sz w:val="16"/>
                <w:szCs w:val="18"/>
              </w:rPr>
            </w:pPr>
            <w:r>
              <w:rPr>
                <w:rFonts w:ascii="宋体" w:hAnsi="宋体" w:cs="Arial"/>
                <w:sz w:val="16"/>
                <w:szCs w:val="18"/>
              </w:rPr>
              <w:t>估价对象及</w:t>
            </w:r>
          </w:p>
          <w:p w14:paraId="1E148B8A">
            <w:pPr>
              <w:snapToGrid w:val="0"/>
              <w:spacing w:line="240" w:lineRule="exact"/>
              <w:jc w:val="right"/>
              <w:rPr>
                <w:rFonts w:hint="eastAsia" w:ascii="宋体" w:hAnsi="宋体" w:cs="Arial"/>
                <w:sz w:val="16"/>
                <w:szCs w:val="18"/>
              </w:rPr>
            </w:pPr>
            <w:r>
              <w:rPr>
                <w:rFonts w:ascii="宋体" w:hAnsi="宋体" w:cs="Arial"/>
                <w:sz w:val="16"/>
                <w:szCs w:val="18"/>
              </w:rPr>
              <w:t>可比实例</w:t>
            </w:r>
          </w:p>
          <w:p w14:paraId="1539FE0F">
            <w:pPr>
              <w:snapToGrid w:val="0"/>
              <w:spacing w:line="240" w:lineRule="exact"/>
              <w:jc w:val="both"/>
              <w:rPr>
                <w:rFonts w:hint="eastAsia" w:ascii="宋体" w:hAnsi="宋体" w:cs="Arial"/>
                <w:sz w:val="16"/>
                <w:szCs w:val="18"/>
              </w:rPr>
            </w:pPr>
          </w:p>
          <w:p w14:paraId="6CD43F84">
            <w:pPr>
              <w:snapToGrid w:val="0"/>
              <w:spacing w:line="240" w:lineRule="exact"/>
              <w:jc w:val="both"/>
              <w:rPr>
                <w:rFonts w:hint="eastAsia" w:ascii="宋体" w:hAnsi="宋体" w:cs="Arial"/>
                <w:sz w:val="16"/>
                <w:szCs w:val="18"/>
              </w:rPr>
            </w:pPr>
          </w:p>
          <w:p w14:paraId="2595A264">
            <w:pPr>
              <w:snapToGrid w:val="0"/>
              <w:spacing w:line="240" w:lineRule="exact"/>
              <w:jc w:val="both"/>
              <w:rPr>
                <w:rFonts w:hint="eastAsia" w:ascii="宋体" w:hAnsi="宋体" w:cs="Arial"/>
                <w:sz w:val="16"/>
                <w:szCs w:val="18"/>
              </w:rPr>
            </w:pPr>
            <w:r>
              <w:rPr>
                <w:rFonts w:ascii="宋体" w:hAnsi="宋体" w:cs="Arial"/>
                <w:sz w:val="16"/>
                <w:szCs w:val="18"/>
              </w:rPr>
              <w:t>比较因素</w:t>
            </w:r>
          </w:p>
        </w:tc>
        <w:tc>
          <w:tcPr>
            <w:tcW w:w="531" w:type="pct"/>
            <w:tcBorders>
              <w:top w:val="single" w:color="auto" w:sz="4" w:space="0"/>
              <w:left w:val="nil"/>
              <w:bottom w:val="single" w:color="auto" w:sz="4" w:space="0"/>
              <w:right w:val="single" w:color="auto" w:sz="4" w:space="0"/>
            </w:tcBorders>
            <w:vAlign w:val="center"/>
          </w:tcPr>
          <w:p w14:paraId="78839E7B">
            <w:pPr>
              <w:snapToGrid w:val="0"/>
              <w:spacing w:line="240" w:lineRule="exact"/>
              <w:jc w:val="both"/>
              <w:rPr>
                <w:rFonts w:hint="eastAsia" w:ascii="宋体" w:hAnsi="宋体" w:cs="Arial"/>
                <w:sz w:val="16"/>
                <w:szCs w:val="18"/>
              </w:rPr>
            </w:pPr>
            <w:r>
              <w:rPr>
                <w:rFonts w:ascii="宋体" w:hAnsi="宋体" w:cs="Arial"/>
                <w:sz w:val="16"/>
                <w:szCs w:val="18"/>
              </w:rPr>
              <w:t>估价对象</w:t>
            </w:r>
          </w:p>
        </w:tc>
        <w:tc>
          <w:tcPr>
            <w:tcW w:w="531" w:type="pct"/>
            <w:tcBorders>
              <w:top w:val="single" w:color="auto" w:sz="4" w:space="0"/>
              <w:left w:val="nil"/>
              <w:bottom w:val="single" w:color="auto" w:sz="4" w:space="0"/>
              <w:right w:val="single" w:color="auto" w:sz="4" w:space="0"/>
            </w:tcBorders>
            <w:vAlign w:val="center"/>
          </w:tcPr>
          <w:p w14:paraId="6C63D1D0">
            <w:pPr>
              <w:snapToGrid w:val="0"/>
              <w:spacing w:line="240" w:lineRule="exact"/>
              <w:jc w:val="both"/>
              <w:rPr>
                <w:rFonts w:hint="eastAsia" w:ascii="宋体" w:hAnsi="宋体" w:cs="Arial"/>
                <w:sz w:val="16"/>
                <w:szCs w:val="18"/>
              </w:rPr>
            </w:pPr>
            <w:r>
              <w:rPr>
                <w:rFonts w:ascii="宋体" w:hAnsi="宋体" w:cs="Arial"/>
                <w:sz w:val="16"/>
                <w:szCs w:val="18"/>
              </w:rPr>
              <w:t>可比实例</w:t>
            </w:r>
            <w:r>
              <w:rPr>
                <w:rFonts w:hint="eastAsia" w:ascii="宋体" w:hAnsi="宋体" w:cs="Arial"/>
                <w:sz w:val="16"/>
                <w:szCs w:val="18"/>
              </w:rPr>
              <w:t>13</w:t>
            </w:r>
          </w:p>
        </w:tc>
        <w:tc>
          <w:tcPr>
            <w:tcW w:w="531" w:type="pct"/>
            <w:tcBorders>
              <w:top w:val="single" w:color="auto" w:sz="4" w:space="0"/>
              <w:left w:val="nil"/>
              <w:bottom w:val="single" w:color="auto" w:sz="4" w:space="0"/>
              <w:right w:val="single" w:color="auto" w:sz="4" w:space="0"/>
            </w:tcBorders>
            <w:vAlign w:val="center"/>
          </w:tcPr>
          <w:p w14:paraId="4C74FF97">
            <w:pPr>
              <w:snapToGrid w:val="0"/>
              <w:spacing w:line="240" w:lineRule="exact"/>
              <w:jc w:val="both"/>
              <w:rPr>
                <w:rFonts w:hint="eastAsia" w:ascii="宋体" w:hAnsi="宋体" w:cs="Arial"/>
                <w:sz w:val="16"/>
                <w:szCs w:val="18"/>
              </w:rPr>
            </w:pPr>
            <w:r>
              <w:rPr>
                <w:rFonts w:ascii="宋体" w:hAnsi="宋体" w:cs="Arial"/>
                <w:sz w:val="16"/>
                <w:szCs w:val="18"/>
              </w:rPr>
              <w:t>可比实例</w:t>
            </w:r>
            <w:r>
              <w:rPr>
                <w:rFonts w:hint="eastAsia" w:ascii="宋体" w:hAnsi="宋体" w:cs="Arial"/>
                <w:sz w:val="16"/>
                <w:szCs w:val="18"/>
              </w:rPr>
              <w:t>14</w:t>
            </w:r>
          </w:p>
        </w:tc>
        <w:tc>
          <w:tcPr>
            <w:tcW w:w="531" w:type="pct"/>
            <w:tcBorders>
              <w:top w:val="single" w:color="auto" w:sz="4" w:space="0"/>
              <w:left w:val="nil"/>
              <w:bottom w:val="single" w:color="auto" w:sz="4" w:space="0"/>
              <w:right w:val="single" w:color="auto" w:sz="4" w:space="0"/>
            </w:tcBorders>
            <w:vAlign w:val="center"/>
          </w:tcPr>
          <w:p w14:paraId="3F7E1467">
            <w:pPr>
              <w:snapToGrid w:val="0"/>
              <w:spacing w:line="240" w:lineRule="exact"/>
              <w:jc w:val="both"/>
              <w:rPr>
                <w:rFonts w:hint="eastAsia" w:ascii="宋体" w:hAnsi="宋体" w:cs="Arial"/>
                <w:sz w:val="16"/>
                <w:szCs w:val="18"/>
              </w:rPr>
            </w:pPr>
            <w:r>
              <w:rPr>
                <w:rFonts w:ascii="宋体" w:hAnsi="宋体" w:cs="Arial"/>
                <w:sz w:val="16"/>
                <w:szCs w:val="18"/>
              </w:rPr>
              <w:t>可比实例</w:t>
            </w:r>
            <w:r>
              <w:rPr>
                <w:rFonts w:hint="eastAsia" w:ascii="宋体" w:hAnsi="宋体" w:cs="Arial"/>
                <w:sz w:val="16"/>
                <w:szCs w:val="18"/>
              </w:rPr>
              <w:t>15</w:t>
            </w:r>
          </w:p>
        </w:tc>
        <w:tc>
          <w:tcPr>
            <w:tcW w:w="2033" w:type="pct"/>
            <w:tcBorders>
              <w:top w:val="single" w:color="auto" w:sz="4" w:space="0"/>
              <w:left w:val="nil"/>
              <w:bottom w:val="single" w:color="auto" w:sz="4" w:space="0"/>
              <w:right w:val="single" w:color="auto" w:sz="4" w:space="0"/>
            </w:tcBorders>
            <w:vAlign w:val="center"/>
          </w:tcPr>
          <w:p w14:paraId="62E1975F">
            <w:pPr>
              <w:snapToGrid w:val="0"/>
              <w:spacing w:line="240" w:lineRule="exact"/>
              <w:jc w:val="both"/>
              <w:rPr>
                <w:rFonts w:hint="eastAsia" w:ascii="宋体" w:hAnsi="宋体" w:cs="Arial"/>
                <w:sz w:val="16"/>
                <w:szCs w:val="18"/>
              </w:rPr>
            </w:pPr>
            <w:r>
              <w:rPr>
                <w:rFonts w:ascii="宋体" w:hAnsi="宋体" w:cs="Arial"/>
                <w:sz w:val="16"/>
                <w:szCs w:val="18"/>
              </w:rPr>
              <w:t>比较因素调整说明</w:t>
            </w:r>
          </w:p>
        </w:tc>
      </w:tr>
      <w:tr w14:paraId="600379B6">
        <w:tblPrEx>
          <w:tblCellMar>
            <w:top w:w="57" w:type="dxa"/>
            <w:left w:w="57" w:type="dxa"/>
            <w:bottom w:w="57" w:type="dxa"/>
            <w:right w:w="57" w:type="dxa"/>
          </w:tblCellMar>
        </w:tblPrEx>
        <w:trPr>
          <w:trHeight w:val="20" w:hRule="atLeast"/>
          <w:tblHeader/>
          <w:jc w:val="center"/>
        </w:trPr>
        <w:tc>
          <w:tcPr>
            <w:tcW w:w="840" w:type="pct"/>
            <w:gridSpan w:val="2"/>
            <w:vMerge w:val="continue"/>
            <w:tcBorders>
              <w:top w:val="single" w:color="auto" w:sz="4" w:space="0"/>
              <w:left w:val="single" w:color="auto" w:sz="4" w:space="0"/>
              <w:bottom w:val="single" w:color="000000" w:sz="4" w:space="0"/>
              <w:right w:val="single" w:color="000000" w:sz="4" w:space="0"/>
            </w:tcBorders>
            <w:vAlign w:val="center"/>
          </w:tcPr>
          <w:p w14:paraId="539606EF">
            <w:pPr>
              <w:snapToGrid w:val="0"/>
              <w:spacing w:line="240" w:lineRule="exact"/>
              <w:jc w:val="both"/>
              <w:rPr>
                <w:rFonts w:hint="eastAsia" w:ascii="宋体" w:hAnsi="宋体" w:cs="Arial"/>
                <w:sz w:val="16"/>
                <w:szCs w:val="18"/>
              </w:rPr>
            </w:pPr>
          </w:p>
        </w:tc>
        <w:tc>
          <w:tcPr>
            <w:tcW w:w="531" w:type="pct"/>
            <w:tcBorders>
              <w:top w:val="nil"/>
              <w:left w:val="nil"/>
              <w:bottom w:val="single" w:color="auto" w:sz="4" w:space="0"/>
              <w:right w:val="single" w:color="auto" w:sz="4" w:space="0"/>
            </w:tcBorders>
            <w:vAlign w:val="center"/>
          </w:tcPr>
          <w:p w14:paraId="3D94D943">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福兴雅苑</w:t>
            </w:r>
          </w:p>
        </w:tc>
        <w:tc>
          <w:tcPr>
            <w:tcW w:w="531" w:type="pct"/>
            <w:tcBorders>
              <w:top w:val="nil"/>
              <w:left w:val="nil"/>
              <w:bottom w:val="single" w:color="auto" w:sz="4" w:space="0"/>
              <w:right w:val="single" w:color="auto" w:sz="4" w:space="0"/>
            </w:tcBorders>
            <w:vAlign w:val="center"/>
          </w:tcPr>
          <w:p w14:paraId="125FC266">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531" w:type="pct"/>
            <w:tcBorders>
              <w:top w:val="nil"/>
              <w:left w:val="nil"/>
              <w:bottom w:val="single" w:color="auto" w:sz="4" w:space="0"/>
              <w:right w:val="single" w:color="auto" w:sz="4" w:space="0"/>
            </w:tcBorders>
            <w:vAlign w:val="center"/>
          </w:tcPr>
          <w:p w14:paraId="7EB17B79">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漪景园</w:t>
            </w:r>
          </w:p>
        </w:tc>
        <w:tc>
          <w:tcPr>
            <w:tcW w:w="531" w:type="pct"/>
            <w:tcBorders>
              <w:top w:val="nil"/>
              <w:left w:val="nil"/>
              <w:bottom w:val="single" w:color="auto" w:sz="4" w:space="0"/>
              <w:right w:val="single" w:color="auto" w:sz="4" w:space="0"/>
            </w:tcBorders>
            <w:vAlign w:val="center"/>
          </w:tcPr>
          <w:p w14:paraId="79DAC88A">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义和庄东里</w:t>
            </w:r>
          </w:p>
        </w:tc>
        <w:tc>
          <w:tcPr>
            <w:tcW w:w="2033" w:type="pct"/>
            <w:tcBorders>
              <w:top w:val="nil"/>
              <w:left w:val="nil"/>
              <w:bottom w:val="single" w:color="auto" w:sz="4" w:space="0"/>
              <w:right w:val="single" w:color="auto" w:sz="4" w:space="0"/>
            </w:tcBorders>
            <w:vAlign w:val="center"/>
          </w:tcPr>
          <w:p w14:paraId="594C5270">
            <w:pPr>
              <w:snapToGrid w:val="0"/>
              <w:spacing w:line="240" w:lineRule="exact"/>
              <w:jc w:val="both"/>
              <w:rPr>
                <w:rFonts w:hint="eastAsia" w:ascii="宋体" w:hAnsi="宋体" w:cs="Arial"/>
                <w:sz w:val="16"/>
                <w:szCs w:val="18"/>
              </w:rPr>
            </w:pPr>
            <w:r>
              <w:rPr>
                <w:rFonts w:ascii="宋体" w:hAnsi="宋体" w:cs="Arial"/>
                <w:sz w:val="16"/>
                <w:szCs w:val="18"/>
              </w:rPr>
              <w:t>——</w:t>
            </w:r>
          </w:p>
        </w:tc>
      </w:tr>
      <w:tr w14:paraId="2D8210A4">
        <w:tblPrEx>
          <w:tblCellMar>
            <w:top w:w="57" w:type="dxa"/>
            <w:left w:w="57" w:type="dxa"/>
            <w:bottom w:w="57" w:type="dxa"/>
            <w:right w:w="57" w:type="dxa"/>
          </w:tblCellMar>
        </w:tblPrEx>
        <w:trPr>
          <w:trHeight w:val="20" w:hRule="atLeast"/>
          <w:jc w:val="center"/>
        </w:trPr>
        <w:tc>
          <w:tcPr>
            <w:tcW w:w="840" w:type="pct"/>
            <w:gridSpan w:val="2"/>
            <w:tcBorders>
              <w:top w:val="single" w:color="auto" w:sz="4" w:space="0"/>
              <w:left w:val="single" w:color="auto" w:sz="4" w:space="0"/>
              <w:bottom w:val="single" w:color="auto" w:sz="4" w:space="0"/>
              <w:right w:val="single" w:color="000000" w:sz="4" w:space="0"/>
            </w:tcBorders>
            <w:vAlign w:val="center"/>
          </w:tcPr>
          <w:p w14:paraId="006131F5">
            <w:pPr>
              <w:snapToGrid w:val="0"/>
              <w:spacing w:line="240" w:lineRule="exact"/>
              <w:jc w:val="both"/>
              <w:rPr>
                <w:rFonts w:hint="eastAsia" w:ascii="宋体" w:hAnsi="宋体" w:cs="Arial"/>
                <w:sz w:val="16"/>
                <w:szCs w:val="18"/>
              </w:rPr>
            </w:pPr>
            <w:r>
              <w:rPr>
                <w:rFonts w:ascii="宋体" w:hAnsi="宋体" w:cs="Arial"/>
                <w:sz w:val="16"/>
                <w:szCs w:val="18"/>
              </w:rPr>
              <w:t>确定的租金价格（元/平方米·天）</w:t>
            </w:r>
          </w:p>
        </w:tc>
        <w:tc>
          <w:tcPr>
            <w:tcW w:w="531" w:type="pct"/>
            <w:tcBorders>
              <w:top w:val="nil"/>
              <w:left w:val="nil"/>
              <w:bottom w:val="single" w:color="auto" w:sz="4" w:space="0"/>
              <w:right w:val="single" w:color="auto" w:sz="4" w:space="0"/>
            </w:tcBorders>
            <w:noWrap/>
            <w:vAlign w:val="center"/>
          </w:tcPr>
          <w:p w14:paraId="2BC63AA1">
            <w:pPr>
              <w:pStyle w:val="61"/>
              <w:autoSpaceDE w:val="0"/>
              <w:autoSpaceDN w:val="0"/>
              <w:spacing w:line="240" w:lineRule="exact"/>
              <w:jc w:val="left"/>
              <w:textAlignment w:val="bottom"/>
              <w:rPr>
                <w:rFonts w:hint="eastAsia" w:hAnsi="宋体" w:cs="Arial"/>
                <w:sz w:val="16"/>
                <w:szCs w:val="18"/>
              </w:rPr>
            </w:pPr>
            <w:r>
              <w:rPr>
                <w:rFonts w:ascii="Arial" w:hAnsi="Arial" w:cs="Arial"/>
                <w:sz w:val="16"/>
                <w:szCs w:val="18"/>
              </w:rPr>
              <w:t>待估</w:t>
            </w:r>
          </w:p>
        </w:tc>
        <w:tc>
          <w:tcPr>
            <w:tcW w:w="531" w:type="pct"/>
            <w:tcBorders>
              <w:top w:val="nil"/>
              <w:left w:val="nil"/>
              <w:bottom w:val="single" w:color="auto" w:sz="4" w:space="0"/>
              <w:right w:val="single" w:color="auto" w:sz="4" w:space="0"/>
            </w:tcBorders>
            <w:noWrap/>
            <w:vAlign w:val="center"/>
          </w:tcPr>
          <w:p w14:paraId="6EC3F5EC">
            <w:pPr>
              <w:autoSpaceDE w:val="0"/>
              <w:autoSpaceDN w:val="0"/>
              <w:spacing w:line="240" w:lineRule="exact"/>
              <w:textAlignment w:val="bottom"/>
              <w:rPr>
                <w:rFonts w:ascii="Arial" w:hAnsi="Arial" w:cs="Arial"/>
                <w:sz w:val="16"/>
                <w:szCs w:val="18"/>
              </w:rPr>
            </w:pPr>
            <w:r>
              <w:rPr>
                <w:rFonts w:hint="eastAsia" w:ascii="Arial" w:hAnsi="Arial" w:cs="Arial"/>
                <w:sz w:val="16"/>
                <w:szCs w:val="18"/>
              </w:rPr>
              <w:t>28.27</w:t>
            </w:r>
          </w:p>
        </w:tc>
        <w:tc>
          <w:tcPr>
            <w:tcW w:w="531" w:type="pct"/>
            <w:tcBorders>
              <w:top w:val="nil"/>
              <w:left w:val="nil"/>
              <w:bottom w:val="single" w:color="auto" w:sz="4" w:space="0"/>
              <w:right w:val="single" w:color="auto" w:sz="4" w:space="0"/>
            </w:tcBorders>
            <w:noWrap/>
            <w:vAlign w:val="center"/>
          </w:tcPr>
          <w:p w14:paraId="6EBE593D">
            <w:pPr>
              <w:autoSpaceDE w:val="0"/>
              <w:autoSpaceDN w:val="0"/>
              <w:spacing w:line="240" w:lineRule="exact"/>
              <w:textAlignment w:val="bottom"/>
              <w:rPr>
                <w:rFonts w:ascii="Arial" w:hAnsi="Arial" w:cs="Arial"/>
                <w:sz w:val="16"/>
                <w:szCs w:val="18"/>
              </w:rPr>
            </w:pPr>
            <w:r>
              <w:rPr>
                <w:rFonts w:hint="eastAsia" w:ascii="Arial" w:hAnsi="Arial" w:cs="Arial"/>
                <w:sz w:val="16"/>
                <w:szCs w:val="18"/>
              </w:rPr>
              <w:t>30.29</w:t>
            </w:r>
          </w:p>
        </w:tc>
        <w:tc>
          <w:tcPr>
            <w:tcW w:w="531" w:type="pct"/>
            <w:tcBorders>
              <w:top w:val="nil"/>
              <w:left w:val="nil"/>
              <w:bottom w:val="single" w:color="auto" w:sz="4" w:space="0"/>
              <w:right w:val="single" w:color="auto" w:sz="4" w:space="0"/>
            </w:tcBorders>
            <w:noWrap/>
            <w:vAlign w:val="center"/>
          </w:tcPr>
          <w:p w14:paraId="177278C4">
            <w:pPr>
              <w:autoSpaceDE w:val="0"/>
              <w:autoSpaceDN w:val="0"/>
              <w:spacing w:line="240" w:lineRule="exact"/>
              <w:textAlignment w:val="bottom"/>
              <w:rPr>
                <w:rFonts w:ascii="Arial" w:hAnsi="Arial" w:cs="Arial"/>
                <w:sz w:val="16"/>
                <w:szCs w:val="18"/>
              </w:rPr>
            </w:pPr>
            <w:r>
              <w:rPr>
                <w:rFonts w:hint="eastAsia" w:ascii="Arial" w:hAnsi="Arial" w:cs="Arial"/>
                <w:sz w:val="16"/>
                <w:szCs w:val="18"/>
              </w:rPr>
              <w:t>30.85</w:t>
            </w:r>
          </w:p>
        </w:tc>
        <w:tc>
          <w:tcPr>
            <w:tcW w:w="2033" w:type="pct"/>
            <w:tcBorders>
              <w:top w:val="nil"/>
              <w:left w:val="nil"/>
              <w:bottom w:val="single" w:color="auto" w:sz="4" w:space="0"/>
              <w:right w:val="single" w:color="auto" w:sz="4" w:space="0"/>
            </w:tcBorders>
            <w:vAlign w:val="center"/>
          </w:tcPr>
          <w:p w14:paraId="1D8FB792">
            <w:pPr>
              <w:snapToGrid w:val="0"/>
              <w:spacing w:line="240" w:lineRule="exact"/>
              <w:jc w:val="both"/>
              <w:rPr>
                <w:rFonts w:hint="eastAsia" w:ascii="宋体" w:hAnsi="宋体" w:cs="Arial"/>
                <w:sz w:val="16"/>
                <w:szCs w:val="18"/>
              </w:rPr>
            </w:pPr>
            <w:r>
              <w:rPr>
                <w:rFonts w:ascii="宋体" w:hAnsi="宋体" w:cs="Arial"/>
                <w:sz w:val="16"/>
                <w:szCs w:val="18"/>
              </w:rPr>
              <w:t>——</w:t>
            </w:r>
          </w:p>
        </w:tc>
      </w:tr>
      <w:tr w14:paraId="06098D32">
        <w:tblPrEx>
          <w:tblCellMar>
            <w:top w:w="57" w:type="dxa"/>
            <w:left w:w="57" w:type="dxa"/>
            <w:bottom w:w="57" w:type="dxa"/>
            <w:right w:w="57" w:type="dxa"/>
          </w:tblCellMar>
        </w:tblPrEx>
        <w:trPr>
          <w:trHeight w:val="20" w:hRule="atLeast"/>
          <w:jc w:val="center"/>
        </w:trPr>
        <w:tc>
          <w:tcPr>
            <w:tcW w:w="840" w:type="pct"/>
            <w:gridSpan w:val="2"/>
            <w:tcBorders>
              <w:top w:val="single" w:color="auto" w:sz="4" w:space="0"/>
              <w:left w:val="single" w:color="auto" w:sz="4" w:space="0"/>
              <w:bottom w:val="single" w:color="auto" w:sz="4" w:space="0"/>
              <w:right w:val="single" w:color="auto" w:sz="4" w:space="0"/>
            </w:tcBorders>
            <w:vAlign w:val="center"/>
          </w:tcPr>
          <w:p w14:paraId="71C52AAF">
            <w:pPr>
              <w:snapToGrid w:val="0"/>
              <w:spacing w:line="240" w:lineRule="exact"/>
              <w:jc w:val="both"/>
              <w:rPr>
                <w:rFonts w:hint="eastAsia" w:ascii="宋体" w:hAnsi="宋体" w:cs="Arial"/>
                <w:sz w:val="16"/>
                <w:szCs w:val="18"/>
              </w:rPr>
            </w:pPr>
            <w:r>
              <w:rPr>
                <w:rFonts w:ascii="宋体" w:hAnsi="宋体" w:cs="Arial"/>
                <w:sz w:val="16"/>
                <w:szCs w:val="18"/>
              </w:rPr>
              <w:t>交易时间</w:t>
            </w:r>
          </w:p>
        </w:tc>
        <w:tc>
          <w:tcPr>
            <w:tcW w:w="531" w:type="pct"/>
            <w:tcBorders>
              <w:top w:val="nil"/>
              <w:left w:val="nil"/>
              <w:bottom w:val="single" w:color="auto" w:sz="4" w:space="0"/>
              <w:right w:val="single" w:color="auto" w:sz="4" w:space="0"/>
            </w:tcBorders>
            <w:noWrap/>
            <w:vAlign w:val="center"/>
          </w:tcPr>
          <w:p w14:paraId="340363E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11B5C3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1ADB40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FDF2DCE">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3FED19F4">
            <w:pPr>
              <w:snapToGrid w:val="0"/>
              <w:spacing w:line="240" w:lineRule="exact"/>
              <w:jc w:val="both"/>
              <w:rPr>
                <w:rFonts w:ascii="Arial" w:hAnsi="Arial" w:cs="Arial"/>
                <w:sz w:val="16"/>
                <w:szCs w:val="18"/>
              </w:rPr>
            </w:pPr>
            <w:r>
              <w:rPr>
                <w:rFonts w:ascii="Arial" w:hAnsi="Arial" w:cs="Arial"/>
                <w:sz w:val="16"/>
                <w:szCs w:val="18"/>
              </w:rPr>
              <w:t>估价对象与可比实例的交易时间一致，因此确定估价对象与可比实例该因素指数均为100；</w:t>
            </w:r>
          </w:p>
        </w:tc>
      </w:tr>
      <w:tr w14:paraId="630F84A0">
        <w:tblPrEx>
          <w:tblCellMar>
            <w:top w:w="57" w:type="dxa"/>
            <w:left w:w="57" w:type="dxa"/>
            <w:bottom w:w="57" w:type="dxa"/>
            <w:right w:w="57" w:type="dxa"/>
          </w:tblCellMar>
        </w:tblPrEx>
        <w:trPr>
          <w:trHeight w:val="20" w:hRule="atLeast"/>
          <w:jc w:val="center"/>
        </w:trPr>
        <w:tc>
          <w:tcPr>
            <w:tcW w:w="840" w:type="pct"/>
            <w:gridSpan w:val="2"/>
            <w:tcBorders>
              <w:top w:val="single" w:color="auto" w:sz="4" w:space="0"/>
              <w:left w:val="single" w:color="auto" w:sz="4" w:space="0"/>
              <w:bottom w:val="single" w:color="auto" w:sz="4" w:space="0"/>
              <w:right w:val="single" w:color="auto" w:sz="4" w:space="0"/>
            </w:tcBorders>
            <w:vAlign w:val="center"/>
          </w:tcPr>
          <w:p w14:paraId="377A6BB1">
            <w:pPr>
              <w:snapToGrid w:val="0"/>
              <w:spacing w:line="240" w:lineRule="exact"/>
              <w:jc w:val="both"/>
              <w:rPr>
                <w:rFonts w:hint="eastAsia" w:ascii="宋体" w:hAnsi="宋体" w:cs="Arial"/>
                <w:sz w:val="16"/>
                <w:szCs w:val="18"/>
              </w:rPr>
            </w:pPr>
            <w:r>
              <w:rPr>
                <w:rFonts w:ascii="宋体" w:hAnsi="宋体" w:cs="Arial"/>
                <w:sz w:val="16"/>
                <w:szCs w:val="18"/>
              </w:rPr>
              <w:t>交易情况</w:t>
            </w:r>
          </w:p>
        </w:tc>
        <w:tc>
          <w:tcPr>
            <w:tcW w:w="531" w:type="pct"/>
            <w:tcBorders>
              <w:top w:val="nil"/>
              <w:left w:val="nil"/>
              <w:bottom w:val="single" w:color="auto" w:sz="4" w:space="0"/>
              <w:right w:val="single" w:color="auto" w:sz="4" w:space="0"/>
            </w:tcBorders>
            <w:noWrap/>
            <w:vAlign w:val="center"/>
          </w:tcPr>
          <w:p w14:paraId="6E82257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1E3261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239D3B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F7C01A1">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2357316A">
            <w:pPr>
              <w:snapToGrid w:val="0"/>
              <w:spacing w:line="240" w:lineRule="exact"/>
              <w:jc w:val="both"/>
              <w:rPr>
                <w:rFonts w:ascii="Arial" w:hAnsi="Arial" w:cs="Arial"/>
                <w:sz w:val="16"/>
                <w:szCs w:val="18"/>
              </w:rPr>
            </w:pPr>
            <w:r>
              <w:rPr>
                <w:rFonts w:ascii="Arial" w:hAnsi="Arial" w:cs="Arial"/>
                <w:sz w:val="16"/>
                <w:szCs w:val="18"/>
              </w:rPr>
              <w:t>可比实例均为正常交易或已修正为正常交易，故不予修正，交易情况指数均100；</w:t>
            </w:r>
          </w:p>
        </w:tc>
      </w:tr>
      <w:tr w14:paraId="3A3D5A8D">
        <w:tblPrEx>
          <w:tblCellMar>
            <w:top w:w="57" w:type="dxa"/>
            <w:left w:w="57" w:type="dxa"/>
            <w:bottom w:w="57" w:type="dxa"/>
            <w:right w:w="57" w:type="dxa"/>
          </w:tblCellMar>
        </w:tblPrEx>
        <w:trPr>
          <w:trHeight w:val="20" w:hRule="atLeast"/>
          <w:jc w:val="center"/>
        </w:trPr>
        <w:tc>
          <w:tcPr>
            <w:tcW w:w="840" w:type="pct"/>
            <w:gridSpan w:val="2"/>
            <w:tcBorders>
              <w:top w:val="single" w:color="auto" w:sz="4" w:space="0"/>
              <w:left w:val="single" w:color="auto" w:sz="4" w:space="0"/>
              <w:bottom w:val="single" w:color="auto" w:sz="4" w:space="0"/>
              <w:right w:val="single" w:color="auto" w:sz="4" w:space="0"/>
            </w:tcBorders>
            <w:vAlign w:val="center"/>
          </w:tcPr>
          <w:p w14:paraId="655FD526">
            <w:pPr>
              <w:snapToGrid w:val="0"/>
              <w:spacing w:line="240" w:lineRule="exact"/>
              <w:jc w:val="both"/>
              <w:rPr>
                <w:rFonts w:hint="eastAsia" w:ascii="宋体" w:hAnsi="宋体" w:cs="Arial"/>
                <w:sz w:val="16"/>
                <w:szCs w:val="18"/>
              </w:rPr>
            </w:pPr>
            <w:r>
              <w:rPr>
                <w:rFonts w:ascii="宋体" w:hAnsi="宋体" w:cs="Arial"/>
                <w:sz w:val="16"/>
                <w:szCs w:val="18"/>
              </w:rPr>
              <w:t>项目类型</w:t>
            </w:r>
          </w:p>
        </w:tc>
        <w:tc>
          <w:tcPr>
            <w:tcW w:w="531" w:type="pct"/>
            <w:tcBorders>
              <w:top w:val="nil"/>
              <w:left w:val="nil"/>
              <w:bottom w:val="single" w:color="auto" w:sz="4" w:space="0"/>
              <w:right w:val="single" w:color="auto" w:sz="4" w:space="0"/>
            </w:tcBorders>
            <w:noWrap/>
            <w:vAlign w:val="center"/>
          </w:tcPr>
          <w:p w14:paraId="288109A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95BB59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E513F1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DEF014C">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75117834">
            <w:pPr>
              <w:snapToGrid w:val="0"/>
              <w:spacing w:line="240" w:lineRule="exact"/>
              <w:jc w:val="both"/>
              <w:rPr>
                <w:rFonts w:ascii="Arial" w:hAnsi="Arial" w:cs="Arial"/>
                <w:sz w:val="16"/>
                <w:szCs w:val="18"/>
              </w:rPr>
            </w:pPr>
            <w:r>
              <w:rPr>
                <w:rFonts w:ascii="Arial" w:hAnsi="Arial" w:cs="Arial"/>
                <w:sz w:val="16"/>
                <w:szCs w:val="18"/>
              </w:rPr>
              <w:t>可比实例均为</w:t>
            </w:r>
            <w:r>
              <w:rPr>
                <w:rFonts w:hint="eastAsia" w:ascii="Arial" w:hAnsi="Arial" w:cs="Arial"/>
                <w:sz w:val="16"/>
                <w:szCs w:val="18"/>
              </w:rPr>
              <w:t>住宅</w:t>
            </w:r>
            <w:r>
              <w:rPr>
                <w:rFonts w:ascii="Arial" w:hAnsi="Arial" w:cs="Arial"/>
                <w:sz w:val="16"/>
                <w:szCs w:val="18"/>
              </w:rPr>
              <w:t>，故不予修正，交易情况指数均100；</w:t>
            </w:r>
          </w:p>
        </w:tc>
      </w:tr>
      <w:tr w14:paraId="1D71CEFF">
        <w:tblPrEx>
          <w:tblCellMar>
            <w:top w:w="57" w:type="dxa"/>
            <w:left w:w="57" w:type="dxa"/>
            <w:bottom w:w="57" w:type="dxa"/>
            <w:right w:w="57" w:type="dxa"/>
          </w:tblCellMar>
        </w:tblPrEx>
        <w:trPr>
          <w:trHeight w:val="20" w:hRule="atLeast"/>
          <w:jc w:val="center"/>
        </w:trPr>
        <w:tc>
          <w:tcPr>
            <w:tcW w:w="304" w:type="pct"/>
            <w:vMerge w:val="restart"/>
            <w:tcBorders>
              <w:top w:val="single" w:color="auto" w:sz="4" w:space="0"/>
              <w:left w:val="single" w:color="auto" w:sz="4" w:space="0"/>
              <w:bottom w:val="single" w:color="auto" w:sz="4" w:space="0"/>
              <w:right w:val="single" w:color="auto" w:sz="4" w:space="0"/>
            </w:tcBorders>
            <w:noWrap/>
            <w:vAlign w:val="center"/>
          </w:tcPr>
          <w:p w14:paraId="5EC7B035">
            <w:pPr>
              <w:snapToGrid w:val="0"/>
              <w:spacing w:line="240" w:lineRule="exact"/>
              <w:jc w:val="both"/>
              <w:rPr>
                <w:rFonts w:hint="eastAsia" w:ascii="宋体" w:hAnsi="宋体" w:cs="Arial"/>
                <w:sz w:val="16"/>
                <w:szCs w:val="18"/>
              </w:rPr>
            </w:pPr>
            <w:r>
              <w:rPr>
                <w:rFonts w:ascii="宋体" w:hAnsi="宋体" w:cs="Arial"/>
                <w:sz w:val="16"/>
                <w:szCs w:val="18"/>
              </w:rPr>
              <w:t>区域</w:t>
            </w:r>
          </w:p>
          <w:p w14:paraId="2DBFCB0E">
            <w:pPr>
              <w:snapToGrid w:val="0"/>
              <w:spacing w:line="240" w:lineRule="exact"/>
              <w:jc w:val="both"/>
              <w:rPr>
                <w:rFonts w:hint="eastAsia"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31DD9DD8">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居住区成熟度</w:t>
            </w:r>
          </w:p>
        </w:tc>
        <w:tc>
          <w:tcPr>
            <w:tcW w:w="531" w:type="pct"/>
            <w:tcBorders>
              <w:top w:val="nil"/>
              <w:left w:val="nil"/>
              <w:bottom w:val="single" w:color="auto" w:sz="4" w:space="0"/>
              <w:right w:val="single" w:color="auto" w:sz="4" w:space="0"/>
            </w:tcBorders>
            <w:noWrap/>
            <w:vAlign w:val="center"/>
          </w:tcPr>
          <w:p w14:paraId="1DFD456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85D5E4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0F5E6E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4A7754D">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274BAE7E">
            <w:pPr>
              <w:snapToGrid w:val="0"/>
              <w:spacing w:line="240" w:lineRule="exact"/>
              <w:jc w:val="both"/>
              <w:rPr>
                <w:rFonts w:ascii="Arial" w:hAnsi="Arial" w:cs="Arial"/>
                <w:sz w:val="16"/>
                <w:szCs w:val="18"/>
              </w:rPr>
            </w:pPr>
            <w:r>
              <w:rPr>
                <w:rFonts w:ascii="Arial" w:hAnsi="Arial" w:cs="Arial"/>
                <w:sz w:val="16"/>
                <w:szCs w:val="18"/>
              </w:rPr>
              <w:t>从好到差划分为优、较优、一般、较劣、劣五个等级，每个等级相差</w:t>
            </w:r>
            <w:r>
              <w:rPr>
                <w:rFonts w:hint="eastAsia" w:ascii="Arial" w:hAnsi="Arial" w:cs="Arial"/>
                <w:sz w:val="16"/>
                <w:szCs w:val="18"/>
              </w:rPr>
              <w:t>2</w:t>
            </w:r>
            <w:r>
              <w:rPr>
                <w:rFonts w:ascii="Arial" w:hAnsi="Arial" w:cs="Arial"/>
                <w:sz w:val="16"/>
                <w:szCs w:val="18"/>
              </w:rPr>
              <w:t>分，确定可比实例1、2、3该因素指数分别为10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w:t>
            </w:r>
            <w:r>
              <w:rPr>
                <w:rFonts w:hint="eastAsia" w:ascii="Arial" w:hAnsi="Arial" w:cs="Arial"/>
                <w:sz w:val="16"/>
                <w:szCs w:val="18"/>
              </w:rPr>
              <w:t>100</w:t>
            </w:r>
            <w:r>
              <w:rPr>
                <w:rFonts w:ascii="Arial" w:hAnsi="Arial" w:cs="Arial"/>
                <w:sz w:val="16"/>
                <w:szCs w:val="18"/>
              </w:rPr>
              <w:t>；</w:t>
            </w:r>
          </w:p>
        </w:tc>
      </w:tr>
      <w:tr w14:paraId="24CAC9C5">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321EE175">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65BC10A8">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道路通达度</w:t>
            </w:r>
          </w:p>
        </w:tc>
        <w:tc>
          <w:tcPr>
            <w:tcW w:w="531" w:type="pct"/>
            <w:tcBorders>
              <w:top w:val="nil"/>
              <w:left w:val="nil"/>
              <w:bottom w:val="single" w:color="auto" w:sz="4" w:space="0"/>
              <w:right w:val="single" w:color="auto" w:sz="4" w:space="0"/>
            </w:tcBorders>
            <w:noWrap/>
            <w:vAlign w:val="center"/>
          </w:tcPr>
          <w:p w14:paraId="7AD7DDF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66C0E6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A7130A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3644917">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5954C9B3">
            <w:pPr>
              <w:snapToGrid w:val="0"/>
              <w:spacing w:line="240" w:lineRule="exact"/>
              <w:jc w:val="both"/>
              <w:rPr>
                <w:rFonts w:ascii="Arial" w:hAnsi="Arial" w:cs="Arial"/>
                <w:sz w:val="16"/>
                <w:szCs w:val="18"/>
              </w:rPr>
            </w:pPr>
            <w:r>
              <w:rPr>
                <w:rFonts w:ascii="Arial" w:hAnsi="Arial" w:cs="Arial"/>
                <w:sz w:val="16"/>
                <w:szCs w:val="18"/>
              </w:rPr>
              <w:t>按照距离干道的距离和干道等级分为优、较优、一般、较劣、劣五个等级，每个等级相差2分，确定可比实例1、2、3该因素指数分别为100、100、100；</w:t>
            </w:r>
          </w:p>
        </w:tc>
      </w:tr>
      <w:tr w14:paraId="19CEB471">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12AB5A12">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52AB0D4D">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距离轨道交通站点距离</w:t>
            </w:r>
          </w:p>
        </w:tc>
        <w:tc>
          <w:tcPr>
            <w:tcW w:w="531" w:type="pct"/>
            <w:tcBorders>
              <w:top w:val="nil"/>
              <w:left w:val="nil"/>
              <w:bottom w:val="single" w:color="auto" w:sz="4" w:space="0"/>
              <w:right w:val="single" w:color="auto" w:sz="4" w:space="0"/>
            </w:tcBorders>
            <w:noWrap/>
            <w:vAlign w:val="center"/>
          </w:tcPr>
          <w:p w14:paraId="072A159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48C35A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1F306A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3543846">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70FFA0F4">
            <w:pPr>
              <w:snapToGrid w:val="0"/>
              <w:spacing w:line="240" w:lineRule="exact"/>
              <w:jc w:val="both"/>
              <w:rPr>
                <w:rFonts w:ascii="Arial" w:hAnsi="Arial" w:cs="Arial"/>
                <w:sz w:val="16"/>
                <w:szCs w:val="18"/>
              </w:rPr>
            </w:pPr>
            <w:r>
              <w:rPr>
                <w:rFonts w:ascii="Arial" w:hAnsi="Arial" w:cs="Arial"/>
                <w:sz w:val="16"/>
                <w:szCs w:val="18"/>
              </w:rPr>
              <w:t>按照距离轨道交通的距离，0.5km为一档，每个等级相差</w:t>
            </w:r>
            <w:r>
              <w:rPr>
                <w:rFonts w:hint="eastAsia" w:ascii="Arial" w:hAnsi="Arial" w:cs="Arial"/>
                <w:sz w:val="16"/>
                <w:szCs w:val="18"/>
              </w:rPr>
              <w:t>2</w:t>
            </w:r>
            <w:r>
              <w:rPr>
                <w:rFonts w:ascii="Arial" w:hAnsi="Arial" w:cs="Arial"/>
                <w:sz w:val="16"/>
                <w:szCs w:val="18"/>
              </w:rPr>
              <w:t>分，确定可比实例1、2、3该因素指数分别为100、100、</w:t>
            </w:r>
            <w:r>
              <w:rPr>
                <w:rFonts w:hint="eastAsia" w:ascii="Arial" w:hAnsi="Arial" w:cs="Arial"/>
                <w:sz w:val="16"/>
                <w:szCs w:val="18"/>
              </w:rPr>
              <w:t>100</w:t>
            </w:r>
            <w:r>
              <w:rPr>
                <w:rFonts w:ascii="Arial" w:hAnsi="Arial" w:cs="Arial"/>
                <w:sz w:val="16"/>
                <w:szCs w:val="18"/>
              </w:rPr>
              <w:t>；</w:t>
            </w:r>
          </w:p>
        </w:tc>
      </w:tr>
      <w:tr w14:paraId="0DD0FF91">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29ED1A02">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080B9918">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距离公交站点距离</w:t>
            </w:r>
          </w:p>
        </w:tc>
        <w:tc>
          <w:tcPr>
            <w:tcW w:w="531" w:type="pct"/>
            <w:tcBorders>
              <w:top w:val="nil"/>
              <w:left w:val="nil"/>
              <w:bottom w:val="single" w:color="auto" w:sz="4" w:space="0"/>
              <w:right w:val="single" w:color="auto" w:sz="4" w:space="0"/>
            </w:tcBorders>
            <w:noWrap/>
            <w:vAlign w:val="center"/>
          </w:tcPr>
          <w:p w14:paraId="3FFCE37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3AE48F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031AFD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D3417A8">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527C8396">
            <w:pPr>
              <w:snapToGrid w:val="0"/>
              <w:spacing w:line="240" w:lineRule="exact"/>
              <w:jc w:val="both"/>
              <w:rPr>
                <w:rFonts w:ascii="Arial" w:hAnsi="Arial" w:cs="Arial"/>
                <w:sz w:val="16"/>
                <w:szCs w:val="18"/>
              </w:rPr>
            </w:pPr>
            <w:r>
              <w:rPr>
                <w:rFonts w:ascii="Arial" w:hAnsi="Arial" w:cs="Arial"/>
                <w:sz w:val="16"/>
                <w:szCs w:val="18"/>
              </w:rPr>
              <w:t>按照距离公交站点的距离，0.5km为一档，每个等级相差2分，确定可比实例1、2、3该因素指数分别为100、100、100；</w:t>
            </w:r>
          </w:p>
        </w:tc>
      </w:tr>
      <w:tr w14:paraId="41851510">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25E90AA2">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7849C217">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环境质量优劣度</w:t>
            </w:r>
          </w:p>
        </w:tc>
        <w:tc>
          <w:tcPr>
            <w:tcW w:w="531" w:type="pct"/>
            <w:tcBorders>
              <w:top w:val="nil"/>
              <w:left w:val="nil"/>
              <w:bottom w:val="single" w:color="auto" w:sz="4" w:space="0"/>
              <w:right w:val="single" w:color="auto" w:sz="4" w:space="0"/>
            </w:tcBorders>
            <w:noWrap/>
            <w:vAlign w:val="center"/>
          </w:tcPr>
          <w:p w14:paraId="40A7D30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156C7E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93E8F2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0079108">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6D53C3A2">
            <w:pPr>
              <w:snapToGrid w:val="0"/>
              <w:spacing w:line="240" w:lineRule="exact"/>
              <w:jc w:val="both"/>
              <w:rPr>
                <w:rFonts w:ascii="Arial" w:hAnsi="Arial" w:cs="Arial"/>
                <w:sz w:val="16"/>
                <w:szCs w:val="18"/>
              </w:rPr>
            </w:pPr>
            <w:r>
              <w:rPr>
                <w:rFonts w:hint="eastAsia" w:ascii="Arial" w:hAnsi="Arial" w:cs="Arial"/>
                <w:sz w:val="16"/>
                <w:szCs w:val="18"/>
              </w:rPr>
              <w:t>根据周边污染源的范围，判断优劣，每档相差2分</w:t>
            </w:r>
            <w:r>
              <w:rPr>
                <w:rFonts w:ascii="Arial" w:hAnsi="Arial" w:cs="Arial"/>
                <w:sz w:val="16"/>
                <w:szCs w:val="18"/>
              </w:rPr>
              <w:t>，确定可比实例1、2、3该因素指数分别为100、100、100</w:t>
            </w:r>
            <w:r>
              <w:rPr>
                <w:rFonts w:hint="eastAsia" w:ascii="Arial" w:hAnsi="Arial" w:cs="Arial"/>
                <w:sz w:val="16"/>
                <w:szCs w:val="18"/>
              </w:rPr>
              <w:t>；</w:t>
            </w:r>
          </w:p>
        </w:tc>
      </w:tr>
      <w:tr w14:paraId="78807069">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2985E05A">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0FFCB8DC">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自然环境</w:t>
            </w:r>
          </w:p>
        </w:tc>
        <w:tc>
          <w:tcPr>
            <w:tcW w:w="531" w:type="pct"/>
            <w:tcBorders>
              <w:top w:val="nil"/>
              <w:left w:val="nil"/>
              <w:bottom w:val="single" w:color="auto" w:sz="4" w:space="0"/>
              <w:right w:val="single" w:color="auto" w:sz="4" w:space="0"/>
            </w:tcBorders>
            <w:noWrap/>
            <w:vAlign w:val="center"/>
          </w:tcPr>
          <w:p w14:paraId="6D4C936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DC0D60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9E08A8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63087FD">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5EDDA7EF">
            <w:pPr>
              <w:snapToGrid w:val="0"/>
              <w:spacing w:line="240" w:lineRule="exact"/>
              <w:jc w:val="both"/>
              <w:rPr>
                <w:rFonts w:ascii="Arial" w:hAnsi="Arial" w:cs="Arial"/>
                <w:sz w:val="16"/>
                <w:szCs w:val="18"/>
              </w:rPr>
            </w:pPr>
            <w:r>
              <w:rPr>
                <w:rFonts w:ascii="Arial" w:hAnsi="Arial" w:cs="Arial"/>
                <w:sz w:val="16"/>
                <w:szCs w:val="18"/>
              </w:rPr>
              <w:t>从好到差划分为好、较好、一般、较差、差五个等级，每个等级相差2分，确定可比实例1、2、3该因素指数分别为100、100、100；</w:t>
            </w:r>
          </w:p>
        </w:tc>
      </w:tr>
      <w:tr w14:paraId="1A298D3A">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72655E42">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35DDFC65">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小区环境</w:t>
            </w:r>
          </w:p>
        </w:tc>
        <w:tc>
          <w:tcPr>
            <w:tcW w:w="531" w:type="pct"/>
            <w:tcBorders>
              <w:top w:val="nil"/>
              <w:left w:val="nil"/>
              <w:bottom w:val="single" w:color="auto" w:sz="4" w:space="0"/>
              <w:right w:val="single" w:color="auto" w:sz="4" w:space="0"/>
            </w:tcBorders>
            <w:noWrap/>
            <w:vAlign w:val="center"/>
          </w:tcPr>
          <w:p w14:paraId="2028704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A6744F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6CE231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D24A48F">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61C9EA2C">
            <w:pPr>
              <w:snapToGrid w:val="0"/>
              <w:spacing w:line="240" w:lineRule="exact"/>
              <w:jc w:val="both"/>
              <w:rPr>
                <w:rFonts w:ascii="Arial" w:hAnsi="Arial" w:cs="Arial"/>
                <w:sz w:val="16"/>
                <w:szCs w:val="18"/>
              </w:rPr>
            </w:pPr>
            <w:r>
              <w:rPr>
                <w:rFonts w:hint="eastAsia" w:ascii="Arial" w:hAnsi="Arial" w:cs="Arial"/>
                <w:sz w:val="16"/>
                <w:szCs w:val="18"/>
              </w:rPr>
              <w:t>根据小区道路、绿化率、景观设计及人车分流情况分为一档，每级相差1分，</w:t>
            </w:r>
            <w:r>
              <w:rPr>
                <w:rFonts w:ascii="Arial" w:hAnsi="Arial" w:cs="Arial"/>
                <w:sz w:val="16"/>
                <w:szCs w:val="18"/>
              </w:rPr>
              <w:t>确定可比实例1、2、3该因素指数分别为100、100、100；</w:t>
            </w:r>
          </w:p>
        </w:tc>
      </w:tr>
      <w:tr w14:paraId="76CE91FD">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471BAB7C">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0B8E7D7B">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公共服务设施状况</w:t>
            </w:r>
          </w:p>
        </w:tc>
        <w:tc>
          <w:tcPr>
            <w:tcW w:w="531" w:type="pct"/>
            <w:tcBorders>
              <w:top w:val="nil"/>
              <w:left w:val="nil"/>
              <w:bottom w:val="single" w:color="auto" w:sz="4" w:space="0"/>
              <w:right w:val="single" w:color="auto" w:sz="4" w:space="0"/>
            </w:tcBorders>
            <w:noWrap/>
            <w:vAlign w:val="center"/>
          </w:tcPr>
          <w:p w14:paraId="74708B7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CA2F50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29FBCC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519FBF4">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40E39B6E">
            <w:pPr>
              <w:snapToGrid w:val="0"/>
              <w:spacing w:line="240" w:lineRule="exact"/>
              <w:jc w:val="both"/>
              <w:rPr>
                <w:rFonts w:ascii="Arial" w:hAnsi="Arial" w:cs="Arial"/>
                <w:sz w:val="16"/>
                <w:szCs w:val="18"/>
              </w:rPr>
            </w:pPr>
            <w:r>
              <w:rPr>
                <w:rFonts w:ascii="Arial" w:hAnsi="Arial" w:cs="Arial"/>
                <w:sz w:val="16"/>
                <w:szCs w:val="18"/>
              </w:rPr>
              <w:t>从好到差划分为齐全、较齐全、一般、较不齐全、不齐全五个等级，每个等级相差</w:t>
            </w:r>
            <w:r>
              <w:rPr>
                <w:rFonts w:hint="eastAsia" w:ascii="Arial" w:hAnsi="Arial" w:cs="Arial"/>
                <w:sz w:val="16"/>
                <w:szCs w:val="18"/>
              </w:rPr>
              <w:t>2</w:t>
            </w:r>
            <w:r>
              <w:rPr>
                <w:rFonts w:ascii="Arial" w:hAnsi="Arial" w:cs="Arial"/>
                <w:sz w:val="16"/>
                <w:szCs w:val="18"/>
              </w:rPr>
              <w:t>分，确定可比实例1、2、3该因素指数分别为100、100、</w:t>
            </w:r>
            <w:r>
              <w:rPr>
                <w:rFonts w:hint="eastAsia" w:ascii="Arial" w:hAnsi="Arial" w:cs="Arial"/>
                <w:sz w:val="16"/>
                <w:szCs w:val="18"/>
              </w:rPr>
              <w:t>100</w:t>
            </w:r>
            <w:r>
              <w:rPr>
                <w:rFonts w:ascii="Arial" w:hAnsi="Arial" w:cs="Arial"/>
                <w:sz w:val="16"/>
                <w:szCs w:val="18"/>
              </w:rPr>
              <w:t>；</w:t>
            </w:r>
          </w:p>
        </w:tc>
      </w:tr>
      <w:tr w14:paraId="7FB81528">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6DC39E9A">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04A8785A">
            <w:pPr>
              <w:widowControl/>
              <w:adjustRightInd/>
              <w:spacing w:line="240" w:lineRule="auto"/>
              <w:jc w:val="center"/>
              <w:textAlignment w:val="auto"/>
              <w:rPr>
                <w:rFonts w:hint="eastAsia" w:ascii="宋体" w:hAnsi="宋体" w:cs="Arial"/>
                <w:sz w:val="16"/>
                <w:szCs w:val="18"/>
              </w:rPr>
            </w:pPr>
            <w:r>
              <w:rPr>
                <w:rFonts w:hint="eastAsia" w:ascii="宋体" w:hAnsi="宋体" w:cs="Arial"/>
                <w:sz w:val="16"/>
                <w:szCs w:val="18"/>
              </w:rPr>
              <w:t>建筑类型</w:t>
            </w:r>
          </w:p>
        </w:tc>
        <w:tc>
          <w:tcPr>
            <w:tcW w:w="531" w:type="pct"/>
            <w:tcBorders>
              <w:top w:val="nil"/>
              <w:left w:val="nil"/>
              <w:bottom w:val="single" w:color="auto" w:sz="4" w:space="0"/>
              <w:right w:val="single" w:color="auto" w:sz="4" w:space="0"/>
            </w:tcBorders>
            <w:noWrap/>
            <w:vAlign w:val="center"/>
          </w:tcPr>
          <w:p w14:paraId="4E1DD8A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A0D7534">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4</w:t>
            </w:r>
          </w:p>
        </w:tc>
        <w:tc>
          <w:tcPr>
            <w:tcW w:w="531" w:type="pct"/>
            <w:tcBorders>
              <w:top w:val="nil"/>
              <w:left w:val="nil"/>
              <w:bottom w:val="single" w:color="auto" w:sz="4" w:space="0"/>
              <w:right w:val="single" w:color="auto" w:sz="4" w:space="0"/>
            </w:tcBorders>
            <w:noWrap/>
            <w:vAlign w:val="center"/>
          </w:tcPr>
          <w:p w14:paraId="2156335E">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4</w:t>
            </w:r>
          </w:p>
        </w:tc>
        <w:tc>
          <w:tcPr>
            <w:tcW w:w="531" w:type="pct"/>
            <w:tcBorders>
              <w:top w:val="nil"/>
              <w:left w:val="nil"/>
              <w:bottom w:val="single" w:color="auto" w:sz="4" w:space="0"/>
              <w:right w:val="single" w:color="auto" w:sz="4" w:space="0"/>
            </w:tcBorders>
            <w:noWrap/>
            <w:vAlign w:val="center"/>
          </w:tcPr>
          <w:p w14:paraId="02FD7112">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4</w:t>
            </w:r>
          </w:p>
        </w:tc>
        <w:tc>
          <w:tcPr>
            <w:tcW w:w="2033" w:type="pct"/>
            <w:tcBorders>
              <w:top w:val="nil"/>
              <w:left w:val="nil"/>
              <w:bottom w:val="single" w:color="auto" w:sz="4" w:space="0"/>
              <w:right w:val="single" w:color="auto" w:sz="4" w:space="0"/>
            </w:tcBorders>
            <w:vAlign w:val="center"/>
          </w:tcPr>
          <w:p w14:paraId="4FE783CC">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多层板楼、小高层板楼、高层板楼、板塔结合、塔楼五</w:t>
            </w:r>
            <w:r>
              <w:rPr>
                <w:rFonts w:ascii="Arial" w:hAnsi="Arial" w:cs="Arial"/>
                <w:sz w:val="16"/>
                <w:szCs w:val="18"/>
              </w:rPr>
              <w:t>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104</w:t>
            </w:r>
            <w:r>
              <w:rPr>
                <w:rFonts w:ascii="Arial" w:hAnsi="Arial" w:cs="Arial"/>
                <w:sz w:val="16"/>
                <w:szCs w:val="18"/>
              </w:rPr>
              <w:t>、</w:t>
            </w:r>
            <w:r>
              <w:rPr>
                <w:rFonts w:hint="eastAsia" w:ascii="Arial" w:hAnsi="Arial" w:cs="Arial"/>
                <w:sz w:val="16"/>
                <w:szCs w:val="18"/>
              </w:rPr>
              <w:t>104</w:t>
            </w:r>
            <w:r>
              <w:rPr>
                <w:rFonts w:ascii="Arial" w:hAnsi="Arial" w:cs="Arial"/>
                <w:sz w:val="16"/>
                <w:szCs w:val="18"/>
              </w:rPr>
              <w:t>、10</w:t>
            </w:r>
            <w:r>
              <w:rPr>
                <w:rFonts w:hint="eastAsia" w:ascii="Arial" w:hAnsi="Arial" w:cs="Arial"/>
                <w:sz w:val="16"/>
                <w:szCs w:val="18"/>
              </w:rPr>
              <w:t>4</w:t>
            </w:r>
            <w:r>
              <w:rPr>
                <w:rFonts w:ascii="Arial" w:hAnsi="Arial" w:cs="Arial"/>
                <w:sz w:val="16"/>
                <w:szCs w:val="18"/>
              </w:rPr>
              <w:t>；</w:t>
            </w:r>
          </w:p>
        </w:tc>
      </w:tr>
      <w:tr w14:paraId="1AB727AB">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54108D86">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1A124066">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楼层</w:t>
            </w:r>
          </w:p>
        </w:tc>
        <w:tc>
          <w:tcPr>
            <w:tcW w:w="531" w:type="pct"/>
            <w:tcBorders>
              <w:top w:val="nil"/>
              <w:left w:val="nil"/>
              <w:bottom w:val="single" w:color="auto" w:sz="4" w:space="0"/>
              <w:right w:val="single" w:color="auto" w:sz="4" w:space="0"/>
            </w:tcBorders>
            <w:noWrap/>
            <w:vAlign w:val="center"/>
          </w:tcPr>
          <w:p w14:paraId="493D400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DCF1900">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1CFEEC85">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7AC463C8">
            <w:pPr>
              <w:snapToGrid w:val="0"/>
              <w:spacing w:line="240" w:lineRule="exact"/>
              <w:jc w:val="both"/>
              <w:rPr>
                <w:rFonts w:ascii="Arial" w:hAnsi="Arial" w:cs="Arial"/>
                <w:sz w:val="16"/>
                <w:szCs w:val="18"/>
              </w:rPr>
            </w:pPr>
            <w:r>
              <w:rPr>
                <w:rFonts w:hint="eastAsia"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5B34FC12">
            <w:pPr>
              <w:snapToGrid w:val="0"/>
              <w:spacing w:line="240" w:lineRule="exact"/>
              <w:jc w:val="both"/>
              <w:rPr>
                <w:rFonts w:ascii="Arial" w:hAnsi="Arial" w:cs="Arial"/>
                <w:sz w:val="16"/>
                <w:szCs w:val="18"/>
              </w:rPr>
            </w:pPr>
            <w:r>
              <w:rPr>
                <w:rFonts w:ascii="Arial" w:hAnsi="Arial" w:cs="Arial"/>
                <w:sz w:val="16"/>
                <w:szCs w:val="18"/>
              </w:rPr>
              <w:t>分为高楼层、中楼层、低楼层两个等级，以估价对象指数为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100</w:t>
            </w:r>
            <w:r>
              <w:rPr>
                <w:rFonts w:ascii="Arial" w:hAnsi="Arial" w:cs="Arial"/>
                <w:sz w:val="16"/>
                <w:szCs w:val="18"/>
              </w:rPr>
              <w:t>；</w:t>
            </w:r>
          </w:p>
        </w:tc>
      </w:tr>
      <w:tr w14:paraId="298A2A76">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7F797886">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7211AFBA">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朝向</w:t>
            </w:r>
          </w:p>
        </w:tc>
        <w:tc>
          <w:tcPr>
            <w:tcW w:w="531" w:type="pct"/>
            <w:tcBorders>
              <w:top w:val="nil"/>
              <w:left w:val="nil"/>
              <w:bottom w:val="single" w:color="auto" w:sz="4" w:space="0"/>
              <w:right w:val="single" w:color="auto" w:sz="4" w:space="0"/>
            </w:tcBorders>
            <w:noWrap/>
            <w:vAlign w:val="center"/>
          </w:tcPr>
          <w:p w14:paraId="2B8F66E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76CBC1C">
            <w:pPr>
              <w:snapToGrid w:val="0"/>
              <w:spacing w:line="240" w:lineRule="exact"/>
              <w:jc w:val="both"/>
              <w:rPr>
                <w:rFonts w:ascii="Arial" w:hAnsi="Arial" w:cs="Arial"/>
                <w:sz w:val="16"/>
                <w:szCs w:val="18"/>
              </w:rPr>
            </w:pPr>
            <w:r>
              <w:rPr>
                <w:rFonts w:hint="eastAsia" w:ascii="Arial" w:hAnsi="Arial" w:cs="Arial"/>
                <w:sz w:val="16"/>
                <w:szCs w:val="18"/>
              </w:rPr>
              <w:t>101</w:t>
            </w:r>
          </w:p>
        </w:tc>
        <w:tc>
          <w:tcPr>
            <w:tcW w:w="531" w:type="pct"/>
            <w:tcBorders>
              <w:top w:val="nil"/>
              <w:left w:val="nil"/>
              <w:bottom w:val="single" w:color="auto" w:sz="4" w:space="0"/>
              <w:right w:val="single" w:color="auto" w:sz="4" w:space="0"/>
            </w:tcBorders>
            <w:noWrap/>
            <w:vAlign w:val="center"/>
          </w:tcPr>
          <w:p w14:paraId="61795D7B">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1</w:t>
            </w:r>
          </w:p>
        </w:tc>
        <w:tc>
          <w:tcPr>
            <w:tcW w:w="531" w:type="pct"/>
            <w:tcBorders>
              <w:top w:val="nil"/>
              <w:left w:val="nil"/>
              <w:bottom w:val="single" w:color="auto" w:sz="4" w:space="0"/>
              <w:right w:val="single" w:color="auto" w:sz="4" w:space="0"/>
            </w:tcBorders>
            <w:noWrap/>
            <w:vAlign w:val="center"/>
          </w:tcPr>
          <w:p w14:paraId="08041353">
            <w:pPr>
              <w:snapToGrid w:val="0"/>
              <w:spacing w:line="240" w:lineRule="exact"/>
              <w:jc w:val="both"/>
              <w:rPr>
                <w:rFonts w:ascii="Arial" w:hAnsi="Arial" w:cs="Arial"/>
                <w:sz w:val="16"/>
                <w:szCs w:val="18"/>
              </w:rPr>
            </w:pPr>
            <w:r>
              <w:rPr>
                <w:rFonts w:hint="eastAsia" w:ascii="Arial" w:hAnsi="Arial" w:cs="Arial"/>
                <w:sz w:val="16"/>
                <w:szCs w:val="18"/>
              </w:rPr>
              <w:t>101</w:t>
            </w:r>
          </w:p>
        </w:tc>
        <w:tc>
          <w:tcPr>
            <w:tcW w:w="2033" w:type="pct"/>
            <w:tcBorders>
              <w:top w:val="nil"/>
              <w:left w:val="nil"/>
              <w:bottom w:val="single" w:color="auto" w:sz="4" w:space="0"/>
              <w:right w:val="single" w:color="auto" w:sz="4" w:space="0"/>
            </w:tcBorders>
            <w:vAlign w:val="center"/>
          </w:tcPr>
          <w:p w14:paraId="1F661040">
            <w:pPr>
              <w:snapToGrid w:val="0"/>
              <w:spacing w:line="240" w:lineRule="exact"/>
              <w:jc w:val="both"/>
              <w:rPr>
                <w:rFonts w:ascii="Arial" w:hAnsi="Arial" w:cs="Arial"/>
                <w:sz w:val="16"/>
                <w:szCs w:val="18"/>
              </w:rPr>
            </w:pPr>
            <w:r>
              <w:rPr>
                <w:rFonts w:ascii="Arial" w:hAnsi="Arial" w:cs="Arial"/>
                <w:sz w:val="16"/>
                <w:szCs w:val="18"/>
              </w:rPr>
              <w:t>从优到劣依次为：为南北向；南向；东、南；西、南；东、西；东；西；东、北；西、北；北。每档相差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101、101、101</w:t>
            </w:r>
            <w:r>
              <w:rPr>
                <w:rFonts w:ascii="Arial" w:hAnsi="Arial" w:cs="Arial"/>
                <w:sz w:val="16"/>
                <w:szCs w:val="18"/>
              </w:rPr>
              <w:t>；</w:t>
            </w:r>
          </w:p>
        </w:tc>
      </w:tr>
      <w:tr w14:paraId="13A4EA84">
        <w:tblPrEx>
          <w:tblCellMar>
            <w:top w:w="57" w:type="dxa"/>
            <w:left w:w="57" w:type="dxa"/>
            <w:bottom w:w="57" w:type="dxa"/>
            <w:right w:w="57" w:type="dxa"/>
          </w:tblCellMar>
        </w:tblPrEx>
        <w:trPr>
          <w:trHeight w:val="20" w:hRule="atLeast"/>
          <w:jc w:val="center"/>
        </w:trPr>
        <w:tc>
          <w:tcPr>
            <w:tcW w:w="304" w:type="pct"/>
            <w:vMerge w:val="restart"/>
            <w:tcBorders>
              <w:top w:val="single" w:color="auto" w:sz="4" w:space="0"/>
              <w:left w:val="single" w:color="auto" w:sz="4" w:space="0"/>
              <w:bottom w:val="single" w:color="auto" w:sz="4" w:space="0"/>
              <w:right w:val="single" w:color="auto" w:sz="4" w:space="0"/>
            </w:tcBorders>
            <w:noWrap/>
            <w:vAlign w:val="center"/>
          </w:tcPr>
          <w:p w14:paraId="348BC816">
            <w:pPr>
              <w:snapToGrid w:val="0"/>
              <w:spacing w:line="240" w:lineRule="exact"/>
              <w:jc w:val="both"/>
              <w:rPr>
                <w:rFonts w:hint="eastAsia" w:ascii="宋体" w:hAnsi="宋体" w:cs="Arial"/>
                <w:sz w:val="16"/>
                <w:szCs w:val="18"/>
              </w:rPr>
            </w:pPr>
            <w:r>
              <w:rPr>
                <w:rFonts w:ascii="宋体" w:hAnsi="宋体" w:cs="Arial"/>
                <w:sz w:val="16"/>
                <w:szCs w:val="18"/>
              </w:rPr>
              <w:t>实物</w:t>
            </w:r>
          </w:p>
          <w:p w14:paraId="7187B7F3">
            <w:pPr>
              <w:snapToGrid w:val="0"/>
              <w:spacing w:line="240" w:lineRule="exact"/>
              <w:jc w:val="both"/>
              <w:rPr>
                <w:rFonts w:hint="eastAsia"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7EA8DBCF">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成新度</w:t>
            </w:r>
          </w:p>
        </w:tc>
        <w:tc>
          <w:tcPr>
            <w:tcW w:w="531" w:type="pct"/>
            <w:tcBorders>
              <w:top w:val="nil"/>
              <w:left w:val="nil"/>
              <w:bottom w:val="single" w:color="auto" w:sz="4" w:space="0"/>
              <w:right w:val="single" w:color="auto" w:sz="4" w:space="0"/>
            </w:tcBorders>
            <w:noWrap/>
            <w:vAlign w:val="center"/>
          </w:tcPr>
          <w:p w14:paraId="2F05A23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62BED5F">
            <w:pPr>
              <w:snapToGrid w:val="0"/>
              <w:spacing w:line="240" w:lineRule="exact"/>
              <w:jc w:val="both"/>
              <w:rPr>
                <w:rFonts w:ascii="Arial" w:hAnsi="Arial" w:cs="Arial"/>
                <w:sz w:val="16"/>
                <w:szCs w:val="18"/>
              </w:rPr>
            </w:pPr>
            <w:r>
              <w:rPr>
                <w:rFonts w:hint="eastAsia" w:ascii="Arial" w:hAnsi="Arial" w:cs="Arial"/>
                <w:sz w:val="16"/>
                <w:szCs w:val="18"/>
              </w:rPr>
              <w:t>94</w:t>
            </w:r>
          </w:p>
        </w:tc>
        <w:tc>
          <w:tcPr>
            <w:tcW w:w="531" w:type="pct"/>
            <w:tcBorders>
              <w:top w:val="nil"/>
              <w:left w:val="nil"/>
              <w:bottom w:val="single" w:color="auto" w:sz="4" w:space="0"/>
              <w:right w:val="single" w:color="auto" w:sz="4" w:space="0"/>
            </w:tcBorders>
            <w:noWrap/>
            <w:vAlign w:val="center"/>
          </w:tcPr>
          <w:p w14:paraId="5E3E187F">
            <w:pPr>
              <w:snapToGrid w:val="0"/>
              <w:spacing w:line="240" w:lineRule="exact"/>
              <w:jc w:val="both"/>
              <w:rPr>
                <w:rFonts w:ascii="Arial" w:hAnsi="Arial" w:cs="Arial"/>
                <w:sz w:val="16"/>
                <w:szCs w:val="18"/>
              </w:rPr>
            </w:pPr>
            <w:r>
              <w:rPr>
                <w:rFonts w:hint="eastAsia" w:ascii="Arial" w:hAnsi="Arial" w:cs="Arial"/>
                <w:sz w:val="16"/>
                <w:szCs w:val="18"/>
              </w:rPr>
              <w:t>94</w:t>
            </w:r>
          </w:p>
        </w:tc>
        <w:tc>
          <w:tcPr>
            <w:tcW w:w="531" w:type="pct"/>
            <w:tcBorders>
              <w:top w:val="nil"/>
              <w:left w:val="nil"/>
              <w:bottom w:val="single" w:color="auto" w:sz="4" w:space="0"/>
              <w:right w:val="single" w:color="auto" w:sz="4" w:space="0"/>
            </w:tcBorders>
            <w:noWrap/>
            <w:vAlign w:val="center"/>
          </w:tcPr>
          <w:p w14:paraId="0F3EA8D1">
            <w:pPr>
              <w:snapToGrid w:val="0"/>
              <w:spacing w:line="240" w:lineRule="exact"/>
              <w:jc w:val="both"/>
              <w:rPr>
                <w:rFonts w:ascii="Arial" w:hAnsi="Arial" w:cs="Arial"/>
                <w:sz w:val="16"/>
                <w:szCs w:val="18"/>
              </w:rPr>
            </w:pPr>
            <w:r>
              <w:rPr>
                <w:rFonts w:hint="eastAsia" w:ascii="Arial" w:hAnsi="Arial" w:cs="Arial"/>
                <w:sz w:val="16"/>
                <w:szCs w:val="18"/>
              </w:rPr>
              <w:t>94</w:t>
            </w:r>
          </w:p>
        </w:tc>
        <w:tc>
          <w:tcPr>
            <w:tcW w:w="2033" w:type="pct"/>
            <w:tcBorders>
              <w:top w:val="nil"/>
              <w:left w:val="nil"/>
              <w:bottom w:val="single" w:color="auto" w:sz="4" w:space="0"/>
              <w:right w:val="single" w:color="auto" w:sz="4" w:space="0"/>
            </w:tcBorders>
            <w:vAlign w:val="center"/>
          </w:tcPr>
          <w:p w14:paraId="71DF03E2">
            <w:pPr>
              <w:snapToGrid w:val="0"/>
              <w:spacing w:line="240" w:lineRule="exact"/>
              <w:jc w:val="both"/>
              <w:rPr>
                <w:rFonts w:ascii="Arial" w:hAnsi="Arial" w:cs="Arial"/>
                <w:sz w:val="16"/>
                <w:szCs w:val="18"/>
              </w:rPr>
            </w:pPr>
            <w:r>
              <w:rPr>
                <w:rFonts w:ascii="Arial" w:hAnsi="Arial" w:cs="Arial"/>
                <w:sz w:val="16"/>
                <w:szCs w:val="18"/>
              </w:rPr>
              <w:t>根据90%（含）-100%、80%（含）-90%、70%（含）-80%、60%（含）-70%、60%以下分为五个等级，每级相差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94、94、94</w:t>
            </w:r>
            <w:r>
              <w:rPr>
                <w:rFonts w:ascii="Arial" w:hAnsi="Arial" w:cs="Arial"/>
                <w:sz w:val="16"/>
                <w:szCs w:val="18"/>
              </w:rPr>
              <w:t>；</w:t>
            </w:r>
          </w:p>
        </w:tc>
      </w:tr>
      <w:tr w14:paraId="072040F4">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38C595B5">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0F0D0CBC">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公共区域装修</w:t>
            </w:r>
          </w:p>
        </w:tc>
        <w:tc>
          <w:tcPr>
            <w:tcW w:w="988" w:type="dxa"/>
            <w:tcBorders>
              <w:top w:val="nil"/>
              <w:left w:val="nil"/>
              <w:bottom w:val="single" w:color="auto" w:sz="4" w:space="0"/>
              <w:right w:val="single" w:color="auto" w:sz="4" w:space="0"/>
            </w:tcBorders>
            <w:noWrap/>
            <w:vAlign w:val="center"/>
          </w:tcPr>
          <w:p w14:paraId="02AE42D2">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72462071">
            <w:pPr>
              <w:snapToGrid w:val="0"/>
              <w:spacing w:line="240" w:lineRule="exact"/>
              <w:jc w:val="both"/>
              <w:rPr>
                <w:rFonts w:ascii="Arial" w:hAnsi="Arial" w:cs="Arial"/>
                <w:sz w:val="16"/>
                <w:szCs w:val="18"/>
              </w:rPr>
            </w:pPr>
            <w:r>
              <w:rPr>
                <w:rFonts w:hint="eastAsia" w:ascii="Arial" w:hAnsi="Arial" w:cs="Arial"/>
                <w:sz w:val="16"/>
                <w:szCs w:val="18"/>
              </w:rPr>
              <w:t>98</w:t>
            </w:r>
          </w:p>
        </w:tc>
        <w:tc>
          <w:tcPr>
            <w:tcW w:w="988" w:type="dxa"/>
            <w:tcBorders>
              <w:top w:val="nil"/>
              <w:left w:val="nil"/>
              <w:bottom w:val="single" w:color="auto" w:sz="4" w:space="0"/>
              <w:right w:val="single" w:color="auto" w:sz="4" w:space="0"/>
            </w:tcBorders>
            <w:noWrap/>
            <w:vAlign w:val="center"/>
          </w:tcPr>
          <w:p w14:paraId="07578B10">
            <w:pPr>
              <w:snapToGrid w:val="0"/>
              <w:spacing w:line="240" w:lineRule="exact"/>
              <w:jc w:val="both"/>
              <w:rPr>
                <w:rFonts w:ascii="Arial" w:hAnsi="Arial" w:cs="Arial"/>
                <w:sz w:val="16"/>
                <w:szCs w:val="18"/>
              </w:rPr>
            </w:pPr>
            <w:r>
              <w:rPr>
                <w:rFonts w:hint="eastAsia" w:ascii="Arial" w:hAnsi="Arial" w:cs="Arial"/>
                <w:sz w:val="16"/>
                <w:szCs w:val="18"/>
              </w:rPr>
              <w:t>98</w:t>
            </w:r>
          </w:p>
        </w:tc>
        <w:tc>
          <w:tcPr>
            <w:tcW w:w="988" w:type="dxa"/>
            <w:tcBorders>
              <w:top w:val="nil"/>
              <w:left w:val="nil"/>
              <w:bottom w:val="single" w:color="auto" w:sz="4" w:space="0"/>
              <w:right w:val="single" w:color="auto" w:sz="4" w:space="0"/>
            </w:tcBorders>
            <w:noWrap/>
            <w:vAlign w:val="center"/>
          </w:tcPr>
          <w:p w14:paraId="447EA088">
            <w:pPr>
              <w:snapToGrid w:val="0"/>
              <w:spacing w:line="240" w:lineRule="exact"/>
              <w:jc w:val="both"/>
              <w:rPr>
                <w:rFonts w:ascii="Arial" w:hAnsi="Arial" w:cs="Arial"/>
                <w:sz w:val="16"/>
                <w:szCs w:val="18"/>
              </w:rPr>
            </w:pPr>
            <w:r>
              <w:rPr>
                <w:rFonts w:hint="eastAsia" w:ascii="Arial" w:hAnsi="Arial" w:cs="Arial"/>
                <w:sz w:val="16"/>
                <w:szCs w:val="18"/>
              </w:rPr>
              <w:t>98</w:t>
            </w:r>
          </w:p>
        </w:tc>
        <w:tc>
          <w:tcPr>
            <w:tcW w:w="3781" w:type="dxa"/>
            <w:tcBorders>
              <w:top w:val="nil"/>
              <w:left w:val="nil"/>
              <w:bottom w:val="single" w:color="auto" w:sz="4" w:space="0"/>
              <w:right w:val="single" w:color="auto" w:sz="4" w:space="0"/>
            </w:tcBorders>
            <w:vAlign w:val="center"/>
          </w:tcPr>
          <w:p w14:paraId="48E15254">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装修等，以估价对象指数为100，每级相差2分，确定可比实例1、2、3该因素指数分别为</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98</w:t>
            </w:r>
            <w:r>
              <w:rPr>
                <w:rFonts w:ascii="Arial" w:hAnsi="Arial" w:cs="Arial"/>
                <w:sz w:val="16"/>
                <w:szCs w:val="18"/>
              </w:rPr>
              <w:t>；</w:t>
            </w:r>
          </w:p>
        </w:tc>
      </w:tr>
      <w:tr w14:paraId="18255824">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7B687B59">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7250F3B3">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室内装饰装修</w:t>
            </w:r>
          </w:p>
        </w:tc>
        <w:tc>
          <w:tcPr>
            <w:tcW w:w="988" w:type="dxa"/>
            <w:tcBorders>
              <w:top w:val="nil"/>
              <w:left w:val="nil"/>
              <w:bottom w:val="single" w:color="auto" w:sz="4" w:space="0"/>
              <w:right w:val="single" w:color="auto" w:sz="4" w:space="0"/>
            </w:tcBorders>
            <w:noWrap/>
            <w:vAlign w:val="center"/>
          </w:tcPr>
          <w:p w14:paraId="26A2094C">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314B7869">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375718C8">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235E72D2">
            <w:pPr>
              <w:snapToGrid w:val="0"/>
              <w:spacing w:line="240" w:lineRule="exact"/>
              <w:jc w:val="both"/>
              <w:rPr>
                <w:rFonts w:ascii="Arial" w:hAnsi="Arial" w:cs="Arial"/>
                <w:sz w:val="16"/>
                <w:szCs w:val="18"/>
              </w:rPr>
            </w:pPr>
            <w:r>
              <w:rPr>
                <w:rFonts w:ascii="Arial" w:hAnsi="Arial" w:cs="Arial"/>
                <w:sz w:val="16"/>
                <w:szCs w:val="18"/>
              </w:rPr>
              <w:t>100</w:t>
            </w:r>
          </w:p>
        </w:tc>
        <w:tc>
          <w:tcPr>
            <w:tcW w:w="3781" w:type="dxa"/>
            <w:tcBorders>
              <w:top w:val="nil"/>
              <w:left w:val="nil"/>
              <w:bottom w:val="single" w:color="auto" w:sz="4" w:space="0"/>
              <w:right w:val="single" w:color="auto" w:sz="4" w:space="0"/>
            </w:tcBorders>
            <w:vAlign w:val="center"/>
          </w:tcPr>
          <w:p w14:paraId="7967A4AC">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 100，每级相差3分，确定可比实例1、2、3该因素指数分别为</w:t>
            </w:r>
            <w:r>
              <w:rPr>
                <w:rFonts w:hint="eastAsia" w:ascii="Arial" w:hAnsi="Arial" w:cs="Arial"/>
                <w:sz w:val="16"/>
                <w:szCs w:val="18"/>
              </w:rPr>
              <w:t>100、100、100</w:t>
            </w:r>
            <w:r>
              <w:rPr>
                <w:rFonts w:ascii="Arial" w:hAnsi="Arial" w:cs="Arial"/>
                <w:sz w:val="16"/>
                <w:szCs w:val="18"/>
              </w:rPr>
              <w:t>；</w:t>
            </w:r>
          </w:p>
        </w:tc>
      </w:tr>
      <w:tr w14:paraId="0E8F1551">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6BB32814">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531580A6">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设施设备</w:t>
            </w:r>
          </w:p>
        </w:tc>
        <w:tc>
          <w:tcPr>
            <w:tcW w:w="531" w:type="pct"/>
            <w:tcBorders>
              <w:top w:val="nil"/>
              <w:left w:val="nil"/>
              <w:bottom w:val="single" w:color="auto" w:sz="4" w:space="0"/>
              <w:right w:val="single" w:color="auto" w:sz="4" w:space="0"/>
            </w:tcBorders>
            <w:noWrap/>
            <w:vAlign w:val="center"/>
          </w:tcPr>
          <w:p w14:paraId="7AF5440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E3FDE0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3361EA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E4260D5">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43898A65">
            <w:pPr>
              <w:snapToGrid w:val="0"/>
              <w:spacing w:line="240" w:lineRule="exact"/>
              <w:jc w:val="both"/>
              <w:rPr>
                <w:rFonts w:ascii="Arial" w:hAnsi="Arial" w:cs="Arial"/>
                <w:sz w:val="16"/>
                <w:szCs w:val="18"/>
              </w:rPr>
            </w:pPr>
            <w:r>
              <w:rPr>
                <w:rFonts w:ascii="Arial" w:hAnsi="Arial" w:cs="Arial"/>
                <w:sz w:val="16"/>
                <w:szCs w:val="18"/>
              </w:rPr>
              <w:t>根据实际配备情况，分为完善、较完善、一般、较不完善、不完善五个等级，每级相差</w:t>
            </w:r>
            <w:r>
              <w:rPr>
                <w:rFonts w:hint="eastAsia" w:ascii="Arial" w:hAnsi="Arial" w:cs="Arial"/>
                <w:sz w:val="16"/>
                <w:szCs w:val="18"/>
              </w:rPr>
              <w:t>3</w:t>
            </w:r>
            <w:r>
              <w:rPr>
                <w:rFonts w:ascii="Arial" w:hAnsi="Arial" w:cs="Arial"/>
                <w:sz w:val="16"/>
                <w:szCs w:val="18"/>
              </w:rPr>
              <w:t>分，确定可比实例1、2、3该因素指数分别为</w:t>
            </w:r>
            <w:r>
              <w:rPr>
                <w:rFonts w:hint="eastAsia" w:ascii="Arial" w:hAnsi="Arial" w:cs="Arial"/>
                <w:sz w:val="16"/>
                <w:szCs w:val="18"/>
              </w:rPr>
              <w:t>100、100、100</w:t>
            </w:r>
            <w:r>
              <w:rPr>
                <w:rFonts w:ascii="Arial" w:hAnsi="Arial" w:cs="Arial"/>
                <w:sz w:val="16"/>
                <w:szCs w:val="18"/>
              </w:rPr>
              <w:t>；</w:t>
            </w:r>
          </w:p>
        </w:tc>
      </w:tr>
      <w:tr w14:paraId="387B0EA4">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223188FD">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61610D1A">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综合管理服务设施</w:t>
            </w:r>
          </w:p>
        </w:tc>
        <w:tc>
          <w:tcPr>
            <w:tcW w:w="531" w:type="pct"/>
            <w:tcBorders>
              <w:top w:val="nil"/>
              <w:left w:val="nil"/>
              <w:bottom w:val="single" w:color="auto" w:sz="4" w:space="0"/>
              <w:right w:val="single" w:color="auto" w:sz="4" w:space="0"/>
            </w:tcBorders>
            <w:noWrap/>
            <w:vAlign w:val="center"/>
          </w:tcPr>
          <w:p w14:paraId="63408B5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E2D795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194F36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A4B3086">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3191912C">
            <w:pPr>
              <w:snapToGrid w:val="0"/>
              <w:spacing w:line="240" w:lineRule="exact"/>
              <w:jc w:val="both"/>
              <w:rPr>
                <w:rFonts w:ascii="Arial" w:hAnsi="Arial" w:cs="Arial"/>
                <w:sz w:val="16"/>
                <w:szCs w:val="18"/>
              </w:rPr>
            </w:pPr>
            <w:r>
              <w:rPr>
                <w:rFonts w:ascii="Arial" w:hAnsi="Arial" w:cs="Arial"/>
                <w:sz w:val="16"/>
                <w:szCs w:val="18"/>
              </w:rPr>
              <w:t>根据实际管理服务，确定可比实例1、2、3该因素指数分别为100、100、100；</w:t>
            </w:r>
          </w:p>
        </w:tc>
      </w:tr>
      <w:tr w14:paraId="0B7461CA">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63ED7242">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27452F29">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户型布局</w:t>
            </w:r>
          </w:p>
        </w:tc>
        <w:tc>
          <w:tcPr>
            <w:tcW w:w="531" w:type="pct"/>
            <w:tcBorders>
              <w:top w:val="nil"/>
              <w:left w:val="nil"/>
              <w:bottom w:val="single" w:color="auto" w:sz="4" w:space="0"/>
              <w:right w:val="single" w:color="auto" w:sz="4" w:space="0"/>
            </w:tcBorders>
            <w:noWrap/>
            <w:vAlign w:val="center"/>
          </w:tcPr>
          <w:p w14:paraId="242F01E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A69A642">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531" w:type="pct"/>
            <w:tcBorders>
              <w:top w:val="nil"/>
              <w:left w:val="nil"/>
              <w:bottom w:val="single" w:color="auto" w:sz="4" w:space="0"/>
              <w:right w:val="single" w:color="auto" w:sz="4" w:space="0"/>
            </w:tcBorders>
            <w:noWrap/>
            <w:vAlign w:val="center"/>
          </w:tcPr>
          <w:p w14:paraId="021BFE8F">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531" w:type="pct"/>
            <w:tcBorders>
              <w:top w:val="nil"/>
              <w:left w:val="nil"/>
              <w:bottom w:val="single" w:color="auto" w:sz="4" w:space="0"/>
              <w:right w:val="single" w:color="auto" w:sz="4" w:space="0"/>
            </w:tcBorders>
            <w:noWrap/>
            <w:vAlign w:val="center"/>
          </w:tcPr>
          <w:p w14:paraId="0701597E">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2033" w:type="pct"/>
            <w:tcBorders>
              <w:top w:val="nil"/>
              <w:left w:val="nil"/>
              <w:bottom w:val="single" w:color="auto" w:sz="4" w:space="0"/>
              <w:right w:val="single" w:color="auto" w:sz="4" w:space="0"/>
            </w:tcBorders>
            <w:vAlign w:val="center"/>
          </w:tcPr>
          <w:p w14:paraId="59D2EA53">
            <w:pPr>
              <w:snapToGrid w:val="0"/>
              <w:spacing w:line="240" w:lineRule="exact"/>
              <w:jc w:val="both"/>
              <w:rPr>
                <w:rFonts w:ascii="Arial" w:hAnsi="Arial" w:cs="Arial"/>
                <w:sz w:val="16"/>
                <w:szCs w:val="18"/>
              </w:rPr>
            </w:pPr>
            <w:r>
              <w:rPr>
                <w:rFonts w:ascii="Arial" w:hAnsi="Arial" w:cs="Arial"/>
                <w:sz w:val="16"/>
                <w:szCs w:val="18"/>
              </w:rPr>
              <w:t>根据布局对于使用率的影响，确定可比实例1、2、3该因素指数分别为10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w:t>
            </w:r>
          </w:p>
        </w:tc>
      </w:tr>
      <w:tr w14:paraId="120298C4">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0AD83F4E">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25013A4D">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户型结构</w:t>
            </w:r>
          </w:p>
        </w:tc>
        <w:tc>
          <w:tcPr>
            <w:tcW w:w="531" w:type="pct"/>
            <w:tcBorders>
              <w:top w:val="nil"/>
              <w:left w:val="nil"/>
              <w:bottom w:val="single" w:color="auto" w:sz="4" w:space="0"/>
              <w:right w:val="single" w:color="auto" w:sz="4" w:space="0"/>
            </w:tcBorders>
            <w:noWrap/>
            <w:vAlign w:val="center"/>
          </w:tcPr>
          <w:p w14:paraId="3B2660D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A5DA27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52DCBC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8F04FE3">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46359E31">
            <w:pPr>
              <w:snapToGrid w:val="0"/>
              <w:spacing w:line="240" w:lineRule="exact"/>
              <w:jc w:val="both"/>
              <w:rPr>
                <w:rFonts w:ascii="Arial" w:hAnsi="Arial" w:cs="Arial"/>
                <w:sz w:val="16"/>
                <w:szCs w:val="18"/>
              </w:rPr>
            </w:pPr>
            <w:r>
              <w:rPr>
                <w:rFonts w:ascii="Arial" w:hAnsi="Arial" w:cs="Arial"/>
                <w:sz w:val="16"/>
                <w:szCs w:val="18"/>
              </w:rPr>
              <w:t>估价对象与案例均为</w:t>
            </w:r>
            <w:r>
              <w:rPr>
                <w:rFonts w:hint="eastAsia" w:ascii="Arial" w:hAnsi="Arial" w:cs="Arial"/>
                <w:sz w:val="16"/>
                <w:szCs w:val="18"/>
              </w:rPr>
              <w:t>平层，</w:t>
            </w:r>
            <w:r>
              <w:rPr>
                <w:rFonts w:ascii="Arial" w:hAnsi="Arial" w:cs="Arial"/>
                <w:sz w:val="16"/>
                <w:szCs w:val="18"/>
              </w:rPr>
              <w:t>确定可比实例1、2、3该因素指数分别为100、100、100；</w:t>
            </w:r>
          </w:p>
        </w:tc>
      </w:tr>
      <w:tr w14:paraId="7313F988">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08AB5E50">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314DE500">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建筑面积</w:t>
            </w:r>
          </w:p>
        </w:tc>
        <w:tc>
          <w:tcPr>
            <w:tcW w:w="531" w:type="pct"/>
            <w:tcBorders>
              <w:top w:val="nil"/>
              <w:left w:val="nil"/>
              <w:bottom w:val="single" w:color="auto" w:sz="4" w:space="0"/>
              <w:right w:val="single" w:color="auto" w:sz="4" w:space="0"/>
            </w:tcBorders>
            <w:noWrap/>
            <w:vAlign w:val="center"/>
          </w:tcPr>
          <w:p w14:paraId="145704D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961B61F">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6494B36D">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37B45994">
            <w:pPr>
              <w:snapToGrid w:val="0"/>
              <w:spacing w:line="240" w:lineRule="exact"/>
              <w:jc w:val="both"/>
              <w:rPr>
                <w:rFonts w:ascii="Arial" w:hAnsi="Arial" w:cs="Arial"/>
                <w:sz w:val="16"/>
                <w:szCs w:val="18"/>
              </w:rPr>
            </w:pPr>
            <w:r>
              <w:rPr>
                <w:rFonts w:hint="eastAsia" w:ascii="Arial" w:hAnsi="Arial" w:cs="Arial"/>
                <w:sz w:val="16"/>
                <w:szCs w:val="18"/>
              </w:rPr>
              <w:t>96</w:t>
            </w:r>
          </w:p>
        </w:tc>
        <w:tc>
          <w:tcPr>
            <w:tcW w:w="2033" w:type="pct"/>
            <w:tcBorders>
              <w:top w:val="nil"/>
              <w:left w:val="nil"/>
              <w:bottom w:val="single" w:color="auto" w:sz="4" w:space="0"/>
              <w:right w:val="single" w:color="auto" w:sz="4" w:space="0"/>
            </w:tcBorders>
            <w:vAlign w:val="center"/>
          </w:tcPr>
          <w:p w14:paraId="1CDD5BB5">
            <w:pPr>
              <w:snapToGrid w:val="0"/>
              <w:spacing w:line="240" w:lineRule="exact"/>
              <w:jc w:val="both"/>
              <w:rPr>
                <w:rFonts w:ascii="Arial" w:hAnsi="Arial"/>
              </w:rPr>
            </w:pPr>
            <w:r>
              <w:rPr>
                <w:rFonts w:ascii="Arial" w:hAnsi="Arial" w:cs="Arial"/>
                <w:sz w:val="16"/>
                <w:szCs w:val="18"/>
              </w:rPr>
              <w:t>根据建筑面积对其价值的影响，从好到差划分为</w:t>
            </w:r>
            <w:r>
              <w:rPr>
                <w:rFonts w:hint="eastAsia" w:ascii="Arial" w:hAnsi="Arial" w:cs="Arial"/>
                <w:sz w:val="16"/>
                <w:szCs w:val="18"/>
              </w:rPr>
              <w:t>60</w:t>
            </w:r>
            <w:r>
              <w:rPr>
                <w:rFonts w:ascii="Arial" w:hAnsi="Arial" w:cs="Arial"/>
                <w:sz w:val="16"/>
                <w:szCs w:val="18"/>
              </w:rPr>
              <w:t>（含）平方米及以下、</w:t>
            </w:r>
            <w:r>
              <w:rPr>
                <w:rFonts w:hint="eastAsia" w:ascii="Arial" w:hAnsi="Arial" w:cs="Arial"/>
                <w:sz w:val="16"/>
                <w:szCs w:val="18"/>
              </w:rPr>
              <w:t>60</w:t>
            </w:r>
            <w:r>
              <w:rPr>
                <w:rFonts w:ascii="Arial" w:hAnsi="Arial" w:cs="Arial"/>
                <w:sz w:val="16"/>
                <w:szCs w:val="18"/>
              </w:rPr>
              <w:t>-</w:t>
            </w:r>
            <w:r>
              <w:rPr>
                <w:rFonts w:hint="eastAsia" w:ascii="Arial" w:hAnsi="Arial" w:cs="Arial"/>
                <w:sz w:val="16"/>
                <w:szCs w:val="18"/>
              </w:rPr>
              <w:t>7</w:t>
            </w:r>
            <w:r>
              <w:rPr>
                <w:rFonts w:ascii="Arial" w:hAnsi="Arial" w:cs="Arial"/>
                <w:sz w:val="16"/>
                <w:szCs w:val="18"/>
              </w:rPr>
              <w:t>0（含）平方米、</w:t>
            </w:r>
            <w:r>
              <w:rPr>
                <w:rFonts w:hint="eastAsia" w:ascii="Arial" w:hAnsi="Arial" w:cs="Arial"/>
                <w:sz w:val="16"/>
                <w:szCs w:val="18"/>
              </w:rPr>
              <w:t>7</w:t>
            </w:r>
            <w:r>
              <w:rPr>
                <w:rFonts w:ascii="Arial" w:hAnsi="Arial" w:cs="Arial"/>
                <w:sz w:val="16"/>
                <w:szCs w:val="18"/>
              </w:rPr>
              <w:t>0-</w:t>
            </w:r>
            <w:r>
              <w:rPr>
                <w:rFonts w:hint="eastAsia" w:ascii="Arial" w:hAnsi="Arial" w:cs="Arial"/>
                <w:sz w:val="16"/>
                <w:szCs w:val="18"/>
              </w:rPr>
              <w:t>8</w:t>
            </w:r>
            <w:r>
              <w:rPr>
                <w:rFonts w:ascii="Arial" w:hAnsi="Arial" w:cs="Arial"/>
                <w:sz w:val="16"/>
                <w:szCs w:val="18"/>
              </w:rPr>
              <w:t>0（含）</w:t>
            </w: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w:t>
            </w:r>
            <w:r>
              <w:rPr>
                <w:rFonts w:ascii="Arial" w:hAnsi="Arial" w:cs="Arial"/>
                <w:sz w:val="16"/>
                <w:szCs w:val="18"/>
              </w:rPr>
              <w:t>0（含）</w:t>
            </w:r>
            <w:r>
              <w:rPr>
                <w:rFonts w:hint="eastAsia" w:ascii="Arial" w:hAnsi="Arial" w:cs="Arial"/>
                <w:sz w:val="16"/>
                <w:szCs w:val="18"/>
              </w:rPr>
              <w:t>、90</w:t>
            </w:r>
            <w:r>
              <w:rPr>
                <w:rFonts w:ascii="Arial" w:hAnsi="Arial" w:cs="Arial"/>
                <w:sz w:val="16"/>
                <w:szCs w:val="18"/>
              </w:rPr>
              <w:t>-</w:t>
            </w:r>
            <w:r>
              <w:rPr>
                <w:rFonts w:hint="eastAsia" w:ascii="Arial" w:hAnsi="Arial" w:cs="Arial"/>
                <w:sz w:val="16"/>
                <w:szCs w:val="18"/>
              </w:rPr>
              <w:t>10</w:t>
            </w:r>
            <w:r>
              <w:rPr>
                <w:rFonts w:ascii="Arial" w:hAnsi="Arial" w:cs="Arial"/>
                <w:sz w:val="16"/>
                <w:szCs w:val="18"/>
              </w:rPr>
              <w:t>0（含）</w:t>
            </w:r>
            <w:r>
              <w:rPr>
                <w:rFonts w:hint="eastAsia" w:ascii="Arial" w:hAnsi="Arial" w:cs="Arial"/>
                <w:sz w:val="16"/>
                <w:szCs w:val="18"/>
              </w:rPr>
              <w:t>、100</w:t>
            </w:r>
            <w:r>
              <w:rPr>
                <w:rFonts w:ascii="Arial" w:hAnsi="Arial" w:cs="Arial"/>
                <w:sz w:val="16"/>
                <w:szCs w:val="18"/>
              </w:rPr>
              <w:t>-</w:t>
            </w:r>
            <w:r>
              <w:rPr>
                <w:rFonts w:hint="eastAsia" w:ascii="Arial" w:hAnsi="Arial" w:cs="Arial"/>
                <w:sz w:val="16"/>
                <w:szCs w:val="18"/>
              </w:rPr>
              <w:t>11</w:t>
            </w:r>
            <w:r>
              <w:rPr>
                <w:rFonts w:ascii="Arial" w:hAnsi="Arial" w:cs="Arial"/>
                <w:sz w:val="16"/>
                <w:szCs w:val="18"/>
              </w:rPr>
              <w:t>0（含）</w:t>
            </w:r>
            <w:r>
              <w:rPr>
                <w:rFonts w:hint="eastAsia" w:ascii="Arial" w:hAnsi="Arial" w:cs="Arial"/>
                <w:sz w:val="16"/>
                <w:szCs w:val="18"/>
              </w:rPr>
              <w:t>、110</w:t>
            </w:r>
            <w:r>
              <w:rPr>
                <w:rFonts w:ascii="Arial" w:hAnsi="Arial" w:cs="Arial"/>
                <w:sz w:val="16"/>
                <w:szCs w:val="18"/>
              </w:rPr>
              <w:t>-</w:t>
            </w:r>
            <w:r>
              <w:rPr>
                <w:rFonts w:hint="eastAsia" w:ascii="Arial" w:hAnsi="Arial" w:cs="Arial"/>
                <w:sz w:val="16"/>
                <w:szCs w:val="18"/>
              </w:rPr>
              <w:t>12</w:t>
            </w:r>
            <w:r>
              <w:rPr>
                <w:rFonts w:ascii="Arial" w:hAnsi="Arial" w:cs="Arial"/>
                <w:sz w:val="16"/>
                <w:szCs w:val="18"/>
              </w:rPr>
              <w:t>0（含）</w:t>
            </w:r>
            <w:r>
              <w:rPr>
                <w:rFonts w:hint="eastAsia" w:ascii="Arial" w:hAnsi="Arial" w:cs="Arial"/>
                <w:sz w:val="16"/>
                <w:szCs w:val="18"/>
              </w:rPr>
              <w:t>、120</w:t>
            </w:r>
            <w:r>
              <w:rPr>
                <w:rFonts w:ascii="Arial" w:hAnsi="Arial" w:cs="Arial"/>
                <w:sz w:val="16"/>
                <w:szCs w:val="18"/>
              </w:rPr>
              <w:t>-</w:t>
            </w:r>
            <w:r>
              <w:rPr>
                <w:rFonts w:hint="eastAsia" w:ascii="Arial" w:hAnsi="Arial" w:cs="Arial"/>
                <w:sz w:val="16"/>
                <w:szCs w:val="18"/>
              </w:rPr>
              <w:t>13</w:t>
            </w:r>
            <w:r>
              <w:rPr>
                <w:rFonts w:ascii="Arial" w:hAnsi="Arial" w:cs="Arial"/>
                <w:sz w:val="16"/>
                <w:szCs w:val="18"/>
              </w:rPr>
              <w:t>0（含）</w:t>
            </w:r>
            <w:r>
              <w:rPr>
                <w:rFonts w:hint="eastAsia" w:ascii="Arial" w:hAnsi="Arial" w:cs="Arial"/>
                <w:sz w:val="16"/>
                <w:szCs w:val="18"/>
              </w:rPr>
              <w:t>、130</w:t>
            </w:r>
            <w:r>
              <w:rPr>
                <w:rFonts w:ascii="Arial" w:hAnsi="Arial" w:cs="Arial"/>
                <w:sz w:val="16"/>
                <w:szCs w:val="18"/>
              </w:rPr>
              <w:t>-</w:t>
            </w:r>
            <w:r>
              <w:rPr>
                <w:rFonts w:hint="eastAsia" w:ascii="Arial" w:hAnsi="Arial" w:cs="Arial"/>
                <w:sz w:val="16"/>
                <w:szCs w:val="18"/>
              </w:rPr>
              <w:t>14</w:t>
            </w:r>
            <w:r>
              <w:rPr>
                <w:rFonts w:ascii="Arial" w:hAnsi="Arial" w:cs="Arial"/>
                <w:sz w:val="16"/>
                <w:szCs w:val="18"/>
              </w:rPr>
              <w:t>0（含）平方米及以上。以估价对象该因素指数为100，各可比实例与之相比，确定可比实例1、2、3该因素指数分别为</w:t>
            </w:r>
            <w:r>
              <w:rPr>
                <w:rFonts w:hint="eastAsia" w:ascii="Arial" w:hAnsi="Arial" w:cs="Arial"/>
                <w:sz w:val="16"/>
                <w:szCs w:val="18"/>
              </w:rPr>
              <w:t>98、98、96</w:t>
            </w:r>
            <w:r>
              <w:rPr>
                <w:rFonts w:ascii="Arial" w:hAnsi="Arial" w:cs="Arial"/>
                <w:sz w:val="16"/>
                <w:szCs w:val="18"/>
              </w:rPr>
              <w:t>；</w:t>
            </w:r>
          </w:p>
        </w:tc>
      </w:tr>
      <w:tr w14:paraId="506D9297">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6058BAE2">
            <w:pPr>
              <w:snapToGrid w:val="0"/>
              <w:spacing w:line="240" w:lineRule="exact"/>
              <w:jc w:val="both"/>
              <w:rPr>
                <w:rFonts w:hint="eastAsia" w:ascii="宋体" w:hAnsi="宋体" w:cs="Arial"/>
                <w:sz w:val="16"/>
                <w:szCs w:val="18"/>
              </w:rPr>
            </w:pPr>
          </w:p>
        </w:tc>
        <w:tc>
          <w:tcPr>
            <w:tcW w:w="996" w:type="dxa"/>
            <w:tcBorders>
              <w:top w:val="nil"/>
              <w:left w:val="nil"/>
              <w:bottom w:val="single" w:color="auto" w:sz="4" w:space="0"/>
              <w:right w:val="single" w:color="auto" w:sz="4" w:space="0"/>
            </w:tcBorders>
            <w:vAlign w:val="center"/>
          </w:tcPr>
          <w:p w14:paraId="47066045">
            <w:pPr>
              <w:widowControl/>
              <w:adjustRightInd/>
              <w:spacing w:line="240" w:lineRule="auto"/>
              <w:jc w:val="center"/>
              <w:textAlignment w:val="auto"/>
              <w:rPr>
                <w:rFonts w:hint="eastAsia" w:ascii="宋体" w:hAnsi="宋体" w:cs="Arial"/>
                <w:sz w:val="16"/>
                <w:szCs w:val="18"/>
              </w:rPr>
            </w:pPr>
            <w:r>
              <w:rPr>
                <w:rFonts w:ascii="宋体" w:hAnsi="宋体" w:cs="Arial"/>
                <w:sz w:val="16"/>
                <w:szCs w:val="18"/>
              </w:rPr>
              <w:t>家具家电</w:t>
            </w:r>
          </w:p>
        </w:tc>
        <w:tc>
          <w:tcPr>
            <w:tcW w:w="988" w:type="dxa"/>
            <w:tcBorders>
              <w:top w:val="nil"/>
              <w:left w:val="nil"/>
              <w:bottom w:val="single" w:color="auto" w:sz="4" w:space="0"/>
              <w:right w:val="single" w:color="auto" w:sz="4" w:space="0"/>
            </w:tcBorders>
            <w:noWrap/>
            <w:vAlign w:val="center"/>
          </w:tcPr>
          <w:p w14:paraId="5AA80DAF">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7C21CB83">
            <w:pPr>
              <w:snapToGrid w:val="0"/>
              <w:spacing w:line="240" w:lineRule="exact"/>
              <w:jc w:val="both"/>
              <w:rPr>
                <w:rFonts w:ascii="Arial" w:hAnsi="Arial" w:cs="Arial"/>
                <w:sz w:val="16"/>
                <w:szCs w:val="18"/>
              </w:rPr>
            </w:pPr>
            <w:r>
              <w:rPr>
                <w:rFonts w:hint="eastAsia" w:ascii="Arial" w:hAnsi="Arial" w:cs="Arial"/>
                <w:sz w:val="16"/>
                <w:szCs w:val="18"/>
              </w:rPr>
              <w:t>91</w:t>
            </w:r>
          </w:p>
        </w:tc>
        <w:tc>
          <w:tcPr>
            <w:tcW w:w="988" w:type="dxa"/>
            <w:tcBorders>
              <w:top w:val="nil"/>
              <w:left w:val="nil"/>
              <w:bottom w:val="single" w:color="auto" w:sz="4" w:space="0"/>
              <w:right w:val="single" w:color="auto" w:sz="4" w:space="0"/>
            </w:tcBorders>
            <w:noWrap/>
            <w:vAlign w:val="center"/>
          </w:tcPr>
          <w:p w14:paraId="378951BB">
            <w:pPr>
              <w:snapToGrid w:val="0"/>
              <w:spacing w:line="240" w:lineRule="exact"/>
              <w:jc w:val="both"/>
              <w:rPr>
                <w:rFonts w:ascii="Arial" w:hAnsi="Arial" w:cs="Arial"/>
                <w:sz w:val="16"/>
                <w:szCs w:val="18"/>
              </w:rPr>
            </w:pPr>
            <w:r>
              <w:rPr>
                <w:rFonts w:hint="eastAsia" w:ascii="Arial" w:hAnsi="Arial" w:cs="Arial"/>
                <w:sz w:val="16"/>
                <w:szCs w:val="18"/>
              </w:rPr>
              <w:t>91</w:t>
            </w:r>
          </w:p>
        </w:tc>
        <w:tc>
          <w:tcPr>
            <w:tcW w:w="988" w:type="dxa"/>
            <w:tcBorders>
              <w:top w:val="nil"/>
              <w:left w:val="nil"/>
              <w:bottom w:val="single" w:color="auto" w:sz="4" w:space="0"/>
              <w:right w:val="single" w:color="auto" w:sz="4" w:space="0"/>
            </w:tcBorders>
            <w:noWrap/>
            <w:vAlign w:val="center"/>
          </w:tcPr>
          <w:p w14:paraId="2A115790">
            <w:pPr>
              <w:snapToGrid w:val="0"/>
              <w:spacing w:line="240" w:lineRule="exact"/>
              <w:jc w:val="both"/>
              <w:rPr>
                <w:rFonts w:ascii="Arial" w:hAnsi="Arial" w:cs="Arial"/>
                <w:sz w:val="16"/>
                <w:szCs w:val="18"/>
              </w:rPr>
            </w:pPr>
            <w:r>
              <w:rPr>
                <w:rFonts w:hint="eastAsia" w:ascii="Arial" w:hAnsi="Arial" w:cs="Arial"/>
                <w:sz w:val="16"/>
                <w:szCs w:val="18"/>
              </w:rPr>
              <w:t>91</w:t>
            </w:r>
          </w:p>
        </w:tc>
        <w:tc>
          <w:tcPr>
            <w:tcW w:w="3781" w:type="dxa"/>
            <w:tcBorders>
              <w:top w:val="nil"/>
              <w:left w:val="nil"/>
              <w:bottom w:val="single" w:color="auto" w:sz="4" w:space="0"/>
              <w:right w:val="single" w:color="auto" w:sz="4" w:space="0"/>
            </w:tcBorders>
            <w:vAlign w:val="center"/>
          </w:tcPr>
          <w:p w14:paraId="765906FA">
            <w:pPr>
              <w:widowControl/>
              <w:adjustRightInd/>
              <w:spacing w:line="240" w:lineRule="auto"/>
              <w:textAlignment w:val="auto"/>
              <w:rPr>
                <w:rFonts w:ascii="Arial" w:hAnsi="Arial"/>
              </w:rPr>
            </w:pPr>
            <w:r>
              <w:rPr>
                <w:rFonts w:ascii="Arial" w:hAnsi="Arial" w:cs="Arial"/>
                <w:sz w:val="16"/>
                <w:szCs w:val="18"/>
              </w:rPr>
              <w:t>根据家具家电配备齐全程度，以估价对象该因素指数为100，各可比实例与之相比，确定可比实例1、2、3该因素指数分别为</w:t>
            </w:r>
            <w:r>
              <w:rPr>
                <w:rFonts w:hint="eastAsia" w:ascii="Arial" w:hAnsi="Arial" w:cs="Arial"/>
                <w:sz w:val="16"/>
                <w:szCs w:val="18"/>
              </w:rPr>
              <w:t>91、91、91</w:t>
            </w:r>
          </w:p>
        </w:tc>
      </w:tr>
      <w:tr w14:paraId="011D77DC">
        <w:tblPrEx>
          <w:tblCellMar>
            <w:top w:w="57" w:type="dxa"/>
            <w:left w:w="57" w:type="dxa"/>
            <w:bottom w:w="57" w:type="dxa"/>
            <w:right w:w="57" w:type="dxa"/>
          </w:tblCellMar>
        </w:tblPrEx>
        <w:trPr>
          <w:trHeight w:val="20" w:hRule="atLeast"/>
          <w:jc w:val="center"/>
        </w:trPr>
        <w:tc>
          <w:tcPr>
            <w:tcW w:w="304" w:type="pct"/>
            <w:vMerge w:val="restart"/>
            <w:tcBorders>
              <w:top w:val="single" w:color="auto" w:sz="4" w:space="0"/>
              <w:left w:val="single" w:color="auto" w:sz="4" w:space="0"/>
              <w:bottom w:val="single" w:color="auto" w:sz="4" w:space="0"/>
              <w:right w:val="single" w:color="auto" w:sz="4" w:space="0"/>
            </w:tcBorders>
            <w:vAlign w:val="center"/>
          </w:tcPr>
          <w:p w14:paraId="169D88BE">
            <w:pPr>
              <w:snapToGrid w:val="0"/>
              <w:spacing w:line="240" w:lineRule="exact"/>
              <w:jc w:val="both"/>
              <w:rPr>
                <w:rFonts w:hint="eastAsia" w:ascii="宋体" w:hAnsi="宋体" w:cs="Arial"/>
                <w:sz w:val="16"/>
                <w:szCs w:val="18"/>
              </w:rPr>
            </w:pPr>
            <w:r>
              <w:rPr>
                <w:rFonts w:ascii="宋体" w:hAnsi="宋体" w:cs="Arial"/>
                <w:sz w:val="16"/>
                <w:szCs w:val="18"/>
              </w:rPr>
              <w:t>权益状况</w:t>
            </w:r>
          </w:p>
        </w:tc>
        <w:tc>
          <w:tcPr>
            <w:tcW w:w="535" w:type="pct"/>
            <w:tcBorders>
              <w:top w:val="single" w:color="auto" w:sz="4" w:space="0"/>
              <w:left w:val="nil"/>
              <w:bottom w:val="single" w:color="auto" w:sz="4" w:space="0"/>
              <w:right w:val="single" w:color="auto" w:sz="4" w:space="0"/>
            </w:tcBorders>
            <w:vAlign w:val="center"/>
          </w:tcPr>
          <w:p w14:paraId="3493AB5A">
            <w:pPr>
              <w:snapToGrid w:val="0"/>
              <w:spacing w:line="240" w:lineRule="exact"/>
              <w:jc w:val="both"/>
              <w:rPr>
                <w:rFonts w:hint="eastAsia" w:ascii="宋体" w:hAnsi="宋体" w:cs="Arial"/>
                <w:sz w:val="16"/>
                <w:szCs w:val="18"/>
              </w:rPr>
            </w:pPr>
            <w:r>
              <w:rPr>
                <w:rFonts w:ascii="宋体" w:hAnsi="宋体" w:cs="Arial"/>
                <w:sz w:val="16"/>
                <w:szCs w:val="18"/>
              </w:rPr>
              <w:t>服务及管理水平</w:t>
            </w:r>
          </w:p>
        </w:tc>
        <w:tc>
          <w:tcPr>
            <w:tcW w:w="531" w:type="pct"/>
            <w:tcBorders>
              <w:top w:val="nil"/>
              <w:left w:val="nil"/>
              <w:bottom w:val="single" w:color="auto" w:sz="4" w:space="0"/>
              <w:right w:val="single" w:color="auto" w:sz="4" w:space="0"/>
            </w:tcBorders>
            <w:noWrap/>
            <w:vAlign w:val="center"/>
          </w:tcPr>
          <w:p w14:paraId="20217CB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FBACE0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C7EAFF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330A2BE">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1BE025F9">
            <w:pPr>
              <w:widowControl/>
              <w:adjustRightInd/>
              <w:spacing w:line="240" w:lineRule="auto"/>
              <w:textAlignment w:val="auto"/>
              <w:rPr>
                <w:rFonts w:ascii="Arial" w:hAnsi="Arial" w:cs="Arial"/>
                <w:sz w:val="16"/>
                <w:szCs w:val="18"/>
              </w:rPr>
            </w:pPr>
            <w:r>
              <w:rPr>
                <w:rFonts w:ascii="Arial" w:hAnsi="Arial" w:cs="Arial"/>
                <w:sz w:val="16"/>
                <w:szCs w:val="18"/>
              </w:rPr>
              <w:t>根据是否配置服务管家、是否封闭式管理，以估价对象该因素指数为100，各可比实例与之相比，确定可比实例1、2、3该因素指数分别为</w:t>
            </w:r>
            <w:r>
              <w:rPr>
                <w:rFonts w:hint="eastAsia" w:ascii="Arial" w:hAnsi="Arial" w:cs="Arial"/>
                <w:sz w:val="16"/>
                <w:szCs w:val="18"/>
              </w:rPr>
              <w:t>100、100、100</w:t>
            </w:r>
            <w:r>
              <w:rPr>
                <w:rFonts w:ascii="Arial" w:hAnsi="Arial" w:cs="Arial"/>
                <w:sz w:val="16"/>
                <w:szCs w:val="18"/>
              </w:rPr>
              <w:t>。</w:t>
            </w:r>
          </w:p>
        </w:tc>
      </w:tr>
      <w:tr w14:paraId="12E345BD">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628BE173">
            <w:pPr>
              <w:snapToGrid w:val="0"/>
              <w:spacing w:line="240" w:lineRule="exact"/>
              <w:jc w:val="both"/>
              <w:rPr>
                <w:rFonts w:hint="eastAsia" w:ascii="宋体" w:hAnsi="宋体" w:cs="Arial"/>
                <w:sz w:val="16"/>
                <w:szCs w:val="18"/>
              </w:rPr>
            </w:pPr>
          </w:p>
        </w:tc>
        <w:tc>
          <w:tcPr>
            <w:tcW w:w="535" w:type="pct"/>
            <w:tcBorders>
              <w:top w:val="nil"/>
              <w:left w:val="nil"/>
              <w:bottom w:val="single" w:color="auto" w:sz="4" w:space="0"/>
              <w:right w:val="single" w:color="auto" w:sz="4" w:space="0"/>
            </w:tcBorders>
            <w:vAlign w:val="center"/>
          </w:tcPr>
          <w:p w14:paraId="2B54F144">
            <w:pPr>
              <w:snapToGrid w:val="0"/>
              <w:spacing w:line="240" w:lineRule="exact"/>
              <w:jc w:val="both"/>
              <w:rPr>
                <w:rFonts w:hint="eastAsia" w:ascii="宋体" w:hAnsi="宋体" w:cs="Arial"/>
                <w:sz w:val="16"/>
                <w:szCs w:val="18"/>
              </w:rPr>
            </w:pPr>
            <w:r>
              <w:rPr>
                <w:rFonts w:ascii="宋体" w:hAnsi="宋体" w:cs="Arial"/>
                <w:sz w:val="16"/>
                <w:szCs w:val="18"/>
              </w:rPr>
              <w:t>水电气费执行标准</w:t>
            </w:r>
          </w:p>
        </w:tc>
        <w:tc>
          <w:tcPr>
            <w:tcW w:w="531" w:type="pct"/>
            <w:tcBorders>
              <w:top w:val="nil"/>
              <w:left w:val="nil"/>
              <w:bottom w:val="single" w:color="auto" w:sz="4" w:space="0"/>
              <w:right w:val="single" w:color="auto" w:sz="4" w:space="0"/>
            </w:tcBorders>
            <w:noWrap/>
            <w:vAlign w:val="center"/>
          </w:tcPr>
          <w:p w14:paraId="74B87FA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5058A6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09C34F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3A8B881">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1ABAFF5D">
            <w:pPr>
              <w:widowControl/>
              <w:adjustRightInd/>
              <w:spacing w:line="240" w:lineRule="auto"/>
              <w:textAlignment w:val="auto"/>
              <w:rPr>
                <w:rFonts w:ascii="Arial" w:hAnsi="Arial" w:cs="Arial"/>
                <w:sz w:val="16"/>
                <w:szCs w:val="18"/>
              </w:rPr>
            </w:pPr>
            <w:r>
              <w:rPr>
                <w:rFonts w:ascii="Arial" w:hAnsi="Arial" w:cs="Arial"/>
                <w:sz w:val="16"/>
                <w:szCs w:val="18"/>
              </w:rPr>
              <w:t>估价对象与案例均采用民水民电，确定可比实例1、2、3该因素指数分别为100、100、100。</w:t>
            </w:r>
          </w:p>
        </w:tc>
      </w:tr>
    </w:tbl>
    <w:p w14:paraId="33F72AEB">
      <w:pPr>
        <w:wordWrap w:val="0"/>
        <w:overflowPunct w:val="0"/>
        <w:spacing w:line="480" w:lineRule="auto"/>
        <w:rPr>
          <w:rFonts w:ascii="Arial" w:hAnsi="Arial"/>
          <w:sz w:val="21"/>
          <w:szCs w:val="21"/>
        </w:rPr>
      </w:pPr>
    </w:p>
    <w:p w14:paraId="2C36493F">
      <w:pPr>
        <w:wordWrap w:val="0"/>
        <w:overflowPunct w:val="0"/>
        <w:spacing w:line="480" w:lineRule="auto"/>
        <w:rPr>
          <w:rFonts w:ascii="Arial" w:hAnsi="Arial"/>
          <w:sz w:val="21"/>
          <w:szCs w:val="21"/>
        </w:rPr>
      </w:pPr>
    </w:p>
    <w:p w14:paraId="39A4C17D">
      <w:pPr>
        <w:rPr>
          <w:rFonts w:ascii="Arial" w:hAnsi="Arial"/>
          <w:sz w:val="21"/>
          <w:szCs w:val="21"/>
        </w:rPr>
      </w:pPr>
      <w:r>
        <w:rPr>
          <w:rFonts w:hint="eastAsia" w:ascii="Arial" w:hAnsi="Arial"/>
          <w:sz w:val="21"/>
          <w:szCs w:val="21"/>
        </w:rPr>
        <w:br w:type="page"/>
      </w:r>
    </w:p>
    <w:p w14:paraId="009FBCD1">
      <w:pPr>
        <w:wordWrap w:val="0"/>
        <w:overflowPunct w:val="0"/>
        <w:spacing w:line="480" w:lineRule="auto"/>
        <w:ind w:firstLine="420" w:firstLineChars="200"/>
        <w:rPr>
          <w:rFonts w:ascii="Arial" w:hAnsi="Arial"/>
          <w:sz w:val="21"/>
          <w:szCs w:val="21"/>
        </w:rPr>
      </w:pPr>
      <w:r>
        <w:rPr>
          <w:rFonts w:hint="eastAsia" w:ascii="Arial" w:hAnsi="Arial"/>
          <w:sz w:val="21"/>
          <w:szCs w:val="21"/>
        </w:rPr>
        <w:t>（3）编制因素比较修正系数表</w:t>
      </w:r>
      <w:r>
        <w:rPr>
          <w:rFonts w:ascii="Arial" w:hAnsi="Arial"/>
          <w:sz w:val="21"/>
          <w:szCs w:val="21"/>
        </w:rPr>
        <w:t xml:space="preserve"> </w:t>
      </w:r>
    </w:p>
    <w:p w14:paraId="0B1B60B1">
      <w:pPr>
        <w:wordWrap w:val="0"/>
        <w:overflowPunct w:val="0"/>
        <w:spacing w:line="480" w:lineRule="auto"/>
        <w:ind w:firstLine="420" w:firstLineChars="200"/>
        <w:rPr>
          <w:rFonts w:ascii="Arial" w:hAnsi="Arial"/>
          <w:sz w:val="21"/>
          <w:szCs w:val="21"/>
        </w:rPr>
      </w:pPr>
      <w:r>
        <w:rPr>
          <w:rFonts w:hint="eastAsia" w:ascii="Arial" w:hAnsi="Arial"/>
          <w:sz w:val="21"/>
          <w:szCs w:val="21"/>
        </w:rPr>
        <w:t>根据比较因素条件指数表，编制因素各项目比较修正系数表，详见下表：</w:t>
      </w:r>
    </w:p>
    <w:p w14:paraId="345913B6">
      <w:pPr>
        <w:overflowPunct w:val="0"/>
        <w:spacing w:line="480" w:lineRule="auto"/>
        <w:ind w:firstLine="420" w:firstLineChars="200"/>
        <w:jc w:val="center"/>
        <w:rPr>
          <w:rFonts w:ascii="Arial" w:hAnsi="Arial"/>
          <w:sz w:val="21"/>
          <w:szCs w:val="21"/>
        </w:rPr>
      </w:pPr>
      <w:r>
        <w:rPr>
          <w:rFonts w:hint="eastAsia" w:ascii="Arial" w:hAnsi="Arial"/>
          <w:sz w:val="21"/>
          <w:szCs w:val="21"/>
        </w:rPr>
        <w:t>因素比较修正系数表</w:t>
      </w:r>
    </w:p>
    <w:tbl>
      <w:tblPr>
        <w:tblStyle w:val="33"/>
        <w:tblW w:w="5000" w:type="pct"/>
        <w:tblInd w:w="0" w:type="dxa"/>
        <w:tblLayout w:type="autofit"/>
        <w:tblCellMar>
          <w:top w:w="0" w:type="dxa"/>
          <w:left w:w="108" w:type="dxa"/>
          <w:bottom w:w="0" w:type="dxa"/>
          <w:right w:w="108" w:type="dxa"/>
        </w:tblCellMar>
      </w:tblPr>
      <w:tblGrid>
        <w:gridCol w:w="1506"/>
        <w:gridCol w:w="2887"/>
        <w:gridCol w:w="1707"/>
        <w:gridCol w:w="1707"/>
        <w:gridCol w:w="1708"/>
      </w:tblGrid>
      <w:tr w14:paraId="28FBB903">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5855EEF1">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897" w:type="pct"/>
            <w:tcBorders>
              <w:top w:val="single" w:color="auto" w:sz="4" w:space="0"/>
              <w:left w:val="nil"/>
              <w:bottom w:val="single" w:color="auto" w:sz="4" w:space="0"/>
              <w:right w:val="single" w:color="auto" w:sz="4" w:space="0"/>
            </w:tcBorders>
            <w:vAlign w:val="center"/>
          </w:tcPr>
          <w:p w14:paraId="73BC701F">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13</w:t>
            </w:r>
          </w:p>
        </w:tc>
        <w:tc>
          <w:tcPr>
            <w:tcW w:w="897" w:type="pct"/>
            <w:tcBorders>
              <w:top w:val="single" w:color="auto" w:sz="4" w:space="0"/>
              <w:left w:val="nil"/>
              <w:bottom w:val="single" w:color="auto" w:sz="4" w:space="0"/>
              <w:right w:val="single" w:color="auto" w:sz="4" w:space="0"/>
            </w:tcBorders>
            <w:vAlign w:val="center"/>
          </w:tcPr>
          <w:p w14:paraId="1F26523F">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14</w:t>
            </w:r>
          </w:p>
        </w:tc>
        <w:tc>
          <w:tcPr>
            <w:tcW w:w="897" w:type="pct"/>
            <w:tcBorders>
              <w:top w:val="single" w:color="auto" w:sz="4" w:space="0"/>
              <w:left w:val="nil"/>
              <w:bottom w:val="single" w:color="auto" w:sz="4" w:space="0"/>
              <w:right w:val="single" w:color="auto" w:sz="4" w:space="0"/>
            </w:tcBorders>
            <w:vAlign w:val="center"/>
          </w:tcPr>
          <w:p w14:paraId="1C2DED77">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15</w:t>
            </w:r>
          </w:p>
        </w:tc>
      </w:tr>
      <w:tr w14:paraId="6B55BD6B">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5BF56634">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1707" w:type="dxa"/>
            <w:tcBorders>
              <w:top w:val="nil"/>
              <w:left w:val="nil"/>
              <w:bottom w:val="single" w:color="auto" w:sz="4" w:space="0"/>
              <w:right w:val="single" w:color="auto" w:sz="4" w:space="0"/>
            </w:tcBorders>
            <w:vAlign w:val="center"/>
          </w:tcPr>
          <w:p w14:paraId="705EC8FB">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1707" w:type="dxa"/>
            <w:tcBorders>
              <w:top w:val="nil"/>
              <w:left w:val="nil"/>
              <w:bottom w:val="single" w:color="auto" w:sz="4" w:space="0"/>
              <w:right w:val="single" w:color="auto" w:sz="4" w:space="0"/>
            </w:tcBorders>
            <w:vAlign w:val="center"/>
          </w:tcPr>
          <w:p w14:paraId="7F513B31">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漪景园</w:t>
            </w:r>
          </w:p>
        </w:tc>
        <w:tc>
          <w:tcPr>
            <w:tcW w:w="1708" w:type="dxa"/>
            <w:tcBorders>
              <w:top w:val="nil"/>
              <w:left w:val="nil"/>
              <w:bottom w:val="single" w:color="auto" w:sz="4" w:space="0"/>
              <w:right w:val="single" w:color="auto" w:sz="4" w:space="0"/>
            </w:tcBorders>
            <w:vAlign w:val="center"/>
          </w:tcPr>
          <w:p w14:paraId="6A58CA4C">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义和庄东里</w:t>
            </w:r>
          </w:p>
        </w:tc>
      </w:tr>
      <w:tr w14:paraId="56443173">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53509CB8">
            <w:pPr>
              <w:widowControl/>
              <w:adjustRightInd/>
              <w:spacing w:line="240" w:lineRule="auto"/>
              <w:textAlignment w:val="auto"/>
              <w:rPr>
                <w:rFonts w:ascii="Arial" w:hAnsi="Arial" w:cs="Arial"/>
                <w:sz w:val="16"/>
                <w:szCs w:val="18"/>
              </w:rPr>
            </w:pPr>
            <w:r>
              <w:rPr>
                <w:rFonts w:ascii="Arial" w:hAnsi="Arial" w:cs="Arial"/>
                <w:sz w:val="16"/>
                <w:szCs w:val="18"/>
              </w:rPr>
              <w:t>平均租金（元/平方米·月）</w:t>
            </w:r>
          </w:p>
        </w:tc>
        <w:tc>
          <w:tcPr>
            <w:tcW w:w="1707" w:type="dxa"/>
            <w:tcBorders>
              <w:top w:val="nil"/>
              <w:left w:val="nil"/>
              <w:bottom w:val="single" w:color="auto" w:sz="4" w:space="0"/>
              <w:right w:val="single" w:color="auto" w:sz="4" w:space="0"/>
            </w:tcBorders>
            <w:vAlign w:val="center"/>
          </w:tcPr>
          <w:p w14:paraId="56991995">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28.27</w:t>
            </w:r>
          </w:p>
        </w:tc>
        <w:tc>
          <w:tcPr>
            <w:tcW w:w="1707" w:type="dxa"/>
            <w:tcBorders>
              <w:top w:val="nil"/>
              <w:left w:val="nil"/>
              <w:bottom w:val="single" w:color="auto" w:sz="4" w:space="0"/>
              <w:right w:val="single" w:color="auto" w:sz="4" w:space="0"/>
            </w:tcBorders>
            <w:vAlign w:val="center"/>
          </w:tcPr>
          <w:p w14:paraId="4A7741B2">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30.29</w:t>
            </w:r>
          </w:p>
        </w:tc>
        <w:tc>
          <w:tcPr>
            <w:tcW w:w="1708" w:type="dxa"/>
            <w:tcBorders>
              <w:top w:val="nil"/>
              <w:left w:val="nil"/>
              <w:bottom w:val="single" w:color="auto" w:sz="4" w:space="0"/>
              <w:right w:val="single" w:color="auto" w:sz="4" w:space="0"/>
            </w:tcBorders>
            <w:vAlign w:val="center"/>
          </w:tcPr>
          <w:p w14:paraId="5C2017F6">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30.85</w:t>
            </w:r>
          </w:p>
        </w:tc>
      </w:tr>
      <w:tr w14:paraId="7B58B80E">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1129F700">
            <w:pPr>
              <w:widowControl/>
              <w:adjustRightInd/>
              <w:spacing w:line="240" w:lineRule="auto"/>
              <w:textAlignment w:val="auto"/>
              <w:rPr>
                <w:rFonts w:ascii="Arial" w:hAnsi="Arial" w:cs="Arial"/>
                <w:sz w:val="16"/>
                <w:szCs w:val="18"/>
              </w:rPr>
            </w:pPr>
            <w:r>
              <w:rPr>
                <w:rFonts w:ascii="Arial" w:hAnsi="Arial" w:cs="Arial"/>
                <w:sz w:val="16"/>
                <w:szCs w:val="18"/>
              </w:rPr>
              <w:t>交易时间</w:t>
            </w:r>
          </w:p>
        </w:tc>
        <w:tc>
          <w:tcPr>
            <w:tcW w:w="897" w:type="pct"/>
            <w:tcBorders>
              <w:top w:val="nil"/>
              <w:left w:val="nil"/>
              <w:bottom w:val="single" w:color="auto" w:sz="4" w:space="0"/>
              <w:right w:val="single" w:color="auto" w:sz="4" w:space="0"/>
            </w:tcBorders>
            <w:vAlign w:val="center"/>
          </w:tcPr>
          <w:p w14:paraId="11F575E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0B8A33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6594FD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F8BAD8A">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1599DFD5">
            <w:pPr>
              <w:widowControl/>
              <w:adjustRightInd/>
              <w:spacing w:line="240" w:lineRule="auto"/>
              <w:textAlignment w:val="auto"/>
              <w:rPr>
                <w:rFonts w:ascii="Arial" w:hAnsi="Arial" w:cs="Arial"/>
                <w:sz w:val="16"/>
                <w:szCs w:val="18"/>
              </w:rPr>
            </w:pPr>
            <w:r>
              <w:rPr>
                <w:rFonts w:ascii="Arial" w:hAnsi="Arial" w:cs="Arial"/>
                <w:sz w:val="16"/>
                <w:szCs w:val="18"/>
              </w:rPr>
              <w:t>交易情况</w:t>
            </w:r>
          </w:p>
        </w:tc>
        <w:tc>
          <w:tcPr>
            <w:tcW w:w="897" w:type="pct"/>
            <w:tcBorders>
              <w:top w:val="nil"/>
              <w:left w:val="nil"/>
              <w:bottom w:val="single" w:color="auto" w:sz="4" w:space="0"/>
              <w:right w:val="single" w:color="auto" w:sz="4" w:space="0"/>
            </w:tcBorders>
            <w:vAlign w:val="center"/>
          </w:tcPr>
          <w:p w14:paraId="4B2CB3D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CFC013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AC6969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23416D7">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5C8D780C">
            <w:pPr>
              <w:widowControl/>
              <w:adjustRightInd/>
              <w:spacing w:line="240" w:lineRule="auto"/>
              <w:textAlignment w:val="auto"/>
              <w:rPr>
                <w:rFonts w:ascii="Arial" w:hAnsi="Arial" w:cs="Arial"/>
                <w:sz w:val="16"/>
                <w:szCs w:val="18"/>
              </w:rPr>
            </w:pPr>
            <w:r>
              <w:rPr>
                <w:rFonts w:ascii="Arial" w:hAnsi="Arial" w:cs="Arial"/>
                <w:sz w:val="16"/>
                <w:szCs w:val="18"/>
              </w:rPr>
              <w:t>项目类型</w:t>
            </w:r>
          </w:p>
        </w:tc>
        <w:tc>
          <w:tcPr>
            <w:tcW w:w="1707" w:type="dxa"/>
            <w:tcBorders>
              <w:top w:val="nil"/>
              <w:left w:val="nil"/>
              <w:bottom w:val="single" w:color="auto" w:sz="4" w:space="0"/>
              <w:right w:val="single" w:color="auto" w:sz="4" w:space="0"/>
            </w:tcBorders>
            <w:vAlign w:val="center"/>
          </w:tcPr>
          <w:p w14:paraId="3A435A5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44EECB9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180490C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AAB7C95">
        <w:tblPrEx>
          <w:tblCellMar>
            <w:top w:w="0" w:type="dxa"/>
            <w:left w:w="108" w:type="dxa"/>
            <w:bottom w:w="0" w:type="dxa"/>
            <w:right w:w="108" w:type="dxa"/>
          </w:tblCellMar>
        </w:tblPrEx>
        <w:trPr>
          <w:trHeight w:val="227" w:hRule="atLeast"/>
        </w:trPr>
        <w:tc>
          <w:tcPr>
            <w:tcW w:w="791" w:type="pct"/>
            <w:vMerge w:val="restart"/>
            <w:tcBorders>
              <w:top w:val="nil"/>
              <w:left w:val="single" w:color="auto" w:sz="4" w:space="0"/>
              <w:bottom w:val="single" w:color="auto" w:sz="4" w:space="0"/>
              <w:right w:val="single" w:color="auto" w:sz="4" w:space="0"/>
            </w:tcBorders>
            <w:vAlign w:val="center"/>
          </w:tcPr>
          <w:p w14:paraId="235CEE14">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1517" w:type="pct"/>
            <w:tcBorders>
              <w:top w:val="nil"/>
              <w:left w:val="nil"/>
              <w:bottom w:val="single" w:color="auto" w:sz="4" w:space="0"/>
              <w:right w:val="single" w:color="auto" w:sz="4" w:space="0"/>
            </w:tcBorders>
            <w:vAlign w:val="center"/>
          </w:tcPr>
          <w:p w14:paraId="3F26430B">
            <w:pPr>
              <w:widowControl/>
              <w:adjustRightInd/>
              <w:spacing w:line="240" w:lineRule="auto"/>
              <w:textAlignment w:val="auto"/>
              <w:rPr>
                <w:rFonts w:ascii="Arial" w:hAnsi="Arial" w:cs="Arial"/>
                <w:sz w:val="16"/>
                <w:szCs w:val="18"/>
              </w:rPr>
            </w:pPr>
            <w:r>
              <w:rPr>
                <w:rFonts w:ascii="Arial" w:hAnsi="Arial" w:cs="Arial"/>
                <w:sz w:val="16"/>
                <w:szCs w:val="18"/>
              </w:rPr>
              <w:t>居住区成熟度</w:t>
            </w:r>
          </w:p>
        </w:tc>
        <w:tc>
          <w:tcPr>
            <w:tcW w:w="1707" w:type="dxa"/>
            <w:tcBorders>
              <w:top w:val="nil"/>
              <w:left w:val="nil"/>
              <w:bottom w:val="single" w:color="auto" w:sz="4" w:space="0"/>
              <w:right w:val="single" w:color="auto" w:sz="4" w:space="0"/>
            </w:tcBorders>
            <w:vAlign w:val="center"/>
          </w:tcPr>
          <w:p w14:paraId="39E6DC4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689E77F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226D6AE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056541E">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7FD7375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E73154A">
            <w:pPr>
              <w:widowControl/>
              <w:adjustRightInd/>
              <w:spacing w:line="240" w:lineRule="auto"/>
              <w:textAlignment w:val="auto"/>
              <w:rPr>
                <w:rFonts w:ascii="Arial" w:hAnsi="Arial" w:cs="Arial"/>
                <w:sz w:val="16"/>
                <w:szCs w:val="18"/>
              </w:rPr>
            </w:pPr>
            <w:r>
              <w:rPr>
                <w:rFonts w:ascii="Arial" w:hAnsi="Arial" w:cs="Arial"/>
                <w:sz w:val="16"/>
                <w:szCs w:val="18"/>
              </w:rPr>
              <w:t>道路通达度</w:t>
            </w:r>
          </w:p>
        </w:tc>
        <w:tc>
          <w:tcPr>
            <w:tcW w:w="1707" w:type="dxa"/>
            <w:tcBorders>
              <w:top w:val="nil"/>
              <w:left w:val="nil"/>
              <w:bottom w:val="single" w:color="auto" w:sz="4" w:space="0"/>
              <w:right w:val="single" w:color="auto" w:sz="4" w:space="0"/>
            </w:tcBorders>
            <w:vAlign w:val="center"/>
          </w:tcPr>
          <w:p w14:paraId="2004AE7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6EA7064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18A9420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117C0E1">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7AE5D35E">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DEAC07F">
            <w:pPr>
              <w:widowControl/>
              <w:adjustRightInd/>
              <w:spacing w:line="240" w:lineRule="auto"/>
              <w:textAlignment w:val="auto"/>
              <w:rPr>
                <w:rFonts w:ascii="Arial" w:hAnsi="Arial" w:cs="Arial"/>
                <w:sz w:val="16"/>
                <w:szCs w:val="18"/>
              </w:rPr>
            </w:pPr>
            <w:r>
              <w:rPr>
                <w:rFonts w:ascii="Arial" w:hAnsi="Arial" w:cs="Arial"/>
                <w:sz w:val="16"/>
                <w:szCs w:val="18"/>
              </w:rPr>
              <w:t>距离轨道交通站点距离</w:t>
            </w:r>
          </w:p>
        </w:tc>
        <w:tc>
          <w:tcPr>
            <w:tcW w:w="1707" w:type="dxa"/>
            <w:tcBorders>
              <w:top w:val="nil"/>
              <w:left w:val="nil"/>
              <w:bottom w:val="single" w:color="auto" w:sz="4" w:space="0"/>
              <w:right w:val="single" w:color="auto" w:sz="4" w:space="0"/>
            </w:tcBorders>
            <w:vAlign w:val="center"/>
          </w:tcPr>
          <w:p w14:paraId="11E7B20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0A4E9D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51AAD0C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E7DC62B">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274F363B">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4E03BA5">
            <w:pPr>
              <w:widowControl/>
              <w:adjustRightInd/>
              <w:spacing w:line="240" w:lineRule="auto"/>
              <w:textAlignment w:val="auto"/>
              <w:rPr>
                <w:rFonts w:ascii="Arial" w:hAnsi="Arial" w:cs="Arial"/>
                <w:sz w:val="16"/>
                <w:szCs w:val="18"/>
              </w:rPr>
            </w:pPr>
            <w:r>
              <w:rPr>
                <w:rFonts w:ascii="Arial" w:hAnsi="Arial" w:cs="Arial"/>
                <w:sz w:val="16"/>
                <w:szCs w:val="18"/>
              </w:rPr>
              <w:t>距离公交站点距离</w:t>
            </w:r>
          </w:p>
        </w:tc>
        <w:tc>
          <w:tcPr>
            <w:tcW w:w="1707" w:type="dxa"/>
            <w:tcBorders>
              <w:top w:val="nil"/>
              <w:left w:val="nil"/>
              <w:bottom w:val="single" w:color="auto" w:sz="4" w:space="0"/>
              <w:right w:val="single" w:color="auto" w:sz="4" w:space="0"/>
            </w:tcBorders>
            <w:vAlign w:val="center"/>
          </w:tcPr>
          <w:p w14:paraId="495CE3F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BA3197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B1562D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4E628F0">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4A284752">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644FD9E">
            <w:pPr>
              <w:widowControl/>
              <w:adjustRightInd/>
              <w:spacing w:line="240" w:lineRule="auto"/>
              <w:textAlignment w:val="auto"/>
              <w:rPr>
                <w:rFonts w:ascii="Arial" w:hAnsi="Arial" w:cs="Arial"/>
                <w:sz w:val="16"/>
                <w:szCs w:val="18"/>
              </w:rPr>
            </w:pPr>
            <w:r>
              <w:rPr>
                <w:rFonts w:hint="eastAsia" w:ascii="Arial" w:hAnsi="Arial" w:cs="Arial"/>
                <w:sz w:val="16"/>
                <w:szCs w:val="18"/>
              </w:rPr>
              <w:t>环境质量优劣度</w:t>
            </w:r>
          </w:p>
        </w:tc>
        <w:tc>
          <w:tcPr>
            <w:tcW w:w="1707" w:type="dxa"/>
            <w:tcBorders>
              <w:top w:val="nil"/>
              <w:left w:val="nil"/>
              <w:bottom w:val="single" w:color="auto" w:sz="4" w:space="0"/>
              <w:right w:val="single" w:color="auto" w:sz="4" w:space="0"/>
            </w:tcBorders>
            <w:vAlign w:val="center"/>
          </w:tcPr>
          <w:p w14:paraId="1FC24E4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7C42806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1E45554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76DD74D">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6CBD6157">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384C44DC">
            <w:pPr>
              <w:widowControl/>
              <w:adjustRightInd/>
              <w:spacing w:line="240" w:lineRule="auto"/>
              <w:textAlignment w:val="auto"/>
              <w:rPr>
                <w:rFonts w:ascii="Arial" w:hAnsi="Arial" w:cs="Arial"/>
                <w:sz w:val="16"/>
                <w:szCs w:val="18"/>
              </w:rPr>
            </w:pPr>
            <w:r>
              <w:rPr>
                <w:rFonts w:ascii="Arial" w:hAnsi="Arial" w:cs="Arial"/>
                <w:sz w:val="16"/>
                <w:szCs w:val="18"/>
              </w:rPr>
              <w:t>自然环境</w:t>
            </w:r>
          </w:p>
        </w:tc>
        <w:tc>
          <w:tcPr>
            <w:tcW w:w="1707" w:type="dxa"/>
            <w:tcBorders>
              <w:top w:val="nil"/>
              <w:left w:val="nil"/>
              <w:bottom w:val="single" w:color="auto" w:sz="4" w:space="0"/>
              <w:right w:val="single" w:color="auto" w:sz="4" w:space="0"/>
            </w:tcBorders>
            <w:vAlign w:val="center"/>
          </w:tcPr>
          <w:p w14:paraId="60FA884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64C171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301F9A4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7B554CD">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5BE99271">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AA3E15A">
            <w:pPr>
              <w:widowControl/>
              <w:adjustRightInd/>
              <w:spacing w:line="240" w:lineRule="auto"/>
              <w:textAlignment w:val="auto"/>
              <w:rPr>
                <w:rFonts w:ascii="Arial" w:hAnsi="Arial" w:cs="Arial"/>
                <w:sz w:val="16"/>
                <w:szCs w:val="18"/>
              </w:rPr>
            </w:pPr>
            <w:r>
              <w:rPr>
                <w:rFonts w:hint="eastAsia" w:ascii="Arial" w:hAnsi="Arial" w:cs="Arial"/>
                <w:sz w:val="16"/>
                <w:szCs w:val="18"/>
              </w:rPr>
              <w:t>小区环境</w:t>
            </w:r>
          </w:p>
        </w:tc>
        <w:tc>
          <w:tcPr>
            <w:tcW w:w="1707" w:type="dxa"/>
            <w:tcBorders>
              <w:top w:val="nil"/>
              <w:left w:val="nil"/>
              <w:bottom w:val="single" w:color="auto" w:sz="4" w:space="0"/>
              <w:right w:val="single" w:color="auto" w:sz="4" w:space="0"/>
            </w:tcBorders>
            <w:vAlign w:val="center"/>
          </w:tcPr>
          <w:p w14:paraId="6C090D8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32594AC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2696F15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5AAE936">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5282E6CE">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2DD5EBB">
            <w:pPr>
              <w:widowControl/>
              <w:adjustRightInd/>
              <w:spacing w:line="240" w:lineRule="auto"/>
              <w:textAlignment w:val="auto"/>
              <w:rPr>
                <w:rFonts w:ascii="Arial" w:hAnsi="Arial" w:cs="Arial"/>
                <w:sz w:val="16"/>
                <w:szCs w:val="18"/>
              </w:rPr>
            </w:pPr>
            <w:r>
              <w:rPr>
                <w:rFonts w:hint="eastAsia" w:ascii="Arial" w:hAnsi="Arial" w:cs="Arial"/>
                <w:sz w:val="16"/>
                <w:szCs w:val="18"/>
              </w:rPr>
              <w:t>公共服务设施状况</w:t>
            </w:r>
          </w:p>
        </w:tc>
        <w:tc>
          <w:tcPr>
            <w:tcW w:w="1707" w:type="dxa"/>
            <w:tcBorders>
              <w:top w:val="nil"/>
              <w:left w:val="nil"/>
              <w:bottom w:val="single" w:color="auto" w:sz="4" w:space="0"/>
              <w:right w:val="single" w:color="auto" w:sz="4" w:space="0"/>
            </w:tcBorders>
            <w:vAlign w:val="center"/>
          </w:tcPr>
          <w:p w14:paraId="0187E30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551C8A9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42FE6D1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3CF632C">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78C193C1">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354E5CD5">
            <w:pPr>
              <w:widowControl/>
              <w:adjustRightInd/>
              <w:spacing w:line="240" w:lineRule="auto"/>
              <w:textAlignment w:val="auto"/>
              <w:rPr>
                <w:rFonts w:ascii="Arial" w:hAnsi="Arial" w:cs="Arial"/>
                <w:sz w:val="16"/>
                <w:szCs w:val="18"/>
              </w:rPr>
            </w:pPr>
            <w:r>
              <w:rPr>
                <w:rFonts w:hint="eastAsia" w:ascii="Arial" w:hAnsi="Arial" w:cs="Arial"/>
                <w:sz w:val="16"/>
                <w:szCs w:val="18"/>
              </w:rPr>
              <w:t>建筑类型</w:t>
            </w:r>
          </w:p>
        </w:tc>
        <w:tc>
          <w:tcPr>
            <w:tcW w:w="1707" w:type="dxa"/>
            <w:tcBorders>
              <w:top w:val="nil"/>
              <w:left w:val="nil"/>
              <w:bottom w:val="single" w:color="auto" w:sz="4" w:space="0"/>
              <w:right w:val="single" w:color="auto" w:sz="4" w:space="0"/>
            </w:tcBorders>
            <w:vAlign w:val="center"/>
          </w:tcPr>
          <w:p w14:paraId="1A4C2BD3">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104</w:t>
            </w:r>
          </w:p>
        </w:tc>
        <w:tc>
          <w:tcPr>
            <w:tcW w:w="1707" w:type="dxa"/>
            <w:tcBorders>
              <w:top w:val="nil"/>
              <w:left w:val="nil"/>
              <w:bottom w:val="single" w:color="auto" w:sz="4" w:space="0"/>
              <w:right w:val="single" w:color="auto" w:sz="4" w:space="0"/>
            </w:tcBorders>
            <w:vAlign w:val="center"/>
          </w:tcPr>
          <w:p w14:paraId="773A0C53">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4</w:t>
            </w:r>
          </w:p>
        </w:tc>
        <w:tc>
          <w:tcPr>
            <w:tcW w:w="1708" w:type="dxa"/>
            <w:tcBorders>
              <w:top w:val="nil"/>
              <w:left w:val="nil"/>
              <w:bottom w:val="single" w:color="auto" w:sz="4" w:space="0"/>
              <w:right w:val="single" w:color="auto" w:sz="4" w:space="0"/>
            </w:tcBorders>
            <w:vAlign w:val="center"/>
          </w:tcPr>
          <w:p w14:paraId="08F7C1B8">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4</w:t>
            </w:r>
          </w:p>
        </w:tc>
      </w:tr>
      <w:tr w14:paraId="2736DAF2">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661C52B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79E3E79">
            <w:pPr>
              <w:widowControl/>
              <w:adjustRightInd/>
              <w:spacing w:line="240" w:lineRule="auto"/>
              <w:textAlignment w:val="auto"/>
              <w:rPr>
                <w:rFonts w:ascii="Arial" w:hAnsi="Arial" w:cs="Arial"/>
                <w:sz w:val="16"/>
                <w:szCs w:val="18"/>
              </w:rPr>
            </w:pPr>
            <w:r>
              <w:rPr>
                <w:rFonts w:ascii="Arial" w:hAnsi="Arial" w:cs="Arial"/>
                <w:sz w:val="16"/>
                <w:szCs w:val="18"/>
              </w:rPr>
              <w:t>楼层</w:t>
            </w:r>
          </w:p>
        </w:tc>
        <w:tc>
          <w:tcPr>
            <w:tcW w:w="1707" w:type="dxa"/>
            <w:tcBorders>
              <w:top w:val="nil"/>
              <w:left w:val="nil"/>
              <w:bottom w:val="single" w:color="auto" w:sz="4" w:space="0"/>
              <w:right w:val="single" w:color="auto" w:sz="4" w:space="0"/>
            </w:tcBorders>
            <w:vAlign w:val="center"/>
          </w:tcPr>
          <w:p w14:paraId="3CCF9BCC">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7" w:type="dxa"/>
            <w:tcBorders>
              <w:top w:val="nil"/>
              <w:left w:val="nil"/>
              <w:bottom w:val="single" w:color="auto" w:sz="4" w:space="0"/>
              <w:right w:val="single" w:color="auto" w:sz="4" w:space="0"/>
            </w:tcBorders>
            <w:vAlign w:val="center"/>
          </w:tcPr>
          <w:p w14:paraId="0398B3E9">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8" w:type="dxa"/>
            <w:tcBorders>
              <w:top w:val="nil"/>
              <w:left w:val="nil"/>
              <w:bottom w:val="single" w:color="auto" w:sz="4" w:space="0"/>
              <w:right w:val="single" w:color="auto" w:sz="4" w:space="0"/>
            </w:tcBorders>
            <w:vAlign w:val="center"/>
          </w:tcPr>
          <w:p w14:paraId="143A9A1C">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100</w:t>
            </w:r>
          </w:p>
        </w:tc>
      </w:tr>
      <w:tr w14:paraId="0B804E75">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7E7A474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340D9F66">
            <w:pPr>
              <w:widowControl/>
              <w:adjustRightInd/>
              <w:spacing w:line="240" w:lineRule="auto"/>
              <w:textAlignment w:val="auto"/>
              <w:rPr>
                <w:rFonts w:ascii="Arial" w:hAnsi="Arial" w:cs="Arial"/>
                <w:sz w:val="16"/>
                <w:szCs w:val="18"/>
              </w:rPr>
            </w:pPr>
            <w:r>
              <w:rPr>
                <w:rFonts w:ascii="Arial" w:hAnsi="Arial" w:cs="Arial"/>
                <w:sz w:val="16"/>
                <w:szCs w:val="18"/>
              </w:rPr>
              <w:t>朝向</w:t>
            </w:r>
          </w:p>
        </w:tc>
        <w:tc>
          <w:tcPr>
            <w:tcW w:w="1707" w:type="dxa"/>
            <w:tcBorders>
              <w:top w:val="nil"/>
              <w:left w:val="nil"/>
              <w:bottom w:val="single" w:color="auto" w:sz="4" w:space="0"/>
              <w:right w:val="single" w:color="auto" w:sz="4" w:space="0"/>
            </w:tcBorders>
            <w:vAlign w:val="center"/>
          </w:tcPr>
          <w:p w14:paraId="09A8EAD8">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101</w:t>
            </w:r>
          </w:p>
        </w:tc>
        <w:tc>
          <w:tcPr>
            <w:tcW w:w="1707" w:type="dxa"/>
            <w:tcBorders>
              <w:top w:val="nil"/>
              <w:left w:val="nil"/>
              <w:bottom w:val="single" w:color="auto" w:sz="4" w:space="0"/>
              <w:right w:val="single" w:color="auto" w:sz="4" w:space="0"/>
            </w:tcBorders>
            <w:vAlign w:val="center"/>
          </w:tcPr>
          <w:p w14:paraId="30460B54">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1</w:t>
            </w:r>
          </w:p>
        </w:tc>
        <w:tc>
          <w:tcPr>
            <w:tcW w:w="1708" w:type="dxa"/>
            <w:tcBorders>
              <w:top w:val="nil"/>
              <w:left w:val="nil"/>
              <w:bottom w:val="single" w:color="auto" w:sz="4" w:space="0"/>
              <w:right w:val="single" w:color="auto" w:sz="4" w:space="0"/>
            </w:tcBorders>
            <w:vAlign w:val="center"/>
          </w:tcPr>
          <w:p w14:paraId="0A2D6B76">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101</w:t>
            </w:r>
          </w:p>
        </w:tc>
      </w:tr>
      <w:tr w14:paraId="365E049D">
        <w:tblPrEx>
          <w:tblCellMar>
            <w:top w:w="0" w:type="dxa"/>
            <w:left w:w="108" w:type="dxa"/>
            <w:bottom w:w="0" w:type="dxa"/>
            <w:right w:w="108" w:type="dxa"/>
          </w:tblCellMar>
        </w:tblPrEx>
        <w:trPr>
          <w:trHeight w:val="227" w:hRule="atLeast"/>
        </w:trPr>
        <w:tc>
          <w:tcPr>
            <w:tcW w:w="791" w:type="pct"/>
            <w:vMerge w:val="restart"/>
            <w:tcBorders>
              <w:top w:val="single" w:color="auto" w:sz="4" w:space="0"/>
              <w:left w:val="single" w:color="auto" w:sz="4" w:space="0"/>
              <w:bottom w:val="single" w:color="auto" w:sz="4" w:space="0"/>
              <w:right w:val="single" w:color="auto" w:sz="4" w:space="0"/>
            </w:tcBorders>
            <w:vAlign w:val="center"/>
          </w:tcPr>
          <w:p w14:paraId="544EA802">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1517" w:type="pct"/>
            <w:tcBorders>
              <w:top w:val="nil"/>
              <w:left w:val="nil"/>
              <w:bottom w:val="single" w:color="auto" w:sz="4" w:space="0"/>
              <w:right w:val="single" w:color="auto" w:sz="4" w:space="0"/>
            </w:tcBorders>
            <w:vAlign w:val="center"/>
          </w:tcPr>
          <w:p w14:paraId="689035D5">
            <w:pPr>
              <w:widowControl/>
              <w:adjustRightInd/>
              <w:spacing w:line="240" w:lineRule="auto"/>
              <w:textAlignment w:val="auto"/>
              <w:rPr>
                <w:rFonts w:ascii="Arial" w:hAnsi="Arial" w:cs="Arial"/>
                <w:sz w:val="16"/>
                <w:szCs w:val="18"/>
              </w:rPr>
            </w:pPr>
            <w:r>
              <w:rPr>
                <w:rFonts w:ascii="Arial" w:hAnsi="Arial" w:cs="Arial"/>
                <w:sz w:val="16"/>
                <w:szCs w:val="18"/>
              </w:rPr>
              <w:t>成新度</w:t>
            </w:r>
          </w:p>
        </w:tc>
        <w:tc>
          <w:tcPr>
            <w:tcW w:w="1707" w:type="dxa"/>
            <w:tcBorders>
              <w:top w:val="nil"/>
              <w:left w:val="nil"/>
              <w:bottom w:val="single" w:color="auto" w:sz="4" w:space="0"/>
              <w:right w:val="single" w:color="auto" w:sz="4" w:space="0"/>
            </w:tcBorders>
            <w:vAlign w:val="center"/>
          </w:tcPr>
          <w:p w14:paraId="7F6E15CD">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94</w:t>
            </w:r>
          </w:p>
        </w:tc>
        <w:tc>
          <w:tcPr>
            <w:tcW w:w="1707" w:type="dxa"/>
            <w:tcBorders>
              <w:top w:val="nil"/>
              <w:left w:val="nil"/>
              <w:bottom w:val="single" w:color="auto" w:sz="4" w:space="0"/>
              <w:right w:val="single" w:color="auto" w:sz="4" w:space="0"/>
            </w:tcBorders>
            <w:vAlign w:val="center"/>
          </w:tcPr>
          <w:p w14:paraId="3D47491E">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94</w:t>
            </w:r>
          </w:p>
        </w:tc>
        <w:tc>
          <w:tcPr>
            <w:tcW w:w="1708" w:type="dxa"/>
            <w:tcBorders>
              <w:top w:val="nil"/>
              <w:left w:val="nil"/>
              <w:bottom w:val="single" w:color="auto" w:sz="4" w:space="0"/>
              <w:right w:val="single" w:color="auto" w:sz="4" w:space="0"/>
            </w:tcBorders>
            <w:vAlign w:val="center"/>
          </w:tcPr>
          <w:p w14:paraId="72CCD03F">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94</w:t>
            </w:r>
          </w:p>
        </w:tc>
      </w:tr>
      <w:tr w14:paraId="58B90A74">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4FE3BB19">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E8D9388">
            <w:pPr>
              <w:widowControl/>
              <w:adjustRightInd/>
              <w:spacing w:line="240" w:lineRule="auto"/>
              <w:textAlignment w:val="auto"/>
              <w:rPr>
                <w:rFonts w:ascii="Arial" w:hAnsi="Arial" w:cs="Arial"/>
                <w:sz w:val="16"/>
                <w:szCs w:val="18"/>
              </w:rPr>
            </w:pPr>
            <w:r>
              <w:rPr>
                <w:rFonts w:ascii="Arial" w:hAnsi="Arial" w:cs="Arial"/>
                <w:sz w:val="16"/>
                <w:szCs w:val="18"/>
              </w:rPr>
              <w:t>公共区域装修</w:t>
            </w:r>
          </w:p>
        </w:tc>
        <w:tc>
          <w:tcPr>
            <w:tcW w:w="1707" w:type="dxa"/>
            <w:tcBorders>
              <w:top w:val="nil"/>
              <w:left w:val="nil"/>
              <w:bottom w:val="single" w:color="auto" w:sz="4" w:space="0"/>
              <w:right w:val="single" w:color="auto" w:sz="4" w:space="0"/>
            </w:tcBorders>
            <w:vAlign w:val="center"/>
          </w:tcPr>
          <w:p w14:paraId="4861C65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6A039E4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27DCB28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948D888">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4DD2ED31">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FE23D9B">
            <w:pPr>
              <w:widowControl/>
              <w:adjustRightInd/>
              <w:spacing w:line="240" w:lineRule="auto"/>
              <w:textAlignment w:val="auto"/>
              <w:rPr>
                <w:rFonts w:ascii="Arial" w:hAnsi="Arial" w:cs="Arial"/>
                <w:sz w:val="16"/>
                <w:szCs w:val="18"/>
              </w:rPr>
            </w:pPr>
            <w:r>
              <w:rPr>
                <w:rFonts w:ascii="Arial" w:hAnsi="Arial" w:cs="Arial"/>
                <w:sz w:val="16"/>
                <w:szCs w:val="18"/>
              </w:rPr>
              <w:t>室内装饰装修</w:t>
            </w:r>
          </w:p>
        </w:tc>
        <w:tc>
          <w:tcPr>
            <w:tcW w:w="1707" w:type="dxa"/>
            <w:tcBorders>
              <w:top w:val="nil"/>
              <w:left w:val="nil"/>
              <w:bottom w:val="single" w:color="auto" w:sz="4" w:space="0"/>
              <w:right w:val="single" w:color="auto" w:sz="4" w:space="0"/>
            </w:tcBorders>
            <w:vAlign w:val="center"/>
          </w:tcPr>
          <w:p w14:paraId="15621DC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701C42A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7364D8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BF09558">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AA7C4DB">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137CB2A">
            <w:pPr>
              <w:widowControl/>
              <w:adjustRightInd/>
              <w:spacing w:line="240" w:lineRule="auto"/>
              <w:textAlignment w:val="auto"/>
              <w:rPr>
                <w:rFonts w:ascii="Arial" w:hAnsi="Arial" w:cs="Arial"/>
                <w:sz w:val="16"/>
                <w:szCs w:val="18"/>
              </w:rPr>
            </w:pPr>
            <w:r>
              <w:rPr>
                <w:rFonts w:ascii="Arial" w:hAnsi="Arial" w:cs="Arial"/>
                <w:sz w:val="16"/>
                <w:szCs w:val="18"/>
              </w:rPr>
              <w:t>设施设备</w:t>
            </w:r>
          </w:p>
        </w:tc>
        <w:tc>
          <w:tcPr>
            <w:tcW w:w="1707" w:type="dxa"/>
            <w:tcBorders>
              <w:top w:val="nil"/>
              <w:left w:val="nil"/>
              <w:bottom w:val="single" w:color="auto" w:sz="4" w:space="0"/>
              <w:right w:val="single" w:color="auto" w:sz="4" w:space="0"/>
            </w:tcBorders>
            <w:vAlign w:val="center"/>
          </w:tcPr>
          <w:p w14:paraId="347A00A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4777937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5161B1D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C06BDE2">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479E1DB2">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17E60F81">
            <w:pPr>
              <w:widowControl/>
              <w:adjustRightInd/>
              <w:spacing w:line="240" w:lineRule="auto"/>
              <w:textAlignment w:val="auto"/>
              <w:rPr>
                <w:rFonts w:ascii="Arial" w:hAnsi="Arial" w:cs="Arial"/>
                <w:sz w:val="16"/>
                <w:szCs w:val="18"/>
              </w:rPr>
            </w:pPr>
            <w:r>
              <w:rPr>
                <w:rFonts w:ascii="Arial" w:hAnsi="Arial" w:cs="Arial"/>
                <w:sz w:val="16"/>
                <w:szCs w:val="18"/>
              </w:rPr>
              <w:t>综合管理服务设施</w:t>
            </w:r>
          </w:p>
        </w:tc>
        <w:tc>
          <w:tcPr>
            <w:tcW w:w="1707" w:type="dxa"/>
            <w:tcBorders>
              <w:top w:val="nil"/>
              <w:left w:val="nil"/>
              <w:bottom w:val="single" w:color="auto" w:sz="4" w:space="0"/>
              <w:right w:val="single" w:color="auto" w:sz="4" w:space="0"/>
            </w:tcBorders>
            <w:vAlign w:val="center"/>
          </w:tcPr>
          <w:p w14:paraId="6FED998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927F62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5D1B513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7FF9E0A">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29AF7553">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B34AC1F">
            <w:pPr>
              <w:widowControl/>
              <w:adjustRightInd/>
              <w:spacing w:line="240" w:lineRule="auto"/>
              <w:textAlignment w:val="auto"/>
              <w:rPr>
                <w:rFonts w:ascii="Arial" w:hAnsi="Arial" w:cs="Arial"/>
                <w:sz w:val="16"/>
                <w:szCs w:val="18"/>
              </w:rPr>
            </w:pPr>
            <w:r>
              <w:rPr>
                <w:rFonts w:ascii="Arial" w:hAnsi="Arial" w:cs="Arial"/>
                <w:sz w:val="16"/>
                <w:szCs w:val="18"/>
              </w:rPr>
              <w:t>户型布局</w:t>
            </w:r>
          </w:p>
        </w:tc>
        <w:tc>
          <w:tcPr>
            <w:tcW w:w="1707" w:type="dxa"/>
            <w:tcBorders>
              <w:top w:val="nil"/>
              <w:left w:val="nil"/>
              <w:bottom w:val="single" w:color="auto" w:sz="4" w:space="0"/>
              <w:right w:val="single" w:color="auto" w:sz="4" w:space="0"/>
            </w:tcBorders>
            <w:vAlign w:val="center"/>
          </w:tcPr>
          <w:p w14:paraId="3EBBF93A">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1707" w:type="dxa"/>
            <w:tcBorders>
              <w:top w:val="nil"/>
              <w:left w:val="nil"/>
              <w:bottom w:val="single" w:color="auto" w:sz="4" w:space="0"/>
              <w:right w:val="single" w:color="auto" w:sz="4" w:space="0"/>
            </w:tcBorders>
            <w:vAlign w:val="center"/>
          </w:tcPr>
          <w:p w14:paraId="4C55095A">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1708" w:type="dxa"/>
            <w:tcBorders>
              <w:top w:val="nil"/>
              <w:left w:val="nil"/>
              <w:bottom w:val="single" w:color="auto" w:sz="4" w:space="0"/>
              <w:right w:val="single" w:color="auto" w:sz="4" w:space="0"/>
            </w:tcBorders>
            <w:vAlign w:val="center"/>
          </w:tcPr>
          <w:p w14:paraId="75548F05">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r>
      <w:tr w14:paraId="1C8CAB65">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345EBCC7">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317CDB49">
            <w:pPr>
              <w:widowControl/>
              <w:adjustRightInd/>
              <w:spacing w:line="240" w:lineRule="auto"/>
              <w:textAlignment w:val="auto"/>
              <w:rPr>
                <w:rFonts w:ascii="Arial" w:hAnsi="Arial" w:cs="Arial"/>
                <w:sz w:val="16"/>
                <w:szCs w:val="18"/>
              </w:rPr>
            </w:pPr>
            <w:r>
              <w:rPr>
                <w:rFonts w:ascii="Arial" w:hAnsi="Arial" w:cs="Arial"/>
                <w:sz w:val="16"/>
                <w:szCs w:val="18"/>
              </w:rPr>
              <w:t>户型结构</w:t>
            </w:r>
          </w:p>
        </w:tc>
        <w:tc>
          <w:tcPr>
            <w:tcW w:w="1707" w:type="dxa"/>
            <w:tcBorders>
              <w:top w:val="nil"/>
              <w:left w:val="nil"/>
              <w:bottom w:val="single" w:color="auto" w:sz="4" w:space="0"/>
              <w:right w:val="single" w:color="auto" w:sz="4" w:space="0"/>
            </w:tcBorders>
            <w:vAlign w:val="center"/>
          </w:tcPr>
          <w:p w14:paraId="1DF553D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679D39A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15BA063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4AAE54E">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5B980580">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217E819">
            <w:pPr>
              <w:widowControl/>
              <w:adjustRightInd/>
              <w:spacing w:line="240" w:lineRule="auto"/>
              <w:textAlignment w:val="auto"/>
              <w:rPr>
                <w:rFonts w:ascii="Arial" w:hAnsi="Arial" w:cs="Arial"/>
                <w:sz w:val="16"/>
                <w:szCs w:val="18"/>
              </w:rPr>
            </w:pPr>
            <w:r>
              <w:rPr>
                <w:rFonts w:ascii="Arial" w:hAnsi="Arial" w:cs="Arial"/>
                <w:sz w:val="16"/>
                <w:szCs w:val="18"/>
              </w:rPr>
              <w:t>建筑面积</w:t>
            </w:r>
          </w:p>
        </w:tc>
        <w:tc>
          <w:tcPr>
            <w:tcW w:w="1707" w:type="dxa"/>
            <w:tcBorders>
              <w:top w:val="nil"/>
              <w:left w:val="nil"/>
              <w:bottom w:val="single" w:color="auto" w:sz="4" w:space="0"/>
              <w:right w:val="single" w:color="auto" w:sz="4" w:space="0"/>
            </w:tcBorders>
            <w:vAlign w:val="center"/>
          </w:tcPr>
          <w:p w14:paraId="1A2FF6CE">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7" w:type="dxa"/>
            <w:tcBorders>
              <w:top w:val="nil"/>
              <w:left w:val="nil"/>
              <w:bottom w:val="single" w:color="auto" w:sz="4" w:space="0"/>
              <w:right w:val="single" w:color="auto" w:sz="4" w:space="0"/>
            </w:tcBorders>
            <w:vAlign w:val="center"/>
          </w:tcPr>
          <w:p w14:paraId="3D1BE9B8">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8" w:type="dxa"/>
            <w:tcBorders>
              <w:top w:val="nil"/>
              <w:left w:val="nil"/>
              <w:bottom w:val="single" w:color="auto" w:sz="4" w:space="0"/>
              <w:right w:val="single" w:color="auto" w:sz="4" w:space="0"/>
            </w:tcBorders>
            <w:vAlign w:val="center"/>
          </w:tcPr>
          <w:p w14:paraId="72E20A1D">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96</w:t>
            </w:r>
          </w:p>
        </w:tc>
      </w:tr>
      <w:tr w14:paraId="13A7AB70">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B2BDB66">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C8C8769">
            <w:pPr>
              <w:widowControl/>
              <w:adjustRightInd/>
              <w:spacing w:line="240" w:lineRule="auto"/>
              <w:textAlignment w:val="auto"/>
              <w:rPr>
                <w:rFonts w:ascii="Arial" w:hAnsi="Arial" w:cs="Arial"/>
                <w:sz w:val="16"/>
                <w:szCs w:val="18"/>
              </w:rPr>
            </w:pPr>
            <w:r>
              <w:rPr>
                <w:rFonts w:ascii="Arial" w:hAnsi="Arial" w:cs="Arial"/>
                <w:sz w:val="16"/>
                <w:szCs w:val="18"/>
              </w:rPr>
              <w:t>家具家电</w:t>
            </w:r>
          </w:p>
        </w:tc>
        <w:tc>
          <w:tcPr>
            <w:tcW w:w="1707" w:type="dxa"/>
            <w:tcBorders>
              <w:top w:val="nil"/>
              <w:left w:val="nil"/>
              <w:bottom w:val="single" w:color="auto" w:sz="4" w:space="0"/>
              <w:right w:val="single" w:color="auto" w:sz="4" w:space="0"/>
            </w:tcBorders>
            <w:vAlign w:val="center"/>
          </w:tcPr>
          <w:p w14:paraId="26339931">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c>
          <w:tcPr>
            <w:tcW w:w="1707" w:type="dxa"/>
            <w:tcBorders>
              <w:top w:val="nil"/>
              <w:left w:val="nil"/>
              <w:bottom w:val="single" w:color="auto" w:sz="4" w:space="0"/>
              <w:right w:val="single" w:color="auto" w:sz="4" w:space="0"/>
            </w:tcBorders>
            <w:vAlign w:val="center"/>
          </w:tcPr>
          <w:p w14:paraId="2488C2AC">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c>
          <w:tcPr>
            <w:tcW w:w="1708" w:type="dxa"/>
            <w:tcBorders>
              <w:top w:val="nil"/>
              <w:left w:val="nil"/>
              <w:bottom w:val="single" w:color="auto" w:sz="4" w:space="0"/>
              <w:right w:val="single" w:color="auto" w:sz="4" w:space="0"/>
            </w:tcBorders>
            <w:vAlign w:val="center"/>
          </w:tcPr>
          <w:p w14:paraId="2DA0FA1B">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r>
      <w:tr w14:paraId="2F727E48">
        <w:tblPrEx>
          <w:tblCellMar>
            <w:top w:w="0" w:type="dxa"/>
            <w:left w:w="108" w:type="dxa"/>
            <w:bottom w:w="0" w:type="dxa"/>
            <w:right w:w="108" w:type="dxa"/>
          </w:tblCellMar>
        </w:tblPrEx>
        <w:trPr>
          <w:trHeight w:val="217" w:hRule="atLeast"/>
        </w:trPr>
        <w:tc>
          <w:tcPr>
            <w:tcW w:w="791" w:type="pct"/>
            <w:vMerge w:val="restart"/>
            <w:tcBorders>
              <w:left w:val="single" w:color="auto" w:sz="4" w:space="0"/>
              <w:bottom w:val="single" w:color="auto" w:sz="4" w:space="0"/>
              <w:right w:val="single" w:color="auto" w:sz="4" w:space="0"/>
            </w:tcBorders>
            <w:vAlign w:val="center"/>
          </w:tcPr>
          <w:p w14:paraId="2268A20F">
            <w:pPr>
              <w:widowControl/>
              <w:adjustRightInd/>
              <w:spacing w:line="240" w:lineRule="auto"/>
              <w:textAlignment w:val="auto"/>
              <w:rPr>
                <w:rFonts w:ascii="Arial" w:hAnsi="Arial" w:cs="Arial"/>
                <w:sz w:val="16"/>
                <w:szCs w:val="18"/>
              </w:rPr>
            </w:pPr>
            <w:r>
              <w:rPr>
                <w:rFonts w:ascii="Arial" w:hAnsi="Arial" w:cs="Arial"/>
                <w:sz w:val="16"/>
                <w:szCs w:val="18"/>
              </w:rPr>
              <w:t>权益状况</w:t>
            </w:r>
          </w:p>
        </w:tc>
        <w:tc>
          <w:tcPr>
            <w:tcW w:w="1517" w:type="pct"/>
            <w:tcBorders>
              <w:top w:val="nil"/>
              <w:left w:val="nil"/>
              <w:bottom w:val="single" w:color="auto" w:sz="4" w:space="0"/>
              <w:right w:val="single" w:color="auto" w:sz="4" w:space="0"/>
            </w:tcBorders>
            <w:vAlign w:val="center"/>
          </w:tcPr>
          <w:p w14:paraId="231DE009">
            <w:pPr>
              <w:widowControl/>
              <w:adjustRightInd/>
              <w:spacing w:line="240" w:lineRule="auto"/>
              <w:textAlignment w:val="auto"/>
              <w:rPr>
                <w:rFonts w:ascii="Arial" w:hAnsi="Arial" w:cs="Arial"/>
                <w:sz w:val="16"/>
                <w:szCs w:val="18"/>
              </w:rPr>
            </w:pPr>
            <w:r>
              <w:rPr>
                <w:rFonts w:ascii="Arial" w:hAnsi="Arial" w:cs="Arial"/>
                <w:sz w:val="16"/>
                <w:szCs w:val="18"/>
              </w:rPr>
              <w:t>服务及管理水平</w:t>
            </w:r>
          </w:p>
        </w:tc>
        <w:tc>
          <w:tcPr>
            <w:tcW w:w="1707" w:type="dxa"/>
            <w:tcBorders>
              <w:top w:val="nil"/>
              <w:left w:val="nil"/>
              <w:bottom w:val="single" w:color="auto" w:sz="4" w:space="0"/>
              <w:right w:val="single" w:color="auto" w:sz="4" w:space="0"/>
            </w:tcBorders>
            <w:vAlign w:val="center"/>
          </w:tcPr>
          <w:p w14:paraId="4C2870C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467BE61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1A3647F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13EF79C">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56635D8E">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3D0902C7">
            <w:pPr>
              <w:widowControl/>
              <w:adjustRightInd/>
              <w:spacing w:line="240" w:lineRule="auto"/>
              <w:textAlignment w:val="auto"/>
              <w:rPr>
                <w:rFonts w:ascii="Arial" w:hAnsi="Arial" w:cs="Arial"/>
                <w:sz w:val="16"/>
                <w:szCs w:val="18"/>
              </w:rPr>
            </w:pPr>
            <w:r>
              <w:rPr>
                <w:rFonts w:ascii="Arial" w:hAnsi="Arial" w:cs="Arial"/>
                <w:sz w:val="16"/>
                <w:szCs w:val="18"/>
              </w:rPr>
              <w:t>水电气费执行标准</w:t>
            </w:r>
          </w:p>
        </w:tc>
        <w:tc>
          <w:tcPr>
            <w:tcW w:w="897" w:type="pct"/>
            <w:tcBorders>
              <w:top w:val="nil"/>
              <w:left w:val="nil"/>
              <w:bottom w:val="single" w:color="auto" w:sz="4" w:space="0"/>
              <w:right w:val="single" w:color="auto" w:sz="4" w:space="0"/>
            </w:tcBorders>
            <w:vAlign w:val="center"/>
          </w:tcPr>
          <w:p w14:paraId="1DBC5F3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E9E83E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0237C9A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AA748A7">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57ADF882">
            <w:pPr>
              <w:widowControl/>
              <w:adjustRightInd/>
              <w:spacing w:line="240" w:lineRule="auto"/>
              <w:textAlignment w:val="auto"/>
              <w:rPr>
                <w:rFonts w:ascii="Arial" w:hAnsi="Arial" w:cs="Arial"/>
                <w:sz w:val="16"/>
                <w:szCs w:val="18"/>
              </w:rPr>
            </w:pPr>
            <w:r>
              <w:rPr>
                <w:rFonts w:ascii="Arial" w:hAnsi="Arial" w:cs="Arial"/>
                <w:sz w:val="16"/>
                <w:szCs w:val="18"/>
              </w:rPr>
              <w:t>修正系数</w:t>
            </w:r>
          </w:p>
        </w:tc>
        <w:tc>
          <w:tcPr>
            <w:tcW w:w="897" w:type="pct"/>
            <w:tcBorders>
              <w:top w:val="single" w:color="auto" w:sz="4" w:space="0"/>
              <w:left w:val="nil"/>
              <w:bottom w:val="single" w:color="auto" w:sz="4" w:space="0"/>
              <w:right w:val="single" w:color="auto" w:sz="4" w:space="0"/>
            </w:tcBorders>
            <w:vAlign w:val="center"/>
          </w:tcPr>
          <w:p w14:paraId="48238617">
            <w:pPr>
              <w:spacing w:line="240" w:lineRule="auto"/>
              <w:jc w:val="center"/>
              <w:rPr>
                <w:rFonts w:ascii="Arial" w:hAnsi="Arial" w:cs="Arial"/>
                <w:sz w:val="16"/>
                <w:szCs w:val="18"/>
              </w:rPr>
            </w:pPr>
            <w:r>
              <w:rPr>
                <w:rFonts w:hint="eastAsia" w:ascii="Arial" w:hAnsi="Arial" w:cs="Arial"/>
                <w:sz w:val="16"/>
                <w:szCs w:val="18"/>
              </w:rPr>
              <w:t>1.1825</w:t>
            </w:r>
          </w:p>
        </w:tc>
        <w:tc>
          <w:tcPr>
            <w:tcW w:w="897" w:type="pct"/>
            <w:tcBorders>
              <w:top w:val="single" w:color="auto" w:sz="4" w:space="0"/>
              <w:left w:val="nil"/>
              <w:bottom w:val="single" w:color="auto" w:sz="4" w:space="0"/>
              <w:right w:val="single" w:color="auto" w:sz="4" w:space="0"/>
            </w:tcBorders>
            <w:vAlign w:val="center"/>
          </w:tcPr>
          <w:p w14:paraId="15DC0BA8">
            <w:pPr>
              <w:spacing w:line="240" w:lineRule="auto"/>
              <w:jc w:val="center"/>
              <w:rPr>
                <w:rFonts w:ascii="Arial" w:hAnsi="Arial" w:cs="Arial"/>
                <w:sz w:val="16"/>
                <w:szCs w:val="18"/>
              </w:rPr>
            </w:pPr>
            <w:r>
              <w:rPr>
                <w:rFonts w:hint="eastAsia" w:ascii="Arial" w:hAnsi="Arial" w:cs="Arial"/>
                <w:sz w:val="16"/>
                <w:szCs w:val="18"/>
              </w:rPr>
              <w:t>1.1825</w:t>
            </w:r>
          </w:p>
        </w:tc>
        <w:tc>
          <w:tcPr>
            <w:tcW w:w="897" w:type="pct"/>
            <w:tcBorders>
              <w:top w:val="single" w:color="auto" w:sz="4" w:space="0"/>
              <w:left w:val="nil"/>
              <w:bottom w:val="single" w:color="auto" w:sz="4" w:space="0"/>
              <w:right w:val="single" w:color="auto" w:sz="4" w:space="0"/>
            </w:tcBorders>
            <w:vAlign w:val="center"/>
          </w:tcPr>
          <w:p w14:paraId="35B7E3B4">
            <w:pPr>
              <w:spacing w:line="240" w:lineRule="auto"/>
              <w:jc w:val="center"/>
              <w:rPr>
                <w:rFonts w:ascii="Arial" w:hAnsi="Arial" w:cs="Arial"/>
                <w:sz w:val="16"/>
                <w:szCs w:val="18"/>
              </w:rPr>
            </w:pPr>
            <w:r>
              <w:rPr>
                <w:rFonts w:hint="eastAsia" w:ascii="Arial" w:hAnsi="Arial" w:cs="Arial"/>
                <w:sz w:val="16"/>
                <w:szCs w:val="18"/>
              </w:rPr>
              <w:t>1.1830</w:t>
            </w:r>
          </w:p>
        </w:tc>
      </w:tr>
      <w:tr w14:paraId="73758496">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2E9B2DD3">
            <w:pPr>
              <w:widowControl/>
              <w:adjustRightInd/>
              <w:spacing w:line="240" w:lineRule="auto"/>
              <w:textAlignment w:val="auto"/>
              <w:rPr>
                <w:rFonts w:ascii="Arial" w:hAnsi="Arial" w:cs="Arial"/>
                <w:sz w:val="16"/>
                <w:szCs w:val="18"/>
              </w:rPr>
            </w:pPr>
            <w:r>
              <w:rPr>
                <w:rFonts w:ascii="Arial" w:hAnsi="Arial" w:cs="Arial"/>
                <w:sz w:val="16"/>
                <w:szCs w:val="18"/>
              </w:rPr>
              <w:t>比准价格（元/平方米·月）</w:t>
            </w:r>
          </w:p>
        </w:tc>
        <w:tc>
          <w:tcPr>
            <w:tcW w:w="897" w:type="pct"/>
            <w:tcBorders>
              <w:top w:val="single" w:color="auto" w:sz="4" w:space="0"/>
              <w:left w:val="nil"/>
              <w:bottom w:val="single" w:color="auto" w:sz="4" w:space="0"/>
              <w:right w:val="single" w:color="auto" w:sz="4" w:space="0"/>
            </w:tcBorders>
            <w:vAlign w:val="center"/>
          </w:tcPr>
          <w:p w14:paraId="1239B47F">
            <w:pPr>
              <w:spacing w:line="240" w:lineRule="auto"/>
              <w:jc w:val="center"/>
              <w:rPr>
                <w:rFonts w:ascii="Arial" w:hAnsi="Arial" w:cs="Arial"/>
                <w:sz w:val="16"/>
                <w:szCs w:val="18"/>
              </w:rPr>
            </w:pPr>
            <w:r>
              <w:rPr>
                <w:rFonts w:hint="eastAsia" w:ascii="Arial" w:hAnsi="Arial" w:cs="Arial"/>
                <w:sz w:val="16"/>
                <w:szCs w:val="18"/>
              </w:rPr>
              <w:t>33.43</w:t>
            </w:r>
          </w:p>
        </w:tc>
        <w:tc>
          <w:tcPr>
            <w:tcW w:w="897" w:type="pct"/>
            <w:tcBorders>
              <w:top w:val="single" w:color="auto" w:sz="4" w:space="0"/>
              <w:left w:val="nil"/>
              <w:bottom w:val="single" w:color="auto" w:sz="4" w:space="0"/>
              <w:right w:val="single" w:color="auto" w:sz="4" w:space="0"/>
            </w:tcBorders>
            <w:vAlign w:val="center"/>
          </w:tcPr>
          <w:p w14:paraId="4ACE327E">
            <w:pPr>
              <w:spacing w:line="240" w:lineRule="auto"/>
              <w:jc w:val="center"/>
              <w:rPr>
                <w:rFonts w:ascii="Arial" w:hAnsi="Arial" w:cs="Arial"/>
                <w:sz w:val="16"/>
                <w:szCs w:val="18"/>
              </w:rPr>
            </w:pPr>
            <w:r>
              <w:rPr>
                <w:rFonts w:hint="eastAsia" w:ascii="Arial" w:hAnsi="Arial" w:cs="Arial"/>
                <w:sz w:val="16"/>
                <w:szCs w:val="18"/>
              </w:rPr>
              <w:t>35.82</w:t>
            </w:r>
          </w:p>
        </w:tc>
        <w:tc>
          <w:tcPr>
            <w:tcW w:w="897" w:type="pct"/>
            <w:tcBorders>
              <w:top w:val="single" w:color="auto" w:sz="4" w:space="0"/>
              <w:left w:val="nil"/>
              <w:bottom w:val="single" w:color="auto" w:sz="4" w:space="0"/>
              <w:right w:val="single" w:color="auto" w:sz="4" w:space="0"/>
            </w:tcBorders>
            <w:vAlign w:val="center"/>
          </w:tcPr>
          <w:p w14:paraId="6373FB1D">
            <w:pPr>
              <w:spacing w:line="240" w:lineRule="auto"/>
              <w:jc w:val="center"/>
              <w:rPr>
                <w:rFonts w:ascii="Arial" w:hAnsi="Arial" w:cs="Arial"/>
                <w:sz w:val="16"/>
                <w:szCs w:val="18"/>
              </w:rPr>
            </w:pPr>
            <w:r>
              <w:rPr>
                <w:rFonts w:hint="eastAsia" w:ascii="Arial" w:hAnsi="Arial" w:cs="Arial"/>
                <w:sz w:val="16"/>
                <w:szCs w:val="18"/>
              </w:rPr>
              <w:t>36.50</w:t>
            </w:r>
          </w:p>
        </w:tc>
      </w:tr>
    </w:tbl>
    <w:p w14:paraId="7E6C74C3">
      <w:pPr>
        <w:wordWrap w:val="0"/>
        <w:overflowPunct w:val="0"/>
        <w:spacing w:before="240" w:beforeLines="100" w:line="480" w:lineRule="auto"/>
        <w:ind w:firstLine="420" w:firstLineChars="200"/>
        <w:rPr>
          <w:rFonts w:ascii="Arial" w:hAnsi="Arial"/>
          <w:sz w:val="21"/>
          <w:szCs w:val="21"/>
        </w:rPr>
      </w:pPr>
      <w:r>
        <w:rPr>
          <w:rFonts w:hint="eastAsia" w:ascii="Arial" w:hAnsi="Arial"/>
          <w:sz w:val="21"/>
          <w:szCs w:val="21"/>
        </w:rPr>
        <w:t>注：</w:t>
      </w:r>
      <w:r>
        <w:rPr>
          <w:rFonts w:ascii="Arial" w:hAnsi="Arial"/>
          <w:sz w:val="21"/>
          <w:szCs w:val="21"/>
        </w:rPr>
        <w:t>比准价格＝比较</w:t>
      </w:r>
      <w:r>
        <w:rPr>
          <w:rFonts w:hint="eastAsia" w:ascii="Arial" w:hAnsi="Arial"/>
          <w:sz w:val="21"/>
          <w:szCs w:val="21"/>
        </w:rPr>
        <w:t>实例</w:t>
      </w:r>
      <w:r>
        <w:rPr>
          <w:rFonts w:ascii="Arial" w:hAnsi="Arial"/>
          <w:sz w:val="21"/>
          <w:szCs w:val="21"/>
        </w:rPr>
        <w:t>平均租金×（待估房地产</w:t>
      </w:r>
      <w:r>
        <w:rPr>
          <w:rFonts w:hint="eastAsia" w:ascii="Arial" w:hAnsi="Arial"/>
          <w:sz w:val="21"/>
          <w:szCs w:val="21"/>
        </w:rPr>
        <w:t>交易时间</w:t>
      </w:r>
      <w:r>
        <w:rPr>
          <w:rFonts w:ascii="Arial" w:hAnsi="Arial"/>
          <w:sz w:val="21"/>
          <w:szCs w:val="21"/>
        </w:rPr>
        <w:t>房地产价租赁格指数/可比实例交易</w:t>
      </w:r>
      <w:r>
        <w:rPr>
          <w:rFonts w:hint="eastAsia" w:ascii="Arial" w:hAnsi="Arial"/>
          <w:sz w:val="21"/>
          <w:szCs w:val="21"/>
        </w:rPr>
        <w:t>时间</w:t>
      </w:r>
      <w:r>
        <w:rPr>
          <w:rFonts w:ascii="Arial" w:hAnsi="Arial"/>
          <w:sz w:val="21"/>
          <w:szCs w:val="21"/>
        </w:rPr>
        <w:t>房地产租赁价格指数）×（待估房地产交易情况指数/可比实例</w:t>
      </w:r>
      <w:r>
        <w:rPr>
          <w:rFonts w:hint="eastAsia" w:ascii="Arial" w:hAnsi="Arial"/>
          <w:sz w:val="21"/>
          <w:szCs w:val="21"/>
        </w:rPr>
        <w:t>交易情况</w:t>
      </w:r>
      <w:r>
        <w:rPr>
          <w:rFonts w:ascii="Arial" w:hAnsi="Arial"/>
          <w:sz w:val="21"/>
          <w:szCs w:val="21"/>
        </w:rPr>
        <w:t>指数）×（待估房地产</w:t>
      </w:r>
      <w:r>
        <w:rPr>
          <w:rFonts w:hint="eastAsia" w:ascii="Arial" w:hAnsi="Arial"/>
          <w:sz w:val="21"/>
          <w:szCs w:val="21"/>
        </w:rPr>
        <w:t>项目类型</w:t>
      </w:r>
      <w:r>
        <w:rPr>
          <w:rFonts w:ascii="Arial" w:hAnsi="Arial"/>
          <w:sz w:val="21"/>
          <w:szCs w:val="21"/>
        </w:rPr>
        <w:t>指数/可比实例</w:t>
      </w:r>
      <w:r>
        <w:rPr>
          <w:rFonts w:hint="eastAsia" w:ascii="Arial" w:hAnsi="Arial"/>
          <w:sz w:val="21"/>
          <w:szCs w:val="21"/>
        </w:rPr>
        <w:t>项目类型</w:t>
      </w:r>
      <w:r>
        <w:rPr>
          <w:rFonts w:ascii="Arial" w:hAnsi="Arial"/>
          <w:sz w:val="21"/>
          <w:szCs w:val="21"/>
        </w:rPr>
        <w:t>指数）×（待估房地产区域状况条件指数/可比实例房地产区域状况条件指数）×（待估房地产实物状况条件指数/可比实例房地产实物状况条件指数）×（待估房地产</w:t>
      </w:r>
      <w:r>
        <w:rPr>
          <w:rFonts w:hint="eastAsia" w:ascii="Arial" w:hAnsi="Arial"/>
          <w:sz w:val="21"/>
          <w:szCs w:val="21"/>
        </w:rPr>
        <w:t>权益</w:t>
      </w:r>
      <w:r>
        <w:rPr>
          <w:rFonts w:ascii="Arial" w:hAnsi="Arial"/>
          <w:sz w:val="21"/>
          <w:szCs w:val="21"/>
        </w:rPr>
        <w:t>状况条件指数/可比实例房地产</w:t>
      </w:r>
      <w:r>
        <w:rPr>
          <w:rFonts w:hint="eastAsia" w:ascii="Arial" w:hAnsi="Arial"/>
          <w:sz w:val="21"/>
          <w:szCs w:val="21"/>
        </w:rPr>
        <w:t>权益</w:t>
      </w:r>
      <w:r>
        <w:rPr>
          <w:rFonts w:ascii="Arial" w:hAnsi="Arial"/>
          <w:sz w:val="21"/>
          <w:szCs w:val="21"/>
        </w:rPr>
        <w:t>状况条件指数）</w:t>
      </w:r>
    </w:p>
    <w:p w14:paraId="21C849DD">
      <w:pPr>
        <w:wordWrap w:val="0"/>
        <w:overflowPunct w:val="0"/>
        <w:spacing w:line="480" w:lineRule="auto"/>
        <w:ind w:firstLine="420" w:firstLineChars="200"/>
        <w:rPr>
          <w:rFonts w:ascii="Arial" w:hAnsi="Arial"/>
          <w:sz w:val="21"/>
          <w:szCs w:val="21"/>
        </w:rPr>
      </w:pPr>
      <w:r>
        <w:rPr>
          <w:rFonts w:hint="eastAsia" w:ascii="Arial" w:hAnsi="Arial"/>
          <w:sz w:val="21"/>
          <w:szCs w:val="21"/>
        </w:rPr>
        <w:t>（4）影响因素选择实例修正后的价值计算</w:t>
      </w:r>
      <w:r>
        <w:rPr>
          <w:rFonts w:ascii="Arial" w:hAnsi="Arial"/>
          <w:sz w:val="21"/>
          <w:szCs w:val="21"/>
        </w:rPr>
        <w:t xml:space="preserve"> </w:t>
      </w:r>
    </w:p>
    <w:p w14:paraId="1BC661DA">
      <w:pPr>
        <w:overflowPunct w:val="0"/>
        <w:spacing w:line="480" w:lineRule="auto"/>
        <w:ind w:firstLine="420" w:firstLineChars="200"/>
        <w:jc w:val="both"/>
        <w:rPr>
          <w:rFonts w:ascii="Arial" w:hAnsi="Arial"/>
          <w:sz w:val="21"/>
          <w:szCs w:val="21"/>
        </w:rPr>
      </w:pPr>
      <w:r>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hint="eastAsia" w:ascii="Arial" w:hAnsi="Arial"/>
          <w:sz w:val="21"/>
          <w:szCs w:val="21"/>
        </w:rPr>
        <w:t>3</w:t>
      </w:r>
      <w:r>
        <w:rPr>
          <w:rFonts w:ascii="Arial" w:hAnsi="Arial"/>
          <w:sz w:val="21"/>
          <w:szCs w:val="21"/>
        </w:rPr>
        <w:t>个可比案例的比准价格的简单算术平均值作为项目</w:t>
      </w:r>
      <w:r>
        <w:rPr>
          <w:rFonts w:hint="eastAsia" w:ascii="Arial" w:hAnsi="Arial"/>
          <w:sz w:val="21"/>
          <w:szCs w:val="21"/>
        </w:rPr>
        <w:t>典型户型</w:t>
      </w:r>
      <w:r>
        <w:rPr>
          <w:rFonts w:ascii="Arial" w:hAnsi="Arial"/>
          <w:sz w:val="21"/>
          <w:szCs w:val="21"/>
        </w:rPr>
        <w:t>的评估价格</w:t>
      </w:r>
      <w:r>
        <w:rPr>
          <w:rFonts w:hint="eastAsia" w:ascii="Arial" w:hAnsi="Arial"/>
          <w:sz w:val="21"/>
          <w:szCs w:val="21"/>
        </w:rPr>
        <w:t>。</w:t>
      </w:r>
    </w:p>
    <w:p w14:paraId="24A4B560">
      <w:pPr>
        <w:wordWrap w:val="0"/>
        <w:overflowPunct w:val="0"/>
        <w:spacing w:line="480" w:lineRule="auto"/>
        <w:ind w:firstLine="420" w:firstLineChars="200"/>
        <w:rPr>
          <w:rFonts w:ascii="Arial" w:hAnsi="Arial"/>
          <w:sz w:val="21"/>
          <w:szCs w:val="21"/>
        </w:rPr>
      </w:pPr>
      <w:r>
        <w:rPr>
          <w:rFonts w:hint="eastAsia" w:ascii="Arial" w:hAnsi="Arial"/>
          <w:sz w:val="21"/>
          <w:szCs w:val="21"/>
        </w:rPr>
        <w:t>即：标准房5</w:t>
      </w:r>
      <w:r>
        <w:rPr>
          <w:rFonts w:hint="eastAsia" w:ascii="Arial" w:hAnsi="Arial"/>
          <w:bCs/>
          <w:sz w:val="21"/>
        </w:rPr>
        <w:t>市场租赁住房租金</w:t>
      </w:r>
      <w:r>
        <w:rPr>
          <w:rFonts w:hint="eastAsia" w:ascii="Arial" w:hAnsi="Arial"/>
          <w:sz w:val="21"/>
          <w:szCs w:val="21"/>
        </w:rPr>
        <w:t>＝（33.43+35.82+36.50）÷</w:t>
      </w:r>
      <w:r>
        <w:rPr>
          <w:rFonts w:ascii="Arial" w:hAnsi="Arial"/>
          <w:sz w:val="21"/>
          <w:szCs w:val="21"/>
        </w:rPr>
        <w:t>3</w:t>
      </w:r>
      <w:r>
        <w:rPr>
          <w:rFonts w:hint="eastAsia" w:ascii="Arial" w:hAnsi="Arial"/>
          <w:sz w:val="21"/>
          <w:szCs w:val="21"/>
        </w:rPr>
        <w:t>+3</w:t>
      </w:r>
    </w:p>
    <w:p w14:paraId="5DCEDACC">
      <w:pPr>
        <w:wordWrap w:val="0"/>
        <w:overflowPunct w:val="0"/>
        <w:spacing w:line="480" w:lineRule="auto"/>
        <w:ind w:firstLine="3360" w:firstLineChars="1600"/>
        <w:rPr>
          <w:rFonts w:ascii="Arial" w:hAnsi="Arial"/>
          <w:sz w:val="21"/>
          <w:szCs w:val="21"/>
        </w:rPr>
      </w:pPr>
      <w:r>
        <w:rPr>
          <w:rFonts w:hint="eastAsia" w:ascii="Arial" w:hAnsi="Arial"/>
          <w:sz w:val="21"/>
          <w:szCs w:val="21"/>
        </w:rPr>
        <w:t>＝35.25+3</w:t>
      </w:r>
    </w:p>
    <w:p w14:paraId="63ACA36B">
      <w:pPr>
        <w:wordWrap w:val="0"/>
        <w:overflowPunct w:val="0"/>
        <w:spacing w:line="480" w:lineRule="auto"/>
        <w:ind w:firstLine="420" w:firstLineChars="200"/>
        <w:rPr>
          <w:rFonts w:hint="eastAsia" w:ascii="宋体" w:hAnsi="宋体"/>
          <w:sz w:val="21"/>
          <w:szCs w:val="21"/>
        </w:rPr>
      </w:pPr>
      <w:r>
        <w:rPr>
          <w:rFonts w:ascii="Arial" w:hAnsi="Arial"/>
          <w:sz w:val="21"/>
          <w:szCs w:val="21"/>
        </w:rPr>
        <w:t xml:space="preserve">                            </w:t>
      </w:r>
      <w:r>
        <w:rPr>
          <w:rFonts w:hint="eastAsia" w:ascii="Arial" w:hAnsi="Arial"/>
          <w:sz w:val="21"/>
          <w:szCs w:val="21"/>
        </w:rPr>
        <w:t>＝38.25（元/平方米·月）</w:t>
      </w:r>
      <w:r>
        <w:rPr>
          <w:rFonts w:hint="eastAsia" w:ascii="宋体" w:hAnsi="宋体"/>
          <w:sz w:val="21"/>
          <w:szCs w:val="21"/>
        </w:rPr>
        <w:t>（含物业费、不含取暖费）</w:t>
      </w:r>
      <w:bookmarkStart w:id="70" w:name="_Toc155267108"/>
      <w:bookmarkStart w:id="71" w:name="_Toc525655441"/>
    </w:p>
    <w:p w14:paraId="484B8E3E">
      <w:pPr>
        <w:wordWrap w:val="0"/>
        <w:overflowPunct w:val="0"/>
        <w:spacing w:line="480" w:lineRule="auto"/>
        <w:ind w:firstLine="420" w:firstLineChars="200"/>
        <w:rPr>
          <w:rFonts w:hint="default" w:ascii="Arial" w:hAnsi="Arial" w:eastAsia="宋体"/>
          <w:sz w:val="21"/>
          <w:szCs w:val="21"/>
          <w:lang w:val="en-US" w:eastAsia="zh-CN"/>
        </w:rPr>
      </w:pPr>
      <w:r>
        <w:rPr>
          <w:rFonts w:hint="eastAsia" w:ascii="Arial" w:hAnsi="Arial" w:eastAsia="宋体"/>
          <w:sz w:val="21"/>
          <w:szCs w:val="21"/>
          <w:lang w:val="en-US" w:eastAsia="zh-CN"/>
        </w:rPr>
        <w:t>综合租金=（1753.95×46.38+591.7×50</w:t>
      </w:r>
      <w:r>
        <w:rPr>
          <w:rFonts w:hint="eastAsia" w:ascii="Arial" w:hAnsi="Arial"/>
          <w:sz w:val="21"/>
          <w:szCs w:val="21"/>
          <w:lang w:val="en-US" w:eastAsia="zh-CN"/>
        </w:rPr>
        <w:t>.25+10356.25</w:t>
      </w:r>
      <w:r>
        <w:rPr>
          <w:rFonts w:ascii="Arial" w:hAnsi="Arial"/>
          <w:sz w:val="21"/>
          <w:szCs w:val="21"/>
        </w:rPr>
        <w:t>×</w:t>
      </w:r>
      <w:r>
        <w:rPr>
          <w:rFonts w:hint="eastAsia" w:ascii="Arial" w:hAnsi="Arial"/>
          <w:sz w:val="21"/>
          <w:szCs w:val="21"/>
          <w:lang w:val="en-US" w:eastAsia="zh-CN"/>
        </w:rPr>
        <w:t>44.49+13370.53</w:t>
      </w:r>
      <w:r>
        <w:rPr>
          <w:rFonts w:ascii="Arial" w:hAnsi="Arial"/>
          <w:sz w:val="21"/>
          <w:szCs w:val="21"/>
        </w:rPr>
        <w:t>×</w:t>
      </w:r>
      <w:r>
        <w:rPr>
          <w:rFonts w:hint="eastAsia" w:ascii="Arial" w:hAnsi="Arial"/>
          <w:sz w:val="21"/>
          <w:szCs w:val="21"/>
          <w:lang w:val="en-US" w:eastAsia="zh-CN"/>
        </w:rPr>
        <w:t>40.02+861.92</w:t>
      </w:r>
      <w:r>
        <w:rPr>
          <w:rFonts w:ascii="Arial" w:hAnsi="Arial"/>
          <w:sz w:val="21"/>
          <w:szCs w:val="21"/>
        </w:rPr>
        <w:t>×</w:t>
      </w:r>
      <w:r>
        <w:rPr>
          <w:rFonts w:hint="eastAsia" w:ascii="Arial" w:hAnsi="Arial"/>
          <w:sz w:val="21"/>
          <w:szCs w:val="21"/>
          <w:lang w:val="en-US" w:eastAsia="zh-CN"/>
        </w:rPr>
        <w:t>38.25）</w:t>
      </w:r>
      <w:r>
        <w:rPr>
          <w:rFonts w:hint="eastAsia" w:ascii="Arial" w:hAnsi="Arial" w:eastAsia="宋体"/>
          <w:sz w:val="21"/>
          <w:szCs w:val="21"/>
          <w:lang w:val="en-US" w:eastAsia="zh-CN"/>
        </w:rPr>
        <w:t>÷26934.35=42.32</w:t>
      </w:r>
      <w:r>
        <w:rPr>
          <w:rFonts w:hint="eastAsia" w:ascii="Arial" w:hAnsi="Arial"/>
          <w:sz w:val="21"/>
          <w:szCs w:val="21"/>
        </w:rPr>
        <w:t>（元/平方米·月）</w:t>
      </w:r>
      <w:r>
        <w:rPr>
          <w:rFonts w:hint="eastAsia" w:ascii="宋体" w:hAnsi="宋体"/>
          <w:sz w:val="21"/>
          <w:szCs w:val="21"/>
        </w:rPr>
        <w:t>（含物业费、不含取暖费）</w:t>
      </w:r>
    </w:p>
    <w:p w14:paraId="71061B81">
      <w:pPr>
        <w:wordWrap w:val="0"/>
        <w:overflowPunct w:val="0"/>
        <w:spacing w:line="480" w:lineRule="auto"/>
        <w:ind w:firstLine="420" w:firstLineChars="200"/>
        <w:rPr>
          <w:rFonts w:hint="eastAsia" w:ascii="宋体" w:hAnsi="宋体"/>
          <w:sz w:val="21"/>
          <w:szCs w:val="21"/>
        </w:rPr>
      </w:pPr>
    </w:p>
    <w:p w14:paraId="125A29B0">
      <w:pPr>
        <w:pStyle w:val="3"/>
        <w:numPr>
          <w:ilvl w:val="0"/>
          <w:numId w:val="0"/>
        </w:numPr>
        <w:spacing w:line="480" w:lineRule="auto"/>
        <w:ind w:left="358" w:hanging="358" w:hangingChars="170"/>
        <w:jc w:val="both"/>
        <w:rPr>
          <w:rFonts w:eastAsia="宋体"/>
          <w:kern w:val="2"/>
          <w:sz w:val="21"/>
          <w:szCs w:val="21"/>
        </w:rPr>
      </w:pPr>
      <w:r>
        <w:rPr>
          <w:rFonts w:eastAsia="宋体"/>
          <w:kern w:val="2"/>
          <w:sz w:val="21"/>
          <w:szCs w:val="21"/>
        </w:rPr>
        <w:t>六、估价结果确定</w:t>
      </w:r>
      <w:bookmarkEnd w:id="70"/>
      <w:bookmarkEnd w:id="71"/>
    </w:p>
    <w:p w14:paraId="27FE084D">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评估专业人员根据估价的目的，</w:t>
      </w:r>
      <w:r>
        <w:rPr>
          <w:rFonts w:hint="eastAsia" w:ascii="Arial" w:hAnsi="Arial" w:cs="Arial"/>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hint="eastAsia" w:ascii="Arial" w:hAnsi="Arial" w:cs="Arial"/>
          <w:sz w:val="21"/>
          <w:szCs w:val="21"/>
        </w:rPr>
        <w:t>租赁</w:t>
      </w:r>
      <w:r>
        <w:rPr>
          <w:rFonts w:ascii="Arial" w:hAnsi="Arial" w:cs="Arial"/>
          <w:sz w:val="21"/>
          <w:szCs w:val="21"/>
        </w:rPr>
        <w:t>价格的因素，</w:t>
      </w:r>
      <w:r>
        <w:rPr>
          <w:rFonts w:hint="eastAsia" w:ascii="Arial" w:hAnsi="Arial" w:cs="Arial"/>
          <w:sz w:val="21"/>
          <w:szCs w:val="21"/>
        </w:rPr>
        <w:t>最终</w:t>
      </w:r>
      <w:r>
        <w:rPr>
          <w:rFonts w:ascii="Arial" w:hAnsi="Arial" w:cs="Arial"/>
          <w:sz w:val="21"/>
          <w:szCs w:val="21"/>
        </w:rPr>
        <w:t>确定</w:t>
      </w:r>
      <w:r>
        <w:rPr>
          <w:rFonts w:hint="eastAsia" w:ascii="Arial" w:hAnsi="Arial" w:cs="Arial"/>
          <w:sz w:val="21"/>
          <w:szCs w:val="21"/>
        </w:rPr>
        <w:t>（福兴雅苑）保障性租赁住房（住宅型）项目于价值时点2026年4月7日同地段、同品质市场租赁住房租金为：</w:t>
      </w:r>
    </w:p>
    <w:p w14:paraId="579130C3">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开  间（60.36-60.49</w:t>
      </w:r>
      <w:r>
        <w:rPr>
          <w:rFonts w:ascii="Arial" w:hAnsi="Arial" w:cs="Arial"/>
          <w:b/>
          <w:bCs/>
          <w:sz w:val="21"/>
          <w:szCs w:val="21"/>
        </w:rPr>
        <w:t>平方米）</w:t>
      </w:r>
      <w:r>
        <w:rPr>
          <w:rFonts w:hint="eastAsia" w:ascii="Arial" w:hAnsi="Arial" w:cs="Arial"/>
          <w:b/>
          <w:bCs/>
          <w:sz w:val="21"/>
          <w:szCs w:val="21"/>
        </w:rPr>
        <w:t>：46.38元/平方米·月</w:t>
      </w:r>
    </w:p>
    <w:p w14:paraId="78088AEB">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一居室（73.85-74.00</w:t>
      </w:r>
      <w:r>
        <w:rPr>
          <w:rFonts w:ascii="Arial" w:hAnsi="Arial" w:cs="Arial"/>
          <w:b/>
          <w:bCs/>
          <w:sz w:val="21"/>
          <w:szCs w:val="21"/>
        </w:rPr>
        <w:t>平方米）</w:t>
      </w:r>
      <w:r>
        <w:rPr>
          <w:rFonts w:hint="eastAsia" w:ascii="Arial" w:hAnsi="Arial" w:cs="Arial"/>
          <w:b/>
          <w:bCs/>
          <w:sz w:val="21"/>
          <w:szCs w:val="21"/>
        </w:rPr>
        <w:t>：50.25元/平方米·月</w:t>
      </w:r>
    </w:p>
    <w:p w14:paraId="7AC650A7">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一居室（82.25</w:t>
      </w:r>
      <w:r>
        <w:rPr>
          <w:rFonts w:ascii="Arial" w:hAnsi="Arial" w:cs="Arial"/>
          <w:b/>
          <w:bCs/>
          <w:sz w:val="21"/>
          <w:szCs w:val="21"/>
        </w:rPr>
        <w:t>平方米）</w:t>
      </w:r>
      <w:r>
        <w:rPr>
          <w:rFonts w:hint="eastAsia" w:ascii="Arial" w:hAnsi="Arial" w:cs="Arial"/>
          <w:b/>
          <w:bCs/>
          <w:sz w:val="21"/>
          <w:szCs w:val="21"/>
        </w:rPr>
        <w:t>：44.95元/平方米·月</w:t>
      </w:r>
    </w:p>
    <w:p w14:paraId="25111D77">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两居室（95.85-101.74</w:t>
      </w:r>
      <w:r>
        <w:rPr>
          <w:rFonts w:ascii="Arial" w:hAnsi="Arial" w:cs="Arial"/>
          <w:b/>
          <w:bCs/>
          <w:sz w:val="21"/>
          <w:szCs w:val="21"/>
        </w:rPr>
        <w:t>平方米）</w:t>
      </w:r>
      <w:r>
        <w:rPr>
          <w:rFonts w:hint="eastAsia" w:ascii="Arial" w:hAnsi="Arial" w:cs="Arial"/>
          <w:b/>
          <w:bCs/>
          <w:sz w:val="21"/>
          <w:szCs w:val="21"/>
        </w:rPr>
        <w:t>：40.02元/平方米·月</w:t>
      </w:r>
    </w:p>
    <w:p w14:paraId="1CA42F61">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三居室（107.74</w:t>
      </w:r>
      <w:r>
        <w:rPr>
          <w:rFonts w:ascii="Arial" w:hAnsi="Arial" w:cs="Arial"/>
          <w:b/>
          <w:bCs/>
          <w:sz w:val="21"/>
          <w:szCs w:val="21"/>
        </w:rPr>
        <w:t>平方米</w:t>
      </w:r>
      <w:r>
        <w:rPr>
          <w:rFonts w:hint="eastAsia" w:ascii="Arial" w:hAnsi="Arial" w:cs="Arial"/>
          <w:b/>
          <w:bCs/>
          <w:sz w:val="21"/>
          <w:szCs w:val="21"/>
        </w:rPr>
        <w:t>）：38.25元/平方米·月</w:t>
      </w:r>
    </w:p>
    <w:p w14:paraId="61BA6B36">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综合租金：42.32元/平方米</w:t>
      </w:r>
      <w:bookmarkStart w:id="75" w:name="_GoBack"/>
      <w:bookmarkEnd w:id="75"/>
      <w:r>
        <w:rPr>
          <w:rFonts w:hint="eastAsia" w:ascii="Arial" w:hAnsi="Arial" w:cs="Arial"/>
          <w:b/>
          <w:bCs/>
          <w:sz w:val="21"/>
          <w:szCs w:val="21"/>
        </w:rPr>
        <w:t>·月</w:t>
      </w:r>
    </w:p>
    <w:p w14:paraId="47AFE1B1">
      <w:pPr>
        <w:overflowPunct w:val="0"/>
        <w:spacing w:line="480" w:lineRule="auto"/>
        <w:ind w:firstLine="360" w:firstLineChars="200"/>
        <w:jc w:val="both"/>
        <w:textAlignment w:val="auto"/>
        <w:rPr>
          <w:rFonts w:ascii="Arial" w:hAnsi="Arial" w:cs="Arial"/>
          <w:sz w:val="18"/>
          <w:szCs w:val="18"/>
        </w:rPr>
      </w:pPr>
      <w:r>
        <w:rPr>
          <w:rFonts w:ascii="Arial" w:hAnsi="Arial" w:cs="Arial"/>
          <w:sz w:val="18"/>
          <w:szCs w:val="18"/>
        </w:rPr>
        <w:t>注：1、</w:t>
      </w:r>
      <w:r>
        <w:rPr>
          <w:rFonts w:hint="eastAsia" w:ascii="Arial" w:hAnsi="Arial" w:cs="Arial"/>
          <w:sz w:val="18"/>
          <w:szCs w:val="18"/>
        </w:rPr>
        <w:t>评估的详细结果、过程及有关说明，详见《估价结果报告》、《估价技术报告》。</w:t>
      </w:r>
    </w:p>
    <w:p w14:paraId="41720C6E">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w:t>
      </w:r>
      <w:r>
        <w:rPr>
          <w:rFonts w:hint="eastAsia" w:ascii="Arial" w:hAnsi="Arial" w:cs="Arial"/>
          <w:sz w:val="18"/>
          <w:szCs w:val="18"/>
        </w:rPr>
        <w:t>2</w:t>
      </w:r>
      <w:r>
        <w:rPr>
          <w:rFonts w:ascii="Arial" w:hAnsi="Arial" w:cs="Arial"/>
          <w:sz w:val="18"/>
          <w:szCs w:val="18"/>
        </w:rPr>
        <w:t>、</w:t>
      </w:r>
      <w:r>
        <w:rPr>
          <w:rFonts w:hint="eastAsia" w:ascii="Arial" w:hAnsi="Arial" w:cs="Arial"/>
          <w:sz w:val="18"/>
          <w:szCs w:val="18"/>
        </w:rPr>
        <w:t>市场租赁住房租金是指市场租赁住房于价值时点在公开市场上的平均租金，</w:t>
      </w:r>
      <w:r>
        <w:rPr>
          <w:rFonts w:hint="eastAsia" w:ascii="Arial" w:hAnsi="Arial" w:cs="Arial"/>
          <w:sz w:val="18"/>
          <w:szCs w:val="18"/>
          <w:lang w:eastAsia="zh-CN"/>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r>
        <w:rPr>
          <w:rFonts w:hint="eastAsia" w:ascii="Arial" w:hAnsi="Arial" w:cs="Arial"/>
          <w:sz w:val="18"/>
          <w:szCs w:val="18"/>
        </w:rPr>
        <w:t>。</w:t>
      </w:r>
    </w:p>
    <w:p w14:paraId="4F53BC97">
      <w:pPr>
        <w:overflowPunct w:val="0"/>
        <w:spacing w:line="480" w:lineRule="auto"/>
        <w:ind w:left="720" w:leftChars="150" w:hanging="360" w:hangingChars="200"/>
        <w:jc w:val="both"/>
        <w:textAlignment w:val="auto"/>
        <w:rPr>
          <w:rFonts w:ascii="Arial" w:hAnsi="Arial" w:cs="Arial"/>
          <w:sz w:val="18"/>
          <w:szCs w:val="18"/>
        </w:rPr>
        <w:sectPr>
          <w:headerReference r:id="rId26" w:type="first"/>
          <w:headerReference r:id="rId24" w:type="default"/>
          <w:headerReference r:id="rId25" w:type="even"/>
          <w:pgSz w:w="11907" w:h="16840"/>
          <w:pgMar w:top="1843" w:right="1134" w:bottom="1134" w:left="1134" w:header="1134" w:footer="907" w:gutter="340"/>
          <w:cols w:space="720" w:num="1"/>
          <w:docGrid w:linePitch="326" w:charSpace="0"/>
        </w:sectPr>
      </w:pPr>
    </w:p>
    <w:p w14:paraId="5A76C485">
      <w:pPr>
        <w:overflowPunct w:val="0"/>
        <w:spacing w:line="480" w:lineRule="auto"/>
        <w:ind w:left="720" w:leftChars="150" w:hanging="360" w:hangingChars="200"/>
        <w:jc w:val="both"/>
        <w:textAlignment w:val="auto"/>
        <w:rPr>
          <w:rFonts w:ascii="Arial" w:hAnsi="Arial" w:cs="Arial"/>
          <w:sz w:val="18"/>
          <w:szCs w:val="18"/>
        </w:rPr>
      </w:pPr>
    </w:p>
    <w:p w14:paraId="195E1017">
      <w:pPr>
        <w:pStyle w:val="2"/>
        <w:spacing w:line="480" w:lineRule="auto"/>
        <w:jc w:val="center"/>
        <w:rPr>
          <w:rFonts w:eastAsia="方正黑体简体"/>
          <w:b w:val="0"/>
          <w:kern w:val="2"/>
          <w:sz w:val="32"/>
          <w:szCs w:val="32"/>
        </w:rPr>
      </w:pPr>
      <w:bookmarkStart w:id="72" w:name="_Toc155267109"/>
      <w:r>
        <w:rPr>
          <w:rFonts w:hint="eastAsia" w:eastAsia="方正黑体简体"/>
          <w:b w:val="0"/>
          <w:kern w:val="2"/>
          <w:sz w:val="32"/>
          <w:szCs w:val="32"/>
        </w:rPr>
        <w:t>附   件</w:t>
      </w:r>
      <w:bookmarkEnd w:id="72"/>
    </w:p>
    <w:p w14:paraId="489BF9CD">
      <w:pPr>
        <w:numPr>
          <w:ilvl w:val="0"/>
          <w:numId w:val="11"/>
        </w:numPr>
        <w:spacing w:line="360" w:lineRule="auto"/>
        <w:jc w:val="both"/>
        <w:rPr>
          <w:rFonts w:ascii="Arial" w:hAnsi="Arial" w:cs="Arial"/>
          <w:sz w:val="21"/>
          <w:szCs w:val="21"/>
        </w:rPr>
      </w:pPr>
      <w:r>
        <w:rPr>
          <w:rFonts w:hint="eastAsia" w:ascii="Arial" w:hAnsi="Arial" w:cs="Arial"/>
          <w:sz w:val="21"/>
          <w:szCs w:val="21"/>
        </w:rPr>
        <w:t>《估价委托书》复印件</w:t>
      </w:r>
    </w:p>
    <w:p w14:paraId="22CB1733">
      <w:pPr>
        <w:numPr>
          <w:ilvl w:val="0"/>
          <w:numId w:val="11"/>
        </w:numPr>
        <w:spacing w:line="360" w:lineRule="auto"/>
        <w:jc w:val="both"/>
        <w:rPr>
          <w:rFonts w:ascii="Arial" w:hAnsi="Arial" w:cs="Arial"/>
          <w:sz w:val="21"/>
          <w:szCs w:val="21"/>
        </w:rPr>
      </w:pPr>
      <w:r>
        <w:rPr>
          <w:rFonts w:ascii="Arial" w:hAnsi="Arial" w:cs="Arial"/>
          <w:sz w:val="21"/>
          <w:szCs w:val="21"/>
        </w:rPr>
        <w:t>估价对象所在位置示意图</w:t>
      </w:r>
    </w:p>
    <w:p w14:paraId="6445BE51">
      <w:pPr>
        <w:numPr>
          <w:ilvl w:val="0"/>
          <w:numId w:val="11"/>
        </w:numPr>
        <w:spacing w:line="360" w:lineRule="auto"/>
        <w:jc w:val="both"/>
        <w:rPr>
          <w:rFonts w:ascii="Arial" w:hAnsi="Arial" w:cs="Arial"/>
          <w:sz w:val="21"/>
          <w:szCs w:val="21"/>
        </w:rPr>
      </w:pPr>
      <w:r>
        <w:rPr>
          <w:rFonts w:ascii="Arial" w:hAnsi="Arial" w:cs="Arial"/>
          <w:sz w:val="21"/>
          <w:szCs w:val="21"/>
        </w:rPr>
        <w:t>估价对象</w:t>
      </w:r>
      <w:r>
        <w:rPr>
          <w:rFonts w:hint="eastAsia" w:ascii="Arial" w:hAnsi="Arial" w:cs="Arial"/>
          <w:sz w:val="21"/>
          <w:szCs w:val="21"/>
        </w:rPr>
        <w:t>现状</w:t>
      </w:r>
      <w:r>
        <w:rPr>
          <w:rFonts w:ascii="Arial" w:hAnsi="Arial" w:cs="Arial"/>
          <w:sz w:val="21"/>
          <w:szCs w:val="21"/>
        </w:rPr>
        <w:t>照片</w:t>
      </w:r>
    </w:p>
    <w:p w14:paraId="62A30B81">
      <w:pPr>
        <w:numPr>
          <w:ilvl w:val="0"/>
          <w:numId w:val="11"/>
        </w:numPr>
        <w:spacing w:line="360" w:lineRule="auto"/>
        <w:jc w:val="both"/>
        <w:rPr>
          <w:rFonts w:ascii="Arial" w:hAnsi="Arial" w:cs="Arial"/>
          <w:sz w:val="21"/>
          <w:szCs w:val="21"/>
        </w:rPr>
      </w:pPr>
      <w:r>
        <w:rPr>
          <w:rFonts w:hint="eastAsia" w:ascii="Arial" w:hAnsi="Arial" w:cs="Arial"/>
          <w:sz w:val="21"/>
          <w:szCs w:val="21"/>
        </w:rPr>
        <w:t>《北京市大兴区住房和城乡建设委员会 关于向燕兴公司出售我区安置房剩余房源资产的请示》[京兴建文（2026）20号]及其附件复印件</w:t>
      </w:r>
    </w:p>
    <w:p w14:paraId="23FD4B27">
      <w:pPr>
        <w:numPr>
          <w:ilvl w:val="0"/>
          <w:numId w:val="11"/>
        </w:numPr>
        <w:spacing w:line="360" w:lineRule="auto"/>
        <w:jc w:val="both"/>
        <w:rPr>
          <w:rFonts w:ascii="Arial" w:hAnsi="Arial" w:cs="Arial"/>
          <w:sz w:val="21"/>
          <w:szCs w:val="21"/>
        </w:rPr>
      </w:pPr>
      <w:r>
        <w:rPr>
          <w:rFonts w:hint="eastAsia" w:ascii="Arial" w:hAnsi="Arial" w:cs="Arial"/>
          <w:sz w:val="21"/>
          <w:szCs w:val="21"/>
        </w:rPr>
        <w:t>《北京市规划和自然资源委员会 大兴分局关于燕兴保障房公司保留原房屋产权性质有关意见的报告》[京规自兴文（2026）91号]复印件</w:t>
      </w:r>
    </w:p>
    <w:p w14:paraId="4738D13D">
      <w:pPr>
        <w:numPr>
          <w:ilvl w:val="0"/>
          <w:numId w:val="11"/>
        </w:numPr>
        <w:spacing w:line="360" w:lineRule="auto"/>
        <w:jc w:val="both"/>
        <w:rPr>
          <w:rFonts w:ascii="Arial" w:hAnsi="Arial" w:cs="Arial"/>
          <w:sz w:val="21"/>
          <w:szCs w:val="21"/>
        </w:rPr>
      </w:pPr>
      <w:r>
        <w:rPr>
          <w:rFonts w:hint="eastAsia" w:ascii="Arial" w:hAnsi="Arial" w:cs="Arial"/>
          <w:sz w:val="21"/>
          <w:szCs w:val="21"/>
        </w:rPr>
        <w:t>《北京市燕兴保障性住房建设投资有限公司 关于保留原房屋产权性质的请示》[燕兴建投文（2026）08号]复印件</w:t>
      </w:r>
    </w:p>
    <w:p w14:paraId="69BFE23B">
      <w:pPr>
        <w:numPr>
          <w:ilvl w:val="0"/>
          <w:numId w:val="11"/>
        </w:numPr>
        <w:spacing w:line="360" w:lineRule="auto"/>
        <w:jc w:val="both"/>
        <w:rPr>
          <w:rFonts w:ascii="Arial" w:hAnsi="Arial" w:cs="Arial"/>
          <w:sz w:val="21"/>
          <w:szCs w:val="21"/>
        </w:rPr>
      </w:pPr>
      <w:r>
        <w:rPr>
          <w:rFonts w:hint="eastAsia" w:ascii="Arial" w:hAnsi="Arial" w:cs="Arial"/>
          <w:sz w:val="21"/>
          <w:szCs w:val="21"/>
        </w:rPr>
        <w:t>《北京市保障性住房收购合同》及其附件复印件</w:t>
      </w:r>
    </w:p>
    <w:p w14:paraId="0156DFCF">
      <w:pPr>
        <w:numPr>
          <w:ilvl w:val="0"/>
          <w:numId w:val="11"/>
        </w:numPr>
        <w:spacing w:line="360" w:lineRule="auto"/>
        <w:jc w:val="both"/>
        <w:rPr>
          <w:rFonts w:ascii="Arial" w:hAnsi="Arial" w:cs="Arial"/>
          <w:sz w:val="21"/>
          <w:szCs w:val="21"/>
        </w:rPr>
      </w:pPr>
      <w:r>
        <w:rPr>
          <w:rFonts w:hint="eastAsia" w:ascii="Arial" w:hAnsi="Arial" w:cs="Arial"/>
          <w:sz w:val="21"/>
          <w:szCs w:val="21"/>
          <w:lang w:eastAsia="zh-CN"/>
        </w:rPr>
        <w:t>《不动产权证书》[京（2026）大不动产权第0006890、0007126、0007158号]部分</w:t>
      </w:r>
      <w:r>
        <w:rPr>
          <w:rFonts w:hint="eastAsia" w:ascii="Arial" w:hAnsi="Arial" w:cs="Arial"/>
          <w:sz w:val="21"/>
          <w:szCs w:val="21"/>
        </w:rPr>
        <w:t>复印件</w:t>
      </w:r>
    </w:p>
    <w:p w14:paraId="7CD4AAAA">
      <w:pPr>
        <w:numPr>
          <w:ilvl w:val="0"/>
          <w:numId w:val="11"/>
        </w:numPr>
        <w:spacing w:line="360" w:lineRule="auto"/>
        <w:jc w:val="both"/>
        <w:rPr>
          <w:rFonts w:ascii="Arial" w:hAnsi="Arial" w:cs="Arial"/>
          <w:sz w:val="21"/>
          <w:szCs w:val="21"/>
        </w:rPr>
      </w:pPr>
      <w:r>
        <w:rPr>
          <w:rFonts w:hint="eastAsia" w:ascii="Arial" w:hAnsi="Arial" w:cs="Arial"/>
          <w:sz w:val="21"/>
          <w:szCs w:val="21"/>
        </w:rPr>
        <w:t>估价委托人《营业执照（副本）》复印件</w:t>
      </w:r>
    </w:p>
    <w:p w14:paraId="05A42AE2">
      <w:pPr>
        <w:numPr>
          <w:ilvl w:val="0"/>
          <w:numId w:val="11"/>
        </w:numPr>
        <w:spacing w:line="360" w:lineRule="auto"/>
        <w:jc w:val="both"/>
        <w:rPr>
          <w:rFonts w:ascii="Arial" w:hAnsi="Arial" w:cs="Arial"/>
          <w:sz w:val="21"/>
          <w:szCs w:val="21"/>
        </w:rPr>
      </w:pPr>
      <w:r>
        <w:rPr>
          <w:rFonts w:ascii="Arial" w:hAnsi="Arial" w:cs="Arial"/>
          <w:sz w:val="21"/>
          <w:szCs w:val="21"/>
        </w:rPr>
        <w:t>房地产估价机构《营业执照（副本）》复印件</w:t>
      </w:r>
    </w:p>
    <w:p w14:paraId="060DC725">
      <w:pPr>
        <w:numPr>
          <w:ilvl w:val="0"/>
          <w:numId w:val="11"/>
        </w:numPr>
        <w:spacing w:line="360" w:lineRule="auto"/>
        <w:jc w:val="both"/>
        <w:rPr>
          <w:rFonts w:ascii="Arial" w:hAnsi="Arial" w:cs="Arial"/>
          <w:sz w:val="21"/>
          <w:szCs w:val="21"/>
        </w:rPr>
      </w:pPr>
      <w:r>
        <w:rPr>
          <w:rFonts w:ascii="Arial" w:hAnsi="Arial" w:cs="Arial"/>
          <w:sz w:val="21"/>
          <w:szCs w:val="21"/>
        </w:rPr>
        <w:t>房地产估价机构资质证书复印件</w:t>
      </w:r>
    </w:p>
    <w:p w14:paraId="599D7BE8">
      <w:pPr>
        <w:numPr>
          <w:ilvl w:val="0"/>
          <w:numId w:val="11"/>
        </w:numPr>
        <w:spacing w:line="360" w:lineRule="auto"/>
        <w:jc w:val="both"/>
        <w:rPr>
          <w:rFonts w:ascii="Arial" w:hAnsi="Arial" w:cs="Arial"/>
          <w:sz w:val="21"/>
          <w:szCs w:val="21"/>
        </w:rPr>
      </w:pPr>
      <w:r>
        <w:rPr>
          <w:rFonts w:hint="eastAsia" w:ascii="Arial" w:hAnsi="Arial" w:cs="Arial"/>
          <w:sz w:val="21"/>
          <w:szCs w:val="21"/>
        </w:rPr>
        <w:t>评估专业人员</w:t>
      </w:r>
      <w:r>
        <w:rPr>
          <w:rFonts w:ascii="Arial" w:hAnsi="Arial" w:cs="Arial"/>
          <w:sz w:val="21"/>
          <w:szCs w:val="21"/>
        </w:rPr>
        <w:t>执业证书复印件</w:t>
      </w:r>
    </w:p>
    <w:sectPr>
      <w:pgSz w:w="11907" w:h="16840"/>
      <w:pgMar w:top="1843" w:right="1134" w:bottom="1134" w:left="1134" w:header="1134" w:footer="907" w:gutter="340"/>
      <w:cols w:space="720" w:num="1"/>
      <w:docGrid w:linePitch="326"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Administrator" w:date="2026-04-15T11:12:00Z" w:initials="A">
    <w:p w14:paraId="4FDECD2C">
      <w:pPr>
        <w:pStyle w:val="11"/>
        <w:rPr>
          <w:rFonts w:hint="eastAsia"/>
        </w:rPr>
      </w:pPr>
      <w:r>
        <w:rPr>
          <w:rFonts w:hint="eastAsia"/>
        </w:rPr>
        <w:t>已不仅是收购方了，已发证，直接是权利人了。看如何描述。若说前面收购这一段，最后也需落到产权人上；或者就简单些直接描述权利人</w:t>
      </w:r>
    </w:p>
  </w:comment>
  <w:comment w:id="1" w:author="Administrator" w:date="2026-04-15T11:20:00Z" w:initials="A">
    <w:p w14:paraId="30EB14FB">
      <w:pPr>
        <w:pStyle w:val="11"/>
      </w:pPr>
      <w:r>
        <w:rPr>
          <w:rFonts w:hint="eastAsia"/>
        </w:rPr>
        <w:t>权属、面积、用途等（规范7.0.16.1原文）</w:t>
      </w:r>
    </w:p>
  </w:comment>
  <w:comment w:id="2" w:author="Administrator" w:date="2026-04-15T11:21:00Z" w:initials="A">
    <w:p w14:paraId="5E304B1F">
      <w:pPr>
        <w:pStyle w:val="11"/>
      </w:pPr>
      <w:r>
        <w:rPr>
          <w:rFonts w:hint="eastAsia"/>
        </w:rPr>
        <w:t>真实、准确、完整（规范7.0.16.1原文）</w:t>
      </w:r>
    </w:p>
  </w:comment>
  <w:comment w:id="3" w:author="Administrator" w:date="2026-04-15T11:22:00Z" w:initials="A">
    <w:p w14:paraId="4886874A">
      <w:pPr>
        <w:pStyle w:val="11"/>
      </w:pPr>
      <w:r>
        <w:rPr>
          <w:rFonts w:hint="eastAsia"/>
        </w:rPr>
        <w:t>增加不动产权证书，房产证应有附的房屋登记表才完整</w:t>
      </w:r>
    </w:p>
  </w:comment>
  <w:comment w:id="4" w:author="Administrator" w:date="2026-04-15T11:26:00Z" w:initials="A">
    <w:p w14:paraId="7584920C">
      <w:pPr>
        <w:pStyle w:val="11"/>
      </w:pPr>
      <w:r>
        <w:rPr>
          <w:rFonts w:hint="eastAsia"/>
        </w:rPr>
        <w:t>查勘和价值时点不是同一天，需单加一条假设</w:t>
      </w:r>
    </w:p>
  </w:comment>
  <w:comment w:id="5" w:author="Administrator" w:date="2026-04-15T11:24:00Z" w:initials="A">
    <w:p w14:paraId="713315DA">
      <w:pPr>
        <w:pStyle w:val="11"/>
      </w:pPr>
      <w:r>
        <w:rPr>
          <w:rFonts w:hint="eastAsia"/>
        </w:rPr>
        <w:t>这四项不应叫他项权利。抵押是担保物权，租赁和地役是用益物权。查封则属司法或行政行为</w:t>
      </w:r>
    </w:p>
  </w:comment>
  <w:comment w:id="6" w:author="Administrator" w:date="2026-04-15T11:28:00Z" w:initials="A">
    <w:p w14:paraId="6E601FEB">
      <w:pPr>
        <w:pStyle w:val="11"/>
        <w:rPr>
          <w:rFonts w:hint="eastAsia"/>
        </w:rPr>
      </w:pPr>
      <w:r>
        <w:rPr>
          <w:rFonts w:hint="eastAsia"/>
        </w:rPr>
        <w:t>委托人的法定代表人姓名（规范7.0.17.1）</w:t>
      </w:r>
    </w:p>
  </w:comment>
  <w:comment w:id="7" w:author="Administrator" w:date="2026-04-15T11:32:00Z" w:initials="A">
    <w:p w14:paraId="37FF5FBC">
      <w:pPr>
        <w:pStyle w:val="11"/>
      </w:pPr>
      <w:r>
        <w:rPr>
          <w:rFonts w:hint="eastAsia"/>
        </w:rPr>
        <w:t>配什么，是否需具体列举一些来描述？</w:t>
      </w:r>
    </w:p>
  </w:comment>
  <w:comment w:id="8" w:author="Administrator" w:date="2026-04-15T11:35:00Z" w:initials="A">
    <w:p w14:paraId="352EEE7D">
      <w:pPr>
        <w:pStyle w:val="11"/>
      </w:pPr>
      <w:r>
        <w:rPr>
          <w:rFonts w:hint="eastAsia"/>
        </w:rPr>
        <w:t>两字之间少标点</w:t>
      </w:r>
    </w:p>
  </w:comment>
  <w:comment w:id="9" w:author="Administrator" w:date="2026-04-15T11:40:00Z" w:initials="A">
    <w:p w14:paraId="43A5914A">
      <w:pPr>
        <w:pStyle w:val="11"/>
        <w:rPr>
          <w:rFonts w:hint="eastAsia"/>
        </w:rPr>
      </w:pPr>
      <w:r>
        <w:rPr>
          <w:rFonts w:hint="eastAsia"/>
        </w:rPr>
        <w:t>会有补充调整，详文另附</w:t>
      </w:r>
    </w:p>
  </w:comment>
  <w:comment w:id="10" w:author="Administrator" w:date="2026-04-15T11:42:00Z" w:initials="A">
    <w:p w14:paraId="2DA42F30">
      <w:pPr>
        <w:pStyle w:val="11"/>
      </w:pPr>
      <w:r>
        <w:rPr>
          <w:rFonts w:hint="eastAsia"/>
        </w:rPr>
        <w:t>？</w:t>
      </w:r>
    </w:p>
  </w:comment>
  <w:comment w:id="11" w:author="Administrator" w:date="2026-04-15T11:43:00Z" w:initials="A">
    <w:p w14:paraId="7A9B6728">
      <w:pPr>
        <w:pStyle w:val="11"/>
      </w:pPr>
      <w:r>
        <w:annotationRef/>
      </w:r>
    </w:p>
  </w:comment>
  <w:comment w:id="12" w:author="Administrator" w:date="2026-04-15T12:17:00Z" w:initials="A">
    <w:p w14:paraId="7A3DCD67">
      <w:pPr>
        <w:pStyle w:val="11"/>
      </w:pPr>
      <w:r>
        <w:rPr>
          <w:rFonts w:hint="eastAsia"/>
        </w:rPr>
        <w:t>对于住宅，根据《城市居住区规划设计标准》（GB50180-2018）和《北京市居住公共服务设施配置指标实施意见》（京政发〔2025〕25号），分5、10、15分钟生活圈，最大的15分钟即步行800-1000米距离。故公服配套各项因素等宜按此标准范围描述。</w:t>
      </w:r>
    </w:p>
    <w:p w14:paraId="2FFDF12A">
      <w:pPr>
        <w:pStyle w:val="11"/>
      </w:pPr>
      <w:r>
        <w:rPr>
          <w:rFonts w:hint="eastAsia"/>
        </w:rPr>
        <w:t>若不具备或不齐全，可先描述在此范围内有什么没什么；然后再适当稍作扩大范围进行描述。</w:t>
      </w:r>
    </w:p>
    <w:p w14:paraId="3D30158D">
      <w:pPr>
        <w:pStyle w:val="11"/>
      </w:pPr>
      <w:r>
        <w:rPr>
          <w:rFonts w:hint="eastAsia"/>
        </w:rPr>
        <w:t>北京协会的出让导则是有问题的</w:t>
      </w:r>
    </w:p>
  </w:comment>
  <w:comment w:id="13" w:author="Administrator" w:date="2026-04-15T11:32:00Z" w:initials="A">
    <w:p w14:paraId="78189552">
      <w:pPr>
        <w:pStyle w:val="11"/>
      </w:pPr>
      <w:r>
        <w:rPr>
          <w:rFonts w:hint="eastAsia"/>
        </w:rPr>
        <w:t>配什么，是否需具体列举一些来描述？</w:t>
      </w:r>
    </w:p>
  </w:comment>
  <w:comment w:id="14" w:author="Administrator" w:date="2026-04-15T12:19:00Z" w:initials="A">
    <w:p w14:paraId="556EFAFA">
      <w:pPr>
        <w:pStyle w:val="11"/>
      </w:pPr>
      <w:r>
        <w:rPr>
          <w:rFonts w:hint="eastAsia"/>
        </w:rPr>
        <w:t>不影响</w:t>
      </w:r>
    </w:p>
  </w:comment>
  <w:comment w:id="15" w:author="Administrator" w:date="2026-04-15T12:33:00Z" w:initials="A">
    <w:p w14:paraId="6E93AD96">
      <w:pPr>
        <w:pStyle w:val="11"/>
        <w:rPr>
          <w:rFonts w:hint="eastAsia"/>
        </w:rPr>
      </w:pPr>
      <w:r>
        <w:rPr>
          <w:rFonts w:hint="eastAsia"/>
        </w:rPr>
        <w:t>规范4.2.5，应对可比实例的外部状况、区位状况实地查勘，并附外观照片</w:t>
      </w:r>
    </w:p>
  </w:comment>
  <w:comment w:id="16" w:author="Administrator" w:date="2026-04-15T12:23:00Z" w:initials="A">
    <w:p w14:paraId="49C33C76">
      <w:pPr>
        <w:pStyle w:val="11"/>
      </w:pPr>
      <w:r>
        <w:rPr>
          <w:rFonts w:hint="eastAsia"/>
        </w:rPr>
        <w:t>按照规范，应先搜集交易实例，大于三个，再选取交易实例，多选三。</w:t>
      </w:r>
    </w:p>
    <w:p w14:paraId="76DA6BAF">
      <w:pPr>
        <w:pStyle w:val="11"/>
        <w:rPr>
          <w:rFonts w:hint="eastAsia"/>
        </w:rPr>
      </w:pPr>
      <w:r>
        <w:rPr>
          <w:rFonts w:hint="eastAsia"/>
        </w:rPr>
        <w:t>因时间紧迫，本报告可暂先不必了</w:t>
      </w:r>
    </w:p>
  </w:comment>
  <w:comment w:id="17" w:author="Administrator" w:date="2026-04-15T12:28:00Z" w:initials="A">
    <w:p w14:paraId="6D2F76BC">
      <w:pPr>
        <w:pStyle w:val="11"/>
      </w:pPr>
      <w:r>
        <w:rPr>
          <w:rFonts w:hint="eastAsia"/>
        </w:rPr>
        <w:t>月</w:t>
      </w:r>
    </w:p>
  </w:comment>
  <w:comment w:id="18" w:author="Administrator" w:date="2026-04-15T12:31:00Z" w:initials="A">
    <w:p w14:paraId="668820F9">
      <w:pPr>
        <w:pStyle w:val="11"/>
      </w:pPr>
      <w:r>
        <w:rPr>
          <w:rFonts w:hint="eastAsia"/>
        </w:rPr>
        <w:t>月</w:t>
      </w:r>
    </w:p>
  </w:comment>
  <w:comment w:id="19" w:author="Administrator" w:date="2026-04-15T12:32:00Z" w:initials="A">
    <w:p w14:paraId="56D976FE">
      <w:pPr>
        <w:pStyle w:val="11"/>
      </w:pPr>
      <w:r>
        <w:rPr>
          <w:rFonts w:hint="eastAsia"/>
        </w:rPr>
        <w:t>月</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FDECD2C" w15:done="0"/>
  <w15:commentEx w15:paraId="30EB14FB" w15:done="0"/>
  <w15:commentEx w15:paraId="5E304B1F" w15:done="0"/>
  <w15:commentEx w15:paraId="4886874A" w15:done="0"/>
  <w15:commentEx w15:paraId="7584920C" w15:done="0"/>
  <w15:commentEx w15:paraId="713315DA" w15:done="0"/>
  <w15:commentEx w15:paraId="6E601FEB" w15:done="0"/>
  <w15:commentEx w15:paraId="37FF5FBC" w15:done="0"/>
  <w15:commentEx w15:paraId="352EEE7D" w15:done="0"/>
  <w15:commentEx w15:paraId="43A5914A" w15:done="0"/>
  <w15:commentEx w15:paraId="2DA42F30" w15:done="0"/>
  <w15:commentEx w15:paraId="7A9B6728" w15:done="0"/>
  <w15:commentEx w15:paraId="3D30158D" w15:done="0"/>
  <w15:commentEx w15:paraId="78189552" w15:done="0"/>
  <w15:commentEx w15:paraId="556EFAFA" w15:done="0"/>
  <w15:commentEx w15:paraId="6E93AD96" w15:done="0"/>
  <w15:commentEx w15:paraId="76DA6BAF" w15:done="0"/>
  <w15:commentEx w15:paraId="6D2F76BC" w15:done="0"/>
  <w15:commentEx w15:paraId="668820F9" w15:done="0"/>
  <w15:commentEx w15:paraId="56D976F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GungsuhChe">
    <w:altName w:val="Malgun Gothic"/>
    <w:panose1 w:val="00000000000000000000"/>
    <w:charset w:val="81"/>
    <w:family w:val="moder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华文细黑">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方正黑体简体">
    <w:altName w:val="微软雅黑"/>
    <w:panose1 w:val="03000509000000000000"/>
    <w:charset w:val="86"/>
    <w:family w:val="script"/>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汉仪中黑 197">
    <w:altName w:val="黑体"/>
    <w:panose1 w:val="00020600040101010101"/>
    <w:charset w:val="86"/>
    <w:family w:val="swiss"/>
    <w:pitch w:val="fixed"/>
    <w:sig w:usb0="00000000" w:usb1="00000000" w:usb2="00000000" w:usb3="00000000" w:csb0="00000000" w:csb1="00000000"/>
  </w:font>
  <w:font w:name="KSOFF9CC6125">
    <w:panose1 w:val="02010609060101010101"/>
    <w:charset w:val="86"/>
    <w:family w:val="auto"/>
    <w:pitch w:val="default"/>
    <w:sig w:usb0="00000001"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25171">
    <w:pPr>
      <w:pStyle w:val="21"/>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   \* MERGEFORMAT</w:instrText>
    </w:r>
    <w:r>
      <w:rPr>
        <w:rFonts w:ascii="Arial" w:hAnsi="Arial" w:cs="Arial"/>
      </w:rPr>
      <w:fldChar w:fldCharType="separate"/>
    </w:r>
    <w:r>
      <w:rPr>
        <w:rFonts w:ascii="Arial" w:hAnsi="Arial" w:cs="Arial"/>
        <w:lang w:val="zh-CN"/>
      </w:rPr>
      <w:t>9</w:t>
    </w:r>
    <w:r>
      <w:rP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6A6AA">
    <w:pPr>
      <w:pStyle w:val="21"/>
      <w:framePr w:wrap="around" w:vAnchor="text" w:hAnchor="margin" w:xAlign="center" w:y="1"/>
      <w:rPr>
        <w:rStyle w:val="37"/>
      </w:rPr>
    </w:pPr>
    <w:r>
      <w:fldChar w:fldCharType="begin"/>
    </w:r>
    <w:r>
      <w:rPr>
        <w:rStyle w:val="37"/>
      </w:rPr>
      <w:instrText xml:space="preserve">PAGE  </w:instrText>
    </w:r>
    <w:r>
      <w:fldChar w:fldCharType="end"/>
    </w:r>
  </w:p>
  <w:p w14:paraId="0864C232">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2A360">
    <w:pPr>
      <w:pStyle w:val="2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C0143">
    <w:pPr>
      <w:pStyle w:val="21"/>
      <w:jc w:val="center"/>
    </w:pPr>
    <w:r>
      <w:fldChar w:fldCharType="begin"/>
    </w:r>
    <w:r>
      <w:instrText xml:space="preserve">PAGE   \* MERGEFORMAT</w:instrText>
    </w:r>
    <w:r>
      <w:fldChar w:fldCharType="separate"/>
    </w:r>
    <w:r>
      <w:rPr>
        <w:rFonts w:ascii="Arial" w:hAnsi="Arial"/>
        <w:lang w:val="zh-CN"/>
      </w:rPr>
      <w:t>12</w:t>
    </w:r>
    <w:r>
      <w:fldChar w:fldCharType="end"/>
    </w:r>
  </w:p>
  <w:p w14:paraId="28C93B09">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8F928">
    <w:pPr>
      <w:pStyle w:val="21"/>
      <w:pBdr>
        <w:top w:val="single" w:color="404040" w:sz="4" w:space="1"/>
      </w:pBdr>
      <w:tabs>
        <w:tab w:val="right" w:pos="9027"/>
        <w:tab w:val="clear" w:pos="4153"/>
        <w:tab w:val="clear" w:pos="8306"/>
      </w:tabs>
      <w:jc w:val="center"/>
    </w:pPr>
    <w:r>
      <w:rPr>
        <w:rFonts w:ascii="Calibri" w:hAnsi="Calibri"/>
      </w:rPr>
      <w:fldChar w:fldCharType="begin"/>
    </w:r>
    <w:r>
      <w:instrText xml:space="preserve">PAGE   \* MERGEFORMAT</w:instrText>
    </w:r>
    <w:r>
      <w:rPr>
        <w:rFonts w:ascii="Calibri" w:hAnsi="Calibri"/>
      </w:rPr>
      <w:fldChar w:fldCharType="separate"/>
    </w:r>
    <w:r>
      <w:rPr>
        <w:rFonts w:ascii="Arial" w:hAnsi="Arial"/>
        <w:lang w:val="zh-CN"/>
      </w:rPr>
      <w:t>23</w:t>
    </w:r>
    <w:r>
      <w:rPr>
        <w:rFonts w:ascii="Cambria" w:hAnsi="Cambria"/>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03913">
    <w:pPr>
      <w:pStyle w:val="21"/>
      <w:framePr w:wrap="around" w:vAnchor="text" w:hAnchor="margin" w:xAlign="center" w:y="1"/>
      <w:rPr>
        <w:rStyle w:val="37"/>
      </w:rPr>
    </w:pPr>
    <w:r>
      <w:fldChar w:fldCharType="begin"/>
    </w:r>
    <w:r>
      <w:rPr>
        <w:rStyle w:val="37"/>
      </w:rPr>
      <w:instrText xml:space="preserve">PAGE  </w:instrText>
    </w:r>
    <w:r>
      <w:fldChar w:fldCharType="end"/>
    </w:r>
  </w:p>
  <w:p w14:paraId="378A547C">
    <w:pPr>
      <w:pStyle w:val="2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86EF8">
    <w:pPr>
      <w:pStyle w:val="22"/>
      <w:pBdr>
        <w:bottom w:val="none" w:color="auto" w:sz="0" w:space="0"/>
      </w:pBdr>
    </w:pPr>
    <w:r>
      <w:drawing>
        <wp:inline distT="0" distB="0" distL="0" distR="0">
          <wp:extent cx="5907405" cy="289560"/>
          <wp:effectExtent l="0" t="0" r="0" b="0"/>
          <wp:docPr id="2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BC4F5">
    <w:pPr>
      <w:pStyle w:val="22"/>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83CFC">
    <w:pPr>
      <w:pStyle w:val="22"/>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9A0E0">
    <w:pPr>
      <w:pStyle w:val="22"/>
      <w:pBdr>
        <w:bottom w:val="none" w:color="auto" w:sz="0" w:space="0"/>
      </w:pBdr>
    </w:pPr>
    <w:bookmarkStart w:id="73" w:name="_Hlk154502004"/>
    <w:bookmarkStart w:id="74" w:name="_Hlk154502003"/>
    <w:r>
      <w:drawing>
        <wp:inline distT="0" distB="0" distL="0" distR="0">
          <wp:extent cx="5907405" cy="289560"/>
          <wp:effectExtent l="0" t="0" r="0" b="0"/>
          <wp:docPr id="2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bookmarkEnd w:id="73"/>
    <w:bookmarkEnd w:id="74"/>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2A21B">
    <w:pPr>
      <w:pStyle w:val="22"/>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4D731">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EC120">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BCB01">
    <w:pPr>
      <w:pStyle w:val="22"/>
      <w:pBdr>
        <w:bottom w:val="none" w:color="auto" w:sz="0" w:space="0"/>
      </w:pBdr>
    </w:pPr>
    <w:r>
      <w:drawing>
        <wp:inline distT="0" distB="0" distL="0" distR="0">
          <wp:extent cx="5907405" cy="289560"/>
          <wp:effectExtent l="0" t="0" r="0" b="0"/>
          <wp:docPr id="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8F7B4">
    <w:pPr>
      <w:pStyle w:val="2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14819">
    <w:pPr>
      <w:pStyle w:val="2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CE866">
    <w:pPr>
      <w:pStyle w:val="22"/>
      <w:pBdr>
        <w:bottom w:val="none" w:color="auto" w:sz="0" w:space="0"/>
      </w:pBdr>
      <w:jc w:val="both"/>
      <w:rPr>
        <w:rFonts w:ascii="楷体_GB2312" w:eastAsia="楷体_GB2312"/>
        <w:color w:val="FF0000"/>
        <w:spacing w:val="-20"/>
        <w:sz w:val="21"/>
      </w:rPr>
    </w:pPr>
    <w:r>
      <w:drawing>
        <wp:inline distT="0" distB="0" distL="0" distR="0">
          <wp:extent cx="5907405" cy="289560"/>
          <wp:effectExtent l="0" t="0" r="0" b="0"/>
          <wp:docPr id="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3"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3EA3B">
    <w:pPr>
      <w:pStyle w:val="22"/>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29D82">
    <w:pPr>
      <w:pStyle w:val="22"/>
    </w:pPr>
    <w:r>
      <w:drawing>
        <wp:inline distT="0" distB="0" distL="0" distR="0">
          <wp:extent cx="5504815" cy="289560"/>
          <wp:effectExtent l="0" t="0" r="0" b="0"/>
          <wp:docPr id="2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3"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504815" cy="289560"/>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70AFE">
    <w:pPr>
      <w:pStyle w:val="22"/>
      <w:pBdr>
        <w:bottom w:val="none" w:color="auto" w:sz="0" w:space="0"/>
      </w:pBdr>
      <w:jc w:val="both"/>
      <w:rPr>
        <w:rFonts w:ascii="楷体_GB2312" w:eastAsia="楷体_GB2312"/>
        <w:color w:val="FF0000"/>
        <w:spacing w:val="-20"/>
        <w:sz w:val="21"/>
      </w:rPr>
    </w:pPr>
    <w:r>
      <w:drawing>
        <wp:inline distT="0" distB="0" distL="0" distR="0">
          <wp:extent cx="5907405" cy="289560"/>
          <wp:effectExtent l="0" t="0" r="0" b="0"/>
          <wp:docPr id="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431F8F"/>
    <w:multiLevelType w:val="multilevel"/>
    <w:tmpl w:val="04431F8F"/>
    <w:lvl w:ilvl="0" w:tentative="0">
      <w:start w:val="4"/>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CEB4FF7"/>
    <w:multiLevelType w:val="multilevel"/>
    <w:tmpl w:val="0CEB4FF7"/>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1163656"/>
    <w:multiLevelType w:val="multilevel"/>
    <w:tmpl w:val="11163656"/>
    <w:lvl w:ilvl="0" w:tentative="0">
      <w:start w:val="3"/>
      <w:numFmt w:val="decimal"/>
      <w:lvlText w:val="（%1）"/>
      <w:lvlJc w:val="left"/>
      <w:pPr>
        <w:tabs>
          <w:tab w:val="left" w:pos="1320"/>
        </w:tabs>
        <w:ind w:left="1320" w:hanging="720"/>
      </w:pPr>
      <w:rPr>
        <w:rFonts w:hint="eastAsia"/>
      </w:rPr>
    </w:lvl>
    <w:lvl w:ilvl="1" w:tentative="0">
      <w:start w:val="1"/>
      <w:numFmt w:val="upperLetter"/>
      <w:pStyle w:val="4"/>
      <w:lvlText w:val="%2、"/>
      <w:lvlJc w:val="left"/>
      <w:pPr>
        <w:tabs>
          <w:tab w:val="left" w:pos="1740"/>
        </w:tabs>
        <w:ind w:left="1740" w:hanging="720"/>
      </w:pPr>
      <w:rPr>
        <w:rFonts w:hint="eastAsia"/>
      </w:r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3">
    <w:nsid w:val="2A1F3215"/>
    <w:multiLevelType w:val="multilevel"/>
    <w:tmpl w:val="2A1F3215"/>
    <w:lvl w:ilvl="0" w:tentative="0">
      <w:start w:val="9"/>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31E371A"/>
    <w:multiLevelType w:val="multilevel"/>
    <w:tmpl w:val="331E371A"/>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4A3C2487"/>
    <w:multiLevelType w:val="multilevel"/>
    <w:tmpl w:val="4A3C248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0353D43"/>
    <w:multiLevelType w:val="multilevel"/>
    <w:tmpl w:val="50353D43"/>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C1C749E"/>
    <w:multiLevelType w:val="multilevel"/>
    <w:tmpl w:val="5C1C749E"/>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E2E5779"/>
    <w:multiLevelType w:val="multilevel"/>
    <w:tmpl w:val="5E2E5779"/>
    <w:lvl w:ilvl="0" w:tentative="0">
      <w:start w:val="0"/>
      <w:numFmt w:val="bullet"/>
      <w:lvlText w:val="—"/>
      <w:lvlJc w:val="left"/>
      <w:pPr>
        <w:ind w:left="360" w:hanging="360"/>
      </w:pPr>
      <w:rPr>
        <w:rFonts w:hint="eastAsia" w:ascii="微软雅黑" w:hAnsi="微软雅黑" w:eastAsia="微软雅黑"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5F6A3DC4"/>
    <w:multiLevelType w:val="multilevel"/>
    <w:tmpl w:val="5F6A3DC4"/>
    <w:lvl w:ilvl="0" w:tentative="0">
      <w:start w:val="1"/>
      <w:numFmt w:val="upperRoman"/>
      <w:pStyle w:val="5"/>
      <w:lvlText w:val="%1、"/>
      <w:lvlJc w:val="left"/>
      <w:pPr>
        <w:tabs>
          <w:tab w:val="left" w:pos="1605"/>
        </w:tabs>
        <w:ind w:left="1605" w:hanging="1080"/>
      </w:pPr>
      <w:rPr>
        <w:rFonts w:hint="eastAsia"/>
      </w:r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abstractNum w:abstractNumId="10">
    <w:nsid w:val="75A04673"/>
    <w:multiLevelType w:val="multilevel"/>
    <w:tmpl w:val="75A04673"/>
    <w:lvl w:ilvl="0" w:tentative="0">
      <w:start w:val="1"/>
      <w:numFmt w:val="upperLetter"/>
      <w:pStyle w:val="3"/>
      <w:lvlText w:val="%1."/>
      <w:lvlJc w:val="left"/>
      <w:pPr>
        <w:tabs>
          <w:tab w:val="left" w:pos="360"/>
        </w:tabs>
        <w:ind w:left="360" w:hanging="36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0"/>
  </w:num>
  <w:num w:numId="2">
    <w:abstractNumId w:val="2"/>
  </w:num>
  <w:num w:numId="3">
    <w:abstractNumId w:val="9"/>
  </w:num>
  <w:num w:numId="4">
    <w:abstractNumId w:val="8"/>
  </w:num>
  <w:num w:numId="5">
    <w:abstractNumId w:val="7"/>
  </w:num>
  <w:num w:numId="6">
    <w:abstractNumId w:val="6"/>
  </w:num>
  <w:num w:numId="7">
    <w:abstractNumId w:val="5"/>
  </w:num>
  <w:num w:numId="8">
    <w:abstractNumId w:val="3"/>
  </w:num>
  <w:num w:numId="9">
    <w:abstractNumId w:val="0"/>
  </w:num>
  <w:num w:numId="10">
    <w:abstractNumId w:val="4"/>
  </w:num>
  <w:num w:numId="11">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oNotHyphenateCaps/>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ZlNTcwYzRhZDhlOGZhZjI3NjFkMzdhNWI3MTJjMDgifQ=="/>
  </w:docVars>
  <w:rsids>
    <w:rsidRoot w:val="00AF4C5B"/>
    <w:rsid w:val="00000D1B"/>
    <w:rsid w:val="00001B36"/>
    <w:rsid w:val="00002687"/>
    <w:rsid w:val="0000379C"/>
    <w:rsid w:val="00003E0B"/>
    <w:rsid w:val="00003F63"/>
    <w:rsid w:val="000044EE"/>
    <w:rsid w:val="00004CA5"/>
    <w:rsid w:val="00004D42"/>
    <w:rsid w:val="00006360"/>
    <w:rsid w:val="00006FCA"/>
    <w:rsid w:val="00007F5F"/>
    <w:rsid w:val="0001031A"/>
    <w:rsid w:val="0001101C"/>
    <w:rsid w:val="00011244"/>
    <w:rsid w:val="0001206A"/>
    <w:rsid w:val="0001237C"/>
    <w:rsid w:val="00012ABF"/>
    <w:rsid w:val="00012AD8"/>
    <w:rsid w:val="00012D88"/>
    <w:rsid w:val="00012F39"/>
    <w:rsid w:val="0001354F"/>
    <w:rsid w:val="000138C0"/>
    <w:rsid w:val="00014AAB"/>
    <w:rsid w:val="00014F2D"/>
    <w:rsid w:val="00014FF0"/>
    <w:rsid w:val="000153E4"/>
    <w:rsid w:val="000159CB"/>
    <w:rsid w:val="000164F9"/>
    <w:rsid w:val="0001651B"/>
    <w:rsid w:val="0001714F"/>
    <w:rsid w:val="00017AA7"/>
    <w:rsid w:val="00022039"/>
    <w:rsid w:val="000222E3"/>
    <w:rsid w:val="00022827"/>
    <w:rsid w:val="00024420"/>
    <w:rsid w:val="000244D7"/>
    <w:rsid w:val="000251B9"/>
    <w:rsid w:val="000253EF"/>
    <w:rsid w:val="000257D8"/>
    <w:rsid w:val="000271B5"/>
    <w:rsid w:val="00027D53"/>
    <w:rsid w:val="00030603"/>
    <w:rsid w:val="00030670"/>
    <w:rsid w:val="00030BE2"/>
    <w:rsid w:val="00031157"/>
    <w:rsid w:val="00031894"/>
    <w:rsid w:val="00031A0B"/>
    <w:rsid w:val="00031FE9"/>
    <w:rsid w:val="0003253E"/>
    <w:rsid w:val="00033835"/>
    <w:rsid w:val="00033CD9"/>
    <w:rsid w:val="000344B8"/>
    <w:rsid w:val="00035392"/>
    <w:rsid w:val="00036485"/>
    <w:rsid w:val="000370E8"/>
    <w:rsid w:val="000375D0"/>
    <w:rsid w:val="00037642"/>
    <w:rsid w:val="0003783C"/>
    <w:rsid w:val="00041390"/>
    <w:rsid w:val="000421EB"/>
    <w:rsid w:val="000424B7"/>
    <w:rsid w:val="0004256D"/>
    <w:rsid w:val="0004288D"/>
    <w:rsid w:val="00042DC2"/>
    <w:rsid w:val="00043E0C"/>
    <w:rsid w:val="000444BC"/>
    <w:rsid w:val="00044D43"/>
    <w:rsid w:val="00045FF3"/>
    <w:rsid w:val="0004627B"/>
    <w:rsid w:val="00046421"/>
    <w:rsid w:val="00047337"/>
    <w:rsid w:val="00047735"/>
    <w:rsid w:val="000477A3"/>
    <w:rsid w:val="0004790F"/>
    <w:rsid w:val="00050090"/>
    <w:rsid w:val="00050104"/>
    <w:rsid w:val="00050923"/>
    <w:rsid w:val="00050CC5"/>
    <w:rsid w:val="00052184"/>
    <w:rsid w:val="000521E7"/>
    <w:rsid w:val="00052348"/>
    <w:rsid w:val="000527EE"/>
    <w:rsid w:val="00052DCF"/>
    <w:rsid w:val="00053031"/>
    <w:rsid w:val="00053A7D"/>
    <w:rsid w:val="00053B17"/>
    <w:rsid w:val="00053DFF"/>
    <w:rsid w:val="00054E24"/>
    <w:rsid w:val="000552B7"/>
    <w:rsid w:val="0005586F"/>
    <w:rsid w:val="00055AC0"/>
    <w:rsid w:val="00057D66"/>
    <w:rsid w:val="00060499"/>
    <w:rsid w:val="00061942"/>
    <w:rsid w:val="0006270D"/>
    <w:rsid w:val="00063003"/>
    <w:rsid w:val="00063504"/>
    <w:rsid w:val="000639A8"/>
    <w:rsid w:val="00063B26"/>
    <w:rsid w:val="000647E7"/>
    <w:rsid w:val="000648E4"/>
    <w:rsid w:val="0006530A"/>
    <w:rsid w:val="00065379"/>
    <w:rsid w:val="00065A67"/>
    <w:rsid w:val="00066221"/>
    <w:rsid w:val="00066FAA"/>
    <w:rsid w:val="000677C9"/>
    <w:rsid w:val="000678A5"/>
    <w:rsid w:val="00067CE0"/>
    <w:rsid w:val="0007086C"/>
    <w:rsid w:val="00071755"/>
    <w:rsid w:val="00071CF7"/>
    <w:rsid w:val="00071E62"/>
    <w:rsid w:val="000728BE"/>
    <w:rsid w:val="00072BA6"/>
    <w:rsid w:val="00073B8E"/>
    <w:rsid w:val="000742ED"/>
    <w:rsid w:val="00076491"/>
    <w:rsid w:val="00076979"/>
    <w:rsid w:val="00077930"/>
    <w:rsid w:val="000802B7"/>
    <w:rsid w:val="00080845"/>
    <w:rsid w:val="00080ED6"/>
    <w:rsid w:val="00081736"/>
    <w:rsid w:val="00081E5C"/>
    <w:rsid w:val="00081E6A"/>
    <w:rsid w:val="00081F03"/>
    <w:rsid w:val="000827CA"/>
    <w:rsid w:val="00082C75"/>
    <w:rsid w:val="00082D1A"/>
    <w:rsid w:val="000831DD"/>
    <w:rsid w:val="00083529"/>
    <w:rsid w:val="00084265"/>
    <w:rsid w:val="0008466C"/>
    <w:rsid w:val="00085075"/>
    <w:rsid w:val="000851E1"/>
    <w:rsid w:val="00085690"/>
    <w:rsid w:val="00086A04"/>
    <w:rsid w:val="00086DF3"/>
    <w:rsid w:val="00086FC1"/>
    <w:rsid w:val="00090ADF"/>
    <w:rsid w:val="00090B68"/>
    <w:rsid w:val="00091111"/>
    <w:rsid w:val="00091746"/>
    <w:rsid w:val="00092F3C"/>
    <w:rsid w:val="00093D2A"/>
    <w:rsid w:val="000945FD"/>
    <w:rsid w:val="0009464C"/>
    <w:rsid w:val="000947A3"/>
    <w:rsid w:val="00095EB9"/>
    <w:rsid w:val="00097436"/>
    <w:rsid w:val="0009769A"/>
    <w:rsid w:val="000A096F"/>
    <w:rsid w:val="000A1B10"/>
    <w:rsid w:val="000A1EC0"/>
    <w:rsid w:val="000A1F17"/>
    <w:rsid w:val="000A249C"/>
    <w:rsid w:val="000A28DB"/>
    <w:rsid w:val="000A3D9C"/>
    <w:rsid w:val="000A4345"/>
    <w:rsid w:val="000A4D84"/>
    <w:rsid w:val="000A5BCB"/>
    <w:rsid w:val="000A6867"/>
    <w:rsid w:val="000B020C"/>
    <w:rsid w:val="000B0322"/>
    <w:rsid w:val="000B060E"/>
    <w:rsid w:val="000B22DA"/>
    <w:rsid w:val="000B2FCB"/>
    <w:rsid w:val="000B3C08"/>
    <w:rsid w:val="000B486A"/>
    <w:rsid w:val="000B49CA"/>
    <w:rsid w:val="000B647B"/>
    <w:rsid w:val="000B6E5A"/>
    <w:rsid w:val="000B6E74"/>
    <w:rsid w:val="000B6F69"/>
    <w:rsid w:val="000B7C3D"/>
    <w:rsid w:val="000B7E14"/>
    <w:rsid w:val="000C1970"/>
    <w:rsid w:val="000C2C3A"/>
    <w:rsid w:val="000C383C"/>
    <w:rsid w:val="000C3F3F"/>
    <w:rsid w:val="000C4415"/>
    <w:rsid w:val="000C4CDA"/>
    <w:rsid w:val="000C5223"/>
    <w:rsid w:val="000C5B64"/>
    <w:rsid w:val="000C5BB3"/>
    <w:rsid w:val="000C73E8"/>
    <w:rsid w:val="000D069C"/>
    <w:rsid w:val="000D0ACC"/>
    <w:rsid w:val="000D0D1D"/>
    <w:rsid w:val="000D12B2"/>
    <w:rsid w:val="000D24AD"/>
    <w:rsid w:val="000D2845"/>
    <w:rsid w:val="000D2CDD"/>
    <w:rsid w:val="000D3255"/>
    <w:rsid w:val="000D337B"/>
    <w:rsid w:val="000D3459"/>
    <w:rsid w:val="000D362A"/>
    <w:rsid w:val="000D3C10"/>
    <w:rsid w:val="000D3D53"/>
    <w:rsid w:val="000D4743"/>
    <w:rsid w:val="000D4A47"/>
    <w:rsid w:val="000D51B9"/>
    <w:rsid w:val="000D5712"/>
    <w:rsid w:val="000D5D2C"/>
    <w:rsid w:val="000D62AF"/>
    <w:rsid w:val="000D6F85"/>
    <w:rsid w:val="000D76F1"/>
    <w:rsid w:val="000D7FE0"/>
    <w:rsid w:val="000E0128"/>
    <w:rsid w:val="000E01F1"/>
    <w:rsid w:val="000E030C"/>
    <w:rsid w:val="000E052B"/>
    <w:rsid w:val="000E0E9D"/>
    <w:rsid w:val="000E100D"/>
    <w:rsid w:val="000E1184"/>
    <w:rsid w:val="000E1301"/>
    <w:rsid w:val="000E1641"/>
    <w:rsid w:val="000E252A"/>
    <w:rsid w:val="000E3279"/>
    <w:rsid w:val="000E341E"/>
    <w:rsid w:val="000E3902"/>
    <w:rsid w:val="000E3957"/>
    <w:rsid w:val="000E4474"/>
    <w:rsid w:val="000E447A"/>
    <w:rsid w:val="000E4497"/>
    <w:rsid w:val="000E4856"/>
    <w:rsid w:val="000E5067"/>
    <w:rsid w:val="000E5655"/>
    <w:rsid w:val="000E65B3"/>
    <w:rsid w:val="000E7AEC"/>
    <w:rsid w:val="000F06A6"/>
    <w:rsid w:val="000F25E0"/>
    <w:rsid w:val="000F27AA"/>
    <w:rsid w:val="000F3DA7"/>
    <w:rsid w:val="000F47CA"/>
    <w:rsid w:val="000F5732"/>
    <w:rsid w:val="000F5B72"/>
    <w:rsid w:val="000F5F06"/>
    <w:rsid w:val="000F5FB8"/>
    <w:rsid w:val="000F746A"/>
    <w:rsid w:val="0010086E"/>
    <w:rsid w:val="00102861"/>
    <w:rsid w:val="001035D9"/>
    <w:rsid w:val="00103A89"/>
    <w:rsid w:val="00103AC3"/>
    <w:rsid w:val="00103BF5"/>
    <w:rsid w:val="00103F31"/>
    <w:rsid w:val="00104428"/>
    <w:rsid w:val="00106495"/>
    <w:rsid w:val="00106CCE"/>
    <w:rsid w:val="001070F4"/>
    <w:rsid w:val="00110932"/>
    <w:rsid w:val="00112C6B"/>
    <w:rsid w:val="00113F1B"/>
    <w:rsid w:val="00113FA7"/>
    <w:rsid w:val="00114F78"/>
    <w:rsid w:val="00115DAC"/>
    <w:rsid w:val="001160DA"/>
    <w:rsid w:val="0011651C"/>
    <w:rsid w:val="00116A55"/>
    <w:rsid w:val="00116B93"/>
    <w:rsid w:val="00116EDA"/>
    <w:rsid w:val="00117B17"/>
    <w:rsid w:val="00120067"/>
    <w:rsid w:val="001201A8"/>
    <w:rsid w:val="00120874"/>
    <w:rsid w:val="00121EB7"/>
    <w:rsid w:val="00121F4B"/>
    <w:rsid w:val="00122103"/>
    <w:rsid w:val="00122760"/>
    <w:rsid w:val="0012397D"/>
    <w:rsid w:val="00123E90"/>
    <w:rsid w:val="00123EF6"/>
    <w:rsid w:val="00124444"/>
    <w:rsid w:val="0012458B"/>
    <w:rsid w:val="00124891"/>
    <w:rsid w:val="00124DAE"/>
    <w:rsid w:val="0012550C"/>
    <w:rsid w:val="00125AF9"/>
    <w:rsid w:val="00125B0C"/>
    <w:rsid w:val="00126235"/>
    <w:rsid w:val="00126742"/>
    <w:rsid w:val="001267C9"/>
    <w:rsid w:val="00126809"/>
    <w:rsid w:val="00126B02"/>
    <w:rsid w:val="001278AE"/>
    <w:rsid w:val="00127950"/>
    <w:rsid w:val="00127BB9"/>
    <w:rsid w:val="00127E1C"/>
    <w:rsid w:val="0013021D"/>
    <w:rsid w:val="00130800"/>
    <w:rsid w:val="0013092A"/>
    <w:rsid w:val="001309C4"/>
    <w:rsid w:val="001310D8"/>
    <w:rsid w:val="00131CC1"/>
    <w:rsid w:val="001322D6"/>
    <w:rsid w:val="0013240F"/>
    <w:rsid w:val="00132545"/>
    <w:rsid w:val="001334F5"/>
    <w:rsid w:val="001338CE"/>
    <w:rsid w:val="001342EB"/>
    <w:rsid w:val="00134710"/>
    <w:rsid w:val="00135492"/>
    <w:rsid w:val="0013599C"/>
    <w:rsid w:val="00137B2B"/>
    <w:rsid w:val="001408D4"/>
    <w:rsid w:val="00140B3F"/>
    <w:rsid w:val="0014130C"/>
    <w:rsid w:val="00141F39"/>
    <w:rsid w:val="001425A3"/>
    <w:rsid w:val="001433AC"/>
    <w:rsid w:val="00143742"/>
    <w:rsid w:val="0014422B"/>
    <w:rsid w:val="0014445A"/>
    <w:rsid w:val="00145AE6"/>
    <w:rsid w:val="00145C45"/>
    <w:rsid w:val="00145D19"/>
    <w:rsid w:val="0014625A"/>
    <w:rsid w:val="00146B62"/>
    <w:rsid w:val="00146E2E"/>
    <w:rsid w:val="00150A2F"/>
    <w:rsid w:val="0015101C"/>
    <w:rsid w:val="00151FA5"/>
    <w:rsid w:val="001520AF"/>
    <w:rsid w:val="00152C21"/>
    <w:rsid w:val="001533A1"/>
    <w:rsid w:val="00153C9E"/>
    <w:rsid w:val="00153D34"/>
    <w:rsid w:val="001542AF"/>
    <w:rsid w:val="00156113"/>
    <w:rsid w:val="0015637F"/>
    <w:rsid w:val="0015728F"/>
    <w:rsid w:val="00157438"/>
    <w:rsid w:val="00160DA5"/>
    <w:rsid w:val="00161A9D"/>
    <w:rsid w:val="0016253C"/>
    <w:rsid w:val="00162718"/>
    <w:rsid w:val="001630FE"/>
    <w:rsid w:val="0016376A"/>
    <w:rsid w:val="00163CEB"/>
    <w:rsid w:val="00164335"/>
    <w:rsid w:val="0016443A"/>
    <w:rsid w:val="00164655"/>
    <w:rsid w:val="0016485E"/>
    <w:rsid w:val="001651E4"/>
    <w:rsid w:val="0016585F"/>
    <w:rsid w:val="0016590F"/>
    <w:rsid w:val="001672F9"/>
    <w:rsid w:val="00170143"/>
    <w:rsid w:val="00170B7A"/>
    <w:rsid w:val="00170F16"/>
    <w:rsid w:val="00170FF7"/>
    <w:rsid w:val="00171ECC"/>
    <w:rsid w:val="00171F28"/>
    <w:rsid w:val="00172558"/>
    <w:rsid w:val="00172B2A"/>
    <w:rsid w:val="0017359A"/>
    <w:rsid w:val="001741C7"/>
    <w:rsid w:val="00174B5A"/>
    <w:rsid w:val="00174FED"/>
    <w:rsid w:val="001752EA"/>
    <w:rsid w:val="00175AA9"/>
    <w:rsid w:val="00176AB9"/>
    <w:rsid w:val="00177432"/>
    <w:rsid w:val="001775F0"/>
    <w:rsid w:val="00177D64"/>
    <w:rsid w:val="00180CEB"/>
    <w:rsid w:val="001811E8"/>
    <w:rsid w:val="00181A56"/>
    <w:rsid w:val="00181B68"/>
    <w:rsid w:val="0018215B"/>
    <w:rsid w:val="0018235B"/>
    <w:rsid w:val="00182645"/>
    <w:rsid w:val="00182F41"/>
    <w:rsid w:val="0018301E"/>
    <w:rsid w:val="00183787"/>
    <w:rsid w:val="0018410F"/>
    <w:rsid w:val="001848EB"/>
    <w:rsid w:val="00185200"/>
    <w:rsid w:val="00185B7B"/>
    <w:rsid w:val="00185D76"/>
    <w:rsid w:val="00186416"/>
    <w:rsid w:val="00186584"/>
    <w:rsid w:val="0018796B"/>
    <w:rsid w:val="00187D2E"/>
    <w:rsid w:val="00190126"/>
    <w:rsid w:val="001902BB"/>
    <w:rsid w:val="00191589"/>
    <w:rsid w:val="00192CD9"/>
    <w:rsid w:val="00192EFD"/>
    <w:rsid w:val="001932E2"/>
    <w:rsid w:val="00193738"/>
    <w:rsid w:val="0019484B"/>
    <w:rsid w:val="00194959"/>
    <w:rsid w:val="00197502"/>
    <w:rsid w:val="00197C7C"/>
    <w:rsid w:val="00197D26"/>
    <w:rsid w:val="001A07E5"/>
    <w:rsid w:val="001A13ED"/>
    <w:rsid w:val="001A1A1C"/>
    <w:rsid w:val="001A1B24"/>
    <w:rsid w:val="001A3BDF"/>
    <w:rsid w:val="001A40B0"/>
    <w:rsid w:val="001A445E"/>
    <w:rsid w:val="001A4749"/>
    <w:rsid w:val="001A59C1"/>
    <w:rsid w:val="001A6B5F"/>
    <w:rsid w:val="001A6F1B"/>
    <w:rsid w:val="001A75B9"/>
    <w:rsid w:val="001A779A"/>
    <w:rsid w:val="001A7B50"/>
    <w:rsid w:val="001A7FA2"/>
    <w:rsid w:val="001B1B96"/>
    <w:rsid w:val="001B1D68"/>
    <w:rsid w:val="001B1F5E"/>
    <w:rsid w:val="001B2BBE"/>
    <w:rsid w:val="001B389E"/>
    <w:rsid w:val="001B427F"/>
    <w:rsid w:val="001B64A0"/>
    <w:rsid w:val="001B6B66"/>
    <w:rsid w:val="001B72D0"/>
    <w:rsid w:val="001B730A"/>
    <w:rsid w:val="001B797F"/>
    <w:rsid w:val="001C01FF"/>
    <w:rsid w:val="001C2183"/>
    <w:rsid w:val="001C22A4"/>
    <w:rsid w:val="001C2A5E"/>
    <w:rsid w:val="001C2A98"/>
    <w:rsid w:val="001C2C79"/>
    <w:rsid w:val="001C2CDA"/>
    <w:rsid w:val="001C2DF8"/>
    <w:rsid w:val="001C410F"/>
    <w:rsid w:val="001C4470"/>
    <w:rsid w:val="001C44F5"/>
    <w:rsid w:val="001C4AFD"/>
    <w:rsid w:val="001C577A"/>
    <w:rsid w:val="001C60D6"/>
    <w:rsid w:val="001C6428"/>
    <w:rsid w:val="001C668F"/>
    <w:rsid w:val="001C6964"/>
    <w:rsid w:val="001C6AF2"/>
    <w:rsid w:val="001C7458"/>
    <w:rsid w:val="001C74CB"/>
    <w:rsid w:val="001C788E"/>
    <w:rsid w:val="001C7AAD"/>
    <w:rsid w:val="001D001F"/>
    <w:rsid w:val="001D0382"/>
    <w:rsid w:val="001D0962"/>
    <w:rsid w:val="001D1D64"/>
    <w:rsid w:val="001D4E19"/>
    <w:rsid w:val="001D4FBC"/>
    <w:rsid w:val="001D55ED"/>
    <w:rsid w:val="001D650B"/>
    <w:rsid w:val="001D6CD1"/>
    <w:rsid w:val="001D6EA6"/>
    <w:rsid w:val="001D7866"/>
    <w:rsid w:val="001D7CE2"/>
    <w:rsid w:val="001D7D7A"/>
    <w:rsid w:val="001E0925"/>
    <w:rsid w:val="001E1AB5"/>
    <w:rsid w:val="001E1D54"/>
    <w:rsid w:val="001E3EE6"/>
    <w:rsid w:val="001E4BC7"/>
    <w:rsid w:val="001E51C5"/>
    <w:rsid w:val="001E52B9"/>
    <w:rsid w:val="001E53E3"/>
    <w:rsid w:val="001E5423"/>
    <w:rsid w:val="001E5E1C"/>
    <w:rsid w:val="001E6C9B"/>
    <w:rsid w:val="001E717C"/>
    <w:rsid w:val="001F0458"/>
    <w:rsid w:val="001F0852"/>
    <w:rsid w:val="001F0888"/>
    <w:rsid w:val="001F0DE8"/>
    <w:rsid w:val="001F1553"/>
    <w:rsid w:val="001F1B82"/>
    <w:rsid w:val="001F2450"/>
    <w:rsid w:val="001F2980"/>
    <w:rsid w:val="001F3433"/>
    <w:rsid w:val="001F3AA6"/>
    <w:rsid w:val="001F42DC"/>
    <w:rsid w:val="001F4EB8"/>
    <w:rsid w:val="001F6090"/>
    <w:rsid w:val="001F629F"/>
    <w:rsid w:val="001F6342"/>
    <w:rsid w:val="002002BD"/>
    <w:rsid w:val="002009A0"/>
    <w:rsid w:val="00200C0D"/>
    <w:rsid w:val="00200E28"/>
    <w:rsid w:val="00200E7C"/>
    <w:rsid w:val="00200F83"/>
    <w:rsid w:val="00201A37"/>
    <w:rsid w:val="00202895"/>
    <w:rsid w:val="00202B23"/>
    <w:rsid w:val="00204252"/>
    <w:rsid w:val="00205C62"/>
    <w:rsid w:val="00206854"/>
    <w:rsid w:val="00206F68"/>
    <w:rsid w:val="00207F17"/>
    <w:rsid w:val="0021171A"/>
    <w:rsid w:val="00211B6A"/>
    <w:rsid w:val="0021285B"/>
    <w:rsid w:val="00212AAF"/>
    <w:rsid w:val="00212AEE"/>
    <w:rsid w:val="002130C6"/>
    <w:rsid w:val="002136CD"/>
    <w:rsid w:val="002142C7"/>
    <w:rsid w:val="00214348"/>
    <w:rsid w:val="00214F62"/>
    <w:rsid w:val="002157AC"/>
    <w:rsid w:val="002162F4"/>
    <w:rsid w:val="00216A0B"/>
    <w:rsid w:val="002174FD"/>
    <w:rsid w:val="002202C8"/>
    <w:rsid w:val="00221C8C"/>
    <w:rsid w:val="00222265"/>
    <w:rsid w:val="00222296"/>
    <w:rsid w:val="00222FDC"/>
    <w:rsid w:val="00223082"/>
    <w:rsid w:val="002234DA"/>
    <w:rsid w:val="00224051"/>
    <w:rsid w:val="002246FF"/>
    <w:rsid w:val="002251E0"/>
    <w:rsid w:val="0022545A"/>
    <w:rsid w:val="00225481"/>
    <w:rsid w:val="00225BC3"/>
    <w:rsid w:val="0022622F"/>
    <w:rsid w:val="002265E2"/>
    <w:rsid w:val="0022734D"/>
    <w:rsid w:val="002274DB"/>
    <w:rsid w:val="002278A9"/>
    <w:rsid w:val="00227EE8"/>
    <w:rsid w:val="00230224"/>
    <w:rsid w:val="002304A8"/>
    <w:rsid w:val="002313A4"/>
    <w:rsid w:val="00231E77"/>
    <w:rsid w:val="00232E64"/>
    <w:rsid w:val="00235EFE"/>
    <w:rsid w:val="002361E9"/>
    <w:rsid w:val="002367B7"/>
    <w:rsid w:val="00236844"/>
    <w:rsid w:val="0023700D"/>
    <w:rsid w:val="0023703F"/>
    <w:rsid w:val="00237F00"/>
    <w:rsid w:val="00240F2D"/>
    <w:rsid w:val="0024223B"/>
    <w:rsid w:val="002422F5"/>
    <w:rsid w:val="002424F2"/>
    <w:rsid w:val="0024323F"/>
    <w:rsid w:val="00243D67"/>
    <w:rsid w:val="0024429E"/>
    <w:rsid w:val="00244311"/>
    <w:rsid w:val="00244F91"/>
    <w:rsid w:val="002455C6"/>
    <w:rsid w:val="00245CB6"/>
    <w:rsid w:val="00247052"/>
    <w:rsid w:val="00247458"/>
    <w:rsid w:val="00250828"/>
    <w:rsid w:val="00252126"/>
    <w:rsid w:val="00252130"/>
    <w:rsid w:val="002529A7"/>
    <w:rsid w:val="00252E12"/>
    <w:rsid w:val="0025336E"/>
    <w:rsid w:val="0025385C"/>
    <w:rsid w:val="002539C2"/>
    <w:rsid w:val="002547BD"/>
    <w:rsid w:val="00254FEB"/>
    <w:rsid w:val="002550C8"/>
    <w:rsid w:val="00255B41"/>
    <w:rsid w:val="00256142"/>
    <w:rsid w:val="00256148"/>
    <w:rsid w:val="002561B7"/>
    <w:rsid w:val="002567E4"/>
    <w:rsid w:val="00256F6A"/>
    <w:rsid w:val="002574E1"/>
    <w:rsid w:val="00260FA6"/>
    <w:rsid w:val="0026139E"/>
    <w:rsid w:val="00262E04"/>
    <w:rsid w:val="00264022"/>
    <w:rsid w:val="00264259"/>
    <w:rsid w:val="0026464B"/>
    <w:rsid w:val="00264B8C"/>
    <w:rsid w:val="002658C5"/>
    <w:rsid w:val="00265D0F"/>
    <w:rsid w:val="00266327"/>
    <w:rsid w:val="002669E9"/>
    <w:rsid w:val="0026729B"/>
    <w:rsid w:val="00267E50"/>
    <w:rsid w:val="00270C1D"/>
    <w:rsid w:val="00271E61"/>
    <w:rsid w:val="00272B80"/>
    <w:rsid w:val="0027319E"/>
    <w:rsid w:val="00273FA5"/>
    <w:rsid w:val="0027408F"/>
    <w:rsid w:val="00274A55"/>
    <w:rsid w:val="0027571B"/>
    <w:rsid w:val="00275C14"/>
    <w:rsid w:val="0027619B"/>
    <w:rsid w:val="0027661D"/>
    <w:rsid w:val="00277CA3"/>
    <w:rsid w:val="00280254"/>
    <w:rsid w:val="0028066C"/>
    <w:rsid w:val="002809E4"/>
    <w:rsid w:val="00282E11"/>
    <w:rsid w:val="00282EC8"/>
    <w:rsid w:val="00282FC2"/>
    <w:rsid w:val="00283617"/>
    <w:rsid w:val="0028395D"/>
    <w:rsid w:val="002856FC"/>
    <w:rsid w:val="00285886"/>
    <w:rsid w:val="00286454"/>
    <w:rsid w:val="0028677E"/>
    <w:rsid w:val="002873BE"/>
    <w:rsid w:val="00287EBC"/>
    <w:rsid w:val="00290218"/>
    <w:rsid w:val="00291BAF"/>
    <w:rsid w:val="00291D87"/>
    <w:rsid w:val="0029241B"/>
    <w:rsid w:val="002944D0"/>
    <w:rsid w:val="00295527"/>
    <w:rsid w:val="002960DC"/>
    <w:rsid w:val="00296579"/>
    <w:rsid w:val="00296898"/>
    <w:rsid w:val="00296ADE"/>
    <w:rsid w:val="002975A8"/>
    <w:rsid w:val="002977E6"/>
    <w:rsid w:val="002978E5"/>
    <w:rsid w:val="00297B55"/>
    <w:rsid w:val="00297B72"/>
    <w:rsid w:val="002A0BFC"/>
    <w:rsid w:val="002A136E"/>
    <w:rsid w:val="002A1D52"/>
    <w:rsid w:val="002A2026"/>
    <w:rsid w:val="002A24B2"/>
    <w:rsid w:val="002A2961"/>
    <w:rsid w:val="002A3855"/>
    <w:rsid w:val="002A4036"/>
    <w:rsid w:val="002A4C30"/>
    <w:rsid w:val="002A53A9"/>
    <w:rsid w:val="002A59ED"/>
    <w:rsid w:val="002A6370"/>
    <w:rsid w:val="002A70A9"/>
    <w:rsid w:val="002A7C85"/>
    <w:rsid w:val="002B020B"/>
    <w:rsid w:val="002B0C42"/>
    <w:rsid w:val="002B139E"/>
    <w:rsid w:val="002B1603"/>
    <w:rsid w:val="002B35F7"/>
    <w:rsid w:val="002B384D"/>
    <w:rsid w:val="002B41E4"/>
    <w:rsid w:val="002B590C"/>
    <w:rsid w:val="002B60CA"/>
    <w:rsid w:val="002B6929"/>
    <w:rsid w:val="002B6E52"/>
    <w:rsid w:val="002B6F94"/>
    <w:rsid w:val="002C167B"/>
    <w:rsid w:val="002C21FC"/>
    <w:rsid w:val="002C2223"/>
    <w:rsid w:val="002C2663"/>
    <w:rsid w:val="002C2ACD"/>
    <w:rsid w:val="002C2CF7"/>
    <w:rsid w:val="002C3EAB"/>
    <w:rsid w:val="002C4410"/>
    <w:rsid w:val="002C4435"/>
    <w:rsid w:val="002C48BD"/>
    <w:rsid w:val="002C4B89"/>
    <w:rsid w:val="002C4CC0"/>
    <w:rsid w:val="002C6A9B"/>
    <w:rsid w:val="002C6FFF"/>
    <w:rsid w:val="002C724B"/>
    <w:rsid w:val="002C789A"/>
    <w:rsid w:val="002D0E7C"/>
    <w:rsid w:val="002D1398"/>
    <w:rsid w:val="002D18CF"/>
    <w:rsid w:val="002D19AE"/>
    <w:rsid w:val="002D19C8"/>
    <w:rsid w:val="002D1C12"/>
    <w:rsid w:val="002D1C88"/>
    <w:rsid w:val="002D1E53"/>
    <w:rsid w:val="002D215C"/>
    <w:rsid w:val="002D3A09"/>
    <w:rsid w:val="002D3A8F"/>
    <w:rsid w:val="002D3BA9"/>
    <w:rsid w:val="002D3F52"/>
    <w:rsid w:val="002D400F"/>
    <w:rsid w:val="002D46D3"/>
    <w:rsid w:val="002D50CC"/>
    <w:rsid w:val="002D7F7D"/>
    <w:rsid w:val="002E058C"/>
    <w:rsid w:val="002E0915"/>
    <w:rsid w:val="002E113A"/>
    <w:rsid w:val="002E1286"/>
    <w:rsid w:val="002E1742"/>
    <w:rsid w:val="002E261C"/>
    <w:rsid w:val="002E2EB3"/>
    <w:rsid w:val="002E3BC1"/>
    <w:rsid w:val="002E58B3"/>
    <w:rsid w:val="002E6061"/>
    <w:rsid w:val="002E60F5"/>
    <w:rsid w:val="002E6BD0"/>
    <w:rsid w:val="002E6C47"/>
    <w:rsid w:val="002E7661"/>
    <w:rsid w:val="002E7F97"/>
    <w:rsid w:val="002F03A2"/>
    <w:rsid w:val="002F18FB"/>
    <w:rsid w:val="002F1C81"/>
    <w:rsid w:val="002F3FB9"/>
    <w:rsid w:val="002F3FDC"/>
    <w:rsid w:val="002F41E0"/>
    <w:rsid w:val="002F42AD"/>
    <w:rsid w:val="002F6A0D"/>
    <w:rsid w:val="002F6BC7"/>
    <w:rsid w:val="002F70A0"/>
    <w:rsid w:val="002F7D10"/>
    <w:rsid w:val="00300910"/>
    <w:rsid w:val="00301946"/>
    <w:rsid w:val="003024D6"/>
    <w:rsid w:val="00303006"/>
    <w:rsid w:val="0030322A"/>
    <w:rsid w:val="00304E89"/>
    <w:rsid w:val="00305095"/>
    <w:rsid w:val="0030576B"/>
    <w:rsid w:val="00305A4B"/>
    <w:rsid w:val="00306AEA"/>
    <w:rsid w:val="00306FB7"/>
    <w:rsid w:val="0030795F"/>
    <w:rsid w:val="00310321"/>
    <w:rsid w:val="003104AF"/>
    <w:rsid w:val="0031051B"/>
    <w:rsid w:val="003109E4"/>
    <w:rsid w:val="00311AA8"/>
    <w:rsid w:val="003123CB"/>
    <w:rsid w:val="00312D21"/>
    <w:rsid w:val="00312D2B"/>
    <w:rsid w:val="003139C6"/>
    <w:rsid w:val="00313F9A"/>
    <w:rsid w:val="00314CA9"/>
    <w:rsid w:val="00315B9E"/>
    <w:rsid w:val="00315E58"/>
    <w:rsid w:val="00316467"/>
    <w:rsid w:val="00316F80"/>
    <w:rsid w:val="003170F5"/>
    <w:rsid w:val="003174CC"/>
    <w:rsid w:val="0031776F"/>
    <w:rsid w:val="0032089C"/>
    <w:rsid w:val="00320B3B"/>
    <w:rsid w:val="003211B6"/>
    <w:rsid w:val="00321FC0"/>
    <w:rsid w:val="0032247C"/>
    <w:rsid w:val="00322A5B"/>
    <w:rsid w:val="00323163"/>
    <w:rsid w:val="003235DC"/>
    <w:rsid w:val="00323C56"/>
    <w:rsid w:val="003242D7"/>
    <w:rsid w:val="00325D3B"/>
    <w:rsid w:val="00326F2C"/>
    <w:rsid w:val="00327768"/>
    <w:rsid w:val="003279BD"/>
    <w:rsid w:val="00330137"/>
    <w:rsid w:val="00330243"/>
    <w:rsid w:val="0033047C"/>
    <w:rsid w:val="00331BC6"/>
    <w:rsid w:val="00332156"/>
    <w:rsid w:val="00332E91"/>
    <w:rsid w:val="00333479"/>
    <w:rsid w:val="00333B9D"/>
    <w:rsid w:val="00333BD4"/>
    <w:rsid w:val="0033446A"/>
    <w:rsid w:val="003346E9"/>
    <w:rsid w:val="00334E4E"/>
    <w:rsid w:val="003351D9"/>
    <w:rsid w:val="00335FB5"/>
    <w:rsid w:val="00336523"/>
    <w:rsid w:val="00337CC6"/>
    <w:rsid w:val="00337DEF"/>
    <w:rsid w:val="003405BD"/>
    <w:rsid w:val="00341C1B"/>
    <w:rsid w:val="0034238E"/>
    <w:rsid w:val="0034275F"/>
    <w:rsid w:val="00342D27"/>
    <w:rsid w:val="00343628"/>
    <w:rsid w:val="00344C26"/>
    <w:rsid w:val="00345551"/>
    <w:rsid w:val="00346855"/>
    <w:rsid w:val="00346A47"/>
    <w:rsid w:val="00346BBD"/>
    <w:rsid w:val="00346C8A"/>
    <w:rsid w:val="00350420"/>
    <w:rsid w:val="0035067C"/>
    <w:rsid w:val="00351314"/>
    <w:rsid w:val="00351B58"/>
    <w:rsid w:val="00351CBA"/>
    <w:rsid w:val="00352066"/>
    <w:rsid w:val="00352681"/>
    <w:rsid w:val="00353960"/>
    <w:rsid w:val="00353A29"/>
    <w:rsid w:val="00353B3D"/>
    <w:rsid w:val="00353CA2"/>
    <w:rsid w:val="00354FD5"/>
    <w:rsid w:val="00355709"/>
    <w:rsid w:val="00355D98"/>
    <w:rsid w:val="00355DEB"/>
    <w:rsid w:val="003568D0"/>
    <w:rsid w:val="00357800"/>
    <w:rsid w:val="00357854"/>
    <w:rsid w:val="00357B62"/>
    <w:rsid w:val="00357B9E"/>
    <w:rsid w:val="00357E4D"/>
    <w:rsid w:val="00357EEC"/>
    <w:rsid w:val="00360836"/>
    <w:rsid w:val="00360B0C"/>
    <w:rsid w:val="00360CFA"/>
    <w:rsid w:val="003613A4"/>
    <w:rsid w:val="003636C1"/>
    <w:rsid w:val="003637FD"/>
    <w:rsid w:val="0036385B"/>
    <w:rsid w:val="00363F17"/>
    <w:rsid w:val="00364041"/>
    <w:rsid w:val="003642DA"/>
    <w:rsid w:val="00364C77"/>
    <w:rsid w:val="00364D0E"/>
    <w:rsid w:val="00364ED6"/>
    <w:rsid w:val="0036596A"/>
    <w:rsid w:val="00365E3B"/>
    <w:rsid w:val="00370065"/>
    <w:rsid w:val="00370504"/>
    <w:rsid w:val="00371942"/>
    <w:rsid w:val="00371C0C"/>
    <w:rsid w:val="00371DA9"/>
    <w:rsid w:val="00371F1A"/>
    <w:rsid w:val="00372444"/>
    <w:rsid w:val="003739F8"/>
    <w:rsid w:val="00373E9A"/>
    <w:rsid w:val="00373EA9"/>
    <w:rsid w:val="00374269"/>
    <w:rsid w:val="00374306"/>
    <w:rsid w:val="00374F1B"/>
    <w:rsid w:val="00375183"/>
    <w:rsid w:val="00375EF2"/>
    <w:rsid w:val="00376596"/>
    <w:rsid w:val="0037667F"/>
    <w:rsid w:val="00376CF1"/>
    <w:rsid w:val="00377251"/>
    <w:rsid w:val="00381636"/>
    <w:rsid w:val="00381B21"/>
    <w:rsid w:val="00383556"/>
    <w:rsid w:val="00383C28"/>
    <w:rsid w:val="00383F33"/>
    <w:rsid w:val="003843D8"/>
    <w:rsid w:val="00385340"/>
    <w:rsid w:val="00385ED8"/>
    <w:rsid w:val="00387FC5"/>
    <w:rsid w:val="00390B30"/>
    <w:rsid w:val="00390D6F"/>
    <w:rsid w:val="00391276"/>
    <w:rsid w:val="003919C0"/>
    <w:rsid w:val="00391B34"/>
    <w:rsid w:val="003922BA"/>
    <w:rsid w:val="00392631"/>
    <w:rsid w:val="00393017"/>
    <w:rsid w:val="00393DEF"/>
    <w:rsid w:val="00393F63"/>
    <w:rsid w:val="003944CB"/>
    <w:rsid w:val="003945C8"/>
    <w:rsid w:val="00394CAB"/>
    <w:rsid w:val="003958DE"/>
    <w:rsid w:val="00395998"/>
    <w:rsid w:val="00395E10"/>
    <w:rsid w:val="00396B36"/>
    <w:rsid w:val="003977FF"/>
    <w:rsid w:val="00397A0B"/>
    <w:rsid w:val="003A06E2"/>
    <w:rsid w:val="003A0BD1"/>
    <w:rsid w:val="003A15DC"/>
    <w:rsid w:val="003A17FA"/>
    <w:rsid w:val="003A1E6F"/>
    <w:rsid w:val="003A38A4"/>
    <w:rsid w:val="003A44A4"/>
    <w:rsid w:val="003A4D8E"/>
    <w:rsid w:val="003A5801"/>
    <w:rsid w:val="003A6366"/>
    <w:rsid w:val="003A63A1"/>
    <w:rsid w:val="003B0E4C"/>
    <w:rsid w:val="003B18D2"/>
    <w:rsid w:val="003B1B50"/>
    <w:rsid w:val="003B1BD5"/>
    <w:rsid w:val="003B2178"/>
    <w:rsid w:val="003B26C1"/>
    <w:rsid w:val="003B30CE"/>
    <w:rsid w:val="003B3811"/>
    <w:rsid w:val="003B4C18"/>
    <w:rsid w:val="003B4CA7"/>
    <w:rsid w:val="003B6853"/>
    <w:rsid w:val="003B76B2"/>
    <w:rsid w:val="003C0D51"/>
    <w:rsid w:val="003C1278"/>
    <w:rsid w:val="003C1739"/>
    <w:rsid w:val="003C235C"/>
    <w:rsid w:val="003C2A74"/>
    <w:rsid w:val="003C3844"/>
    <w:rsid w:val="003C3914"/>
    <w:rsid w:val="003C413A"/>
    <w:rsid w:val="003C497C"/>
    <w:rsid w:val="003C4B1D"/>
    <w:rsid w:val="003C6DC7"/>
    <w:rsid w:val="003C74D9"/>
    <w:rsid w:val="003C7E63"/>
    <w:rsid w:val="003C7F32"/>
    <w:rsid w:val="003D0658"/>
    <w:rsid w:val="003D0B00"/>
    <w:rsid w:val="003D0C1B"/>
    <w:rsid w:val="003D1557"/>
    <w:rsid w:val="003D1D2F"/>
    <w:rsid w:val="003D1F5C"/>
    <w:rsid w:val="003D27EF"/>
    <w:rsid w:val="003D33D6"/>
    <w:rsid w:val="003D3478"/>
    <w:rsid w:val="003D3E7C"/>
    <w:rsid w:val="003D42B4"/>
    <w:rsid w:val="003D4A89"/>
    <w:rsid w:val="003D4C49"/>
    <w:rsid w:val="003D4F9B"/>
    <w:rsid w:val="003D4FA8"/>
    <w:rsid w:val="003D4FFB"/>
    <w:rsid w:val="003D5113"/>
    <w:rsid w:val="003D51AB"/>
    <w:rsid w:val="003D53D3"/>
    <w:rsid w:val="003D59E9"/>
    <w:rsid w:val="003D611E"/>
    <w:rsid w:val="003D6C12"/>
    <w:rsid w:val="003E0BD3"/>
    <w:rsid w:val="003E2948"/>
    <w:rsid w:val="003E2EA0"/>
    <w:rsid w:val="003E455B"/>
    <w:rsid w:val="003E490A"/>
    <w:rsid w:val="003E4F7C"/>
    <w:rsid w:val="003E611B"/>
    <w:rsid w:val="003E64BD"/>
    <w:rsid w:val="003E701D"/>
    <w:rsid w:val="003E74C1"/>
    <w:rsid w:val="003E7B12"/>
    <w:rsid w:val="003F05F6"/>
    <w:rsid w:val="003F0970"/>
    <w:rsid w:val="003F1603"/>
    <w:rsid w:val="003F17E9"/>
    <w:rsid w:val="003F248F"/>
    <w:rsid w:val="003F2E9F"/>
    <w:rsid w:val="003F3222"/>
    <w:rsid w:val="003F40DD"/>
    <w:rsid w:val="003F4219"/>
    <w:rsid w:val="003F45A4"/>
    <w:rsid w:val="003F4811"/>
    <w:rsid w:val="003F576F"/>
    <w:rsid w:val="003F5FE4"/>
    <w:rsid w:val="003F793E"/>
    <w:rsid w:val="003F7F99"/>
    <w:rsid w:val="004004FE"/>
    <w:rsid w:val="004028D8"/>
    <w:rsid w:val="004031B0"/>
    <w:rsid w:val="004032C2"/>
    <w:rsid w:val="00403BC4"/>
    <w:rsid w:val="0040410E"/>
    <w:rsid w:val="00404396"/>
    <w:rsid w:val="004043DF"/>
    <w:rsid w:val="004050DE"/>
    <w:rsid w:val="00405892"/>
    <w:rsid w:val="00406B0F"/>
    <w:rsid w:val="00406D2E"/>
    <w:rsid w:val="0041075B"/>
    <w:rsid w:val="004109A6"/>
    <w:rsid w:val="0041113C"/>
    <w:rsid w:val="0041133E"/>
    <w:rsid w:val="00413A98"/>
    <w:rsid w:val="00413E85"/>
    <w:rsid w:val="004150E4"/>
    <w:rsid w:val="0041611B"/>
    <w:rsid w:val="00420453"/>
    <w:rsid w:val="00420827"/>
    <w:rsid w:val="00420A8F"/>
    <w:rsid w:val="00420AA6"/>
    <w:rsid w:val="00420E34"/>
    <w:rsid w:val="0042124F"/>
    <w:rsid w:val="004213C8"/>
    <w:rsid w:val="004213EA"/>
    <w:rsid w:val="0042160E"/>
    <w:rsid w:val="00423270"/>
    <w:rsid w:val="00423EDD"/>
    <w:rsid w:val="00424DE7"/>
    <w:rsid w:val="00424E96"/>
    <w:rsid w:val="00425FBF"/>
    <w:rsid w:val="004260A6"/>
    <w:rsid w:val="00426612"/>
    <w:rsid w:val="00426C53"/>
    <w:rsid w:val="00427348"/>
    <w:rsid w:val="004279E2"/>
    <w:rsid w:val="00427FBD"/>
    <w:rsid w:val="004301F2"/>
    <w:rsid w:val="0043038D"/>
    <w:rsid w:val="004313FE"/>
    <w:rsid w:val="00432405"/>
    <w:rsid w:val="00432951"/>
    <w:rsid w:val="00433765"/>
    <w:rsid w:val="004345E1"/>
    <w:rsid w:val="00434F74"/>
    <w:rsid w:val="00434FA6"/>
    <w:rsid w:val="00435385"/>
    <w:rsid w:val="00435959"/>
    <w:rsid w:val="00435EE8"/>
    <w:rsid w:val="00436D80"/>
    <w:rsid w:val="00440A23"/>
    <w:rsid w:val="00440FE2"/>
    <w:rsid w:val="00441A09"/>
    <w:rsid w:val="00441C29"/>
    <w:rsid w:val="004422B2"/>
    <w:rsid w:val="004422C8"/>
    <w:rsid w:val="00442477"/>
    <w:rsid w:val="00442D93"/>
    <w:rsid w:val="00442E11"/>
    <w:rsid w:val="00443C71"/>
    <w:rsid w:val="00444961"/>
    <w:rsid w:val="00445499"/>
    <w:rsid w:val="004457EF"/>
    <w:rsid w:val="00446B8E"/>
    <w:rsid w:val="0044738B"/>
    <w:rsid w:val="00447BEC"/>
    <w:rsid w:val="00447F02"/>
    <w:rsid w:val="00450DCF"/>
    <w:rsid w:val="00452290"/>
    <w:rsid w:val="00452F36"/>
    <w:rsid w:val="00453C24"/>
    <w:rsid w:val="004557F4"/>
    <w:rsid w:val="00460E97"/>
    <w:rsid w:val="0046126D"/>
    <w:rsid w:val="00461B1F"/>
    <w:rsid w:val="00463B6D"/>
    <w:rsid w:val="00463DFB"/>
    <w:rsid w:val="0046485D"/>
    <w:rsid w:val="00464B8C"/>
    <w:rsid w:val="00465277"/>
    <w:rsid w:val="00466C77"/>
    <w:rsid w:val="00466DD6"/>
    <w:rsid w:val="00466E72"/>
    <w:rsid w:val="00466F94"/>
    <w:rsid w:val="0046790B"/>
    <w:rsid w:val="00467EE7"/>
    <w:rsid w:val="0047078C"/>
    <w:rsid w:val="004708F6"/>
    <w:rsid w:val="00470B28"/>
    <w:rsid w:val="00470D35"/>
    <w:rsid w:val="0047152C"/>
    <w:rsid w:val="00471737"/>
    <w:rsid w:val="00471C68"/>
    <w:rsid w:val="004722B1"/>
    <w:rsid w:val="00472B83"/>
    <w:rsid w:val="00472F17"/>
    <w:rsid w:val="00473217"/>
    <w:rsid w:val="00474A41"/>
    <w:rsid w:val="0047519A"/>
    <w:rsid w:val="004755C1"/>
    <w:rsid w:val="0047667A"/>
    <w:rsid w:val="0047679F"/>
    <w:rsid w:val="00476815"/>
    <w:rsid w:val="00476958"/>
    <w:rsid w:val="00477592"/>
    <w:rsid w:val="00477A50"/>
    <w:rsid w:val="00477DD3"/>
    <w:rsid w:val="00480227"/>
    <w:rsid w:val="0048067A"/>
    <w:rsid w:val="004808A1"/>
    <w:rsid w:val="004810F5"/>
    <w:rsid w:val="00481308"/>
    <w:rsid w:val="004814AC"/>
    <w:rsid w:val="00481CDF"/>
    <w:rsid w:val="004829B4"/>
    <w:rsid w:val="00483265"/>
    <w:rsid w:val="00483A66"/>
    <w:rsid w:val="00483DCA"/>
    <w:rsid w:val="00483F19"/>
    <w:rsid w:val="00484762"/>
    <w:rsid w:val="004855EC"/>
    <w:rsid w:val="004861AA"/>
    <w:rsid w:val="004863CD"/>
    <w:rsid w:val="004869C0"/>
    <w:rsid w:val="00486E70"/>
    <w:rsid w:val="004901A2"/>
    <w:rsid w:val="004901E9"/>
    <w:rsid w:val="00490480"/>
    <w:rsid w:val="00490757"/>
    <w:rsid w:val="00490AEF"/>
    <w:rsid w:val="00491DF0"/>
    <w:rsid w:val="004921D8"/>
    <w:rsid w:val="00492BC7"/>
    <w:rsid w:val="0049307E"/>
    <w:rsid w:val="004936EF"/>
    <w:rsid w:val="0049405E"/>
    <w:rsid w:val="00496EDE"/>
    <w:rsid w:val="004973AE"/>
    <w:rsid w:val="004A0BD3"/>
    <w:rsid w:val="004A0D62"/>
    <w:rsid w:val="004A1CC8"/>
    <w:rsid w:val="004A21AD"/>
    <w:rsid w:val="004A2FBF"/>
    <w:rsid w:val="004A42DB"/>
    <w:rsid w:val="004A4595"/>
    <w:rsid w:val="004A47C5"/>
    <w:rsid w:val="004A51BC"/>
    <w:rsid w:val="004A541C"/>
    <w:rsid w:val="004A548D"/>
    <w:rsid w:val="004A566C"/>
    <w:rsid w:val="004A57C9"/>
    <w:rsid w:val="004A5D6C"/>
    <w:rsid w:val="004A61D8"/>
    <w:rsid w:val="004A6251"/>
    <w:rsid w:val="004A6461"/>
    <w:rsid w:val="004A647B"/>
    <w:rsid w:val="004A6893"/>
    <w:rsid w:val="004B0F24"/>
    <w:rsid w:val="004B0FC7"/>
    <w:rsid w:val="004B1477"/>
    <w:rsid w:val="004B1854"/>
    <w:rsid w:val="004B2641"/>
    <w:rsid w:val="004B27A1"/>
    <w:rsid w:val="004B312F"/>
    <w:rsid w:val="004B3992"/>
    <w:rsid w:val="004B4639"/>
    <w:rsid w:val="004B5891"/>
    <w:rsid w:val="004B5C1B"/>
    <w:rsid w:val="004B5DA8"/>
    <w:rsid w:val="004B60D1"/>
    <w:rsid w:val="004B689C"/>
    <w:rsid w:val="004B6CC4"/>
    <w:rsid w:val="004B6F94"/>
    <w:rsid w:val="004B7098"/>
    <w:rsid w:val="004B7385"/>
    <w:rsid w:val="004B74AA"/>
    <w:rsid w:val="004B7ED8"/>
    <w:rsid w:val="004C0043"/>
    <w:rsid w:val="004C0DDE"/>
    <w:rsid w:val="004C112B"/>
    <w:rsid w:val="004C1399"/>
    <w:rsid w:val="004C294D"/>
    <w:rsid w:val="004C39D1"/>
    <w:rsid w:val="004C3B6F"/>
    <w:rsid w:val="004C422C"/>
    <w:rsid w:val="004C4823"/>
    <w:rsid w:val="004C49F1"/>
    <w:rsid w:val="004C4FC0"/>
    <w:rsid w:val="004C5E24"/>
    <w:rsid w:val="004C691F"/>
    <w:rsid w:val="004C73E8"/>
    <w:rsid w:val="004C7D88"/>
    <w:rsid w:val="004D0775"/>
    <w:rsid w:val="004D0B49"/>
    <w:rsid w:val="004D0DE4"/>
    <w:rsid w:val="004D0EE4"/>
    <w:rsid w:val="004D1457"/>
    <w:rsid w:val="004D4D55"/>
    <w:rsid w:val="004D5E5B"/>
    <w:rsid w:val="004D62BB"/>
    <w:rsid w:val="004D6EE6"/>
    <w:rsid w:val="004D701F"/>
    <w:rsid w:val="004D7115"/>
    <w:rsid w:val="004D7EE3"/>
    <w:rsid w:val="004E1293"/>
    <w:rsid w:val="004E16A1"/>
    <w:rsid w:val="004E17A3"/>
    <w:rsid w:val="004E21FE"/>
    <w:rsid w:val="004E27B6"/>
    <w:rsid w:val="004E2DC3"/>
    <w:rsid w:val="004E30A8"/>
    <w:rsid w:val="004E3541"/>
    <w:rsid w:val="004E3F45"/>
    <w:rsid w:val="004E40F5"/>
    <w:rsid w:val="004E6474"/>
    <w:rsid w:val="004E6EBA"/>
    <w:rsid w:val="004E73CF"/>
    <w:rsid w:val="004F0C1D"/>
    <w:rsid w:val="004F14D2"/>
    <w:rsid w:val="004F18A8"/>
    <w:rsid w:val="004F1EE0"/>
    <w:rsid w:val="004F29A2"/>
    <w:rsid w:val="004F2BE9"/>
    <w:rsid w:val="004F3C6B"/>
    <w:rsid w:val="004F3DA1"/>
    <w:rsid w:val="004F51BE"/>
    <w:rsid w:val="004F5293"/>
    <w:rsid w:val="004F630F"/>
    <w:rsid w:val="004F68A4"/>
    <w:rsid w:val="004F735E"/>
    <w:rsid w:val="004F73B9"/>
    <w:rsid w:val="004F7676"/>
    <w:rsid w:val="00500A07"/>
    <w:rsid w:val="005029AC"/>
    <w:rsid w:val="00502E51"/>
    <w:rsid w:val="005033AC"/>
    <w:rsid w:val="005034F3"/>
    <w:rsid w:val="0050380E"/>
    <w:rsid w:val="00503E0C"/>
    <w:rsid w:val="00503EB6"/>
    <w:rsid w:val="00504DED"/>
    <w:rsid w:val="00505025"/>
    <w:rsid w:val="00505563"/>
    <w:rsid w:val="005055FA"/>
    <w:rsid w:val="00505F77"/>
    <w:rsid w:val="00506486"/>
    <w:rsid w:val="0050693E"/>
    <w:rsid w:val="00506F70"/>
    <w:rsid w:val="005072D7"/>
    <w:rsid w:val="00507454"/>
    <w:rsid w:val="0051056E"/>
    <w:rsid w:val="00510A2C"/>
    <w:rsid w:val="005111D5"/>
    <w:rsid w:val="005117B8"/>
    <w:rsid w:val="00511B5F"/>
    <w:rsid w:val="00513FD1"/>
    <w:rsid w:val="005143DA"/>
    <w:rsid w:val="005151D1"/>
    <w:rsid w:val="00515880"/>
    <w:rsid w:val="00515EC0"/>
    <w:rsid w:val="005167F1"/>
    <w:rsid w:val="005168D3"/>
    <w:rsid w:val="00516B79"/>
    <w:rsid w:val="00520488"/>
    <w:rsid w:val="00521F05"/>
    <w:rsid w:val="00522120"/>
    <w:rsid w:val="005230FC"/>
    <w:rsid w:val="00523F10"/>
    <w:rsid w:val="00524C18"/>
    <w:rsid w:val="0052509F"/>
    <w:rsid w:val="005251C8"/>
    <w:rsid w:val="00525ADF"/>
    <w:rsid w:val="00525E73"/>
    <w:rsid w:val="005262C9"/>
    <w:rsid w:val="00526456"/>
    <w:rsid w:val="00526554"/>
    <w:rsid w:val="00526D4F"/>
    <w:rsid w:val="00527598"/>
    <w:rsid w:val="00527883"/>
    <w:rsid w:val="00527D98"/>
    <w:rsid w:val="00527DB4"/>
    <w:rsid w:val="00527DBF"/>
    <w:rsid w:val="00530C8E"/>
    <w:rsid w:val="00530D9D"/>
    <w:rsid w:val="00532FFF"/>
    <w:rsid w:val="005334EA"/>
    <w:rsid w:val="00533DAE"/>
    <w:rsid w:val="00534A8A"/>
    <w:rsid w:val="00534CFB"/>
    <w:rsid w:val="00535553"/>
    <w:rsid w:val="005356CF"/>
    <w:rsid w:val="0053571C"/>
    <w:rsid w:val="005367E2"/>
    <w:rsid w:val="00536DFB"/>
    <w:rsid w:val="005379A9"/>
    <w:rsid w:val="00537BA6"/>
    <w:rsid w:val="00537BE0"/>
    <w:rsid w:val="00540960"/>
    <w:rsid w:val="0054172B"/>
    <w:rsid w:val="00542AF3"/>
    <w:rsid w:val="00543844"/>
    <w:rsid w:val="0054384E"/>
    <w:rsid w:val="0054495D"/>
    <w:rsid w:val="00544C45"/>
    <w:rsid w:val="00544CF0"/>
    <w:rsid w:val="0054546A"/>
    <w:rsid w:val="00545BF4"/>
    <w:rsid w:val="00546A65"/>
    <w:rsid w:val="00547B57"/>
    <w:rsid w:val="005507CC"/>
    <w:rsid w:val="00551676"/>
    <w:rsid w:val="005517C6"/>
    <w:rsid w:val="00551F2F"/>
    <w:rsid w:val="005523C3"/>
    <w:rsid w:val="00552741"/>
    <w:rsid w:val="005529CF"/>
    <w:rsid w:val="00553BFD"/>
    <w:rsid w:val="005540F2"/>
    <w:rsid w:val="00554500"/>
    <w:rsid w:val="00555254"/>
    <w:rsid w:val="00555C99"/>
    <w:rsid w:val="00556905"/>
    <w:rsid w:val="005569B6"/>
    <w:rsid w:val="00556F5A"/>
    <w:rsid w:val="005601FF"/>
    <w:rsid w:val="00560BCE"/>
    <w:rsid w:val="005610B7"/>
    <w:rsid w:val="0056123C"/>
    <w:rsid w:val="0056169A"/>
    <w:rsid w:val="00561C9E"/>
    <w:rsid w:val="00564A6F"/>
    <w:rsid w:val="00564C23"/>
    <w:rsid w:val="005656BF"/>
    <w:rsid w:val="00565ABA"/>
    <w:rsid w:val="00565CBC"/>
    <w:rsid w:val="00566084"/>
    <w:rsid w:val="0056658C"/>
    <w:rsid w:val="00566E0C"/>
    <w:rsid w:val="005672B4"/>
    <w:rsid w:val="005712A1"/>
    <w:rsid w:val="00571A7F"/>
    <w:rsid w:val="00571E27"/>
    <w:rsid w:val="005731CF"/>
    <w:rsid w:val="00573359"/>
    <w:rsid w:val="005734E9"/>
    <w:rsid w:val="0057391B"/>
    <w:rsid w:val="00573DEB"/>
    <w:rsid w:val="005754ED"/>
    <w:rsid w:val="00575B58"/>
    <w:rsid w:val="0057687E"/>
    <w:rsid w:val="005770A9"/>
    <w:rsid w:val="005774F5"/>
    <w:rsid w:val="005779CE"/>
    <w:rsid w:val="00577B2B"/>
    <w:rsid w:val="00577EE1"/>
    <w:rsid w:val="0058005B"/>
    <w:rsid w:val="005801E9"/>
    <w:rsid w:val="00580FE1"/>
    <w:rsid w:val="00581326"/>
    <w:rsid w:val="005816DF"/>
    <w:rsid w:val="00582D10"/>
    <w:rsid w:val="0058320C"/>
    <w:rsid w:val="0058526A"/>
    <w:rsid w:val="00585457"/>
    <w:rsid w:val="00587593"/>
    <w:rsid w:val="00587597"/>
    <w:rsid w:val="00590B4A"/>
    <w:rsid w:val="00590F09"/>
    <w:rsid w:val="00591488"/>
    <w:rsid w:val="005925BC"/>
    <w:rsid w:val="00592D96"/>
    <w:rsid w:val="005934D2"/>
    <w:rsid w:val="00595B27"/>
    <w:rsid w:val="00595C4A"/>
    <w:rsid w:val="005964B4"/>
    <w:rsid w:val="0059704E"/>
    <w:rsid w:val="00597315"/>
    <w:rsid w:val="00597BD4"/>
    <w:rsid w:val="005A0354"/>
    <w:rsid w:val="005A0A01"/>
    <w:rsid w:val="005A0FE8"/>
    <w:rsid w:val="005A2C8D"/>
    <w:rsid w:val="005A321F"/>
    <w:rsid w:val="005A33D9"/>
    <w:rsid w:val="005A3A59"/>
    <w:rsid w:val="005A42EA"/>
    <w:rsid w:val="005A446D"/>
    <w:rsid w:val="005A453B"/>
    <w:rsid w:val="005A4848"/>
    <w:rsid w:val="005A5CD0"/>
    <w:rsid w:val="005A74FD"/>
    <w:rsid w:val="005A79D3"/>
    <w:rsid w:val="005B0290"/>
    <w:rsid w:val="005B08C9"/>
    <w:rsid w:val="005B1B4D"/>
    <w:rsid w:val="005B2217"/>
    <w:rsid w:val="005B2A52"/>
    <w:rsid w:val="005B30DC"/>
    <w:rsid w:val="005B3974"/>
    <w:rsid w:val="005B4480"/>
    <w:rsid w:val="005B4FAB"/>
    <w:rsid w:val="005B505D"/>
    <w:rsid w:val="005B513E"/>
    <w:rsid w:val="005B5360"/>
    <w:rsid w:val="005B558D"/>
    <w:rsid w:val="005B55FB"/>
    <w:rsid w:val="005B5C01"/>
    <w:rsid w:val="005B5FFB"/>
    <w:rsid w:val="005B6314"/>
    <w:rsid w:val="005B6DB8"/>
    <w:rsid w:val="005B6F3B"/>
    <w:rsid w:val="005B741B"/>
    <w:rsid w:val="005B74EB"/>
    <w:rsid w:val="005B763B"/>
    <w:rsid w:val="005C2098"/>
    <w:rsid w:val="005C22B7"/>
    <w:rsid w:val="005C3D1A"/>
    <w:rsid w:val="005C59A8"/>
    <w:rsid w:val="005C5B3C"/>
    <w:rsid w:val="005C664B"/>
    <w:rsid w:val="005C7A91"/>
    <w:rsid w:val="005C7CD3"/>
    <w:rsid w:val="005D0AF9"/>
    <w:rsid w:val="005D1758"/>
    <w:rsid w:val="005D1E92"/>
    <w:rsid w:val="005D22B6"/>
    <w:rsid w:val="005D262F"/>
    <w:rsid w:val="005D273A"/>
    <w:rsid w:val="005D3463"/>
    <w:rsid w:val="005D4241"/>
    <w:rsid w:val="005D4276"/>
    <w:rsid w:val="005D4B6E"/>
    <w:rsid w:val="005D5BE5"/>
    <w:rsid w:val="005D5C55"/>
    <w:rsid w:val="005D6070"/>
    <w:rsid w:val="005D6DEB"/>
    <w:rsid w:val="005D71C0"/>
    <w:rsid w:val="005D7924"/>
    <w:rsid w:val="005D7D4D"/>
    <w:rsid w:val="005D7FC7"/>
    <w:rsid w:val="005E1112"/>
    <w:rsid w:val="005E17D1"/>
    <w:rsid w:val="005E2376"/>
    <w:rsid w:val="005E2619"/>
    <w:rsid w:val="005E353B"/>
    <w:rsid w:val="005E3776"/>
    <w:rsid w:val="005E4002"/>
    <w:rsid w:val="005E48E4"/>
    <w:rsid w:val="005E4D73"/>
    <w:rsid w:val="005E5EE6"/>
    <w:rsid w:val="005E6E39"/>
    <w:rsid w:val="005E6F86"/>
    <w:rsid w:val="005E708A"/>
    <w:rsid w:val="005E780C"/>
    <w:rsid w:val="005F00BB"/>
    <w:rsid w:val="005F282A"/>
    <w:rsid w:val="005F29B8"/>
    <w:rsid w:val="005F29C8"/>
    <w:rsid w:val="005F3664"/>
    <w:rsid w:val="005F3A08"/>
    <w:rsid w:val="005F422F"/>
    <w:rsid w:val="005F4469"/>
    <w:rsid w:val="005F4CD8"/>
    <w:rsid w:val="005F5108"/>
    <w:rsid w:val="005F533E"/>
    <w:rsid w:val="005F53C8"/>
    <w:rsid w:val="005F5476"/>
    <w:rsid w:val="005F5509"/>
    <w:rsid w:val="005F5D57"/>
    <w:rsid w:val="005F6078"/>
    <w:rsid w:val="005F6358"/>
    <w:rsid w:val="005F68BC"/>
    <w:rsid w:val="005F791F"/>
    <w:rsid w:val="00601F72"/>
    <w:rsid w:val="00601FE7"/>
    <w:rsid w:val="00602105"/>
    <w:rsid w:val="006023C6"/>
    <w:rsid w:val="0060299E"/>
    <w:rsid w:val="006033C4"/>
    <w:rsid w:val="0060386C"/>
    <w:rsid w:val="00605600"/>
    <w:rsid w:val="00605EB6"/>
    <w:rsid w:val="00606A14"/>
    <w:rsid w:val="00607ADF"/>
    <w:rsid w:val="00607FFD"/>
    <w:rsid w:val="006108DF"/>
    <w:rsid w:val="0061090D"/>
    <w:rsid w:val="006111CF"/>
    <w:rsid w:val="00611F0A"/>
    <w:rsid w:val="0061366D"/>
    <w:rsid w:val="006138B8"/>
    <w:rsid w:val="0061505C"/>
    <w:rsid w:val="00615396"/>
    <w:rsid w:val="00615D7E"/>
    <w:rsid w:val="00616611"/>
    <w:rsid w:val="00617D35"/>
    <w:rsid w:val="006206EC"/>
    <w:rsid w:val="006207AA"/>
    <w:rsid w:val="006216F4"/>
    <w:rsid w:val="00621C03"/>
    <w:rsid w:val="00621CB2"/>
    <w:rsid w:val="00621DD6"/>
    <w:rsid w:val="0062248F"/>
    <w:rsid w:val="00622DAD"/>
    <w:rsid w:val="006231D4"/>
    <w:rsid w:val="00623662"/>
    <w:rsid w:val="00623E52"/>
    <w:rsid w:val="00624A07"/>
    <w:rsid w:val="00627146"/>
    <w:rsid w:val="00627778"/>
    <w:rsid w:val="0062785A"/>
    <w:rsid w:val="00627C4D"/>
    <w:rsid w:val="006305A1"/>
    <w:rsid w:val="0063086A"/>
    <w:rsid w:val="006315B9"/>
    <w:rsid w:val="00631706"/>
    <w:rsid w:val="006338D4"/>
    <w:rsid w:val="006340BC"/>
    <w:rsid w:val="00634802"/>
    <w:rsid w:val="00635845"/>
    <w:rsid w:val="00635BB2"/>
    <w:rsid w:val="0063658A"/>
    <w:rsid w:val="00636C42"/>
    <w:rsid w:val="00636D60"/>
    <w:rsid w:val="00637EC8"/>
    <w:rsid w:val="0064022D"/>
    <w:rsid w:val="00640F31"/>
    <w:rsid w:val="00640F5E"/>
    <w:rsid w:val="00641F89"/>
    <w:rsid w:val="006420AB"/>
    <w:rsid w:val="00642421"/>
    <w:rsid w:val="0064271B"/>
    <w:rsid w:val="00642A60"/>
    <w:rsid w:val="006438BC"/>
    <w:rsid w:val="006446FB"/>
    <w:rsid w:val="006448ED"/>
    <w:rsid w:val="00644ACB"/>
    <w:rsid w:val="00645C80"/>
    <w:rsid w:val="00645CB6"/>
    <w:rsid w:val="006463FC"/>
    <w:rsid w:val="006467D7"/>
    <w:rsid w:val="00646864"/>
    <w:rsid w:val="00646AAD"/>
    <w:rsid w:val="006470B4"/>
    <w:rsid w:val="006475DA"/>
    <w:rsid w:val="00647F0E"/>
    <w:rsid w:val="00650118"/>
    <w:rsid w:val="00651A29"/>
    <w:rsid w:val="00651D21"/>
    <w:rsid w:val="0065275C"/>
    <w:rsid w:val="0065284B"/>
    <w:rsid w:val="00652DD1"/>
    <w:rsid w:val="006531F5"/>
    <w:rsid w:val="00653664"/>
    <w:rsid w:val="00653EBF"/>
    <w:rsid w:val="00654BA2"/>
    <w:rsid w:val="00655331"/>
    <w:rsid w:val="006558C0"/>
    <w:rsid w:val="00655F4F"/>
    <w:rsid w:val="0065674B"/>
    <w:rsid w:val="00656A9C"/>
    <w:rsid w:val="00656C63"/>
    <w:rsid w:val="0065781A"/>
    <w:rsid w:val="00657B05"/>
    <w:rsid w:val="00657F3A"/>
    <w:rsid w:val="0066156E"/>
    <w:rsid w:val="006617F6"/>
    <w:rsid w:val="006621C6"/>
    <w:rsid w:val="006625FA"/>
    <w:rsid w:val="00662862"/>
    <w:rsid w:val="006630E0"/>
    <w:rsid w:val="00663CEC"/>
    <w:rsid w:val="00664144"/>
    <w:rsid w:val="00664273"/>
    <w:rsid w:val="006651FE"/>
    <w:rsid w:val="00670B9F"/>
    <w:rsid w:val="006715BF"/>
    <w:rsid w:val="006717DA"/>
    <w:rsid w:val="006721BA"/>
    <w:rsid w:val="0067220C"/>
    <w:rsid w:val="00673CD9"/>
    <w:rsid w:val="00673D83"/>
    <w:rsid w:val="00674405"/>
    <w:rsid w:val="00674FB9"/>
    <w:rsid w:val="00676850"/>
    <w:rsid w:val="00676E29"/>
    <w:rsid w:val="00680154"/>
    <w:rsid w:val="0068039B"/>
    <w:rsid w:val="00680A31"/>
    <w:rsid w:val="00680B97"/>
    <w:rsid w:val="006811F2"/>
    <w:rsid w:val="00681F21"/>
    <w:rsid w:val="006827BC"/>
    <w:rsid w:val="006829CA"/>
    <w:rsid w:val="00683DFE"/>
    <w:rsid w:val="006843E0"/>
    <w:rsid w:val="006863BC"/>
    <w:rsid w:val="0068668A"/>
    <w:rsid w:val="006867B0"/>
    <w:rsid w:val="00686AFE"/>
    <w:rsid w:val="00687248"/>
    <w:rsid w:val="00687629"/>
    <w:rsid w:val="0069009E"/>
    <w:rsid w:val="00690133"/>
    <w:rsid w:val="00691768"/>
    <w:rsid w:val="006917AB"/>
    <w:rsid w:val="00691BD3"/>
    <w:rsid w:val="006923B1"/>
    <w:rsid w:val="00694462"/>
    <w:rsid w:val="00694FEB"/>
    <w:rsid w:val="006950DF"/>
    <w:rsid w:val="00695193"/>
    <w:rsid w:val="00695A3A"/>
    <w:rsid w:val="00695EB7"/>
    <w:rsid w:val="00695ED8"/>
    <w:rsid w:val="0069698C"/>
    <w:rsid w:val="006969CE"/>
    <w:rsid w:val="00697AB5"/>
    <w:rsid w:val="006A0A03"/>
    <w:rsid w:val="006A22D6"/>
    <w:rsid w:val="006A2907"/>
    <w:rsid w:val="006A3244"/>
    <w:rsid w:val="006A3642"/>
    <w:rsid w:val="006A4A4B"/>
    <w:rsid w:val="006A582D"/>
    <w:rsid w:val="006A5EF1"/>
    <w:rsid w:val="006A738A"/>
    <w:rsid w:val="006A7E21"/>
    <w:rsid w:val="006B0D0D"/>
    <w:rsid w:val="006B11C1"/>
    <w:rsid w:val="006B1F3B"/>
    <w:rsid w:val="006B31CD"/>
    <w:rsid w:val="006B39CA"/>
    <w:rsid w:val="006B4490"/>
    <w:rsid w:val="006B4A2F"/>
    <w:rsid w:val="006B593D"/>
    <w:rsid w:val="006B6AF9"/>
    <w:rsid w:val="006B7351"/>
    <w:rsid w:val="006C0AF7"/>
    <w:rsid w:val="006C10F7"/>
    <w:rsid w:val="006C133E"/>
    <w:rsid w:val="006C188F"/>
    <w:rsid w:val="006C1D65"/>
    <w:rsid w:val="006C2AE3"/>
    <w:rsid w:val="006C2F1D"/>
    <w:rsid w:val="006C44BB"/>
    <w:rsid w:val="006C4535"/>
    <w:rsid w:val="006C547E"/>
    <w:rsid w:val="006C64E7"/>
    <w:rsid w:val="006C6921"/>
    <w:rsid w:val="006C6EE6"/>
    <w:rsid w:val="006C7307"/>
    <w:rsid w:val="006D0606"/>
    <w:rsid w:val="006D0D42"/>
    <w:rsid w:val="006D0D82"/>
    <w:rsid w:val="006D1328"/>
    <w:rsid w:val="006D22E0"/>
    <w:rsid w:val="006D256C"/>
    <w:rsid w:val="006D280A"/>
    <w:rsid w:val="006D2816"/>
    <w:rsid w:val="006D2C3C"/>
    <w:rsid w:val="006D32F7"/>
    <w:rsid w:val="006D44EC"/>
    <w:rsid w:val="006D4A41"/>
    <w:rsid w:val="006D510F"/>
    <w:rsid w:val="006D51AE"/>
    <w:rsid w:val="006D56D6"/>
    <w:rsid w:val="006D5BE4"/>
    <w:rsid w:val="006D5E65"/>
    <w:rsid w:val="006D6108"/>
    <w:rsid w:val="006D71F3"/>
    <w:rsid w:val="006E0D60"/>
    <w:rsid w:val="006E12FB"/>
    <w:rsid w:val="006E1D76"/>
    <w:rsid w:val="006E2852"/>
    <w:rsid w:val="006E329C"/>
    <w:rsid w:val="006E3517"/>
    <w:rsid w:val="006E4156"/>
    <w:rsid w:val="006E4BA2"/>
    <w:rsid w:val="006E56B5"/>
    <w:rsid w:val="006E66ED"/>
    <w:rsid w:val="006E7235"/>
    <w:rsid w:val="006E7B93"/>
    <w:rsid w:val="006F04B9"/>
    <w:rsid w:val="006F0564"/>
    <w:rsid w:val="006F0BFF"/>
    <w:rsid w:val="006F0DB5"/>
    <w:rsid w:val="006F0E4B"/>
    <w:rsid w:val="006F1A2D"/>
    <w:rsid w:val="006F2864"/>
    <w:rsid w:val="006F3C72"/>
    <w:rsid w:val="006F3D38"/>
    <w:rsid w:val="006F4477"/>
    <w:rsid w:val="006F4CB0"/>
    <w:rsid w:val="006F50A9"/>
    <w:rsid w:val="006F524A"/>
    <w:rsid w:val="006F5E35"/>
    <w:rsid w:val="006F5FC1"/>
    <w:rsid w:val="006F73D4"/>
    <w:rsid w:val="006F753E"/>
    <w:rsid w:val="006F7F22"/>
    <w:rsid w:val="0070013C"/>
    <w:rsid w:val="00700208"/>
    <w:rsid w:val="0070221C"/>
    <w:rsid w:val="007028C9"/>
    <w:rsid w:val="00702C3F"/>
    <w:rsid w:val="00702D22"/>
    <w:rsid w:val="007035EA"/>
    <w:rsid w:val="00703602"/>
    <w:rsid w:val="00703BEB"/>
    <w:rsid w:val="00703BF4"/>
    <w:rsid w:val="0070417C"/>
    <w:rsid w:val="00704230"/>
    <w:rsid w:val="00705F91"/>
    <w:rsid w:val="007069D5"/>
    <w:rsid w:val="0070709A"/>
    <w:rsid w:val="00707492"/>
    <w:rsid w:val="00707500"/>
    <w:rsid w:val="007078E5"/>
    <w:rsid w:val="00707B40"/>
    <w:rsid w:val="007101A4"/>
    <w:rsid w:val="007102DD"/>
    <w:rsid w:val="007111E0"/>
    <w:rsid w:val="007112EF"/>
    <w:rsid w:val="00711456"/>
    <w:rsid w:val="00711779"/>
    <w:rsid w:val="007119EA"/>
    <w:rsid w:val="00711CD1"/>
    <w:rsid w:val="00712164"/>
    <w:rsid w:val="00712B8B"/>
    <w:rsid w:val="00712BD4"/>
    <w:rsid w:val="00713746"/>
    <w:rsid w:val="0071465E"/>
    <w:rsid w:val="0071578A"/>
    <w:rsid w:val="00715E2D"/>
    <w:rsid w:val="00716445"/>
    <w:rsid w:val="0071645F"/>
    <w:rsid w:val="007164B6"/>
    <w:rsid w:val="0071666F"/>
    <w:rsid w:val="00717598"/>
    <w:rsid w:val="00717CF2"/>
    <w:rsid w:val="00720A28"/>
    <w:rsid w:val="0072139B"/>
    <w:rsid w:val="00721447"/>
    <w:rsid w:val="0072195E"/>
    <w:rsid w:val="007223F7"/>
    <w:rsid w:val="00722F52"/>
    <w:rsid w:val="00723243"/>
    <w:rsid w:val="0072342C"/>
    <w:rsid w:val="0072369E"/>
    <w:rsid w:val="007242FA"/>
    <w:rsid w:val="00724548"/>
    <w:rsid w:val="00724FC4"/>
    <w:rsid w:val="00724FFE"/>
    <w:rsid w:val="00725529"/>
    <w:rsid w:val="007258E5"/>
    <w:rsid w:val="00725994"/>
    <w:rsid w:val="00726676"/>
    <w:rsid w:val="00727B93"/>
    <w:rsid w:val="00727C26"/>
    <w:rsid w:val="00730D69"/>
    <w:rsid w:val="00731643"/>
    <w:rsid w:val="00733A9F"/>
    <w:rsid w:val="00734DA2"/>
    <w:rsid w:val="00734F32"/>
    <w:rsid w:val="007353FF"/>
    <w:rsid w:val="0073595B"/>
    <w:rsid w:val="00735D0F"/>
    <w:rsid w:val="0073750D"/>
    <w:rsid w:val="0073763F"/>
    <w:rsid w:val="00737C26"/>
    <w:rsid w:val="00737EFD"/>
    <w:rsid w:val="007402D2"/>
    <w:rsid w:val="00740BA3"/>
    <w:rsid w:val="00740DC9"/>
    <w:rsid w:val="00740F8B"/>
    <w:rsid w:val="00741D28"/>
    <w:rsid w:val="00741FEB"/>
    <w:rsid w:val="007421E6"/>
    <w:rsid w:val="007421F9"/>
    <w:rsid w:val="0074225C"/>
    <w:rsid w:val="00742AB7"/>
    <w:rsid w:val="00743362"/>
    <w:rsid w:val="00743953"/>
    <w:rsid w:val="00744CC2"/>
    <w:rsid w:val="0074525F"/>
    <w:rsid w:val="00745506"/>
    <w:rsid w:val="00745745"/>
    <w:rsid w:val="00745802"/>
    <w:rsid w:val="00745884"/>
    <w:rsid w:val="00745B87"/>
    <w:rsid w:val="00745E17"/>
    <w:rsid w:val="00745F79"/>
    <w:rsid w:val="00746A43"/>
    <w:rsid w:val="00746FD7"/>
    <w:rsid w:val="007470F2"/>
    <w:rsid w:val="00750298"/>
    <w:rsid w:val="00750A6A"/>
    <w:rsid w:val="00750C76"/>
    <w:rsid w:val="00750E5D"/>
    <w:rsid w:val="0075123F"/>
    <w:rsid w:val="0075135C"/>
    <w:rsid w:val="00751691"/>
    <w:rsid w:val="0075192C"/>
    <w:rsid w:val="00751D7C"/>
    <w:rsid w:val="00752058"/>
    <w:rsid w:val="00753AFB"/>
    <w:rsid w:val="00754047"/>
    <w:rsid w:val="007540BD"/>
    <w:rsid w:val="00754393"/>
    <w:rsid w:val="00754AA2"/>
    <w:rsid w:val="00754D71"/>
    <w:rsid w:val="00754E0D"/>
    <w:rsid w:val="00755B6B"/>
    <w:rsid w:val="00756698"/>
    <w:rsid w:val="007574E3"/>
    <w:rsid w:val="00760D70"/>
    <w:rsid w:val="00761866"/>
    <w:rsid w:val="007619DF"/>
    <w:rsid w:val="00761D86"/>
    <w:rsid w:val="00762219"/>
    <w:rsid w:val="00762810"/>
    <w:rsid w:val="0076299F"/>
    <w:rsid w:val="007634B3"/>
    <w:rsid w:val="00763696"/>
    <w:rsid w:val="00763FF9"/>
    <w:rsid w:val="00764662"/>
    <w:rsid w:val="00764C92"/>
    <w:rsid w:val="00766657"/>
    <w:rsid w:val="0076716E"/>
    <w:rsid w:val="007671BB"/>
    <w:rsid w:val="007676CC"/>
    <w:rsid w:val="00770A8D"/>
    <w:rsid w:val="00771556"/>
    <w:rsid w:val="007720BD"/>
    <w:rsid w:val="007746ED"/>
    <w:rsid w:val="00774F09"/>
    <w:rsid w:val="00776059"/>
    <w:rsid w:val="007762EF"/>
    <w:rsid w:val="00776D54"/>
    <w:rsid w:val="007775FF"/>
    <w:rsid w:val="007778D5"/>
    <w:rsid w:val="00780147"/>
    <w:rsid w:val="007807CD"/>
    <w:rsid w:val="00780E2B"/>
    <w:rsid w:val="0078149A"/>
    <w:rsid w:val="00782CFC"/>
    <w:rsid w:val="00782F21"/>
    <w:rsid w:val="00783067"/>
    <w:rsid w:val="0078330B"/>
    <w:rsid w:val="00783AA9"/>
    <w:rsid w:val="007851A7"/>
    <w:rsid w:val="0078750D"/>
    <w:rsid w:val="00787C13"/>
    <w:rsid w:val="00790C4E"/>
    <w:rsid w:val="00791540"/>
    <w:rsid w:val="007917D9"/>
    <w:rsid w:val="007926F2"/>
    <w:rsid w:val="00792A75"/>
    <w:rsid w:val="00792E8C"/>
    <w:rsid w:val="007933BC"/>
    <w:rsid w:val="0079351F"/>
    <w:rsid w:val="00794586"/>
    <w:rsid w:val="007947A2"/>
    <w:rsid w:val="00795623"/>
    <w:rsid w:val="00795C11"/>
    <w:rsid w:val="00796559"/>
    <w:rsid w:val="00797054"/>
    <w:rsid w:val="00797774"/>
    <w:rsid w:val="007979E9"/>
    <w:rsid w:val="007A03F6"/>
    <w:rsid w:val="007A0BAE"/>
    <w:rsid w:val="007A15BA"/>
    <w:rsid w:val="007A15EC"/>
    <w:rsid w:val="007A1A98"/>
    <w:rsid w:val="007A1C34"/>
    <w:rsid w:val="007A4132"/>
    <w:rsid w:val="007A4C79"/>
    <w:rsid w:val="007A539D"/>
    <w:rsid w:val="007A5BA6"/>
    <w:rsid w:val="007A616C"/>
    <w:rsid w:val="007A668E"/>
    <w:rsid w:val="007A6766"/>
    <w:rsid w:val="007A732C"/>
    <w:rsid w:val="007A7619"/>
    <w:rsid w:val="007A78BB"/>
    <w:rsid w:val="007B00E2"/>
    <w:rsid w:val="007B00F3"/>
    <w:rsid w:val="007B029B"/>
    <w:rsid w:val="007B05A1"/>
    <w:rsid w:val="007B07C8"/>
    <w:rsid w:val="007B0CAB"/>
    <w:rsid w:val="007B0CC6"/>
    <w:rsid w:val="007B20E6"/>
    <w:rsid w:val="007B2169"/>
    <w:rsid w:val="007B25CA"/>
    <w:rsid w:val="007B2D59"/>
    <w:rsid w:val="007B2FBA"/>
    <w:rsid w:val="007B35AC"/>
    <w:rsid w:val="007B3698"/>
    <w:rsid w:val="007B4D72"/>
    <w:rsid w:val="007B64C9"/>
    <w:rsid w:val="007B6AF2"/>
    <w:rsid w:val="007B6C55"/>
    <w:rsid w:val="007C0572"/>
    <w:rsid w:val="007C0B92"/>
    <w:rsid w:val="007C0C72"/>
    <w:rsid w:val="007C0F42"/>
    <w:rsid w:val="007C1A6D"/>
    <w:rsid w:val="007C2870"/>
    <w:rsid w:val="007C331C"/>
    <w:rsid w:val="007C3C89"/>
    <w:rsid w:val="007C3F70"/>
    <w:rsid w:val="007C49A6"/>
    <w:rsid w:val="007C4EC5"/>
    <w:rsid w:val="007C4EC6"/>
    <w:rsid w:val="007C6DB4"/>
    <w:rsid w:val="007C72BC"/>
    <w:rsid w:val="007C742F"/>
    <w:rsid w:val="007C7671"/>
    <w:rsid w:val="007C7A31"/>
    <w:rsid w:val="007D07D6"/>
    <w:rsid w:val="007D0FED"/>
    <w:rsid w:val="007D179C"/>
    <w:rsid w:val="007D2293"/>
    <w:rsid w:val="007D28AD"/>
    <w:rsid w:val="007D28F2"/>
    <w:rsid w:val="007D2D92"/>
    <w:rsid w:val="007D43B1"/>
    <w:rsid w:val="007D46D9"/>
    <w:rsid w:val="007D4826"/>
    <w:rsid w:val="007D4A0B"/>
    <w:rsid w:val="007D51C9"/>
    <w:rsid w:val="007D5884"/>
    <w:rsid w:val="007D78E0"/>
    <w:rsid w:val="007E0A73"/>
    <w:rsid w:val="007E0B52"/>
    <w:rsid w:val="007E0C41"/>
    <w:rsid w:val="007E0ED8"/>
    <w:rsid w:val="007E1F4C"/>
    <w:rsid w:val="007E255A"/>
    <w:rsid w:val="007E28AE"/>
    <w:rsid w:val="007E2AC1"/>
    <w:rsid w:val="007E2B40"/>
    <w:rsid w:val="007E318C"/>
    <w:rsid w:val="007E485A"/>
    <w:rsid w:val="007E490C"/>
    <w:rsid w:val="007E4E69"/>
    <w:rsid w:val="007E590D"/>
    <w:rsid w:val="007E5A6C"/>
    <w:rsid w:val="007E5F8C"/>
    <w:rsid w:val="007E6104"/>
    <w:rsid w:val="007E72F9"/>
    <w:rsid w:val="007E77AC"/>
    <w:rsid w:val="007F1537"/>
    <w:rsid w:val="007F301E"/>
    <w:rsid w:val="007F3107"/>
    <w:rsid w:val="007F4D90"/>
    <w:rsid w:val="007F4EC2"/>
    <w:rsid w:val="007F5ECD"/>
    <w:rsid w:val="007F61C5"/>
    <w:rsid w:val="007F6DE3"/>
    <w:rsid w:val="007F7779"/>
    <w:rsid w:val="007F77CA"/>
    <w:rsid w:val="007F7DA0"/>
    <w:rsid w:val="007F7F5B"/>
    <w:rsid w:val="00800156"/>
    <w:rsid w:val="0080018D"/>
    <w:rsid w:val="008006EB"/>
    <w:rsid w:val="00800AC2"/>
    <w:rsid w:val="008016EA"/>
    <w:rsid w:val="008020BA"/>
    <w:rsid w:val="008026CF"/>
    <w:rsid w:val="00802761"/>
    <w:rsid w:val="00802CBB"/>
    <w:rsid w:val="00802FB9"/>
    <w:rsid w:val="00803847"/>
    <w:rsid w:val="00803D8E"/>
    <w:rsid w:val="00803E4D"/>
    <w:rsid w:val="008048E5"/>
    <w:rsid w:val="00805571"/>
    <w:rsid w:val="0080573A"/>
    <w:rsid w:val="00805D2A"/>
    <w:rsid w:val="00810060"/>
    <w:rsid w:val="008107D1"/>
    <w:rsid w:val="00810DAD"/>
    <w:rsid w:val="008123E1"/>
    <w:rsid w:val="00812515"/>
    <w:rsid w:val="00812F7C"/>
    <w:rsid w:val="00813970"/>
    <w:rsid w:val="00815372"/>
    <w:rsid w:val="0081597B"/>
    <w:rsid w:val="00816771"/>
    <w:rsid w:val="0081686B"/>
    <w:rsid w:val="00817AF9"/>
    <w:rsid w:val="00817B32"/>
    <w:rsid w:val="00820C78"/>
    <w:rsid w:val="00821EED"/>
    <w:rsid w:val="00822B21"/>
    <w:rsid w:val="00823C53"/>
    <w:rsid w:val="00823E5E"/>
    <w:rsid w:val="00826729"/>
    <w:rsid w:val="00826BDE"/>
    <w:rsid w:val="00826CDD"/>
    <w:rsid w:val="00827E88"/>
    <w:rsid w:val="00830E5D"/>
    <w:rsid w:val="00831441"/>
    <w:rsid w:val="00831E03"/>
    <w:rsid w:val="00834451"/>
    <w:rsid w:val="008348C4"/>
    <w:rsid w:val="00835CC3"/>
    <w:rsid w:val="00835EDD"/>
    <w:rsid w:val="00836012"/>
    <w:rsid w:val="0083653D"/>
    <w:rsid w:val="00836547"/>
    <w:rsid w:val="0083669B"/>
    <w:rsid w:val="00836C3B"/>
    <w:rsid w:val="00837133"/>
    <w:rsid w:val="00840D93"/>
    <w:rsid w:val="008424C4"/>
    <w:rsid w:val="00844DF9"/>
    <w:rsid w:val="0084534F"/>
    <w:rsid w:val="0084556C"/>
    <w:rsid w:val="008459C0"/>
    <w:rsid w:val="00845EDC"/>
    <w:rsid w:val="008464F8"/>
    <w:rsid w:val="00846D58"/>
    <w:rsid w:val="00850B9E"/>
    <w:rsid w:val="00850F89"/>
    <w:rsid w:val="008517DA"/>
    <w:rsid w:val="00851859"/>
    <w:rsid w:val="00852E66"/>
    <w:rsid w:val="00854822"/>
    <w:rsid w:val="00855634"/>
    <w:rsid w:val="00855B88"/>
    <w:rsid w:val="00855C34"/>
    <w:rsid w:val="00856102"/>
    <w:rsid w:val="008562C6"/>
    <w:rsid w:val="00856390"/>
    <w:rsid w:val="00856BFB"/>
    <w:rsid w:val="008605F1"/>
    <w:rsid w:val="00860734"/>
    <w:rsid w:val="00860C9A"/>
    <w:rsid w:val="00860FAA"/>
    <w:rsid w:val="0086126B"/>
    <w:rsid w:val="00861F5E"/>
    <w:rsid w:val="00862045"/>
    <w:rsid w:val="00863776"/>
    <w:rsid w:val="00864428"/>
    <w:rsid w:val="008648EE"/>
    <w:rsid w:val="00864E6C"/>
    <w:rsid w:val="00865972"/>
    <w:rsid w:val="008669B4"/>
    <w:rsid w:val="00866ABA"/>
    <w:rsid w:val="00866FEF"/>
    <w:rsid w:val="00867524"/>
    <w:rsid w:val="00867534"/>
    <w:rsid w:val="0086766C"/>
    <w:rsid w:val="008708AC"/>
    <w:rsid w:val="00870C0D"/>
    <w:rsid w:val="00870D16"/>
    <w:rsid w:val="00871224"/>
    <w:rsid w:val="00871697"/>
    <w:rsid w:val="00872B54"/>
    <w:rsid w:val="00873488"/>
    <w:rsid w:val="00873ED8"/>
    <w:rsid w:val="008741A3"/>
    <w:rsid w:val="008745A9"/>
    <w:rsid w:val="00876B3A"/>
    <w:rsid w:val="00876CE7"/>
    <w:rsid w:val="008778A6"/>
    <w:rsid w:val="00877F9A"/>
    <w:rsid w:val="008803D1"/>
    <w:rsid w:val="00880920"/>
    <w:rsid w:val="00880B46"/>
    <w:rsid w:val="008810BC"/>
    <w:rsid w:val="0088144A"/>
    <w:rsid w:val="00881F28"/>
    <w:rsid w:val="00882B00"/>
    <w:rsid w:val="0088322F"/>
    <w:rsid w:val="008835F3"/>
    <w:rsid w:val="00884CD6"/>
    <w:rsid w:val="00885504"/>
    <w:rsid w:val="00887078"/>
    <w:rsid w:val="0088748C"/>
    <w:rsid w:val="008874BC"/>
    <w:rsid w:val="00890F33"/>
    <w:rsid w:val="00891B44"/>
    <w:rsid w:val="00892817"/>
    <w:rsid w:val="0089390A"/>
    <w:rsid w:val="00893C03"/>
    <w:rsid w:val="00893C87"/>
    <w:rsid w:val="00893D27"/>
    <w:rsid w:val="00894BE1"/>
    <w:rsid w:val="00895C80"/>
    <w:rsid w:val="00895D18"/>
    <w:rsid w:val="008969E3"/>
    <w:rsid w:val="00896CFB"/>
    <w:rsid w:val="00897169"/>
    <w:rsid w:val="00897B1A"/>
    <w:rsid w:val="008A0245"/>
    <w:rsid w:val="008A14E5"/>
    <w:rsid w:val="008A19BA"/>
    <w:rsid w:val="008A1AB9"/>
    <w:rsid w:val="008A1D19"/>
    <w:rsid w:val="008A276E"/>
    <w:rsid w:val="008A2A64"/>
    <w:rsid w:val="008A314A"/>
    <w:rsid w:val="008A4342"/>
    <w:rsid w:val="008A4A5F"/>
    <w:rsid w:val="008A5116"/>
    <w:rsid w:val="008A558C"/>
    <w:rsid w:val="008A65BE"/>
    <w:rsid w:val="008A6EC3"/>
    <w:rsid w:val="008B0001"/>
    <w:rsid w:val="008B0294"/>
    <w:rsid w:val="008B087C"/>
    <w:rsid w:val="008B2FD7"/>
    <w:rsid w:val="008B3452"/>
    <w:rsid w:val="008B40FE"/>
    <w:rsid w:val="008B4E6F"/>
    <w:rsid w:val="008B4F5C"/>
    <w:rsid w:val="008B4FA0"/>
    <w:rsid w:val="008B5C14"/>
    <w:rsid w:val="008B5EFF"/>
    <w:rsid w:val="008B62F5"/>
    <w:rsid w:val="008B72D0"/>
    <w:rsid w:val="008B7307"/>
    <w:rsid w:val="008C02C5"/>
    <w:rsid w:val="008C19D4"/>
    <w:rsid w:val="008C226F"/>
    <w:rsid w:val="008C22BB"/>
    <w:rsid w:val="008C250E"/>
    <w:rsid w:val="008C25A1"/>
    <w:rsid w:val="008C2DFD"/>
    <w:rsid w:val="008C31D9"/>
    <w:rsid w:val="008C32C5"/>
    <w:rsid w:val="008C3329"/>
    <w:rsid w:val="008C37EC"/>
    <w:rsid w:val="008C58D5"/>
    <w:rsid w:val="008C58DC"/>
    <w:rsid w:val="008C6DA7"/>
    <w:rsid w:val="008C7F34"/>
    <w:rsid w:val="008D08A5"/>
    <w:rsid w:val="008D1486"/>
    <w:rsid w:val="008D1932"/>
    <w:rsid w:val="008D19A8"/>
    <w:rsid w:val="008D1FC8"/>
    <w:rsid w:val="008D2A32"/>
    <w:rsid w:val="008D408F"/>
    <w:rsid w:val="008D4259"/>
    <w:rsid w:val="008D44D7"/>
    <w:rsid w:val="008D4C06"/>
    <w:rsid w:val="008D4EC8"/>
    <w:rsid w:val="008D55BB"/>
    <w:rsid w:val="008D5CDA"/>
    <w:rsid w:val="008D5FEE"/>
    <w:rsid w:val="008D79EA"/>
    <w:rsid w:val="008D7FE1"/>
    <w:rsid w:val="008E0D91"/>
    <w:rsid w:val="008E1B0B"/>
    <w:rsid w:val="008E25A8"/>
    <w:rsid w:val="008E2640"/>
    <w:rsid w:val="008E326C"/>
    <w:rsid w:val="008E32B1"/>
    <w:rsid w:val="008E3C3A"/>
    <w:rsid w:val="008E47C6"/>
    <w:rsid w:val="008E5AC6"/>
    <w:rsid w:val="008E5CED"/>
    <w:rsid w:val="008E5FC8"/>
    <w:rsid w:val="008E796E"/>
    <w:rsid w:val="008F0FB1"/>
    <w:rsid w:val="008F1096"/>
    <w:rsid w:val="008F160E"/>
    <w:rsid w:val="008F1645"/>
    <w:rsid w:val="008F1BD6"/>
    <w:rsid w:val="008F1BE7"/>
    <w:rsid w:val="008F2822"/>
    <w:rsid w:val="008F31EF"/>
    <w:rsid w:val="008F4110"/>
    <w:rsid w:val="008F459E"/>
    <w:rsid w:val="008F4E7C"/>
    <w:rsid w:val="008F5C53"/>
    <w:rsid w:val="008F5CFE"/>
    <w:rsid w:val="008F6039"/>
    <w:rsid w:val="008F61D6"/>
    <w:rsid w:val="008F6758"/>
    <w:rsid w:val="008F7846"/>
    <w:rsid w:val="008F7CDA"/>
    <w:rsid w:val="008F7E6E"/>
    <w:rsid w:val="00900A81"/>
    <w:rsid w:val="00900AE2"/>
    <w:rsid w:val="0090112D"/>
    <w:rsid w:val="009036AD"/>
    <w:rsid w:val="009037C1"/>
    <w:rsid w:val="00903AED"/>
    <w:rsid w:val="00903CF4"/>
    <w:rsid w:val="00904057"/>
    <w:rsid w:val="00904345"/>
    <w:rsid w:val="009047F9"/>
    <w:rsid w:val="00904D14"/>
    <w:rsid w:val="0090550C"/>
    <w:rsid w:val="009058C2"/>
    <w:rsid w:val="00905C4A"/>
    <w:rsid w:val="00905D6A"/>
    <w:rsid w:val="00906237"/>
    <w:rsid w:val="00906F60"/>
    <w:rsid w:val="00907428"/>
    <w:rsid w:val="00907CFC"/>
    <w:rsid w:val="00910067"/>
    <w:rsid w:val="00910911"/>
    <w:rsid w:val="00910F48"/>
    <w:rsid w:val="00911103"/>
    <w:rsid w:val="00911BE0"/>
    <w:rsid w:val="00911D58"/>
    <w:rsid w:val="00912502"/>
    <w:rsid w:val="00913645"/>
    <w:rsid w:val="00914F00"/>
    <w:rsid w:val="0091524F"/>
    <w:rsid w:val="00915486"/>
    <w:rsid w:val="00915B32"/>
    <w:rsid w:val="009160E4"/>
    <w:rsid w:val="00916900"/>
    <w:rsid w:val="00916AAC"/>
    <w:rsid w:val="009173A0"/>
    <w:rsid w:val="00920CF1"/>
    <w:rsid w:val="00921B46"/>
    <w:rsid w:val="00921FB4"/>
    <w:rsid w:val="00922E01"/>
    <w:rsid w:val="00923590"/>
    <w:rsid w:val="00923B3D"/>
    <w:rsid w:val="0092450B"/>
    <w:rsid w:val="009245AD"/>
    <w:rsid w:val="009255B9"/>
    <w:rsid w:val="0092655F"/>
    <w:rsid w:val="00926DE3"/>
    <w:rsid w:val="00927F08"/>
    <w:rsid w:val="0093248F"/>
    <w:rsid w:val="00932702"/>
    <w:rsid w:val="00933564"/>
    <w:rsid w:val="0093426C"/>
    <w:rsid w:val="00934596"/>
    <w:rsid w:val="00934D75"/>
    <w:rsid w:val="00934EAE"/>
    <w:rsid w:val="009359E2"/>
    <w:rsid w:val="009407ED"/>
    <w:rsid w:val="009410E0"/>
    <w:rsid w:val="00941AE2"/>
    <w:rsid w:val="00942351"/>
    <w:rsid w:val="00942A0C"/>
    <w:rsid w:val="00942BAA"/>
    <w:rsid w:val="009437C5"/>
    <w:rsid w:val="00943861"/>
    <w:rsid w:val="00944D4A"/>
    <w:rsid w:val="0094618C"/>
    <w:rsid w:val="00946B3D"/>
    <w:rsid w:val="00947511"/>
    <w:rsid w:val="00947A59"/>
    <w:rsid w:val="00947F64"/>
    <w:rsid w:val="00950074"/>
    <w:rsid w:val="00950BB5"/>
    <w:rsid w:val="00952592"/>
    <w:rsid w:val="00952C49"/>
    <w:rsid w:val="00953253"/>
    <w:rsid w:val="0095353C"/>
    <w:rsid w:val="00953EDE"/>
    <w:rsid w:val="00955F94"/>
    <w:rsid w:val="00956025"/>
    <w:rsid w:val="009562C4"/>
    <w:rsid w:val="0095661F"/>
    <w:rsid w:val="00956659"/>
    <w:rsid w:val="009566A0"/>
    <w:rsid w:val="00956C6C"/>
    <w:rsid w:val="009574AF"/>
    <w:rsid w:val="009574BB"/>
    <w:rsid w:val="0096015A"/>
    <w:rsid w:val="009606E9"/>
    <w:rsid w:val="00960D77"/>
    <w:rsid w:val="009615C3"/>
    <w:rsid w:val="00962326"/>
    <w:rsid w:val="00962DD4"/>
    <w:rsid w:val="0096490C"/>
    <w:rsid w:val="00965D83"/>
    <w:rsid w:val="00965E22"/>
    <w:rsid w:val="00965FC5"/>
    <w:rsid w:val="00966573"/>
    <w:rsid w:val="00966E4C"/>
    <w:rsid w:val="00966EEF"/>
    <w:rsid w:val="0096763C"/>
    <w:rsid w:val="00967AE9"/>
    <w:rsid w:val="00967EA7"/>
    <w:rsid w:val="00971549"/>
    <w:rsid w:val="00971743"/>
    <w:rsid w:val="00971F5D"/>
    <w:rsid w:val="009720EA"/>
    <w:rsid w:val="00972581"/>
    <w:rsid w:val="0097266B"/>
    <w:rsid w:val="00972942"/>
    <w:rsid w:val="00972D71"/>
    <w:rsid w:val="009734E0"/>
    <w:rsid w:val="00973FBB"/>
    <w:rsid w:val="0097477D"/>
    <w:rsid w:val="009748BE"/>
    <w:rsid w:val="00974E89"/>
    <w:rsid w:val="00975ADD"/>
    <w:rsid w:val="00975E29"/>
    <w:rsid w:val="00975F23"/>
    <w:rsid w:val="00980B48"/>
    <w:rsid w:val="00980EEE"/>
    <w:rsid w:val="009811F1"/>
    <w:rsid w:val="009812E4"/>
    <w:rsid w:val="00981858"/>
    <w:rsid w:val="0098188B"/>
    <w:rsid w:val="009819A5"/>
    <w:rsid w:val="00981C08"/>
    <w:rsid w:val="00981C3C"/>
    <w:rsid w:val="009823D8"/>
    <w:rsid w:val="00982F7F"/>
    <w:rsid w:val="009831A0"/>
    <w:rsid w:val="00983758"/>
    <w:rsid w:val="00984015"/>
    <w:rsid w:val="00984586"/>
    <w:rsid w:val="0098588F"/>
    <w:rsid w:val="00985A7F"/>
    <w:rsid w:val="00987133"/>
    <w:rsid w:val="00987ED5"/>
    <w:rsid w:val="00990006"/>
    <w:rsid w:val="00991536"/>
    <w:rsid w:val="0099153B"/>
    <w:rsid w:val="00991B41"/>
    <w:rsid w:val="0099202D"/>
    <w:rsid w:val="0099271E"/>
    <w:rsid w:val="00992729"/>
    <w:rsid w:val="00993339"/>
    <w:rsid w:val="00993C32"/>
    <w:rsid w:val="00994671"/>
    <w:rsid w:val="009948B6"/>
    <w:rsid w:val="009956E5"/>
    <w:rsid w:val="00996549"/>
    <w:rsid w:val="009975F9"/>
    <w:rsid w:val="009A032A"/>
    <w:rsid w:val="009A0662"/>
    <w:rsid w:val="009A1BCB"/>
    <w:rsid w:val="009A229D"/>
    <w:rsid w:val="009A2A1F"/>
    <w:rsid w:val="009A3EA0"/>
    <w:rsid w:val="009A53A9"/>
    <w:rsid w:val="009A5831"/>
    <w:rsid w:val="009A59BF"/>
    <w:rsid w:val="009A60A0"/>
    <w:rsid w:val="009A6802"/>
    <w:rsid w:val="009A681C"/>
    <w:rsid w:val="009A6921"/>
    <w:rsid w:val="009A7283"/>
    <w:rsid w:val="009A7490"/>
    <w:rsid w:val="009B0137"/>
    <w:rsid w:val="009B09D9"/>
    <w:rsid w:val="009B0AF5"/>
    <w:rsid w:val="009B1598"/>
    <w:rsid w:val="009B2739"/>
    <w:rsid w:val="009B2C26"/>
    <w:rsid w:val="009B2E60"/>
    <w:rsid w:val="009B3FF1"/>
    <w:rsid w:val="009B4048"/>
    <w:rsid w:val="009B41E2"/>
    <w:rsid w:val="009B435A"/>
    <w:rsid w:val="009B560A"/>
    <w:rsid w:val="009B59A3"/>
    <w:rsid w:val="009B5FD8"/>
    <w:rsid w:val="009B6FE9"/>
    <w:rsid w:val="009C12D1"/>
    <w:rsid w:val="009C358A"/>
    <w:rsid w:val="009C3D05"/>
    <w:rsid w:val="009C4451"/>
    <w:rsid w:val="009C4681"/>
    <w:rsid w:val="009C49D6"/>
    <w:rsid w:val="009C4E1C"/>
    <w:rsid w:val="009C5027"/>
    <w:rsid w:val="009C5287"/>
    <w:rsid w:val="009C530D"/>
    <w:rsid w:val="009C58F3"/>
    <w:rsid w:val="009C69C9"/>
    <w:rsid w:val="009C6A20"/>
    <w:rsid w:val="009C7C14"/>
    <w:rsid w:val="009C7F4F"/>
    <w:rsid w:val="009D00C8"/>
    <w:rsid w:val="009D0B36"/>
    <w:rsid w:val="009D19A8"/>
    <w:rsid w:val="009D30C4"/>
    <w:rsid w:val="009D3557"/>
    <w:rsid w:val="009D3578"/>
    <w:rsid w:val="009D38BC"/>
    <w:rsid w:val="009D3E63"/>
    <w:rsid w:val="009D5E9D"/>
    <w:rsid w:val="009D5F28"/>
    <w:rsid w:val="009D66F1"/>
    <w:rsid w:val="009D74D8"/>
    <w:rsid w:val="009E13E2"/>
    <w:rsid w:val="009E14F5"/>
    <w:rsid w:val="009E1955"/>
    <w:rsid w:val="009E1A87"/>
    <w:rsid w:val="009E1F72"/>
    <w:rsid w:val="009E25C7"/>
    <w:rsid w:val="009E3312"/>
    <w:rsid w:val="009E35CF"/>
    <w:rsid w:val="009E3C3F"/>
    <w:rsid w:val="009E424F"/>
    <w:rsid w:val="009E464E"/>
    <w:rsid w:val="009E5B4C"/>
    <w:rsid w:val="009E662A"/>
    <w:rsid w:val="009E669B"/>
    <w:rsid w:val="009E6A66"/>
    <w:rsid w:val="009E6CE2"/>
    <w:rsid w:val="009E6F42"/>
    <w:rsid w:val="009E7AF8"/>
    <w:rsid w:val="009F015B"/>
    <w:rsid w:val="009F01AA"/>
    <w:rsid w:val="009F0FED"/>
    <w:rsid w:val="009F2270"/>
    <w:rsid w:val="009F3FB1"/>
    <w:rsid w:val="009F453B"/>
    <w:rsid w:val="009F4F8A"/>
    <w:rsid w:val="009F5308"/>
    <w:rsid w:val="009F64F4"/>
    <w:rsid w:val="009F6F77"/>
    <w:rsid w:val="009F75A4"/>
    <w:rsid w:val="009F76AD"/>
    <w:rsid w:val="00A0018F"/>
    <w:rsid w:val="00A0033C"/>
    <w:rsid w:val="00A01065"/>
    <w:rsid w:val="00A01C89"/>
    <w:rsid w:val="00A01D65"/>
    <w:rsid w:val="00A02724"/>
    <w:rsid w:val="00A02C54"/>
    <w:rsid w:val="00A03E05"/>
    <w:rsid w:val="00A03F45"/>
    <w:rsid w:val="00A052EF"/>
    <w:rsid w:val="00A05654"/>
    <w:rsid w:val="00A06A7D"/>
    <w:rsid w:val="00A07AB6"/>
    <w:rsid w:val="00A10059"/>
    <w:rsid w:val="00A10380"/>
    <w:rsid w:val="00A103E8"/>
    <w:rsid w:val="00A10962"/>
    <w:rsid w:val="00A116BD"/>
    <w:rsid w:val="00A11C12"/>
    <w:rsid w:val="00A12165"/>
    <w:rsid w:val="00A1280E"/>
    <w:rsid w:val="00A13B10"/>
    <w:rsid w:val="00A13D0D"/>
    <w:rsid w:val="00A14782"/>
    <w:rsid w:val="00A14D52"/>
    <w:rsid w:val="00A155CB"/>
    <w:rsid w:val="00A1572B"/>
    <w:rsid w:val="00A1622C"/>
    <w:rsid w:val="00A1637A"/>
    <w:rsid w:val="00A1639E"/>
    <w:rsid w:val="00A168CB"/>
    <w:rsid w:val="00A16ABE"/>
    <w:rsid w:val="00A1760A"/>
    <w:rsid w:val="00A2091B"/>
    <w:rsid w:val="00A2125C"/>
    <w:rsid w:val="00A21B28"/>
    <w:rsid w:val="00A21DE3"/>
    <w:rsid w:val="00A22F31"/>
    <w:rsid w:val="00A231A2"/>
    <w:rsid w:val="00A235D5"/>
    <w:rsid w:val="00A2404E"/>
    <w:rsid w:val="00A24DD9"/>
    <w:rsid w:val="00A24DDE"/>
    <w:rsid w:val="00A24F4F"/>
    <w:rsid w:val="00A257A9"/>
    <w:rsid w:val="00A258CE"/>
    <w:rsid w:val="00A259A3"/>
    <w:rsid w:val="00A263F9"/>
    <w:rsid w:val="00A27DF8"/>
    <w:rsid w:val="00A30CD9"/>
    <w:rsid w:val="00A314B8"/>
    <w:rsid w:val="00A31CAB"/>
    <w:rsid w:val="00A31DEE"/>
    <w:rsid w:val="00A32305"/>
    <w:rsid w:val="00A32BBC"/>
    <w:rsid w:val="00A32C16"/>
    <w:rsid w:val="00A32F82"/>
    <w:rsid w:val="00A33674"/>
    <w:rsid w:val="00A33C5C"/>
    <w:rsid w:val="00A34C42"/>
    <w:rsid w:val="00A35479"/>
    <w:rsid w:val="00A35A82"/>
    <w:rsid w:val="00A35BA5"/>
    <w:rsid w:val="00A36162"/>
    <w:rsid w:val="00A36326"/>
    <w:rsid w:val="00A36AE7"/>
    <w:rsid w:val="00A376E6"/>
    <w:rsid w:val="00A37F22"/>
    <w:rsid w:val="00A40067"/>
    <w:rsid w:val="00A41288"/>
    <w:rsid w:val="00A41410"/>
    <w:rsid w:val="00A41463"/>
    <w:rsid w:val="00A415C5"/>
    <w:rsid w:val="00A426DB"/>
    <w:rsid w:val="00A4306E"/>
    <w:rsid w:val="00A4388D"/>
    <w:rsid w:val="00A43AE7"/>
    <w:rsid w:val="00A44C9A"/>
    <w:rsid w:val="00A44E3E"/>
    <w:rsid w:val="00A44EE2"/>
    <w:rsid w:val="00A44F40"/>
    <w:rsid w:val="00A45301"/>
    <w:rsid w:val="00A45981"/>
    <w:rsid w:val="00A46433"/>
    <w:rsid w:val="00A46498"/>
    <w:rsid w:val="00A4676D"/>
    <w:rsid w:val="00A46CFC"/>
    <w:rsid w:val="00A47FD5"/>
    <w:rsid w:val="00A5047A"/>
    <w:rsid w:val="00A50996"/>
    <w:rsid w:val="00A50E1A"/>
    <w:rsid w:val="00A51FF1"/>
    <w:rsid w:val="00A52FEB"/>
    <w:rsid w:val="00A539B2"/>
    <w:rsid w:val="00A53ACF"/>
    <w:rsid w:val="00A54571"/>
    <w:rsid w:val="00A54773"/>
    <w:rsid w:val="00A55E17"/>
    <w:rsid w:val="00A5669D"/>
    <w:rsid w:val="00A56CC7"/>
    <w:rsid w:val="00A602E4"/>
    <w:rsid w:val="00A6066D"/>
    <w:rsid w:val="00A60821"/>
    <w:rsid w:val="00A61D37"/>
    <w:rsid w:val="00A62029"/>
    <w:rsid w:val="00A62913"/>
    <w:rsid w:val="00A63B57"/>
    <w:rsid w:val="00A65B41"/>
    <w:rsid w:val="00A65DEA"/>
    <w:rsid w:val="00A67848"/>
    <w:rsid w:val="00A707D6"/>
    <w:rsid w:val="00A72E41"/>
    <w:rsid w:val="00A73708"/>
    <w:rsid w:val="00A7380D"/>
    <w:rsid w:val="00A74AA9"/>
    <w:rsid w:val="00A750FE"/>
    <w:rsid w:val="00A752CE"/>
    <w:rsid w:val="00A75D5D"/>
    <w:rsid w:val="00A7680D"/>
    <w:rsid w:val="00A768CE"/>
    <w:rsid w:val="00A76912"/>
    <w:rsid w:val="00A76C4E"/>
    <w:rsid w:val="00A76FFB"/>
    <w:rsid w:val="00A77273"/>
    <w:rsid w:val="00A809C7"/>
    <w:rsid w:val="00A80C76"/>
    <w:rsid w:val="00A814B7"/>
    <w:rsid w:val="00A81549"/>
    <w:rsid w:val="00A81926"/>
    <w:rsid w:val="00A825F4"/>
    <w:rsid w:val="00A8319F"/>
    <w:rsid w:val="00A83630"/>
    <w:rsid w:val="00A83869"/>
    <w:rsid w:val="00A83D4B"/>
    <w:rsid w:val="00A842BF"/>
    <w:rsid w:val="00A847F7"/>
    <w:rsid w:val="00A84908"/>
    <w:rsid w:val="00A84A4E"/>
    <w:rsid w:val="00A87915"/>
    <w:rsid w:val="00A9026C"/>
    <w:rsid w:val="00A909E0"/>
    <w:rsid w:val="00A90CE1"/>
    <w:rsid w:val="00A916FA"/>
    <w:rsid w:val="00A91B3F"/>
    <w:rsid w:val="00A922FC"/>
    <w:rsid w:val="00A924F1"/>
    <w:rsid w:val="00A931C3"/>
    <w:rsid w:val="00A935CF"/>
    <w:rsid w:val="00A937DC"/>
    <w:rsid w:val="00A952A7"/>
    <w:rsid w:val="00A960FD"/>
    <w:rsid w:val="00A9646D"/>
    <w:rsid w:val="00A965EF"/>
    <w:rsid w:val="00AA0718"/>
    <w:rsid w:val="00AA0F13"/>
    <w:rsid w:val="00AA1156"/>
    <w:rsid w:val="00AA1715"/>
    <w:rsid w:val="00AA1C8C"/>
    <w:rsid w:val="00AA28CB"/>
    <w:rsid w:val="00AA29C5"/>
    <w:rsid w:val="00AA3276"/>
    <w:rsid w:val="00AA3FD3"/>
    <w:rsid w:val="00AA45D1"/>
    <w:rsid w:val="00AA47C0"/>
    <w:rsid w:val="00AA4AD1"/>
    <w:rsid w:val="00AA4B00"/>
    <w:rsid w:val="00AA50DA"/>
    <w:rsid w:val="00AA5119"/>
    <w:rsid w:val="00AA5419"/>
    <w:rsid w:val="00AA6792"/>
    <w:rsid w:val="00AA73CA"/>
    <w:rsid w:val="00AA759C"/>
    <w:rsid w:val="00AA767B"/>
    <w:rsid w:val="00AA77B1"/>
    <w:rsid w:val="00AB07BD"/>
    <w:rsid w:val="00AB0D68"/>
    <w:rsid w:val="00AB0FFD"/>
    <w:rsid w:val="00AB1FE8"/>
    <w:rsid w:val="00AB221E"/>
    <w:rsid w:val="00AB22BE"/>
    <w:rsid w:val="00AB2FB9"/>
    <w:rsid w:val="00AB486F"/>
    <w:rsid w:val="00AB5E11"/>
    <w:rsid w:val="00AB6047"/>
    <w:rsid w:val="00AB6365"/>
    <w:rsid w:val="00AB685B"/>
    <w:rsid w:val="00AB7369"/>
    <w:rsid w:val="00AC01AD"/>
    <w:rsid w:val="00AC09D8"/>
    <w:rsid w:val="00AC0EF7"/>
    <w:rsid w:val="00AC1219"/>
    <w:rsid w:val="00AC14FE"/>
    <w:rsid w:val="00AC1AE6"/>
    <w:rsid w:val="00AC2D1C"/>
    <w:rsid w:val="00AC3884"/>
    <w:rsid w:val="00AC3DA6"/>
    <w:rsid w:val="00AC3EB5"/>
    <w:rsid w:val="00AC41A2"/>
    <w:rsid w:val="00AC4564"/>
    <w:rsid w:val="00AC4845"/>
    <w:rsid w:val="00AC4C71"/>
    <w:rsid w:val="00AC4DED"/>
    <w:rsid w:val="00AC53DE"/>
    <w:rsid w:val="00AC6D26"/>
    <w:rsid w:val="00AC7372"/>
    <w:rsid w:val="00AC749E"/>
    <w:rsid w:val="00AD1324"/>
    <w:rsid w:val="00AD1B9B"/>
    <w:rsid w:val="00AD22E6"/>
    <w:rsid w:val="00AD243D"/>
    <w:rsid w:val="00AD29C4"/>
    <w:rsid w:val="00AD2CED"/>
    <w:rsid w:val="00AD2F3E"/>
    <w:rsid w:val="00AD31D5"/>
    <w:rsid w:val="00AD3AB8"/>
    <w:rsid w:val="00AD3BFB"/>
    <w:rsid w:val="00AD403B"/>
    <w:rsid w:val="00AD418C"/>
    <w:rsid w:val="00AD4F12"/>
    <w:rsid w:val="00AD629E"/>
    <w:rsid w:val="00AD63A5"/>
    <w:rsid w:val="00AD66D5"/>
    <w:rsid w:val="00AD79CE"/>
    <w:rsid w:val="00AD7F16"/>
    <w:rsid w:val="00AE0659"/>
    <w:rsid w:val="00AE0843"/>
    <w:rsid w:val="00AE0B7F"/>
    <w:rsid w:val="00AE0FCC"/>
    <w:rsid w:val="00AE11A8"/>
    <w:rsid w:val="00AE1A8E"/>
    <w:rsid w:val="00AE2B5C"/>
    <w:rsid w:val="00AE47DA"/>
    <w:rsid w:val="00AE4D10"/>
    <w:rsid w:val="00AE4E53"/>
    <w:rsid w:val="00AE5769"/>
    <w:rsid w:val="00AE64EB"/>
    <w:rsid w:val="00AE6EA9"/>
    <w:rsid w:val="00AE7DC8"/>
    <w:rsid w:val="00AF0252"/>
    <w:rsid w:val="00AF027B"/>
    <w:rsid w:val="00AF0DFD"/>
    <w:rsid w:val="00AF1935"/>
    <w:rsid w:val="00AF1B2F"/>
    <w:rsid w:val="00AF26B7"/>
    <w:rsid w:val="00AF2D50"/>
    <w:rsid w:val="00AF3FA6"/>
    <w:rsid w:val="00AF4C5B"/>
    <w:rsid w:val="00AF4CA4"/>
    <w:rsid w:val="00AF4D68"/>
    <w:rsid w:val="00AF54F7"/>
    <w:rsid w:val="00AF577B"/>
    <w:rsid w:val="00AF65AC"/>
    <w:rsid w:val="00AF681D"/>
    <w:rsid w:val="00AF7058"/>
    <w:rsid w:val="00AF79A7"/>
    <w:rsid w:val="00AF7AB5"/>
    <w:rsid w:val="00B004F9"/>
    <w:rsid w:val="00B0054C"/>
    <w:rsid w:val="00B005F1"/>
    <w:rsid w:val="00B0155C"/>
    <w:rsid w:val="00B01739"/>
    <w:rsid w:val="00B01AE9"/>
    <w:rsid w:val="00B03585"/>
    <w:rsid w:val="00B0369F"/>
    <w:rsid w:val="00B03EF5"/>
    <w:rsid w:val="00B04D69"/>
    <w:rsid w:val="00B060B1"/>
    <w:rsid w:val="00B0756B"/>
    <w:rsid w:val="00B079B6"/>
    <w:rsid w:val="00B07EB9"/>
    <w:rsid w:val="00B07F9E"/>
    <w:rsid w:val="00B10026"/>
    <w:rsid w:val="00B10B63"/>
    <w:rsid w:val="00B10E28"/>
    <w:rsid w:val="00B10FDE"/>
    <w:rsid w:val="00B13564"/>
    <w:rsid w:val="00B136F0"/>
    <w:rsid w:val="00B13772"/>
    <w:rsid w:val="00B13D8E"/>
    <w:rsid w:val="00B14E23"/>
    <w:rsid w:val="00B14F28"/>
    <w:rsid w:val="00B157DE"/>
    <w:rsid w:val="00B15AE4"/>
    <w:rsid w:val="00B15C08"/>
    <w:rsid w:val="00B15D7C"/>
    <w:rsid w:val="00B1635D"/>
    <w:rsid w:val="00B17705"/>
    <w:rsid w:val="00B17749"/>
    <w:rsid w:val="00B1797E"/>
    <w:rsid w:val="00B20F1A"/>
    <w:rsid w:val="00B2103A"/>
    <w:rsid w:val="00B224BC"/>
    <w:rsid w:val="00B229DB"/>
    <w:rsid w:val="00B22C80"/>
    <w:rsid w:val="00B23B76"/>
    <w:rsid w:val="00B24040"/>
    <w:rsid w:val="00B2417B"/>
    <w:rsid w:val="00B24AA0"/>
    <w:rsid w:val="00B2540D"/>
    <w:rsid w:val="00B27125"/>
    <w:rsid w:val="00B272DB"/>
    <w:rsid w:val="00B2736C"/>
    <w:rsid w:val="00B3050F"/>
    <w:rsid w:val="00B3075B"/>
    <w:rsid w:val="00B3081E"/>
    <w:rsid w:val="00B3109C"/>
    <w:rsid w:val="00B322CC"/>
    <w:rsid w:val="00B32540"/>
    <w:rsid w:val="00B33DE4"/>
    <w:rsid w:val="00B346C7"/>
    <w:rsid w:val="00B35721"/>
    <w:rsid w:val="00B35AC5"/>
    <w:rsid w:val="00B37019"/>
    <w:rsid w:val="00B374FF"/>
    <w:rsid w:val="00B4040D"/>
    <w:rsid w:val="00B415BD"/>
    <w:rsid w:val="00B418B2"/>
    <w:rsid w:val="00B420B6"/>
    <w:rsid w:val="00B4223A"/>
    <w:rsid w:val="00B422D7"/>
    <w:rsid w:val="00B430F1"/>
    <w:rsid w:val="00B438C1"/>
    <w:rsid w:val="00B44000"/>
    <w:rsid w:val="00B443C4"/>
    <w:rsid w:val="00B447D8"/>
    <w:rsid w:val="00B44D94"/>
    <w:rsid w:val="00B44EA0"/>
    <w:rsid w:val="00B472E8"/>
    <w:rsid w:val="00B500E3"/>
    <w:rsid w:val="00B50B0E"/>
    <w:rsid w:val="00B50B24"/>
    <w:rsid w:val="00B50C2F"/>
    <w:rsid w:val="00B50FF2"/>
    <w:rsid w:val="00B519E6"/>
    <w:rsid w:val="00B52A74"/>
    <w:rsid w:val="00B531A1"/>
    <w:rsid w:val="00B53939"/>
    <w:rsid w:val="00B5396E"/>
    <w:rsid w:val="00B53D64"/>
    <w:rsid w:val="00B54EFA"/>
    <w:rsid w:val="00B55632"/>
    <w:rsid w:val="00B5691D"/>
    <w:rsid w:val="00B56B74"/>
    <w:rsid w:val="00B571C8"/>
    <w:rsid w:val="00B6015C"/>
    <w:rsid w:val="00B6090E"/>
    <w:rsid w:val="00B625E8"/>
    <w:rsid w:val="00B63BF4"/>
    <w:rsid w:val="00B642C0"/>
    <w:rsid w:val="00B648DA"/>
    <w:rsid w:val="00B64AFE"/>
    <w:rsid w:val="00B65014"/>
    <w:rsid w:val="00B658F8"/>
    <w:rsid w:val="00B65A3B"/>
    <w:rsid w:val="00B661D8"/>
    <w:rsid w:val="00B6656F"/>
    <w:rsid w:val="00B67B44"/>
    <w:rsid w:val="00B7036D"/>
    <w:rsid w:val="00B714C0"/>
    <w:rsid w:val="00B715D0"/>
    <w:rsid w:val="00B7249E"/>
    <w:rsid w:val="00B725D0"/>
    <w:rsid w:val="00B72EB7"/>
    <w:rsid w:val="00B73491"/>
    <w:rsid w:val="00B735D5"/>
    <w:rsid w:val="00B7414B"/>
    <w:rsid w:val="00B74A6C"/>
    <w:rsid w:val="00B74EBD"/>
    <w:rsid w:val="00B75506"/>
    <w:rsid w:val="00B758E9"/>
    <w:rsid w:val="00B76889"/>
    <w:rsid w:val="00B76FE0"/>
    <w:rsid w:val="00B7718B"/>
    <w:rsid w:val="00B771EA"/>
    <w:rsid w:val="00B800C2"/>
    <w:rsid w:val="00B8025A"/>
    <w:rsid w:val="00B805B7"/>
    <w:rsid w:val="00B8089D"/>
    <w:rsid w:val="00B80AE9"/>
    <w:rsid w:val="00B81851"/>
    <w:rsid w:val="00B818E9"/>
    <w:rsid w:val="00B82926"/>
    <w:rsid w:val="00B82FDC"/>
    <w:rsid w:val="00B836A7"/>
    <w:rsid w:val="00B83FDC"/>
    <w:rsid w:val="00B84651"/>
    <w:rsid w:val="00B8544D"/>
    <w:rsid w:val="00B85576"/>
    <w:rsid w:val="00B85B86"/>
    <w:rsid w:val="00B8624D"/>
    <w:rsid w:val="00B8684C"/>
    <w:rsid w:val="00B86B5B"/>
    <w:rsid w:val="00B86D5B"/>
    <w:rsid w:val="00B86F0F"/>
    <w:rsid w:val="00B87D66"/>
    <w:rsid w:val="00B91067"/>
    <w:rsid w:val="00B9119D"/>
    <w:rsid w:val="00B92C7C"/>
    <w:rsid w:val="00B92F3B"/>
    <w:rsid w:val="00B93AD9"/>
    <w:rsid w:val="00B93DC8"/>
    <w:rsid w:val="00B94617"/>
    <w:rsid w:val="00B95457"/>
    <w:rsid w:val="00B95D99"/>
    <w:rsid w:val="00B96588"/>
    <w:rsid w:val="00B96733"/>
    <w:rsid w:val="00B96E11"/>
    <w:rsid w:val="00B97EC8"/>
    <w:rsid w:val="00BA0031"/>
    <w:rsid w:val="00BA0DB9"/>
    <w:rsid w:val="00BA0FF8"/>
    <w:rsid w:val="00BA1220"/>
    <w:rsid w:val="00BA143B"/>
    <w:rsid w:val="00BA15B5"/>
    <w:rsid w:val="00BA1F0D"/>
    <w:rsid w:val="00BA2849"/>
    <w:rsid w:val="00BA2FCA"/>
    <w:rsid w:val="00BA40AB"/>
    <w:rsid w:val="00BA4DF3"/>
    <w:rsid w:val="00BA500E"/>
    <w:rsid w:val="00BA52A9"/>
    <w:rsid w:val="00BA5323"/>
    <w:rsid w:val="00BA5A4C"/>
    <w:rsid w:val="00BA5F3B"/>
    <w:rsid w:val="00BA6574"/>
    <w:rsid w:val="00BA695A"/>
    <w:rsid w:val="00BA6E5E"/>
    <w:rsid w:val="00BA7681"/>
    <w:rsid w:val="00BB1484"/>
    <w:rsid w:val="00BB4DFB"/>
    <w:rsid w:val="00BB54EF"/>
    <w:rsid w:val="00BB5545"/>
    <w:rsid w:val="00BB58E2"/>
    <w:rsid w:val="00BB5D19"/>
    <w:rsid w:val="00BB63A6"/>
    <w:rsid w:val="00BB6A5D"/>
    <w:rsid w:val="00BB6CFF"/>
    <w:rsid w:val="00BC1D87"/>
    <w:rsid w:val="00BC2D66"/>
    <w:rsid w:val="00BC3278"/>
    <w:rsid w:val="00BC3677"/>
    <w:rsid w:val="00BC37AB"/>
    <w:rsid w:val="00BC37C2"/>
    <w:rsid w:val="00BC3962"/>
    <w:rsid w:val="00BC4892"/>
    <w:rsid w:val="00BC4B27"/>
    <w:rsid w:val="00BC4D55"/>
    <w:rsid w:val="00BC60BB"/>
    <w:rsid w:val="00BC638F"/>
    <w:rsid w:val="00BC63E9"/>
    <w:rsid w:val="00BC6E4A"/>
    <w:rsid w:val="00BC78B7"/>
    <w:rsid w:val="00BC7976"/>
    <w:rsid w:val="00BC7B93"/>
    <w:rsid w:val="00BD003C"/>
    <w:rsid w:val="00BD05E4"/>
    <w:rsid w:val="00BD0ED6"/>
    <w:rsid w:val="00BD141B"/>
    <w:rsid w:val="00BD2674"/>
    <w:rsid w:val="00BD2E97"/>
    <w:rsid w:val="00BD41A5"/>
    <w:rsid w:val="00BD4DB9"/>
    <w:rsid w:val="00BD501C"/>
    <w:rsid w:val="00BD53E3"/>
    <w:rsid w:val="00BD666F"/>
    <w:rsid w:val="00BD6898"/>
    <w:rsid w:val="00BD6AA0"/>
    <w:rsid w:val="00BD6C66"/>
    <w:rsid w:val="00BD710C"/>
    <w:rsid w:val="00BD7367"/>
    <w:rsid w:val="00BD774B"/>
    <w:rsid w:val="00BD7D94"/>
    <w:rsid w:val="00BD7E28"/>
    <w:rsid w:val="00BE1600"/>
    <w:rsid w:val="00BE1C17"/>
    <w:rsid w:val="00BE2C26"/>
    <w:rsid w:val="00BE3E71"/>
    <w:rsid w:val="00BE4971"/>
    <w:rsid w:val="00BE4B67"/>
    <w:rsid w:val="00BE5201"/>
    <w:rsid w:val="00BE5561"/>
    <w:rsid w:val="00BF03C0"/>
    <w:rsid w:val="00BF04F3"/>
    <w:rsid w:val="00BF167A"/>
    <w:rsid w:val="00BF1ECF"/>
    <w:rsid w:val="00BF1F1C"/>
    <w:rsid w:val="00BF2072"/>
    <w:rsid w:val="00BF217B"/>
    <w:rsid w:val="00BF228F"/>
    <w:rsid w:val="00BF356E"/>
    <w:rsid w:val="00BF46F5"/>
    <w:rsid w:val="00BF4F89"/>
    <w:rsid w:val="00BF5A42"/>
    <w:rsid w:val="00BF5CEB"/>
    <w:rsid w:val="00BF5DAC"/>
    <w:rsid w:val="00BF6E4B"/>
    <w:rsid w:val="00C00117"/>
    <w:rsid w:val="00C006F9"/>
    <w:rsid w:val="00C00DFB"/>
    <w:rsid w:val="00C00FAB"/>
    <w:rsid w:val="00C010D6"/>
    <w:rsid w:val="00C02744"/>
    <w:rsid w:val="00C02A83"/>
    <w:rsid w:val="00C0378B"/>
    <w:rsid w:val="00C037A1"/>
    <w:rsid w:val="00C03C48"/>
    <w:rsid w:val="00C03D85"/>
    <w:rsid w:val="00C049FF"/>
    <w:rsid w:val="00C04A78"/>
    <w:rsid w:val="00C04DEB"/>
    <w:rsid w:val="00C05120"/>
    <w:rsid w:val="00C055CF"/>
    <w:rsid w:val="00C05A58"/>
    <w:rsid w:val="00C06E4A"/>
    <w:rsid w:val="00C06EF6"/>
    <w:rsid w:val="00C076BF"/>
    <w:rsid w:val="00C10573"/>
    <w:rsid w:val="00C108E8"/>
    <w:rsid w:val="00C10EC0"/>
    <w:rsid w:val="00C111E7"/>
    <w:rsid w:val="00C118B1"/>
    <w:rsid w:val="00C124FB"/>
    <w:rsid w:val="00C135D4"/>
    <w:rsid w:val="00C1360F"/>
    <w:rsid w:val="00C13FD1"/>
    <w:rsid w:val="00C143B8"/>
    <w:rsid w:val="00C15066"/>
    <w:rsid w:val="00C154AA"/>
    <w:rsid w:val="00C159F8"/>
    <w:rsid w:val="00C17843"/>
    <w:rsid w:val="00C17C92"/>
    <w:rsid w:val="00C20527"/>
    <w:rsid w:val="00C20818"/>
    <w:rsid w:val="00C209B1"/>
    <w:rsid w:val="00C21BE1"/>
    <w:rsid w:val="00C21BE6"/>
    <w:rsid w:val="00C24073"/>
    <w:rsid w:val="00C24428"/>
    <w:rsid w:val="00C2689B"/>
    <w:rsid w:val="00C26F79"/>
    <w:rsid w:val="00C27DED"/>
    <w:rsid w:val="00C27E85"/>
    <w:rsid w:val="00C302D4"/>
    <w:rsid w:val="00C30BD1"/>
    <w:rsid w:val="00C3106D"/>
    <w:rsid w:val="00C313CB"/>
    <w:rsid w:val="00C3169A"/>
    <w:rsid w:val="00C31A7F"/>
    <w:rsid w:val="00C31BA6"/>
    <w:rsid w:val="00C323C0"/>
    <w:rsid w:val="00C32624"/>
    <w:rsid w:val="00C326E1"/>
    <w:rsid w:val="00C3347F"/>
    <w:rsid w:val="00C33811"/>
    <w:rsid w:val="00C33D49"/>
    <w:rsid w:val="00C33EE9"/>
    <w:rsid w:val="00C345A6"/>
    <w:rsid w:val="00C347C7"/>
    <w:rsid w:val="00C348A7"/>
    <w:rsid w:val="00C358D7"/>
    <w:rsid w:val="00C361D9"/>
    <w:rsid w:val="00C36701"/>
    <w:rsid w:val="00C36E62"/>
    <w:rsid w:val="00C37B1B"/>
    <w:rsid w:val="00C37DA1"/>
    <w:rsid w:val="00C37E1F"/>
    <w:rsid w:val="00C406A7"/>
    <w:rsid w:val="00C4083C"/>
    <w:rsid w:val="00C4085A"/>
    <w:rsid w:val="00C40CDD"/>
    <w:rsid w:val="00C40FA9"/>
    <w:rsid w:val="00C41F0D"/>
    <w:rsid w:val="00C42081"/>
    <w:rsid w:val="00C42D37"/>
    <w:rsid w:val="00C4302D"/>
    <w:rsid w:val="00C435B7"/>
    <w:rsid w:val="00C43B42"/>
    <w:rsid w:val="00C44DD6"/>
    <w:rsid w:val="00C45108"/>
    <w:rsid w:val="00C46703"/>
    <w:rsid w:val="00C4677A"/>
    <w:rsid w:val="00C471D0"/>
    <w:rsid w:val="00C477E0"/>
    <w:rsid w:val="00C47C4E"/>
    <w:rsid w:val="00C50BF5"/>
    <w:rsid w:val="00C50DD6"/>
    <w:rsid w:val="00C51600"/>
    <w:rsid w:val="00C53E4A"/>
    <w:rsid w:val="00C54937"/>
    <w:rsid w:val="00C550F5"/>
    <w:rsid w:val="00C556BA"/>
    <w:rsid w:val="00C5667F"/>
    <w:rsid w:val="00C5693F"/>
    <w:rsid w:val="00C56AE9"/>
    <w:rsid w:val="00C57913"/>
    <w:rsid w:val="00C57B7C"/>
    <w:rsid w:val="00C60465"/>
    <w:rsid w:val="00C60476"/>
    <w:rsid w:val="00C6047C"/>
    <w:rsid w:val="00C604F8"/>
    <w:rsid w:val="00C60D83"/>
    <w:rsid w:val="00C6147A"/>
    <w:rsid w:val="00C61C66"/>
    <w:rsid w:val="00C61DAD"/>
    <w:rsid w:val="00C62487"/>
    <w:rsid w:val="00C62556"/>
    <w:rsid w:val="00C63232"/>
    <w:rsid w:val="00C63667"/>
    <w:rsid w:val="00C63FEB"/>
    <w:rsid w:val="00C645C3"/>
    <w:rsid w:val="00C646BA"/>
    <w:rsid w:val="00C64B39"/>
    <w:rsid w:val="00C650C6"/>
    <w:rsid w:val="00C6577C"/>
    <w:rsid w:val="00C65A22"/>
    <w:rsid w:val="00C65DBE"/>
    <w:rsid w:val="00C66063"/>
    <w:rsid w:val="00C66D20"/>
    <w:rsid w:val="00C66E0F"/>
    <w:rsid w:val="00C67332"/>
    <w:rsid w:val="00C675F3"/>
    <w:rsid w:val="00C676A6"/>
    <w:rsid w:val="00C70242"/>
    <w:rsid w:val="00C705A0"/>
    <w:rsid w:val="00C708D4"/>
    <w:rsid w:val="00C70B47"/>
    <w:rsid w:val="00C71060"/>
    <w:rsid w:val="00C7119C"/>
    <w:rsid w:val="00C720FC"/>
    <w:rsid w:val="00C72D7A"/>
    <w:rsid w:val="00C72F4B"/>
    <w:rsid w:val="00C73E13"/>
    <w:rsid w:val="00C741B5"/>
    <w:rsid w:val="00C750DB"/>
    <w:rsid w:val="00C759E4"/>
    <w:rsid w:val="00C7690F"/>
    <w:rsid w:val="00C80432"/>
    <w:rsid w:val="00C80823"/>
    <w:rsid w:val="00C8196C"/>
    <w:rsid w:val="00C81C23"/>
    <w:rsid w:val="00C81EDB"/>
    <w:rsid w:val="00C8204D"/>
    <w:rsid w:val="00C8541F"/>
    <w:rsid w:val="00C8580E"/>
    <w:rsid w:val="00C862C2"/>
    <w:rsid w:val="00C862FC"/>
    <w:rsid w:val="00C8632E"/>
    <w:rsid w:val="00C86F6F"/>
    <w:rsid w:val="00C87576"/>
    <w:rsid w:val="00C90E70"/>
    <w:rsid w:val="00C91AD0"/>
    <w:rsid w:val="00C91B62"/>
    <w:rsid w:val="00C92F5F"/>
    <w:rsid w:val="00C93BD1"/>
    <w:rsid w:val="00C93EF0"/>
    <w:rsid w:val="00C93F3F"/>
    <w:rsid w:val="00C94525"/>
    <w:rsid w:val="00C94ED2"/>
    <w:rsid w:val="00C95AE6"/>
    <w:rsid w:val="00C9608C"/>
    <w:rsid w:val="00C963C4"/>
    <w:rsid w:val="00C973E4"/>
    <w:rsid w:val="00C97B65"/>
    <w:rsid w:val="00CA0736"/>
    <w:rsid w:val="00CA0FB4"/>
    <w:rsid w:val="00CA1780"/>
    <w:rsid w:val="00CA1F86"/>
    <w:rsid w:val="00CA23FF"/>
    <w:rsid w:val="00CA2952"/>
    <w:rsid w:val="00CA3008"/>
    <w:rsid w:val="00CA3285"/>
    <w:rsid w:val="00CA3639"/>
    <w:rsid w:val="00CA399B"/>
    <w:rsid w:val="00CA52EC"/>
    <w:rsid w:val="00CA53BD"/>
    <w:rsid w:val="00CA5D6B"/>
    <w:rsid w:val="00CA6708"/>
    <w:rsid w:val="00CA7657"/>
    <w:rsid w:val="00CA7D9A"/>
    <w:rsid w:val="00CB0520"/>
    <w:rsid w:val="00CB14F5"/>
    <w:rsid w:val="00CB17D0"/>
    <w:rsid w:val="00CB25CB"/>
    <w:rsid w:val="00CB2CA9"/>
    <w:rsid w:val="00CB31D9"/>
    <w:rsid w:val="00CB39E3"/>
    <w:rsid w:val="00CB3B41"/>
    <w:rsid w:val="00CB4E0F"/>
    <w:rsid w:val="00CB4FEC"/>
    <w:rsid w:val="00CB510A"/>
    <w:rsid w:val="00CB6430"/>
    <w:rsid w:val="00CB6937"/>
    <w:rsid w:val="00CB7AB5"/>
    <w:rsid w:val="00CB7DCC"/>
    <w:rsid w:val="00CC0941"/>
    <w:rsid w:val="00CC28D4"/>
    <w:rsid w:val="00CC2C53"/>
    <w:rsid w:val="00CC30FE"/>
    <w:rsid w:val="00CC356D"/>
    <w:rsid w:val="00CC49FB"/>
    <w:rsid w:val="00CC4ABE"/>
    <w:rsid w:val="00CC4D12"/>
    <w:rsid w:val="00CC5226"/>
    <w:rsid w:val="00CC5AC7"/>
    <w:rsid w:val="00CC65A4"/>
    <w:rsid w:val="00CC6DA0"/>
    <w:rsid w:val="00CC6FDE"/>
    <w:rsid w:val="00CC72EC"/>
    <w:rsid w:val="00CC7449"/>
    <w:rsid w:val="00CD0B99"/>
    <w:rsid w:val="00CD1215"/>
    <w:rsid w:val="00CD1323"/>
    <w:rsid w:val="00CD1407"/>
    <w:rsid w:val="00CD2309"/>
    <w:rsid w:val="00CD2E5C"/>
    <w:rsid w:val="00CD3413"/>
    <w:rsid w:val="00CD35DA"/>
    <w:rsid w:val="00CD412F"/>
    <w:rsid w:val="00CD5C44"/>
    <w:rsid w:val="00CD6375"/>
    <w:rsid w:val="00CD6CA7"/>
    <w:rsid w:val="00CD6F6C"/>
    <w:rsid w:val="00CD7AAE"/>
    <w:rsid w:val="00CD7F47"/>
    <w:rsid w:val="00CE0A5D"/>
    <w:rsid w:val="00CE1127"/>
    <w:rsid w:val="00CE1159"/>
    <w:rsid w:val="00CE183E"/>
    <w:rsid w:val="00CE231F"/>
    <w:rsid w:val="00CE3361"/>
    <w:rsid w:val="00CE37F1"/>
    <w:rsid w:val="00CE401A"/>
    <w:rsid w:val="00CE4031"/>
    <w:rsid w:val="00CE445F"/>
    <w:rsid w:val="00CE60D0"/>
    <w:rsid w:val="00CE629B"/>
    <w:rsid w:val="00CE6327"/>
    <w:rsid w:val="00CE6519"/>
    <w:rsid w:val="00CE6921"/>
    <w:rsid w:val="00CF06A7"/>
    <w:rsid w:val="00CF1C25"/>
    <w:rsid w:val="00CF2823"/>
    <w:rsid w:val="00CF32E8"/>
    <w:rsid w:val="00CF3A3D"/>
    <w:rsid w:val="00CF3D0E"/>
    <w:rsid w:val="00CF3EAB"/>
    <w:rsid w:val="00CF41D5"/>
    <w:rsid w:val="00CF42EE"/>
    <w:rsid w:val="00CF4B03"/>
    <w:rsid w:val="00CF51C3"/>
    <w:rsid w:val="00CF782A"/>
    <w:rsid w:val="00CF7CCA"/>
    <w:rsid w:val="00D00E62"/>
    <w:rsid w:val="00D01A20"/>
    <w:rsid w:val="00D02D78"/>
    <w:rsid w:val="00D02FA9"/>
    <w:rsid w:val="00D033C0"/>
    <w:rsid w:val="00D03761"/>
    <w:rsid w:val="00D03AA5"/>
    <w:rsid w:val="00D03CDC"/>
    <w:rsid w:val="00D03E1D"/>
    <w:rsid w:val="00D04259"/>
    <w:rsid w:val="00D04934"/>
    <w:rsid w:val="00D04BA8"/>
    <w:rsid w:val="00D05EF0"/>
    <w:rsid w:val="00D061E2"/>
    <w:rsid w:val="00D06D98"/>
    <w:rsid w:val="00D07124"/>
    <w:rsid w:val="00D0717F"/>
    <w:rsid w:val="00D07B17"/>
    <w:rsid w:val="00D07FCB"/>
    <w:rsid w:val="00D10D8C"/>
    <w:rsid w:val="00D10DD7"/>
    <w:rsid w:val="00D11F7F"/>
    <w:rsid w:val="00D12C4B"/>
    <w:rsid w:val="00D13254"/>
    <w:rsid w:val="00D13D6D"/>
    <w:rsid w:val="00D1438E"/>
    <w:rsid w:val="00D1465F"/>
    <w:rsid w:val="00D149BF"/>
    <w:rsid w:val="00D16B4E"/>
    <w:rsid w:val="00D1711D"/>
    <w:rsid w:val="00D17A14"/>
    <w:rsid w:val="00D214CC"/>
    <w:rsid w:val="00D21619"/>
    <w:rsid w:val="00D21A81"/>
    <w:rsid w:val="00D21EFF"/>
    <w:rsid w:val="00D227BB"/>
    <w:rsid w:val="00D22A44"/>
    <w:rsid w:val="00D22DDB"/>
    <w:rsid w:val="00D230BD"/>
    <w:rsid w:val="00D231B8"/>
    <w:rsid w:val="00D23E62"/>
    <w:rsid w:val="00D24156"/>
    <w:rsid w:val="00D24E69"/>
    <w:rsid w:val="00D24F67"/>
    <w:rsid w:val="00D25AFB"/>
    <w:rsid w:val="00D25B00"/>
    <w:rsid w:val="00D25C26"/>
    <w:rsid w:val="00D266EC"/>
    <w:rsid w:val="00D26E66"/>
    <w:rsid w:val="00D26F1A"/>
    <w:rsid w:val="00D26F41"/>
    <w:rsid w:val="00D27E41"/>
    <w:rsid w:val="00D301D7"/>
    <w:rsid w:val="00D32103"/>
    <w:rsid w:val="00D339E5"/>
    <w:rsid w:val="00D34F7B"/>
    <w:rsid w:val="00D3588D"/>
    <w:rsid w:val="00D3604C"/>
    <w:rsid w:val="00D3626D"/>
    <w:rsid w:val="00D368D1"/>
    <w:rsid w:val="00D3734B"/>
    <w:rsid w:val="00D375C6"/>
    <w:rsid w:val="00D37632"/>
    <w:rsid w:val="00D3770A"/>
    <w:rsid w:val="00D37DAC"/>
    <w:rsid w:val="00D37EC1"/>
    <w:rsid w:val="00D40BF5"/>
    <w:rsid w:val="00D40D0A"/>
    <w:rsid w:val="00D427C0"/>
    <w:rsid w:val="00D4462C"/>
    <w:rsid w:val="00D4498F"/>
    <w:rsid w:val="00D45510"/>
    <w:rsid w:val="00D45799"/>
    <w:rsid w:val="00D45D76"/>
    <w:rsid w:val="00D461B9"/>
    <w:rsid w:val="00D4652D"/>
    <w:rsid w:val="00D50577"/>
    <w:rsid w:val="00D5179E"/>
    <w:rsid w:val="00D51A5C"/>
    <w:rsid w:val="00D51EAD"/>
    <w:rsid w:val="00D52C10"/>
    <w:rsid w:val="00D52F50"/>
    <w:rsid w:val="00D54A0D"/>
    <w:rsid w:val="00D54BD5"/>
    <w:rsid w:val="00D552B3"/>
    <w:rsid w:val="00D565E2"/>
    <w:rsid w:val="00D56B23"/>
    <w:rsid w:val="00D57950"/>
    <w:rsid w:val="00D60040"/>
    <w:rsid w:val="00D6006C"/>
    <w:rsid w:val="00D60655"/>
    <w:rsid w:val="00D60D4D"/>
    <w:rsid w:val="00D60D54"/>
    <w:rsid w:val="00D61272"/>
    <w:rsid w:val="00D61722"/>
    <w:rsid w:val="00D61B1F"/>
    <w:rsid w:val="00D62E2C"/>
    <w:rsid w:val="00D62E4E"/>
    <w:rsid w:val="00D63468"/>
    <w:rsid w:val="00D64014"/>
    <w:rsid w:val="00D64469"/>
    <w:rsid w:val="00D6567B"/>
    <w:rsid w:val="00D65D6A"/>
    <w:rsid w:val="00D6679F"/>
    <w:rsid w:val="00D67AB0"/>
    <w:rsid w:val="00D67C7B"/>
    <w:rsid w:val="00D67FFA"/>
    <w:rsid w:val="00D706AC"/>
    <w:rsid w:val="00D70F65"/>
    <w:rsid w:val="00D725DB"/>
    <w:rsid w:val="00D727FF"/>
    <w:rsid w:val="00D7362F"/>
    <w:rsid w:val="00D739E5"/>
    <w:rsid w:val="00D73FA7"/>
    <w:rsid w:val="00D74365"/>
    <w:rsid w:val="00D74494"/>
    <w:rsid w:val="00D75A02"/>
    <w:rsid w:val="00D75C97"/>
    <w:rsid w:val="00D75DB3"/>
    <w:rsid w:val="00D76699"/>
    <w:rsid w:val="00D77A8D"/>
    <w:rsid w:val="00D80A42"/>
    <w:rsid w:val="00D80AD0"/>
    <w:rsid w:val="00D80E2E"/>
    <w:rsid w:val="00D81438"/>
    <w:rsid w:val="00D82581"/>
    <w:rsid w:val="00D82BE8"/>
    <w:rsid w:val="00D842CD"/>
    <w:rsid w:val="00D844B6"/>
    <w:rsid w:val="00D84BCF"/>
    <w:rsid w:val="00D85A3F"/>
    <w:rsid w:val="00D86EA0"/>
    <w:rsid w:val="00D87403"/>
    <w:rsid w:val="00D87AAC"/>
    <w:rsid w:val="00D87D98"/>
    <w:rsid w:val="00D87DDB"/>
    <w:rsid w:val="00D916A1"/>
    <w:rsid w:val="00D91791"/>
    <w:rsid w:val="00D921AE"/>
    <w:rsid w:val="00D93BC8"/>
    <w:rsid w:val="00D93E44"/>
    <w:rsid w:val="00D947A0"/>
    <w:rsid w:val="00D95380"/>
    <w:rsid w:val="00D957E9"/>
    <w:rsid w:val="00D95AD0"/>
    <w:rsid w:val="00D95EF7"/>
    <w:rsid w:val="00D9640C"/>
    <w:rsid w:val="00D96EA8"/>
    <w:rsid w:val="00D97943"/>
    <w:rsid w:val="00DA05ED"/>
    <w:rsid w:val="00DA1BD3"/>
    <w:rsid w:val="00DA1E62"/>
    <w:rsid w:val="00DA2AD2"/>
    <w:rsid w:val="00DA4291"/>
    <w:rsid w:val="00DA5110"/>
    <w:rsid w:val="00DA5550"/>
    <w:rsid w:val="00DA62F9"/>
    <w:rsid w:val="00DA6E6A"/>
    <w:rsid w:val="00DA7AC1"/>
    <w:rsid w:val="00DA7E21"/>
    <w:rsid w:val="00DB016D"/>
    <w:rsid w:val="00DB1123"/>
    <w:rsid w:val="00DB1913"/>
    <w:rsid w:val="00DB1BE1"/>
    <w:rsid w:val="00DB42AD"/>
    <w:rsid w:val="00DB5462"/>
    <w:rsid w:val="00DB55E7"/>
    <w:rsid w:val="00DB59B9"/>
    <w:rsid w:val="00DB5B00"/>
    <w:rsid w:val="00DB6958"/>
    <w:rsid w:val="00DB6B45"/>
    <w:rsid w:val="00DB6F50"/>
    <w:rsid w:val="00DC0354"/>
    <w:rsid w:val="00DC0AA4"/>
    <w:rsid w:val="00DC0CA4"/>
    <w:rsid w:val="00DC0F49"/>
    <w:rsid w:val="00DC12A2"/>
    <w:rsid w:val="00DC19B1"/>
    <w:rsid w:val="00DC1B47"/>
    <w:rsid w:val="00DC20EB"/>
    <w:rsid w:val="00DC2354"/>
    <w:rsid w:val="00DC2DD1"/>
    <w:rsid w:val="00DC300E"/>
    <w:rsid w:val="00DC43AC"/>
    <w:rsid w:val="00DC45C4"/>
    <w:rsid w:val="00DC469D"/>
    <w:rsid w:val="00DC4773"/>
    <w:rsid w:val="00DC4844"/>
    <w:rsid w:val="00DC4AAA"/>
    <w:rsid w:val="00DC4AF2"/>
    <w:rsid w:val="00DC5367"/>
    <w:rsid w:val="00DC560F"/>
    <w:rsid w:val="00DC5704"/>
    <w:rsid w:val="00DC5B4E"/>
    <w:rsid w:val="00DC5F32"/>
    <w:rsid w:val="00DC611F"/>
    <w:rsid w:val="00DC6456"/>
    <w:rsid w:val="00DC646A"/>
    <w:rsid w:val="00DD0BEA"/>
    <w:rsid w:val="00DD17D2"/>
    <w:rsid w:val="00DD2429"/>
    <w:rsid w:val="00DD282B"/>
    <w:rsid w:val="00DD36CF"/>
    <w:rsid w:val="00DD3E33"/>
    <w:rsid w:val="00DD43F1"/>
    <w:rsid w:val="00DD4F11"/>
    <w:rsid w:val="00DD5444"/>
    <w:rsid w:val="00DD55FA"/>
    <w:rsid w:val="00DD6053"/>
    <w:rsid w:val="00DD6CD8"/>
    <w:rsid w:val="00DD6F0C"/>
    <w:rsid w:val="00DE0BD6"/>
    <w:rsid w:val="00DE11DC"/>
    <w:rsid w:val="00DE318D"/>
    <w:rsid w:val="00DE331F"/>
    <w:rsid w:val="00DE3641"/>
    <w:rsid w:val="00DE3A5F"/>
    <w:rsid w:val="00DE3ADC"/>
    <w:rsid w:val="00DE4166"/>
    <w:rsid w:val="00DE4977"/>
    <w:rsid w:val="00DE4EC8"/>
    <w:rsid w:val="00DE5B25"/>
    <w:rsid w:val="00DE5E61"/>
    <w:rsid w:val="00DE5F42"/>
    <w:rsid w:val="00DE614D"/>
    <w:rsid w:val="00DE618B"/>
    <w:rsid w:val="00DE62D1"/>
    <w:rsid w:val="00DE63A5"/>
    <w:rsid w:val="00DF04E6"/>
    <w:rsid w:val="00DF05D8"/>
    <w:rsid w:val="00DF1022"/>
    <w:rsid w:val="00DF1407"/>
    <w:rsid w:val="00DF1D69"/>
    <w:rsid w:val="00DF2127"/>
    <w:rsid w:val="00DF2E91"/>
    <w:rsid w:val="00DF324D"/>
    <w:rsid w:val="00DF35A9"/>
    <w:rsid w:val="00DF3B24"/>
    <w:rsid w:val="00DF3E33"/>
    <w:rsid w:val="00DF4165"/>
    <w:rsid w:val="00DF5244"/>
    <w:rsid w:val="00DF56CA"/>
    <w:rsid w:val="00DF58CB"/>
    <w:rsid w:val="00DF5A92"/>
    <w:rsid w:val="00DF5D59"/>
    <w:rsid w:val="00DF5DC8"/>
    <w:rsid w:val="00DF687C"/>
    <w:rsid w:val="00DF6BD9"/>
    <w:rsid w:val="00DF73F3"/>
    <w:rsid w:val="00E00E36"/>
    <w:rsid w:val="00E020B2"/>
    <w:rsid w:val="00E026CB"/>
    <w:rsid w:val="00E0273F"/>
    <w:rsid w:val="00E02AF9"/>
    <w:rsid w:val="00E05D09"/>
    <w:rsid w:val="00E0650F"/>
    <w:rsid w:val="00E06AEA"/>
    <w:rsid w:val="00E06C08"/>
    <w:rsid w:val="00E1032A"/>
    <w:rsid w:val="00E10FBF"/>
    <w:rsid w:val="00E13DEB"/>
    <w:rsid w:val="00E13EA9"/>
    <w:rsid w:val="00E13EEC"/>
    <w:rsid w:val="00E145AC"/>
    <w:rsid w:val="00E14C6B"/>
    <w:rsid w:val="00E14E05"/>
    <w:rsid w:val="00E16125"/>
    <w:rsid w:val="00E1679F"/>
    <w:rsid w:val="00E16BD6"/>
    <w:rsid w:val="00E179DA"/>
    <w:rsid w:val="00E200A2"/>
    <w:rsid w:val="00E213B4"/>
    <w:rsid w:val="00E222D9"/>
    <w:rsid w:val="00E226E5"/>
    <w:rsid w:val="00E233BE"/>
    <w:rsid w:val="00E23AE8"/>
    <w:rsid w:val="00E242A1"/>
    <w:rsid w:val="00E243D7"/>
    <w:rsid w:val="00E24481"/>
    <w:rsid w:val="00E257B4"/>
    <w:rsid w:val="00E26468"/>
    <w:rsid w:val="00E273EF"/>
    <w:rsid w:val="00E27611"/>
    <w:rsid w:val="00E30567"/>
    <w:rsid w:val="00E3068E"/>
    <w:rsid w:val="00E309E9"/>
    <w:rsid w:val="00E30CDB"/>
    <w:rsid w:val="00E30DB4"/>
    <w:rsid w:val="00E30EF9"/>
    <w:rsid w:val="00E3163E"/>
    <w:rsid w:val="00E3171F"/>
    <w:rsid w:val="00E31865"/>
    <w:rsid w:val="00E3302B"/>
    <w:rsid w:val="00E33671"/>
    <w:rsid w:val="00E342E5"/>
    <w:rsid w:val="00E34634"/>
    <w:rsid w:val="00E34822"/>
    <w:rsid w:val="00E36120"/>
    <w:rsid w:val="00E40042"/>
    <w:rsid w:val="00E405C7"/>
    <w:rsid w:val="00E40DA2"/>
    <w:rsid w:val="00E40FF3"/>
    <w:rsid w:val="00E418A5"/>
    <w:rsid w:val="00E421F3"/>
    <w:rsid w:val="00E42728"/>
    <w:rsid w:val="00E42B64"/>
    <w:rsid w:val="00E42EE0"/>
    <w:rsid w:val="00E433DF"/>
    <w:rsid w:val="00E4432D"/>
    <w:rsid w:val="00E4462D"/>
    <w:rsid w:val="00E44761"/>
    <w:rsid w:val="00E45772"/>
    <w:rsid w:val="00E45B12"/>
    <w:rsid w:val="00E46119"/>
    <w:rsid w:val="00E47101"/>
    <w:rsid w:val="00E47336"/>
    <w:rsid w:val="00E478E6"/>
    <w:rsid w:val="00E47CEB"/>
    <w:rsid w:val="00E50E1F"/>
    <w:rsid w:val="00E51648"/>
    <w:rsid w:val="00E52976"/>
    <w:rsid w:val="00E53A5B"/>
    <w:rsid w:val="00E54034"/>
    <w:rsid w:val="00E57B8B"/>
    <w:rsid w:val="00E6043C"/>
    <w:rsid w:val="00E6055D"/>
    <w:rsid w:val="00E60B40"/>
    <w:rsid w:val="00E61097"/>
    <w:rsid w:val="00E620A0"/>
    <w:rsid w:val="00E62A99"/>
    <w:rsid w:val="00E63AB3"/>
    <w:rsid w:val="00E64448"/>
    <w:rsid w:val="00E64696"/>
    <w:rsid w:val="00E64D23"/>
    <w:rsid w:val="00E64F16"/>
    <w:rsid w:val="00E64FD9"/>
    <w:rsid w:val="00E65924"/>
    <w:rsid w:val="00E65928"/>
    <w:rsid w:val="00E65DB2"/>
    <w:rsid w:val="00E662B6"/>
    <w:rsid w:val="00E66CBB"/>
    <w:rsid w:val="00E67C74"/>
    <w:rsid w:val="00E67CD8"/>
    <w:rsid w:val="00E67EA2"/>
    <w:rsid w:val="00E70B02"/>
    <w:rsid w:val="00E717A2"/>
    <w:rsid w:val="00E71AF9"/>
    <w:rsid w:val="00E71B45"/>
    <w:rsid w:val="00E72455"/>
    <w:rsid w:val="00E72DCD"/>
    <w:rsid w:val="00E73892"/>
    <w:rsid w:val="00E73A2B"/>
    <w:rsid w:val="00E75B4C"/>
    <w:rsid w:val="00E75D09"/>
    <w:rsid w:val="00E767E8"/>
    <w:rsid w:val="00E77F85"/>
    <w:rsid w:val="00E801F0"/>
    <w:rsid w:val="00E80F99"/>
    <w:rsid w:val="00E81A17"/>
    <w:rsid w:val="00E81D39"/>
    <w:rsid w:val="00E82EBD"/>
    <w:rsid w:val="00E82EC7"/>
    <w:rsid w:val="00E83198"/>
    <w:rsid w:val="00E83265"/>
    <w:rsid w:val="00E83DA3"/>
    <w:rsid w:val="00E84D98"/>
    <w:rsid w:val="00E858D6"/>
    <w:rsid w:val="00E8613F"/>
    <w:rsid w:val="00E8633C"/>
    <w:rsid w:val="00E86D04"/>
    <w:rsid w:val="00E90534"/>
    <w:rsid w:val="00E911FF"/>
    <w:rsid w:val="00E9313A"/>
    <w:rsid w:val="00E93162"/>
    <w:rsid w:val="00E93AD8"/>
    <w:rsid w:val="00E93ADB"/>
    <w:rsid w:val="00E96700"/>
    <w:rsid w:val="00E96CD4"/>
    <w:rsid w:val="00E97C00"/>
    <w:rsid w:val="00E97D9F"/>
    <w:rsid w:val="00EA02DC"/>
    <w:rsid w:val="00EA0CD2"/>
    <w:rsid w:val="00EA0F24"/>
    <w:rsid w:val="00EA13E0"/>
    <w:rsid w:val="00EA1693"/>
    <w:rsid w:val="00EA1A43"/>
    <w:rsid w:val="00EA24C9"/>
    <w:rsid w:val="00EA2981"/>
    <w:rsid w:val="00EA3202"/>
    <w:rsid w:val="00EA322B"/>
    <w:rsid w:val="00EA3469"/>
    <w:rsid w:val="00EA40C9"/>
    <w:rsid w:val="00EA4CDC"/>
    <w:rsid w:val="00EA53E6"/>
    <w:rsid w:val="00EA5926"/>
    <w:rsid w:val="00EA60F0"/>
    <w:rsid w:val="00EB0021"/>
    <w:rsid w:val="00EB02C1"/>
    <w:rsid w:val="00EB0E19"/>
    <w:rsid w:val="00EB1105"/>
    <w:rsid w:val="00EB1541"/>
    <w:rsid w:val="00EB197F"/>
    <w:rsid w:val="00EB4E14"/>
    <w:rsid w:val="00EB5012"/>
    <w:rsid w:val="00EB5CB3"/>
    <w:rsid w:val="00EB6094"/>
    <w:rsid w:val="00EB624F"/>
    <w:rsid w:val="00EB741A"/>
    <w:rsid w:val="00EB7FAF"/>
    <w:rsid w:val="00EC024C"/>
    <w:rsid w:val="00EC0797"/>
    <w:rsid w:val="00EC07D8"/>
    <w:rsid w:val="00EC09A8"/>
    <w:rsid w:val="00EC115C"/>
    <w:rsid w:val="00EC222D"/>
    <w:rsid w:val="00EC27E7"/>
    <w:rsid w:val="00EC3694"/>
    <w:rsid w:val="00EC3891"/>
    <w:rsid w:val="00EC45F5"/>
    <w:rsid w:val="00EC46AC"/>
    <w:rsid w:val="00EC5231"/>
    <w:rsid w:val="00EC5844"/>
    <w:rsid w:val="00EC58D8"/>
    <w:rsid w:val="00EC6283"/>
    <w:rsid w:val="00ED121A"/>
    <w:rsid w:val="00ED1DEE"/>
    <w:rsid w:val="00ED1FD5"/>
    <w:rsid w:val="00ED22F0"/>
    <w:rsid w:val="00ED2978"/>
    <w:rsid w:val="00ED2EBE"/>
    <w:rsid w:val="00ED4D45"/>
    <w:rsid w:val="00ED4FEB"/>
    <w:rsid w:val="00ED55E1"/>
    <w:rsid w:val="00ED59B6"/>
    <w:rsid w:val="00ED60A5"/>
    <w:rsid w:val="00ED619A"/>
    <w:rsid w:val="00ED621B"/>
    <w:rsid w:val="00ED657F"/>
    <w:rsid w:val="00ED6C08"/>
    <w:rsid w:val="00ED749D"/>
    <w:rsid w:val="00ED7A6A"/>
    <w:rsid w:val="00ED7E13"/>
    <w:rsid w:val="00EE021A"/>
    <w:rsid w:val="00EE05EE"/>
    <w:rsid w:val="00EE14D1"/>
    <w:rsid w:val="00EE375E"/>
    <w:rsid w:val="00EE3846"/>
    <w:rsid w:val="00EE46ED"/>
    <w:rsid w:val="00EE5336"/>
    <w:rsid w:val="00EE73D7"/>
    <w:rsid w:val="00EE7A40"/>
    <w:rsid w:val="00EF065D"/>
    <w:rsid w:val="00EF22EB"/>
    <w:rsid w:val="00EF2561"/>
    <w:rsid w:val="00EF30D4"/>
    <w:rsid w:val="00EF32F5"/>
    <w:rsid w:val="00EF3570"/>
    <w:rsid w:val="00EF3B9C"/>
    <w:rsid w:val="00EF4826"/>
    <w:rsid w:val="00EF5151"/>
    <w:rsid w:val="00EF52D7"/>
    <w:rsid w:val="00EF5552"/>
    <w:rsid w:val="00EF665D"/>
    <w:rsid w:val="00EF6A3B"/>
    <w:rsid w:val="00EF7863"/>
    <w:rsid w:val="00EF7E39"/>
    <w:rsid w:val="00EF7F43"/>
    <w:rsid w:val="00F0030A"/>
    <w:rsid w:val="00F01593"/>
    <w:rsid w:val="00F02016"/>
    <w:rsid w:val="00F02262"/>
    <w:rsid w:val="00F02267"/>
    <w:rsid w:val="00F0231B"/>
    <w:rsid w:val="00F0247D"/>
    <w:rsid w:val="00F024F6"/>
    <w:rsid w:val="00F032BE"/>
    <w:rsid w:val="00F05030"/>
    <w:rsid w:val="00F0549A"/>
    <w:rsid w:val="00F05A92"/>
    <w:rsid w:val="00F061D9"/>
    <w:rsid w:val="00F0770D"/>
    <w:rsid w:val="00F07D8F"/>
    <w:rsid w:val="00F10046"/>
    <w:rsid w:val="00F11845"/>
    <w:rsid w:val="00F11863"/>
    <w:rsid w:val="00F11BD1"/>
    <w:rsid w:val="00F11EF5"/>
    <w:rsid w:val="00F130A9"/>
    <w:rsid w:val="00F13219"/>
    <w:rsid w:val="00F13231"/>
    <w:rsid w:val="00F14772"/>
    <w:rsid w:val="00F148C0"/>
    <w:rsid w:val="00F14F73"/>
    <w:rsid w:val="00F15096"/>
    <w:rsid w:val="00F15242"/>
    <w:rsid w:val="00F156A8"/>
    <w:rsid w:val="00F15CD1"/>
    <w:rsid w:val="00F160F8"/>
    <w:rsid w:val="00F1637E"/>
    <w:rsid w:val="00F16C42"/>
    <w:rsid w:val="00F17B9A"/>
    <w:rsid w:val="00F206A2"/>
    <w:rsid w:val="00F20A59"/>
    <w:rsid w:val="00F20DBC"/>
    <w:rsid w:val="00F22B81"/>
    <w:rsid w:val="00F23A1F"/>
    <w:rsid w:val="00F2417F"/>
    <w:rsid w:val="00F243D3"/>
    <w:rsid w:val="00F24B82"/>
    <w:rsid w:val="00F271B5"/>
    <w:rsid w:val="00F27347"/>
    <w:rsid w:val="00F2738C"/>
    <w:rsid w:val="00F27BE6"/>
    <w:rsid w:val="00F27D4F"/>
    <w:rsid w:val="00F27D71"/>
    <w:rsid w:val="00F3187D"/>
    <w:rsid w:val="00F329E1"/>
    <w:rsid w:val="00F33530"/>
    <w:rsid w:val="00F336CA"/>
    <w:rsid w:val="00F337E9"/>
    <w:rsid w:val="00F34098"/>
    <w:rsid w:val="00F34532"/>
    <w:rsid w:val="00F34BA5"/>
    <w:rsid w:val="00F3622B"/>
    <w:rsid w:val="00F371A6"/>
    <w:rsid w:val="00F37870"/>
    <w:rsid w:val="00F40E9A"/>
    <w:rsid w:val="00F43247"/>
    <w:rsid w:val="00F4328F"/>
    <w:rsid w:val="00F43482"/>
    <w:rsid w:val="00F434DB"/>
    <w:rsid w:val="00F43570"/>
    <w:rsid w:val="00F43A7D"/>
    <w:rsid w:val="00F446D6"/>
    <w:rsid w:val="00F46087"/>
    <w:rsid w:val="00F46671"/>
    <w:rsid w:val="00F47637"/>
    <w:rsid w:val="00F50390"/>
    <w:rsid w:val="00F50F17"/>
    <w:rsid w:val="00F51B52"/>
    <w:rsid w:val="00F51FD5"/>
    <w:rsid w:val="00F52213"/>
    <w:rsid w:val="00F557E0"/>
    <w:rsid w:val="00F5603D"/>
    <w:rsid w:val="00F56928"/>
    <w:rsid w:val="00F56D94"/>
    <w:rsid w:val="00F572F8"/>
    <w:rsid w:val="00F605D8"/>
    <w:rsid w:val="00F607EE"/>
    <w:rsid w:val="00F60CF0"/>
    <w:rsid w:val="00F60D57"/>
    <w:rsid w:val="00F61B76"/>
    <w:rsid w:val="00F638A1"/>
    <w:rsid w:val="00F63945"/>
    <w:rsid w:val="00F63BA5"/>
    <w:rsid w:val="00F63EB6"/>
    <w:rsid w:val="00F647B0"/>
    <w:rsid w:val="00F65F20"/>
    <w:rsid w:val="00F66151"/>
    <w:rsid w:val="00F662CD"/>
    <w:rsid w:val="00F6651A"/>
    <w:rsid w:val="00F70050"/>
    <w:rsid w:val="00F701F0"/>
    <w:rsid w:val="00F70D32"/>
    <w:rsid w:val="00F71D41"/>
    <w:rsid w:val="00F72139"/>
    <w:rsid w:val="00F72A5C"/>
    <w:rsid w:val="00F73005"/>
    <w:rsid w:val="00F7376C"/>
    <w:rsid w:val="00F73D46"/>
    <w:rsid w:val="00F74665"/>
    <w:rsid w:val="00F74C33"/>
    <w:rsid w:val="00F74FB5"/>
    <w:rsid w:val="00F75642"/>
    <w:rsid w:val="00F756BC"/>
    <w:rsid w:val="00F7597A"/>
    <w:rsid w:val="00F76408"/>
    <w:rsid w:val="00F764BE"/>
    <w:rsid w:val="00F77369"/>
    <w:rsid w:val="00F776C8"/>
    <w:rsid w:val="00F80796"/>
    <w:rsid w:val="00F82CAE"/>
    <w:rsid w:val="00F83280"/>
    <w:rsid w:val="00F83F46"/>
    <w:rsid w:val="00F840AD"/>
    <w:rsid w:val="00F846A5"/>
    <w:rsid w:val="00F84A08"/>
    <w:rsid w:val="00F854BE"/>
    <w:rsid w:val="00F85D27"/>
    <w:rsid w:val="00F86A25"/>
    <w:rsid w:val="00F86A94"/>
    <w:rsid w:val="00F86ADA"/>
    <w:rsid w:val="00F86CE6"/>
    <w:rsid w:val="00F90197"/>
    <w:rsid w:val="00F90E75"/>
    <w:rsid w:val="00F90FD3"/>
    <w:rsid w:val="00F910F3"/>
    <w:rsid w:val="00F91330"/>
    <w:rsid w:val="00F91613"/>
    <w:rsid w:val="00F91AAC"/>
    <w:rsid w:val="00F92CCE"/>
    <w:rsid w:val="00F93C7F"/>
    <w:rsid w:val="00F94FCC"/>
    <w:rsid w:val="00F972D4"/>
    <w:rsid w:val="00FA293C"/>
    <w:rsid w:val="00FA2FF8"/>
    <w:rsid w:val="00FA3855"/>
    <w:rsid w:val="00FA3F2A"/>
    <w:rsid w:val="00FA4744"/>
    <w:rsid w:val="00FA479F"/>
    <w:rsid w:val="00FA555D"/>
    <w:rsid w:val="00FA58E9"/>
    <w:rsid w:val="00FA5CF4"/>
    <w:rsid w:val="00FA5DE0"/>
    <w:rsid w:val="00FA6472"/>
    <w:rsid w:val="00FA68E9"/>
    <w:rsid w:val="00FA6C03"/>
    <w:rsid w:val="00FA6FA4"/>
    <w:rsid w:val="00FA6FAD"/>
    <w:rsid w:val="00FB008B"/>
    <w:rsid w:val="00FB0C72"/>
    <w:rsid w:val="00FB0F73"/>
    <w:rsid w:val="00FB17BC"/>
    <w:rsid w:val="00FB2169"/>
    <w:rsid w:val="00FB22A8"/>
    <w:rsid w:val="00FB22AA"/>
    <w:rsid w:val="00FB2787"/>
    <w:rsid w:val="00FB2A4A"/>
    <w:rsid w:val="00FB309B"/>
    <w:rsid w:val="00FB389A"/>
    <w:rsid w:val="00FB3A98"/>
    <w:rsid w:val="00FB3D8A"/>
    <w:rsid w:val="00FB3F55"/>
    <w:rsid w:val="00FB4100"/>
    <w:rsid w:val="00FB44AC"/>
    <w:rsid w:val="00FB4C68"/>
    <w:rsid w:val="00FB5C67"/>
    <w:rsid w:val="00FB5F9F"/>
    <w:rsid w:val="00FB6527"/>
    <w:rsid w:val="00FB6696"/>
    <w:rsid w:val="00FB6ABD"/>
    <w:rsid w:val="00FB7ECD"/>
    <w:rsid w:val="00FC177D"/>
    <w:rsid w:val="00FC1D97"/>
    <w:rsid w:val="00FC297E"/>
    <w:rsid w:val="00FC2E46"/>
    <w:rsid w:val="00FC36FA"/>
    <w:rsid w:val="00FC4345"/>
    <w:rsid w:val="00FC49BD"/>
    <w:rsid w:val="00FC53ED"/>
    <w:rsid w:val="00FC6A13"/>
    <w:rsid w:val="00FC6ECA"/>
    <w:rsid w:val="00FC7947"/>
    <w:rsid w:val="00FC7C14"/>
    <w:rsid w:val="00FD09DA"/>
    <w:rsid w:val="00FD0D08"/>
    <w:rsid w:val="00FD1138"/>
    <w:rsid w:val="00FD1E7A"/>
    <w:rsid w:val="00FD2047"/>
    <w:rsid w:val="00FD2511"/>
    <w:rsid w:val="00FD2618"/>
    <w:rsid w:val="00FD2BA3"/>
    <w:rsid w:val="00FD3622"/>
    <w:rsid w:val="00FD4B28"/>
    <w:rsid w:val="00FD4D39"/>
    <w:rsid w:val="00FD4E90"/>
    <w:rsid w:val="00FD5726"/>
    <w:rsid w:val="00FD62AC"/>
    <w:rsid w:val="00FD65BE"/>
    <w:rsid w:val="00FD6804"/>
    <w:rsid w:val="00FD6F01"/>
    <w:rsid w:val="00FD6FCC"/>
    <w:rsid w:val="00FD72A9"/>
    <w:rsid w:val="00FD78E6"/>
    <w:rsid w:val="00FE0692"/>
    <w:rsid w:val="00FE0B94"/>
    <w:rsid w:val="00FE1935"/>
    <w:rsid w:val="00FE1FD6"/>
    <w:rsid w:val="00FE2710"/>
    <w:rsid w:val="00FE2C7E"/>
    <w:rsid w:val="00FE2EA8"/>
    <w:rsid w:val="00FE4618"/>
    <w:rsid w:val="00FE51FE"/>
    <w:rsid w:val="00FE53D9"/>
    <w:rsid w:val="00FE542D"/>
    <w:rsid w:val="00FE5921"/>
    <w:rsid w:val="00FE60A8"/>
    <w:rsid w:val="00FE625F"/>
    <w:rsid w:val="00FE6669"/>
    <w:rsid w:val="00FE669E"/>
    <w:rsid w:val="00FE6744"/>
    <w:rsid w:val="00FE68B2"/>
    <w:rsid w:val="00FE6F19"/>
    <w:rsid w:val="00FE7E03"/>
    <w:rsid w:val="00FF0284"/>
    <w:rsid w:val="00FF044F"/>
    <w:rsid w:val="00FF0DE9"/>
    <w:rsid w:val="00FF27C4"/>
    <w:rsid w:val="00FF32E2"/>
    <w:rsid w:val="00FF3527"/>
    <w:rsid w:val="00FF37DB"/>
    <w:rsid w:val="00FF3A0A"/>
    <w:rsid w:val="00FF3DD4"/>
    <w:rsid w:val="00FF3F85"/>
    <w:rsid w:val="00FF3F9C"/>
    <w:rsid w:val="00FF47FF"/>
    <w:rsid w:val="00FF4845"/>
    <w:rsid w:val="00FF6085"/>
    <w:rsid w:val="00FF6DC4"/>
    <w:rsid w:val="00FF706B"/>
    <w:rsid w:val="00FF7393"/>
    <w:rsid w:val="00FF7492"/>
    <w:rsid w:val="02225B04"/>
    <w:rsid w:val="02954EC7"/>
    <w:rsid w:val="02FE20CD"/>
    <w:rsid w:val="0332397A"/>
    <w:rsid w:val="0337738D"/>
    <w:rsid w:val="0376348B"/>
    <w:rsid w:val="03D66BA6"/>
    <w:rsid w:val="046C12B8"/>
    <w:rsid w:val="04806B11"/>
    <w:rsid w:val="04B5301A"/>
    <w:rsid w:val="05015EA4"/>
    <w:rsid w:val="063D2F0C"/>
    <w:rsid w:val="07944DAE"/>
    <w:rsid w:val="07E51AAD"/>
    <w:rsid w:val="08053EFD"/>
    <w:rsid w:val="08332927"/>
    <w:rsid w:val="08AF6C12"/>
    <w:rsid w:val="08F31CBC"/>
    <w:rsid w:val="09370DBB"/>
    <w:rsid w:val="09B72FD5"/>
    <w:rsid w:val="09C83435"/>
    <w:rsid w:val="0AC534D0"/>
    <w:rsid w:val="0BE91440"/>
    <w:rsid w:val="0BEF6A57"/>
    <w:rsid w:val="0BF70001"/>
    <w:rsid w:val="0C2A7A8F"/>
    <w:rsid w:val="0C957D9E"/>
    <w:rsid w:val="0C9E047D"/>
    <w:rsid w:val="0CEE6D0E"/>
    <w:rsid w:val="0D1D5845"/>
    <w:rsid w:val="0D3D37F2"/>
    <w:rsid w:val="0D587038"/>
    <w:rsid w:val="0D5D3E94"/>
    <w:rsid w:val="0D9A6FA7"/>
    <w:rsid w:val="0DA63A8D"/>
    <w:rsid w:val="0DA87805"/>
    <w:rsid w:val="0DBC505E"/>
    <w:rsid w:val="0E89001D"/>
    <w:rsid w:val="0EB775D4"/>
    <w:rsid w:val="0F057A1D"/>
    <w:rsid w:val="0F362BEE"/>
    <w:rsid w:val="0FFC1ECE"/>
    <w:rsid w:val="108F25B6"/>
    <w:rsid w:val="12AA7ACE"/>
    <w:rsid w:val="130927B2"/>
    <w:rsid w:val="13685340"/>
    <w:rsid w:val="13EB21F9"/>
    <w:rsid w:val="140B2690"/>
    <w:rsid w:val="15160239"/>
    <w:rsid w:val="15842905"/>
    <w:rsid w:val="15B82C06"/>
    <w:rsid w:val="15C947BC"/>
    <w:rsid w:val="161C0D90"/>
    <w:rsid w:val="16B30054"/>
    <w:rsid w:val="16DC6219"/>
    <w:rsid w:val="17F33D3A"/>
    <w:rsid w:val="18393F11"/>
    <w:rsid w:val="184C6FDF"/>
    <w:rsid w:val="18BA03EC"/>
    <w:rsid w:val="18EB2C9C"/>
    <w:rsid w:val="19513DE9"/>
    <w:rsid w:val="19555CF5"/>
    <w:rsid w:val="195720DF"/>
    <w:rsid w:val="19D43730"/>
    <w:rsid w:val="1A420699"/>
    <w:rsid w:val="1A562397"/>
    <w:rsid w:val="1AA255DC"/>
    <w:rsid w:val="1ADA0CF0"/>
    <w:rsid w:val="1B245FF1"/>
    <w:rsid w:val="1B446693"/>
    <w:rsid w:val="1B9D3F6B"/>
    <w:rsid w:val="1BF9747E"/>
    <w:rsid w:val="1C160160"/>
    <w:rsid w:val="1C5F6668"/>
    <w:rsid w:val="1CB22D3B"/>
    <w:rsid w:val="1D750D86"/>
    <w:rsid w:val="1D952961"/>
    <w:rsid w:val="1E004E74"/>
    <w:rsid w:val="1E537CFD"/>
    <w:rsid w:val="1E5B44E7"/>
    <w:rsid w:val="1ED85A70"/>
    <w:rsid w:val="1EDF6D30"/>
    <w:rsid w:val="1F325180"/>
    <w:rsid w:val="1F6C10DE"/>
    <w:rsid w:val="201A79C2"/>
    <w:rsid w:val="20D14525"/>
    <w:rsid w:val="20EC5803"/>
    <w:rsid w:val="21244F9D"/>
    <w:rsid w:val="224A2156"/>
    <w:rsid w:val="228F4698"/>
    <w:rsid w:val="23690A46"/>
    <w:rsid w:val="238E0DF3"/>
    <w:rsid w:val="23902475"/>
    <w:rsid w:val="23A91789"/>
    <w:rsid w:val="242552B4"/>
    <w:rsid w:val="248F5924"/>
    <w:rsid w:val="24D942F0"/>
    <w:rsid w:val="256D7129"/>
    <w:rsid w:val="25B35AF5"/>
    <w:rsid w:val="26214108"/>
    <w:rsid w:val="26B66697"/>
    <w:rsid w:val="26BE1474"/>
    <w:rsid w:val="26EA4592"/>
    <w:rsid w:val="26EB3E67"/>
    <w:rsid w:val="271E159B"/>
    <w:rsid w:val="2749750B"/>
    <w:rsid w:val="27941F58"/>
    <w:rsid w:val="279A4F13"/>
    <w:rsid w:val="27AF0A37"/>
    <w:rsid w:val="28083CAF"/>
    <w:rsid w:val="28150C75"/>
    <w:rsid w:val="28433F5A"/>
    <w:rsid w:val="285C14C0"/>
    <w:rsid w:val="28AF5856"/>
    <w:rsid w:val="29192782"/>
    <w:rsid w:val="295F542A"/>
    <w:rsid w:val="29B33362"/>
    <w:rsid w:val="2A2B355E"/>
    <w:rsid w:val="2A557F75"/>
    <w:rsid w:val="2A703001"/>
    <w:rsid w:val="2A832D34"/>
    <w:rsid w:val="2AA64C74"/>
    <w:rsid w:val="2C1856FE"/>
    <w:rsid w:val="2C956D4E"/>
    <w:rsid w:val="2DAD00C8"/>
    <w:rsid w:val="2DD9710F"/>
    <w:rsid w:val="2F195A15"/>
    <w:rsid w:val="2F2A1380"/>
    <w:rsid w:val="2FAA48BF"/>
    <w:rsid w:val="303B19BB"/>
    <w:rsid w:val="305241D5"/>
    <w:rsid w:val="3150593A"/>
    <w:rsid w:val="315D3273"/>
    <w:rsid w:val="316D3DF6"/>
    <w:rsid w:val="317653A0"/>
    <w:rsid w:val="324266D0"/>
    <w:rsid w:val="32A01FA9"/>
    <w:rsid w:val="32B9008D"/>
    <w:rsid w:val="32C871AB"/>
    <w:rsid w:val="32E75E2A"/>
    <w:rsid w:val="32EE0F67"/>
    <w:rsid w:val="33F20F2A"/>
    <w:rsid w:val="348558FB"/>
    <w:rsid w:val="351729F7"/>
    <w:rsid w:val="353C420B"/>
    <w:rsid w:val="35B6517D"/>
    <w:rsid w:val="35BF0856"/>
    <w:rsid w:val="37531CE0"/>
    <w:rsid w:val="377C2FE5"/>
    <w:rsid w:val="37C4673A"/>
    <w:rsid w:val="37D050DF"/>
    <w:rsid w:val="384B7C91"/>
    <w:rsid w:val="38A309BF"/>
    <w:rsid w:val="38E01351"/>
    <w:rsid w:val="39202096"/>
    <w:rsid w:val="392526A5"/>
    <w:rsid w:val="39333B77"/>
    <w:rsid w:val="39475874"/>
    <w:rsid w:val="39657C8F"/>
    <w:rsid w:val="3979132D"/>
    <w:rsid w:val="3A370C19"/>
    <w:rsid w:val="3A8A6FD0"/>
    <w:rsid w:val="3ACE04B8"/>
    <w:rsid w:val="3ADE5D64"/>
    <w:rsid w:val="3B0A0908"/>
    <w:rsid w:val="3B0C0B24"/>
    <w:rsid w:val="3B4E4C98"/>
    <w:rsid w:val="3BA819F4"/>
    <w:rsid w:val="3BC96A15"/>
    <w:rsid w:val="3C0637C5"/>
    <w:rsid w:val="3D1201AC"/>
    <w:rsid w:val="3D891FB8"/>
    <w:rsid w:val="3D8B21D4"/>
    <w:rsid w:val="3EB47508"/>
    <w:rsid w:val="3F1461F9"/>
    <w:rsid w:val="3F964E60"/>
    <w:rsid w:val="3FA7706D"/>
    <w:rsid w:val="3FCB2D5B"/>
    <w:rsid w:val="3FDF6807"/>
    <w:rsid w:val="407F58F4"/>
    <w:rsid w:val="40F2256A"/>
    <w:rsid w:val="421D3616"/>
    <w:rsid w:val="42336996"/>
    <w:rsid w:val="42F06635"/>
    <w:rsid w:val="43064E70"/>
    <w:rsid w:val="434F5A51"/>
    <w:rsid w:val="43EA39CC"/>
    <w:rsid w:val="43EF0FE2"/>
    <w:rsid w:val="43F82FDF"/>
    <w:rsid w:val="43FB7987"/>
    <w:rsid w:val="450043C2"/>
    <w:rsid w:val="4511711A"/>
    <w:rsid w:val="463F1DAD"/>
    <w:rsid w:val="464C44CA"/>
    <w:rsid w:val="465F5FAB"/>
    <w:rsid w:val="46C36F5E"/>
    <w:rsid w:val="47D236DF"/>
    <w:rsid w:val="47E04ECA"/>
    <w:rsid w:val="488D7100"/>
    <w:rsid w:val="49975A5C"/>
    <w:rsid w:val="49DC7913"/>
    <w:rsid w:val="49FA18F6"/>
    <w:rsid w:val="4A251E1B"/>
    <w:rsid w:val="4A2C2648"/>
    <w:rsid w:val="4A3474F0"/>
    <w:rsid w:val="4A4245CD"/>
    <w:rsid w:val="4A4F6337"/>
    <w:rsid w:val="4ABD382C"/>
    <w:rsid w:val="4AC76815"/>
    <w:rsid w:val="4AE01685"/>
    <w:rsid w:val="4B2F1CB6"/>
    <w:rsid w:val="4B4D6D1A"/>
    <w:rsid w:val="4BE60F1D"/>
    <w:rsid w:val="4BEB208F"/>
    <w:rsid w:val="4C013661"/>
    <w:rsid w:val="4C8311CB"/>
    <w:rsid w:val="4D4203D5"/>
    <w:rsid w:val="4D4B54DB"/>
    <w:rsid w:val="4D6E221F"/>
    <w:rsid w:val="4DA16EA9"/>
    <w:rsid w:val="4DE41F8A"/>
    <w:rsid w:val="4DF80A94"/>
    <w:rsid w:val="4E1C29D4"/>
    <w:rsid w:val="4E916F1E"/>
    <w:rsid w:val="4ECF5314"/>
    <w:rsid w:val="4EE01C53"/>
    <w:rsid w:val="4EE31744"/>
    <w:rsid w:val="4F5C39D0"/>
    <w:rsid w:val="4F6A776F"/>
    <w:rsid w:val="4F710AFD"/>
    <w:rsid w:val="4F8A5A9D"/>
    <w:rsid w:val="50572C95"/>
    <w:rsid w:val="505F14C7"/>
    <w:rsid w:val="5099655E"/>
    <w:rsid w:val="518252DB"/>
    <w:rsid w:val="51A04E60"/>
    <w:rsid w:val="51CC5C50"/>
    <w:rsid w:val="51EB2889"/>
    <w:rsid w:val="522105B9"/>
    <w:rsid w:val="530103EA"/>
    <w:rsid w:val="53D33B35"/>
    <w:rsid w:val="53DD2C05"/>
    <w:rsid w:val="545C7FCE"/>
    <w:rsid w:val="55292E8A"/>
    <w:rsid w:val="55AF118E"/>
    <w:rsid w:val="569267A7"/>
    <w:rsid w:val="56A619D5"/>
    <w:rsid w:val="576F1263"/>
    <w:rsid w:val="578810DA"/>
    <w:rsid w:val="582A76AE"/>
    <w:rsid w:val="58B06B3A"/>
    <w:rsid w:val="59121BED"/>
    <w:rsid w:val="5949081C"/>
    <w:rsid w:val="59985FA3"/>
    <w:rsid w:val="59B368E2"/>
    <w:rsid w:val="5A00764E"/>
    <w:rsid w:val="5A2C0443"/>
    <w:rsid w:val="5A2F0E8B"/>
    <w:rsid w:val="5A5B2AD6"/>
    <w:rsid w:val="5A70032F"/>
    <w:rsid w:val="5AD848C7"/>
    <w:rsid w:val="5B4D241F"/>
    <w:rsid w:val="5BC44840"/>
    <w:rsid w:val="5BCC799D"/>
    <w:rsid w:val="5C14118E"/>
    <w:rsid w:val="5C311D40"/>
    <w:rsid w:val="5C8B76A2"/>
    <w:rsid w:val="5CAE15E3"/>
    <w:rsid w:val="5D465377"/>
    <w:rsid w:val="5D6E4482"/>
    <w:rsid w:val="5D942587"/>
    <w:rsid w:val="5DCB699B"/>
    <w:rsid w:val="5E993BCD"/>
    <w:rsid w:val="5EB16963"/>
    <w:rsid w:val="5EC7073A"/>
    <w:rsid w:val="5EEC63F2"/>
    <w:rsid w:val="5F2F64F6"/>
    <w:rsid w:val="5F765739"/>
    <w:rsid w:val="601B2AEB"/>
    <w:rsid w:val="60663E56"/>
    <w:rsid w:val="60F2109D"/>
    <w:rsid w:val="616E49ED"/>
    <w:rsid w:val="62044554"/>
    <w:rsid w:val="621C6FEF"/>
    <w:rsid w:val="625C563D"/>
    <w:rsid w:val="62FF66F4"/>
    <w:rsid w:val="635A354E"/>
    <w:rsid w:val="63A430D3"/>
    <w:rsid w:val="641E0DFC"/>
    <w:rsid w:val="641E704E"/>
    <w:rsid w:val="64990483"/>
    <w:rsid w:val="64B41760"/>
    <w:rsid w:val="64DE1478"/>
    <w:rsid w:val="65F16A93"/>
    <w:rsid w:val="6697565C"/>
    <w:rsid w:val="66CC0FE3"/>
    <w:rsid w:val="6707201B"/>
    <w:rsid w:val="673B7F17"/>
    <w:rsid w:val="675B32B6"/>
    <w:rsid w:val="67A4786A"/>
    <w:rsid w:val="67D16185"/>
    <w:rsid w:val="68555E3C"/>
    <w:rsid w:val="69317703"/>
    <w:rsid w:val="698D5D2B"/>
    <w:rsid w:val="69A27DD9"/>
    <w:rsid w:val="6A0C33B6"/>
    <w:rsid w:val="6A674B7F"/>
    <w:rsid w:val="6A6D03E7"/>
    <w:rsid w:val="6AB7694D"/>
    <w:rsid w:val="6ABC4ECB"/>
    <w:rsid w:val="6AD46799"/>
    <w:rsid w:val="6ADB7A47"/>
    <w:rsid w:val="6AEF52A0"/>
    <w:rsid w:val="6B142F59"/>
    <w:rsid w:val="6B2E730F"/>
    <w:rsid w:val="6B910106"/>
    <w:rsid w:val="6BE62696"/>
    <w:rsid w:val="6C08062F"/>
    <w:rsid w:val="6D0A63C2"/>
    <w:rsid w:val="6DBC76BD"/>
    <w:rsid w:val="6E3971A4"/>
    <w:rsid w:val="6E5378F4"/>
    <w:rsid w:val="6F1C418A"/>
    <w:rsid w:val="6F21311C"/>
    <w:rsid w:val="6F8C2A74"/>
    <w:rsid w:val="707149AA"/>
    <w:rsid w:val="70A75AB9"/>
    <w:rsid w:val="70B56644"/>
    <w:rsid w:val="70DC62C7"/>
    <w:rsid w:val="712725DE"/>
    <w:rsid w:val="714479C8"/>
    <w:rsid w:val="7161057A"/>
    <w:rsid w:val="7164098D"/>
    <w:rsid w:val="72037883"/>
    <w:rsid w:val="72542898"/>
    <w:rsid w:val="72B15531"/>
    <w:rsid w:val="72DC7A37"/>
    <w:rsid w:val="72DE4054"/>
    <w:rsid w:val="72FC77E5"/>
    <w:rsid w:val="73221F8B"/>
    <w:rsid w:val="73840550"/>
    <w:rsid w:val="741D3CC2"/>
    <w:rsid w:val="742A7349"/>
    <w:rsid w:val="74507348"/>
    <w:rsid w:val="748C2BD9"/>
    <w:rsid w:val="74A215D5"/>
    <w:rsid w:val="74C50E20"/>
    <w:rsid w:val="755B67EF"/>
    <w:rsid w:val="760A7538"/>
    <w:rsid w:val="761E3929"/>
    <w:rsid w:val="76326989"/>
    <w:rsid w:val="764F12E9"/>
    <w:rsid w:val="769211D6"/>
    <w:rsid w:val="76FB155D"/>
    <w:rsid w:val="776B2153"/>
    <w:rsid w:val="779E44BF"/>
    <w:rsid w:val="77A52A33"/>
    <w:rsid w:val="77AF64E3"/>
    <w:rsid w:val="788A2AAC"/>
    <w:rsid w:val="799A0ACD"/>
    <w:rsid w:val="79D74B7F"/>
    <w:rsid w:val="7A2D1941"/>
    <w:rsid w:val="7A590988"/>
    <w:rsid w:val="7AAA6BCA"/>
    <w:rsid w:val="7AB57A3E"/>
    <w:rsid w:val="7AFB1A3F"/>
    <w:rsid w:val="7B6969A9"/>
    <w:rsid w:val="7BF00E78"/>
    <w:rsid w:val="7C1D27B5"/>
    <w:rsid w:val="7C3945CD"/>
    <w:rsid w:val="7C43369E"/>
    <w:rsid w:val="7CB73744"/>
    <w:rsid w:val="7CD82038"/>
    <w:rsid w:val="7D3C7304"/>
    <w:rsid w:val="7DDBCC09"/>
    <w:rsid w:val="7E6F7172"/>
    <w:rsid w:val="7E7E7CFE"/>
    <w:rsid w:val="7EAF0B77"/>
    <w:rsid w:val="7EB0128A"/>
    <w:rsid w:val="7EE03426"/>
    <w:rsid w:val="7F7A5E20"/>
    <w:rsid w:val="7F932247"/>
    <w:rsid w:val="7F9A1827"/>
    <w:rsid w:val="7FA93818"/>
    <w:rsid w:val="7FEFFB7B"/>
    <w:rsid w:val="DFFFBE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textAlignment w:val="baseline"/>
    </w:pPr>
    <w:rPr>
      <w:rFonts w:ascii="Times New Roman" w:hAnsi="Times New Roman" w:eastAsia="宋体" w:cs="Times New Roman"/>
      <w:sz w:val="24"/>
      <w:lang w:val="en-US" w:eastAsia="zh-CN" w:bidi="ar-SA"/>
    </w:rPr>
  </w:style>
  <w:style w:type="paragraph" w:styleId="2">
    <w:name w:val="heading 1"/>
    <w:basedOn w:val="1"/>
    <w:next w:val="1"/>
    <w:link w:val="68"/>
    <w:qFormat/>
    <w:uiPriority w:val="0"/>
    <w:pPr>
      <w:keepNext/>
      <w:spacing w:line="300" w:lineRule="auto"/>
      <w:jc w:val="both"/>
      <w:outlineLvl w:val="0"/>
    </w:pPr>
    <w:rPr>
      <w:rFonts w:ascii="Arial" w:hAnsi="Arial" w:eastAsia="仿宋_GB2312" w:cs="Arial"/>
      <w:b/>
      <w:sz w:val="28"/>
    </w:rPr>
  </w:style>
  <w:style w:type="paragraph" w:styleId="3">
    <w:name w:val="heading 2"/>
    <w:basedOn w:val="1"/>
    <w:next w:val="1"/>
    <w:link w:val="69"/>
    <w:qFormat/>
    <w:uiPriority w:val="0"/>
    <w:pPr>
      <w:keepNext/>
      <w:numPr>
        <w:ilvl w:val="0"/>
        <w:numId w:val="1"/>
      </w:numPr>
      <w:spacing w:line="300" w:lineRule="auto"/>
      <w:outlineLvl w:val="1"/>
    </w:pPr>
    <w:rPr>
      <w:rFonts w:ascii="Arial" w:hAnsi="Arial" w:eastAsia="仿宋_GB2312" w:cs="Arial"/>
      <w:b/>
      <w:bCs/>
      <w:sz w:val="28"/>
    </w:rPr>
  </w:style>
  <w:style w:type="paragraph" w:styleId="4">
    <w:name w:val="heading 3"/>
    <w:basedOn w:val="1"/>
    <w:next w:val="1"/>
    <w:link w:val="70"/>
    <w:qFormat/>
    <w:uiPriority w:val="0"/>
    <w:pPr>
      <w:keepNext/>
      <w:numPr>
        <w:ilvl w:val="1"/>
        <w:numId w:val="2"/>
      </w:numPr>
      <w:tabs>
        <w:tab w:val="left" w:pos="0"/>
        <w:tab w:val="left" w:pos="1200"/>
        <w:tab w:val="clear" w:pos="1740"/>
      </w:tabs>
      <w:spacing w:line="440" w:lineRule="atLeast"/>
      <w:ind w:left="1320" w:hanging="600"/>
      <w:jc w:val="both"/>
      <w:outlineLvl w:val="2"/>
    </w:pPr>
    <w:rPr>
      <w:rFonts w:ascii="仿宋_GB2312" w:hAnsi="Arial" w:eastAsia="仿宋_GB2312" w:cs="Arial"/>
      <w:sz w:val="28"/>
    </w:rPr>
  </w:style>
  <w:style w:type="paragraph" w:styleId="5">
    <w:name w:val="heading 4"/>
    <w:basedOn w:val="1"/>
    <w:next w:val="1"/>
    <w:link w:val="71"/>
    <w:qFormat/>
    <w:uiPriority w:val="0"/>
    <w:pPr>
      <w:keepNext/>
      <w:numPr>
        <w:ilvl w:val="0"/>
        <w:numId w:val="3"/>
      </w:numPr>
      <w:tabs>
        <w:tab w:val="clear" w:pos="1605"/>
      </w:tabs>
      <w:spacing w:line="440" w:lineRule="atLeast"/>
      <w:ind w:right="-22"/>
      <w:outlineLvl w:val="3"/>
    </w:pPr>
    <w:rPr>
      <w:rFonts w:ascii="仿宋_GB2312" w:eastAsia="仿宋_GB2312"/>
      <w:sz w:val="28"/>
    </w:rPr>
  </w:style>
  <w:style w:type="paragraph" w:styleId="6">
    <w:name w:val="heading 5"/>
    <w:basedOn w:val="1"/>
    <w:next w:val="1"/>
    <w:qFormat/>
    <w:uiPriority w:val="0"/>
    <w:pPr>
      <w:keepNext/>
      <w:spacing w:line="500" w:lineRule="exact"/>
      <w:jc w:val="center"/>
      <w:outlineLvl w:val="4"/>
    </w:pPr>
    <w:rPr>
      <w:rFonts w:ascii="楷体_GB2312" w:eastAsia="楷体_GB2312"/>
      <w:color w:val="000000"/>
      <w:sz w:val="28"/>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semiHidden/>
    <w:qFormat/>
    <w:uiPriority w:val="0"/>
    <w:pPr>
      <w:ind w:left="2520" w:leftChars="1200"/>
    </w:pPr>
  </w:style>
  <w:style w:type="paragraph" w:styleId="8">
    <w:name w:val="Normal Indent"/>
    <w:basedOn w:val="1"/>
    <w:semiHidden/>
    <w:qFormat/>
    <w:uiPriority w:val="0"/>
    <w:pPr>
      <w:adjustRightInd/>
      <w:spacing w:line="240" w:lineRule="auto"/>
      <w:ind w:firstLine="560" w:firstLineChars="200"/>
      <w:jc w:val="both"/>
      <w:textAlignment w:val="auto"/>
    </w:pPr>
    <w:rPr>
      <w:rFonts w:eastAsia="GungsuhChe"/>
      <w:color w:val="FF0000"/>
      <w:kern w:val="2"/>
      <w:sz w:val="28"/>
      <w:szCs w:val="24"/>
    </w:rPr>
  </w:style>
  <w:style w:type="paragraph" w:styleId="9">
    <w:name w:val="caption"/>
    <w:basedOn w:val="1"/>
    <w:next w:val="1"/>
    <w:qFormat/>
    <w:uiPriority w:val="35"/>
    <w:rPr>
      <w:rFonts w:ascii="Cambria" w:hAnsi="Cambria" w:eastAsia="黑体"/>
      <w:sz w:val="20"/>
    </w:rPr>
  </w:style>
  <w:style w:type="paragraph" w:styleId="10">
    <w:name w:val="Document Map"/>
    <w:basedOn w:val="1"/>
    <w:link w:val="41"/>
    <w:semiHidden/>
    <w:qFormat/>
    <w:uiPriority w:val="0"/>
    <w:pPr>
      <w:shd w:val="clear" w:color="auto" w:fill="000080"/>
    </w:pPr>
  </w:style>
  <w:style w:type="paragraph" w:styleId="11">
    <w:name w:val="annotation text"/>
    <w:basedOn w:val="1"/>
    <w:link w:val="42"/>
    <w:qFormat/>
    <w:uiPriority w:val="0"/>
  </w:style>
  <w:style w:type="paragraph" w:styleId="12">
    <w:name w:val="Body Text"/>
    <w:basedOn w:val="1"/>
    <w:link w:val="74"/>
    <w:qFormat/>
    <w:uiPriority w:val="0"/>
    <w:rPr>
      <w:rFonts w:eastAsia="隶书"/>
      <w:sz w:val="52"/>
    </w:rPr>
  </w:style>
  <w:style w:type="paragraph" w:styleId="13">
    <w:name w:val="Body Text Indent"/>
    <w:basedOn w:val="1"/>
    <w:link w:val="75"/>
    <w:qFormat/>
    <w:uiPriority w:val="0"/>
    <w:pPr>
      <w:spacing w:before="120" w:line="360" w:lineRule="auto"/>
      <w:ind w:left="1145"/>
    </w:pPr>
    <w:rPr>
      <w:rFonts w:ascii="楷体_GB2312" w:eastAsia="楷体_GB2312"/>
      <w:kern w:val="2"/>
      <w:sz w:val="28"/>
    </w:rPr>
  </w:style>
  <w:style w:type="paragraph" w:styleId="14">
    <w:name w:val="toc 5"/>
    <w:basedOn w:val="1"/>
    <w:next w:val="1"/>
    <w:semiHidden/>
    <w:qFormat/>
    <w:uiPriority w:val="0"/>
    <w:pPr>
      <w:ind w:left="1680" w:leftChars="800"/>
    </w:pPr>
  </w:style>
  <w:style w:type="paragraph" w:styleId="15">
    <w:name w:val="toc 3"/>
    <w:basedOn w:val="1"/>
    <w:next w:val="1"/>
    <w:semiHidden/>
    <w:qFormat/>
    <w:uiPriority w:val="0"/>
    <w:pPr>
      <w:ind w:left="840" w:leftChars="400"/>
    </w:pPr>
  </w:style>
  <w:style w:type="paragraph" w:styleId="16">
    <w:name w:val="Plain Text"/>
    <w:basedOn w:val="1"/>
    <w:link w:val="76"/>
    <w:qFormat/>
    <w:uiPriority w:val="0"/>
    <w:pPr>
      <w:adjustRightInd/>
      <w:spacing w:line="240" w:lineRule="auto"/>
      <w:jc w:val="both"/>
      <w:textAlignment w:val="auto"/>
    </w:pPr>
    <w:rPr>
      <w:rFonts w:ascii="宋体" w:hAnsi="Courier New"/>
      <w:kern w:val="2"/>
      <w:sz w:val="21"/>
    </w:rPr>
  </w:style>
  <w:style w:type="paragraph" w:styleId="17">
    <w:name w:val="toc 8"/>
    <w:basedOn w:val="1"/>
    <w:next w:val="1"/>
    <w:semiHidden/>
    <w:qFormat/>
    <w:uiPriority w:val="0"/>
    <w:pPr>
      <w:ind w:left="2940" w:leftChars="1400"/>
    </w:pPr>
  </w:style>
  <w:style w:type="paragraph" w:styleId="18">
    <w:name w:val="Date"/>
    <w:basedOn w:val="1"/>
    <w:next w:val="1"/>
    <w:link w:val="77"/>
    <w:qFormat/>
    <w:uiPriority w:val="0"/>
    <w:pPr>
      <w:jc w:val="both"/>
    </w:pPr>
    <w:rPr>
      <w:rFonts w:ascii="楷体_GB2312" w:eastAsia="楷体_GB2312"/>
      <w:b/>
      <w:sz w:val="28"/>
    </w:rPr>
  </w:style>
  <w:style w:type="paragraph" w:styleId="19">
    <w:name w:val="Body Text Indent 2"/>
    <w:basedOn w:val="1"/>
    <w:link w:val="78"/>
    <w:qFormat/>
    <w:uiPriority w:val="0"/>
    <w:pPr>
      <w:spacing w:before="120" w:line="360" w:lineRule="auto"/>
      <w:ind w:left="600" w:firstLine="480"/>
    </w:pPr>
    <w:rPr>
      <w:rFonts w:ascii="楷体_GB2312" w:eastAsia="楷体_GB2312"/>
      <w:kern w:val="2"/>
      <w:sz w:val="28"/>
    </w:rPr>
  </w:style>
  <w:style w:type="paragraph" w:styleId="20">
    <w:name w:val="Balloon Text"/>
    <w:basedOn w:val="1"/>
    <w:link w:val="79"/>
    <w:semiHidden/>
    <w:qFormat/>
    <w:uiPriority w:val="0"/>
    <w:rPr>
      <w:sz w:val="18"/>
      <w:szCs w:val="18"/>
    </w:rPr>
  </w:style>
  <w:style w:type="paragraph" w:styleId="21">
    <w:name w:val="footer"/>
    <w:basedOn w:val="1"/>
    <w:link w:val="43"/>
    <w:qFormat/>
    <w:uiPriority w:val="99"/>
    <w:pPr>
      <w:tabs>
        <w:tab w:val="center" w:pos="4153"/>
        <w:tab w:val="right" w:pos="8306"/>
      </w:tabs>
      <w:spacing w:line="240" w:lineRule="atLeast"/>
    </w:pPr>
    <w:rPr>
      <w:sz w:val="18"/>
    </w:rPr>
  </w:style>
  <w:style w:type="paragraph" w:styleId="22">
    <w:name w:val="header"/>
    <w:basedOn w:val="1"/>
    <w:link w:val="44"/>
    <w:qFormat/>
    <w:uiPriority w:val="99"/>
    <w:pPr>
      <w:pBdr>
        <w:bottom w:val="single" w:color="auto" w:sz="6" w:space="1"/>
      </w:pBdr>
      <w:tabs>
        <w:tab w:val="center" w:pos="4153"/>
        <w:tab w:val="right" w:pos="8306"/>
      </w:tabs>
      <w:snapToGrid w:val="0"/>
      <w:spacing w:line="240" w:lineRule="atLeast"/>
      <w:jc w:val="center"/>
    </w:pPr>
    <w:rPr>
      <w:sz w:val="18"/>
    </w:rPr>
  </w:style>
  <w:style w:type="paragraph" w:styleId="23">
    <w:name w:val="toc 1"/>
    <w:basedOn w:val="1"/>
    <w:next w:val="1"/>
    <w:qFormat/>
    <w:uiPriority w:val="39"/>
    <w:pPr>
      <w:tabs>
        <w:tab w:val="right" w:leader="dot" w:pos="9072"/>
      </w:tabs>
      <w:spacing w:line="360" w:lineRule="auto"/>
    </w:pPr>
    <w:rPr>
      <w:rFonts w:ascii="楷体_GB2312" w:eastAsia="楷体_GB2312"/>
      <w:b/>
      <w:bCs/>
      <w:sz w:val="30"/>
      <w:szCs w:val="30"/>
    </w:rPr>
  </w:style>
  <w:style w:type="paragraph" w:styleId="24">
    <w:name w:val="toc 4"/>
    <w:basedOn w:val="1"/>
    <w:next w:val="1"/>
    <w:semiHidden/>
    <w:qFormat/>
    <w:uiPriority w:val="0"/>
    <w:pPr>
      <w:ind w:left="1260" w:leftChars="600"/>
    </w:pPr>
  </w:style>
  <w:style w:type="paragraph" w:styleId="25">
    <w:name w:val="toc 6"/>
    <w:basedOn w:val="1"/>
    <w:next w:val="1"/>
    <w:semiHidden/>
    <w:qFormat/>
    <w:uiPriority w:val="0"/>
    <w:pPr>
      <w:ind w:left="2100" w:leftChars="1000"/>
    </w:pPr>
  </w:style>
  <w:style w:type="paragraph" w:styleId="26">
    <w:name w:val="Body Text Indent 3"/>
    <w:basedOn w:val="1"/>
    <w:link w:val="82"/>
    <w:qFormat/>
    <w:uiPriority w:val="0"/>
    <w:pPr>
      <w:spacing w:line="360" w:lineRule="auto"/>
      <w:ind w:left="600" w:firstLine="555"/>
      <w:outlineLvl w:val="0"/>
    </w:pPr>
    <w:rPr>
      <w:rFonts w:ascii="楷体_GB2312" w:eastAsia="楷体_GB2312"/>
      <w:kern w:val="2"/>
      <w:sz w:val="28"/>
    </w:rPr>
  </w:style>
  <w:style w:type="paragraph" w:styleId="27">
    <w:name w:val="toc 2"/>
    <w:basedOn w:val="1"/>
    <w:next w:val="1"/>
    <w:qFormat/>
    <w:uiPriority w:val="39"/>
    <w:pPr>
      <w:tabs>
        <w:tab w:val="right" w:leader="dot" w:pos="9072"/>
      </w:tabs>
      <w:spacing w:line="360" w:lineRule="auto"/>
      <w:ind w:left="480" w:leftChars="200"/>
    </w:pPr>
    <w:rPr>
      <w:rFonts w:eastAsia="楷体_GB2312"/>
    </w:rPr>
  </w:style>
  <w:style w:type="paragraph" w:styleId="28">
    <w:name w:val="toc 9"/>
    <w:basedOn w:val="1"/>
    <w:next w:val="1"/>
    <w:semiHidden/>
    <w:qFormat/>
    <w:uiPriority w:val="0"/>
    <w:pPr>
      <w:ind w:left="3360" w:leftChars="1600"/>
    </w:pPr>
  </w:style>
  <w:style w:type="paragraph" w:styleId="29">
    <w:name w:val="Body Text 2"/>
    <w:basedOn w:val="1"/>
    <w:link w:val="83"/>
    <w:qFormat/>
    <w:uiPriority w:val="0"/>
    <w:pPr>
      <w:spacing w:line="360" w:lineRule="auto"/>
      <w:ind w:right="2"/>
    </w:pPr>
    <w:rPr>
      <w:rFonts w:eastAsia="仿宋_GB2312"/>
      <w:sz w:val="28"/>
    </w:rPr>
  </w:style>
  <w:style w:type="paragraph" w:styleId="30">
    <w:name w:val="Normal (Web)"/>
    <w:basedOn w:val="1"/>
    <w:qFormat/>
    <w:uiPriority w:val="99"/>
    <w:pPr>
      <w:widowControl/>
      <w:adjustRightInd/>
      <w:spacing w:line="360" w:lineRule="auto"/>
      <w:textAlignment w:val="auto"/>
    </w:pPr>
    <w:rPr>
      <w:rFonts w:ascii="宋体" w:hAnsi="宋体"/>
      <w:sz w:val="18"/>
      <w:szCs w:val="18"/>
    </w:rPr>
  </w:style>
  <w:style w:type="paragraph" w:styleId="31">
    <w:name w:val="annotation subject"/>
    <w:basedOn w:val="11"/>
    <w:next w:val="11"/>
    <w:link w:val="84"/>
    <w:semiHidden/>
    <w:qFormat/>
    <w:uiPriority w:val="0"/>
    <w:rPr>
      <w:b/>
      <w:bCs/>
    </w:rPr>
  </w:style>
  <w:style w:type="paragraph" w:styleId="32">
    <w:name w:val="Body Text First Indent"/>
    <w:basedOn w:val="12"/>
    <w:link w:val="85"/>
    <w:qFormat/>
    <w:uiPriority w:val="0"/>
    <w:pPr>
      <w:adjustRightInd/>
      <w:spacing w:after="120" w:line="240" w:lineRule="auto"/>
      <w:ind w:firstLine="420"/>
      <w:jc w:val="both"/>
      <w:textAlignment w:val="auto"/>
    </w:pPr>
    <w:rPr>
      <w:rFonts w:eastAsia="宋体"/>
      <w:kern w:val="2"/>
      <w:sz w:val="21"/>
    </w:rPr>
  </w:style>
  <w:style w:type="table" w:styleId="34">
    <w:name w:val="Table Grid"/>
    <w:basedOn w:val="33"/>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6">
    <w:name w:val="Strong"/>
    <w:qFormat/>
    <w:uiPriority w:val="22"/>
    <w:rPr>
      <w:b/>
      <w:bCs/>
    </w:rPr>
  </w:style>
  <w:style w:type="character" w:styleId="37">
    <w:name w:val="page number"/>
    <w:qFormat/>
    <w:uiPriority w:val="0"/>
  </w:style>
  <w:style w:type="character" w:styleId="38">
    <w:name w:val="FollowedHyperlink"/>
    <w:qFormat/>
    <w:uiPriority w:val="0"/>
    <w:rPr>
      <w:color w:val="800080"/>
      <w:u w:val="single"/>
    </w:rPr>
  </w:style>
  <w:style w:type="character" w:styleId="39">
    <w:name w:val="Hyperlink"/>
    <w:qFormat/>
    <w:uiPriority w:val="99"/>
    <w:rPr>
      <w:color w:val="0000FF"/>
      <w:u w:val="single"/>
    </w:rPr>
  </w:style>
  <w:style w:type="character" w:styleId="40">
    <w:name w:val="annotation reference"/>
    <w:qFormat/>
    <w:uiPriority w:val="0"/>
    <w:rPr>
      <w:sz w:val="21"/>
      <w:szCs w:val="21"/>
    </w:rPr>
  </w:style>
  <w:style w:type="character" w:customStyle="1" w:styleId="41">
    <w:name w:val="文档结构图 字符"/>
    <w:link w:val="10"/>
    <w:semiHidden/>
    <w:qFormat/>
    <w:uiPriority w:val="0"/>
    <w:rPr>
      <w:sz w:val="24"/>
      <w:shd w:val="clear" w:color="auto" w:fill="000080"/>
    </w:rPr>
  </w:style>
  <w:style w:type="character" w:customStyle="1" w:styleId="42">
    <w:name w:val="批注文字 字符"/>
    <w:link w:val="11"/>
    <w:qFormat/>
    <w:uiPriority w:val="0"/>
    <w:rPr>
      <w:sz w:val="24"/>
    </w:rPr>
  </w:style>
  <w:style w:type="character" w:customStyle="1" w:styleId="43">
    <w:name w:val="页脚 字符"/>
    <w:link w:val="21"/>
    <w:qFormat/>
    <w:uiPriority w:val="99"/>
    <w:rPr>
      <w:sz w:val="18"/>
    </w:rPr>
  </w:style>
  <w:style w:type="character" w:customStyle="1" w:styleId="44">
    <w:name w:val="页眉 字符"/>
    <w:link w:val="22"/>
    <w:qFormat/>
    <w:uiPriority w:val="99"/>
    <w:rPr>
      <w:sz w:val="18"/>
    </w:rPr>
  </w:style>
  <w:style w:type="character" w:customStyle="1" w:styleId="45">
    <w:name w:val="中等深浅网格 2 字符"/>
    <w:link w:val="46"/>
    <w:qFormat/>
    <w:uiPriority w:val="1"/>
    <w:rPr>
      <w:rFonts w:ascii="Calibri" w:hAnsi="Calibri"/>
      <w:sz w:val="22"/>
      <w:szCs w:val="22"/>
      <w:lang w:val="en-US" w:eastAsia="zh-CN" w:bidi="ar-SA"/>
    </w:rPr>
  </w:style>
  <w:style w:type="paragraph" w:customStyle="1" w:styleId="46">
    <w:name w:val="中等深浅网格 21"/>
    <w:link w:val="45"/>
    <w:qFormat/>
    <w:uiPriority w:val="1"/>
    <w:rPr>
      <w:rFonts w:ascii="Calibri" w:hAnsi="Calibri" w:eastAsia="宋体" w:cs="Times New Roman"/>
      <w:sz w:val="22"/>
      <w:szCs w:val="22"/>
      <w:lang w:val="en-US" w:eastAsia="zh-CN" w:bidi="ar-SA"/>
    </w:rPr>
  </w:style>
  <w:style w:type="character" w:customStyle="1" w:styleId="47">
    <w:name w:val="unnamed11"/>
    <w:qFormat/>
    <w:uiPriority w:val="0"/>
    <w:rPr>
      <w:rFonts w:hint="eastAsia" w:ascii="宋体" w:hAnsi="宋体" w:eastAsia="宋体"/>
      <w:color w:val="000000"/>
      <w:sz w:val="18"/>
      <w:szCs w:val="18"/>
      <w:u w:val="none"/>
    </w:rPr>
  </w:style>
  <w:style w:type="character" w:customStyle="1" w:styleId="48">
    <w:name w:val="text1"/>
    <w:qFormat/>
    <w:uiPriority w:val="0"/>
    <w:rPr>
      <w:spacing w:val="10"/>
      <w:sz w:val="28"/>
      <w:szCs w:val="28"/>
    </w:rPr>
  </w:style>
  <w:style w:type="character" w:customStyle="1" w:styleId="49">
    <w:name w:val="nr1"/>
    <w:qFormat/>
    <w:uiPriority w:val="0"/>
    <w:rPr>
      <w:rFonts w:hint="eastAsia" w:ascii="楷体_GB2312" w:eastAsia="楷体_GB2312"/>
      <w:color w:val="000000"/>
      <w:sz w:val="24"/>
      <w:szCs w:val="24"/>
    </w:rPr>
  </w:style>
  <w:style w:type="character" w:customStyle="1" w:styleId="50">
    <w:name w:val="t12h291"/>
    <w:qFormat/>
    <w:uiPriority w:val="0"/>
    <w:rPr>
      <w:color w:val="000000"/>
      <w:sz w:val="24"/>
      <w:szCs w:val="24"/>
    </w:rPr>
  </w:style>
  <w:style w:type="character" w:customStyle="1" w:styleId="51">
    <w:name w:val="标题 5 Char"/>
    <w:qFormat/>
    <w:uiPriority w:val="0"/>
    <w:rPr>
      <w:rFonts w:ascii="楷体_GB2312" w:eastAsia="楷体_GB2312"/>
      <w:color w:val="000000"/>
      <w:sz w:val="28"/>
    </w:rPr>
  </w:style>
  <w:style w:type="paragraph" w:customStyle="1" w:styleId="52">
    <w:name w:val="Table Paragraph"/>
    <w:basedOn w:val="1"/>
    <w:qFormat/>
    <w:uiPriority w:val="1"/>
    <w:pPr>
      <w:autoSpaceDE w:val="0"/>
      <w:autoSpaceDN w:val="0"/>
      <w:adjustRightInd/>
      <w:spacing w:line="240" w:lineRule="auto"/>
      <w:textAlignment w:val="auto"/>
    </w:pPr>
    <w:rPr>
      <w:rFonts w:ascii="宋体" w:hAnsi="宋体" w:cs="宋体"/>
      <w:sz w:val="22"/>
      <w:szCs w:val="22"/>
      <w:lang w:val="zh-CN" w:bidi="zh-CN"/>
    </w:rPr>
  </w:style>
  <w:style w:type="paragraph" w:customStyle="1" w:styleId="53">
    <w:name w:val="无间隔1"/>
    <w:qFormat/>
    <w:uiPriority w:val="0"/>
    <w:pPr>
      <w:widowControl w:val="0"/>
      <w:jc w:val="both"/>
    </w:pPr>
    <w:rPr>
      <w:rFonts w:ascii="Calibri" w:hAnsi="Calibri" w:eastAsia="宋体" w:cs="Times New Roman"/>
      <w:kern w:val="2"/>
      <w:sz w:val="24"/>
      <w:szCs w:val="22"/>
      <w:lang w:val="en-US" w:eastAsia="zh-CN" w:bidi="ar-SA"/>
    </w:rPr>
  </w:style>
  <w:style w:type="paragraph" w:customStyle="1" w:styleId="54">
    <w:name w:val="彩色列表 - 着色 11"/>
    <w:basedOn w:val="1"/>
    <w:qFormat/>
    <w:uiPriority w:val="1"/>
    <w:pPr>
      <w:ind w:firstLine="420" w:firstLineChars="200"/>
    </w:pPr>
  </w:style>
  <w:style w:type="paragraph" w:customStyle="1" w:styleId="55">
    <w:name w:val="xl25"/>
    <w:basedOn w:val="1"/>
    <w:qFormat/>
    <w:uiPriority w:val="0"/>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56">
    <w:name w:val="xl28"/>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eastAsia="Arial Unicode MS"/>
      <w:szCs w:val="24"/>
    </w:rPr>
  </w:style>
  <w:style w:type="paragraph" w:customStyle="1" w:styleId="57">
    <w:name w:val="xl30"/>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58">
    <w:name w:val="Default"/>
    <w:qFormat/>
    <w:uiPriority w:val="0"/>
    <w:pPr>
      <w:widowControl w:val="0"/>
      <w:autoSpaceDE w:val="0"/>
      <w:autoSpaceDN w:val="0"/>
      <w:adjustRightInd w:val="0"/>
    </w:pPr>
    <w:rPr>
      <w:rFonts w:ascii="仿宋" w:hAnsi="Calibri" w:eastAsia="仿宋" w:cs="仿宋"/>
      <w:color w:val="000000"/>
      <w:sz w:val="24"/>
      <w:szCs w:val="24"/>
      <w:lang w:val="en-US" w:eastAsia="zh-CN" w:bidi="ar-SA"/>
    </w:rPr>
  </w:style>
  <w:style w:type="paragraph" w:customStyle="1" w:styleId="59">
    <w:name w:val="font5"/>
    <w:basedOn w:val="1"/>
    <w:qFormat/>
    <w:uiPriority w:val="0"/>
    <w:pPr>
      <w:widowControl/>
      <w:adjustRightInd/>
      <w:spacing w:before="100" w:beforeAutospacing="1" w:after="100" w:afterAutospacing="1" w:line="240" w:lineRule="auto"/>
      <w:textAlignment w:val="auto"/>
    </w:pPr>
    <w:rPr>
      <w:rFonts w:hint="eastAsia" w:ascii="宋体" w:hAnsi="宋体"/>
      <w:sz w:val="18"/>
      <w:szCs w:val="18"/>
    </w:rPr>
  </w:style>
  <w:style w:type="paragraph" w:customStyle="1" w:styleId="60">
    <w:name w:val="正文1"/>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61">
    <w:name w:val="正文11"/>
    <w:qFormat/>
    <w:uiPriority w:val="0"/>
    <w:pPr>
      <w:widowControl w:val="0"/>
      <w:adjustRightInd w:val="0"/>
      <w:spacing w:line="360" w:lineRule="atLeast"/>
      <w:jc w:val="center"/>
      <w:textAlignment w:val="baseline"/>
    </w:pPr>
    <w:rPr>
      <w:rFonts w:ascii="宋体" w:hAnsi="Times New Roman" w:eastAsia="宋体" w:cs="Times New Roman"/>
      <w:sz w:val="34"/>
      <w:lang w:val="en-US" w:eastAsia="zh-CN" w:bidi="ar-SA"/>
    </w:rPr>
  </w:style>
  <w:style w:type="paragraph" w:customStyle="1" w:styleId="62">
    <w:name w:val="Char Char1 Char"/>
    <w:basedOn w:val="1"/>
    <w:qFormat/>
    <w:uiPriority w:val="0"/>
    <w:pPr>
      <w:adjustRightInd/>
      <w:spacing w:line="240" w:lineRule="auto"/>
      <w:jc w:val="both"/>
      <w:textAlignment w:val="auto"/>
    </w:pPr>
    <w:rPr>
      <w:rFonts w:ascii="宋体" w:hAnsi="宋体" w:cs="Courier New"/>
      <w:kern w:val="2"/>
      <w:sz w:val="32"/>
      <w:szCs w:val="32"/>
    </w:rPr>
  </w:style>
  <w:style w:type="paragraph" w:customStyle="1" w:styleId="63">
    <w:name w:val="xl33"/>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64">
    <w:name w:val="Table Normal"/>
    <w:semiHidden/>
    <w:qFormat/>
    <w:uiPriority w:val="2"/>
    <w:pPr>
      <w:widowControl w:val="0"/>
      <w:autoSpaceDE w:val="0"/>
      <w:autoSpaceDN w:val="0"/>
    </w:pPr>
    <w:rPr>
      <w:rFonts w:ascii="Calibri" w:hAnsi="Calibri" w:eastAsia="Times New Roman"/>
      <w:sz w:val="22"/>
      <w:szCs w:val="22"/>
      <w:lang w:eastAsia="en-US"/>
    </w:rPr>
    <w:tblPr>
      <w:tblCellMar>
        <w:top w:w="0" w:type="dxa"/>
        <w:left w:w="0" w:type="dxa"/>
        <w:bottom w:w="0" w:type="dxa"/>
        <w:right w:w="0" w:type="dxa"/>
      </w:tblCellMar>
    </w:tblPr>
  </w:style>
  <w:style w:type="character" w:customStyle="1" w:styleId="65">
    <w:name w:val="fontstyle01"/>
    <w:qFormat/>
    <w:uiPriority w:val="0"/>
    <w:rPr>
      <w:rFonts w:hint="eastAsia" w:ascii="仿宋_GB2312" w:eastAsia="仿宋_GB2312"/>
      <w:color w:val="000000"/>
      <w:sz w:val="28"/>
      <w:szCs w:val="28"/>
    </w:rPr>
  </w:style>
  <w:style w:type="paragraph" w:customStyle="1" w:styleId="66">
    <w:name w:val="LO-Normal"/>
    <w:qFormat/>
    <w:uiPriority w:val="0"/>
    <w:pPr>
      <w:widowControl w:val="0"/>
      <w:suppressAutoHyphens/>
      <w:spacing w:line="360" w:lineRule="atLeast"/>
      <w:textAlignment w:val="baseline"/>
    </w:pPr>
    <w:rPr>
      <w:rFonts w:ascii="宋体" w:hAnsi="宋体" w:eastAsia="宋体" w:cs="Times New Roman"/>
      <w:sz w:val="34"/>
      <w:lang w:val="en-US" w:eastAsia="zh-CN" w:bidi="ar-SA"/>
    </w:rPr>
  </w:style>
  <w:style w:type="character" w:customStyle="1" w:styleId="67">
    <w:name w:val="text_jayku"/>
    <w:basedOn w:val="35"/>
    <w:qFormat/>
    <w:uiPriority w:val="0"/>
  </w:style>
  <w:style w:type="character" w:customStyle="1" w:styleId="68">
    <w:name w:val="标题 1 字符"/>
    <w:link w:val="2"/>
    <w:qFormat/>
    <w:uiPriority w:val="0"/>
    <w:rPr>
      <w:rFonts w:ascii="Arial" w:hAnsi="Arial" w:eastAsia="仿宋_GB2312" w:cs="Arial"/>
      <w:b/>
      <w:sz w:val="28"/>
    </w:rPr>
  </w:style>
  <w:style w:type="character" w:customStyle="1" w:styleId="69">
    <w:name w:val="标题 2 字符"/>
    <w:link w:val="3"/>
    <w:qFormat/>
    <w:uiPriority w:val="0"/>
    <w:rPr>
      <w:rFonts w:ascii="Arial" w:hAnsi="Arial" w:eastAsia="仿宋_GB2312" w:cs="Arial"/>
      <w:b/>
      <w:bCs/>
      <w:sz w:val="28"/>
    </w:rPr>
  </w:style>
  <w:style w:type="character" w:customStyle="1" w:styleId="70">
    <w:name w:val="标题 3 字符"/>
    <w:link w:val="4"/>
    <w:qFormat/>
    <w:uiPriority w:val="0"/>
    <w:rPr>
      <w:rFonts w:ascii="仿宋_GB2312" w:hAnsi="Arial" w:eastAsia="仿宋_GB2312" w:cs="Arial"/>
      <w:sz w:val="28"/>
    </w:rPr>
  </w:style>
  <w:style w:type="character" w:customStyle="1" w:styleId="71">
    <w:name w:val="标题 4 字符"/>
    <w:link w:val="5"/>
    <w:qFormat/>
    <w:uiPriority w:val="0"/>
    <w:rPr>
      <w:rFonts w:ascii="仿宋_GB2312" w:eastAsia="仿宋_GB2312"/>
      <w:sz w:val="28"/>
    </w:rPr>
  </w:style>
  <w:style w:type="character" w:customStyle="1" w:styleId="72">
    <w:name w:val="文档结构图 Char"/>
    <w:semiHidden/>
    <w:qFormat/>
    <w:uiPriority w:val="0"/>
    <w:rPr>
      <w:rFonts w:ascii="Times New Roman" w:hAnsi="Times New Roman" w:eastAsia="宋体" w:cs="Times New Roman"/>
      <w:kern w:val="0"/>
      <w:sz w:val="24"/>
      <w:szCs w:val="20"/>
      <w:shd w:val="clear" w:color="auto" w:fill="000080"/>
    </w:rPr>
  </w:style>
  <w:style w:type="character" w:customStyle="1" w:styleId="73">
    <w:name w:val="批注文字 Char"/>
    <w:semiHidden/>
    <w:qFormat/>
    <w:uiPriority w:val="99"/>
    <w:rPr>
      <w:rFonts w:ascii="Times New Roman" w:hAnsi="Times New Roman" w:eastAsia="宋体" w:cs="Times New Roman"/>
      <w:kern w:val="0"/>
      <w:sz w:val="24"/>
      <w:szCs w:val="20"/>
    </w:rPr>
  </w:style>
  <w:style w:type="character" w:customStyle="1" w:styleId="74">
    <w:name w:val="正文文本 字符"/>
    <w:link w:val="12"/>
    <w:qFormat/>
    <w:uiPriority w:val="0"/>
    <w:rPr>
      <w:rFonts w:eastAsia="隶书"/>
      <w:sz w:val="52"/>
    </w:rPr>
  </w:style>
  <w:style w:type="character" w:customStyle="1" w:styleId="75">
    <w:name w:val="正文文本缩进 字符"/>
    <w:link w:val="13"/>
    <w:qFormat/>
    <w:uiPriority w:val="0"/>
    <w:rPr>
      <w:rFonts w:ascii="楷体_GB2312" w:eastAsia="楷体_GB2312"/>
      <w:kern w:val="2"/>
      <w:sz w:val="28"/>
    </w:rPr>
  </w:style>
  <w:style w:type="character" w:customStyle="1" w:styleId="76">
    <w:name w:val="纯文本 字符"/>
    <w:link w:val="16"/>
    <w:qFormat/>
    <w:uiPriority w:val="0"/>
    <w:rPr>
      <w:rFonts w:ascii="宋体" w:hAnsi="Courier New"/>
      <w:kern w:val="2"/>
      <w:sz w:val="21"/>
    </w:rPr>
  </w:style>
  <w:style w:type="character" w:customStyle="1" w:styleId="77">
    <w:name w:val="日期 字符"/>
    <w:link w:val="18"/>
    <w:qFormat/>
    <w:uiPriority w:val="0"/>
    <w:rPr>
      <w:rFonts w:ascii="楷体_GB2312" w:eastAsia="楷体_GB2312"/>
      <w:b/>
      <w:sz w:val="28"/>
    </w:rPr>
  </w:style>
  <w:style w:type="character" w:customStyle="1" w:styleId="78">
    <w:name w:val="正文文本缩进 2 字符"/>
    <w:link w:val="19"/>
    <w:qFormat/>
    <w:uiPriority w:val="0"/>
    <w:rPr>
      <w:rFonts w:ascii="楷体_GB2312" w:eastAsia="楷体_GB2312"/>
      <w:kern w:val="2"/>
      <w:sz w:val="28"/>
    </w:rPr>
  </w:style>
  <w:style w:type="character" w:customStyle="1" w:styleId="79">
    <w:name w:val="批注框文本 字符"/>
    <w:link w:val="20"/>
    <w:semiHidden/>
    <w:qFormat/>
    <w:uiPriority w:val="0"/>
    <w:rPr>
      <w:sz w:val="18"/>
      <w:szCs w:val="18"/>
    </w:rPr>
  </w:style>
  <w:style w:type="character" w:customStyle="1" w:styleId="80">
    <w:name w:val="页脚 Char1"/>
    <w:qFormat/>
    <w:uiPriority w:val="99"/>
    <w:rPr>
      <w:sz w:val="18"/>
      <w:szCs w:val="18"/>
    </w:rPr>
  </w:style>
  <w:style w:type="character" w:customStyle="1" w:styleId="81">
    <w:name w:val="页眉 Char1"/>
    <w:qFormat/>
    <w:uiPriority w:val="99"/>
    <w:rPr>
      <w:rFonts w:ascii="Times New Roman" w:hAnsi="Times New Roman"/>
      <w:sz w:val="18"/>
      <w:szCs w:val="18"/>
    </w:rPr>
  </w:style>
  <w:style w:type="character" w:customStyle="1" w:styleId="82">
    <w:name w:val="正文文本缩进 3 字符"/>
    <w:link w:val="26"/>
    <w:qFormat/>
    <w:uiPriority w:val="0"/>
    <w:rPr>
      <w:rFonts w:ascii="楷体_GB2312" w:eastAsia="楷体_GB2312"/>
      <w:kern w:val="2"/>
      <w:sz w:val="28"/>
    </w:rPr>
  </w:style>
  <w:style w:type="character" w:customStyle="1" w:styleId="83">
    <w:name w:val="正文文本 2 字符"/>
    <w:link w:val="29"/>
    <w:qFormat/>
    <w:uiPriority w:val="0"/>
    <w:rPr>
      <w:rFonts w:eastAsia="仿宋_GB2312"/>
      <w:sz w:val="28"/>
    </w:rPr>
  </w:style>
  <w:style w:type="character" w:customStyle="1" w:styleId="84">
    <w:name w:val="批注主题 字符"/>
    <w:link w:val="31"/>
    <w:semiHidden/>
    <w:qFormat/>
    <w:uiPriority w:val="0"/>
    <w:rPr>
      <w:b/>
      <w:bCs/>
      <w:sz w:val="24"/>
    </w:rPr>
  </w:style>
  <w:style w:type="character" w:customStyle="1" w:styleId="85">
    <w:name w:val="正文文本首行缩进 字符"/>
    <w:link w:val="32"/>
    <w:qFormat/>
    <w:uiPriority w:val="0"/>
    <w:rPr>
      <w:kern w:val="2"/>
      <w:sz w:val="21"/>
    </w:rPr>
  </w:style>
  <w:style w:type="paragraph" w:customStyle="1" w:styleId="86">
    <w:name w:val="中等深浅网格 2 - 强调文字颜色 11"/>
    <w:link w:val="87"/>
    <w:qFormat/>
    <w:uiPriority w:val="1"/>
    <w:pPr>
      <w:spacing w:before="20" w:after="20" w:line="400" w:lineRule="exact"/>
    </w:pPr>
    <w:rPr>
      <w:rFonts w:ascii="Times New Roman" w:hAnsi="Times New Roman" w:eastAsia="宋体" w:cs="Times New Roman"/>
      <w:sz w:val="22"/>
      <w:szCs w:val="22"/>
      <w:lang w:val="en-US" w:eastAsia="zh-CN" w:bidi="ar-SA"/>
    </w:rPr>
  </w:style>
  <w:style w:type="character" w:customStyle="1" w:styleId="87">
    <w:name w:val="中等深浅网格 2 - 着色 1 字符"/>
    <w:link w:val="86"/>
    <w:qFormat/>
    <w:uiPriority w:val="1"/>
    <w:rPr>
      <w:sz w:val="22"/>
      <w:szCs w:val="22"/>
    </w:rPr>
  </w:style>
  <w:style w:type="character" w:customStyle="1" w:styleId="88">
    <w:name w:val="apple-style-span"/>
    <w:qFormat/>
    <w:uiPriority w:val="0"/>
  </w:style>
  <w:style w:type="paragraph" w:customStyle="1" w:styleId="89">
    <w:name w:val="浅色列表 - 强调文字颜色 31"/>
    <w:semiHidden/>
    <w:qFormat/>
    <w:uiPriority w:val="99"/>
    <w:rPr>
      <w:rFonts w:ascii="Times New Roman" w:hAnsi="Times New Roman" w:eastAsia="宋体" w:cs="Times New Roman"/>
      <w:sz w:val="24"/>
      <w:lang w:val="en-US" w:eastAsia="zh-CN" w:bidi="ar-SA"/>
    </w:rPr>
  </w:style>
  <w:style w:type="paragraph" w:customStyle="1" w:styleId="90">
    <w:name w:val="浅色网格 - 强调文字颜色 31"/>
    <w:basedOn w:val="1"/>
    <w:qFormat/>
    <w:uiPriority w:val="34"/>
    <w:pPr>
      <w:ind w:firstLine="420" w:firstLineChars="200"/>
    </w:pPr>
  </w:style>
  <w:style w:type="character" w:customStyle="1" w:styleId="91">
    <w:name w:val="apple-converted-space"/>
    <w:qFormat/>
    <w:uiPriority w:val="0"/>
  </w:style>
  <w:style w:type="character" w:customStyle="1" w:styleId="92">
    <w:name w:val="页眉 Char"/>
    <w:qFormat/>
    <w:uiPriority w:val="99"/>
    <w:rPr>
      <w:rFonts w:ascii="Times New Roman" w:hAnsi="Times New Roman"/>
      <w:sz w:val="18"/>
      <w:szCs w:val="18"/>
    </w:rPr>
  </w:style>
  <w:style w:type="character" w:customStyle="1" w:styleId="93">
    <w:name w:val="页脚 Char"/>
    <w:qFormat/>
    <w:uiPriority w:val="99"/>
    <w:rPr>
      <w:sz w:val="18"/>
      <w:szCs w:val="18"/>
    </w:rPr>
  </w:style>
  <w:style w:type="paragraph" w:customStyle="1" w:styleId="94">
    <w:name w:val="彩色列表 - 强调文字颜色 11"/>
    <w:basedOn w:val="1"/>
    <w:qFormat/>
    <w:uiPriority w:val="1"/>
    <w:pPr>
      <w:spacing w:before="20" w:after="20"/>
      <w:ind w:firstLine="420" w:firstLineChars="200"/>
    </w:pPr>
  </w:style>
  <w:style w:type="character" w:customStyle="1" w:styleId="95">
    <w:name w:val="font11"/>
    <w:qFormat/>
    <w:uiPriority w:val="0"/>
    <w:rPr>
      <w:rFonts w:hint="eastAsia" w:ascii="华文细黑" w:hAnsi="华文细黑" w:eastAsia="华文细黑" w:cs="华文细黑"/>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endnotes" Target="endnotes.xml"/><Relationship Id="rId57" Type="http://schemas.microsoft.com/office/2011/relationships/people" Target="people.xml"/><Relationship Id="rId56" Type="http://schemas.openxmlformats.org/officeDocument/2006/relationships/fontTable" Target="fontTable.xml"/><Relationship Id="rId55" Type="http://schemas.openxmlformats.org/officeDocument/2006/relationships/customXml" Target="../customXml/item2.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23.png"/><Relationship Id="rId51" Type="http://schemas.openxmlformats.org/officeDocument/2006/relationships/image" Target="media/image22.png"/><Relationship Id="rId50" Type="http://schemas.openxmlformats.org/officeDocument/2006/relationships/image" Target="media/image21.png"/><Relationship Id="rId5" Type="http://schemas.openxmlformats.org/officeDocument/2006/relationships/footnotes" Target="footnotes.xml"/><Relationship Id="rId49" Type="http://schemas.openxmlformats.org/officeDocument/2006/relationships/image" Target="media/image20.png"/><Relationship Id="rId48" Type="http://schemas.openxmlformats.org/officeDocument/2006/relationships/image" Target="media/image19.png"/><Relationship Id="rId47" Type="http://schemas.openxmlformats.org/officeDocument/2006/relationships/chart" Target="charts/chart3.xml"/><Relationship Id="rId46" Type="http://schemas.openxmlformats.org/officeDocument/2006/relationships/image" Target="media/image18.png"/><Relationship Id="rId45" Type="http://schemas.openxmlformats.org/officeDocument/2006/relationships/image" Target="media/image17.png"/><Relationship Id="rId44" Type="http://schemas.openxmlformats.org/officeDocument/2006/relationships/image" Target="media/image16.png"/><Relationship Id="rId43" Type="http://schemas.openxmlformats.org/officeDocument/2006/relationships/image" Target="media/image15.png"/><Relationship Id="rId42" Type="http://schemas.openxmlformats.org/officeDocument/2006/relationships/image" Target="media/image14.png"/><Relationship Id="rId41" Type="http://schemas.openxmlformats.org/officeDocument/2006/relationships/image" Target="media/image13.png"/><Relationship Id="rId40" Type="http://schemas.openxmlformats.org/officeDocument/2006/relationships/image" Target="media/image12.png"/><Relationship Id="rId4" Type="http://schemas.microsoft.com/office/2011/relationships/commentsExtended" Target="commentsExtended.xml"/><Relationship Id="rId39" Type="http://schemas.openxmlformats.org/officeDocument/2006/relationships/image" Target="media/image11.png"/><Relationship Id="rId38" Type="http://schemas.openxmlformats.org/officeDocument/2006/relationships/image" Target="media/image10.png"/><Relationship Id="rId37" Type="http://schemas.openxmlformats.org/officeDocument/2006/relationships/image" Target="media/image9.png"/><Relationship Id="rId36" Type="http://schemas.openxmlformats.org/officeDocument/2006/relationships/image" Target="media/image8.png"/><Relationship Id="rId35" Type="http://schemas.openxmlformats.org/officeDocument/2006/relationships/image" Target="media/image7.png"/><Relationship Id="rId34" Type="http://schemas.openxmlformats.org/officeDocument/2006/relationships/image" Target="media/image6.png"/><Relationship Id="rId33" Type="http://schemas.openxmlformats.org/officeDocument/2006/relationships/image" Target="media/image5.png"/><Relationship Id="rId32" Type="http://schemas.openxmlformats.org/officeDocument/2006/relationships/image" Target="media/image4.png"/><Relationship Id="rId31" Type="http://schemas.openxmlformats.org/officeDocument/2006/relationships/image" Target="media/image3.png"/><Relationship Id="rId30" Type="http://schemas.openxmlformats.org/officeDocument/2006/relationships/chart" Target="charts/chart2.xml"/><Relationship Id="rId3" Type="http://schemas.openxmlformats.org/officeDocument/2006/relationships/comments" Target="comments.xml"/><Relationship Id="rId29" Type="http://schemas.openxmlformats.org/officeDocument/2006/relationships/chart" Target="charts/chart1.xml"/><Relationship Id="rId28" Type="http://schemas.openxmlformats.org/officeDocument/2006/relationships/image" Target="media/image2.png"/><Relationship Id="rId27" Type="http://schemas.openxmlformats.org/officeDocument/2006/relationships/theme" Target="theme/theme1.xml"/><Relationship Id="rId26" Type="http://schemas.openxmlformats.org/officeDocument/2006/relationships/header" Target="header14.xml"/><Relationship Id="rId25" Type="http://schemas.openxmlformats.org/officeDocument/2006/relationships/header" Target="header13.xml"/><Relationship Id="rId24" Type="http://schemas.openxmlformats.org/officeDocument/2006/relationships/header" Target="header12.xml"/><Relationship Id="rId23" Type="http://schemas.openxmlformats.org/officeDocument/2006/relationships/footer" Target="footer6.xml"/><Relationship Id="rId22" Type="http://schemas.openxmlformats.org/officeDocument/2006/relationships/footer" Target="footer5.xml"/><Relationship Id="rId21" Type="http://schemas.openxmlformats.org/officeDocument/2006/relationships/header" Target="header11.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4.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header" Target="header3.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D:\&#23457;&#26680;&#32452;\2025&#24180;\&#24066;&#22330;&#20998;&#26512;\2025&#24180;1&#23395;&#24230;\&#25968;&#25454;&#27719;&#38598;&#20998;&#26512;&#65288;&#24635;&#34920;&#65289;.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3.xml"/><Relationship Id="rId1" Type="http://schemas.openxmlformats.org/officeDocument/2006/relationships/oleObject" Target="file:///D:\&#23457;&#26680;&#32452;\2025&#24180;\&#24066;&#22330;&#20998;&#26512;\2025&#24180;4&#23395;&#24230;\&#20303;&#23429;\&#20303;&#23429;&#22270;&#34920;2025Q4.xlsx" TargetMode="External"/></Relationships>
</file>

<file path=word/charts/_rels/chart3.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oleObject" Target="file:///D:\&#23457;&#26680;&#32452;\2025&#24180;\&#24066;&#22330;&#20998;&#26512;\2025&#24180;4&#23395;&#24230;\&#20303;&#23429;\&#20303;&#23429;&#22270;&#34920;2025Q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c:v>
                </c:pt>
                <c:pt idx="1">
                  <c:v>2188.6</c:v>
                </c:pt>
                <c:pt idx="2">
                  <c:v>2184.3</c:v>
                </c:pt>
                <c:pt idx="3">
                  <c:v>2185.8</c:v>
                </c:pt>
                <c:pt idx="4">
                  <c:v>2183.2</c:v>
                </c:pt>
              </c:numCache>
            </c:numRef>
          </c:val>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0.0165768945022289</c:v>
                </c:pt>
                <c:pt idx="1">
                  <c:v>-0.000319736902206325</c:v>
                </c:pt>
                <c:pt idx="2">
                  <c:v>-0.00196472630905586</c:v>
                </c:pt>
                <c:pt idx="3">
                  <c:v>0.000686718857299873</c:v>
                </c:pt>
                <c:pt idx="4">
                  <c:v>-0.00118949583676475</c:v>
                </c:pt>
              </c:numCache>
            </c:numRef>
          </c:val>
          <c:smooth val="0"/>
        </c:ser>
        <c:dLbls>
          <c:showLegendKey val="0"/>
          <c:showVal val="0"/>
          <c:showCatName val="0"/>
          <c:showSerName val="0"/>
          <c:showPercent val="0"/>
          <c:showBubbleSize val="0"/>
        </c:dLbls>
        <c:marker val="0"/>
        <c:smooth val="0"/>
        <c:axId val="380617856"/>
        <c:axId val="380591488"/>
      </c:lineChart>
      <c:catAx>
        <c:axId val="38058841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88416"/>
        <c:crosses val="autoZero"/>
        <c:crossBetween val="between"/>
        <c:majorUnit val="500"/>
      </c:valAx>
      <c:catAx>
        <c:axId val="380617856"/>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591488"/>
        <c:crosses val="autoZero"/>
        <c:auto val="1"/>
        <c:lblAlgn val="ctr"/>
        <c:lblOffset val="100"/>
        <c:noMultiLvlLbl val="0"/>
      </c:catAx>
      <c:valAx>
        <c:axId val="380591488"/>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380617856"/>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extLst>
      <c:ext uri="{0b15fc19-7d7d-44ad-8c2d-2c3a37ce22c3}">
        <chartProps xmlns="https://web.wps.cn/et/2018/main" chartId="{ab06da5f-8847-45ab-9123-3b9ca1ef4968}"/>
      </c:ext>
    </c:extLst>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200"/>
              <a:t>北京市土地供求走势</a:t>
            </a:r>
            <a:endParaRPr lang="zh-CN" altLang="en-US" sz="1200"/>
          </a:p>
        </c:rich>
      </c:tx>
      <c:layout>
        <c:manualLayout>
          <c:xMode val="edge"/>
          <c:yMode val="edge"/>
          <c:x val="0.352597971167599"/>
          <c:y val="0.0138888888888889"/>
        </c:manualLayout>
      </c:layout>
      <c:overlay val="1"/>
    </c:title>
    <c:autoTitleDeleted val="0"/>
    <c:plotArea>
      <c:layout>
        <c:manualLayout>
          <c:layoutTarget val="inner"/>
          <c:xMode val="edge"/>
          <c:yMode val="edge"/>
          <c:x val="0.0808475990335805"/>
          <c:y val="0.130104257801108"/>
          <c:w val="0.89219162185587"/>
          <c:h val="0.642420895304754"/>
        </c:manualLayout>
      </c:layout>
      <c:barChart>
        <c:barDir val="col"/>
        <c:grouping val="clustered"/>
        <c:varyColors val="0"/>
        <c:ser>
          <c:idx val="0"/>
          <c:order val="0"/>
          <c:tx>
            <c:strRef>
              <c:f>推出成交!$B$2</c:f>
              <c:strCache>
                <c:ptCount val="1"/>
                <c:pt idx="0">
                  <c:v>推出规划建面（万㎡）</c:v>
                </c:pt>
              </c:strCache>
            </c:strRef>
          </c:tx>
          <c:invertIfNegative val="0"/>
          <c:dLbls>
            <c:dLbl>
              <c:idx val="4"/>
              <c:layout>
                <c:manualLayout>
                  <c:x val="-0.0049019598382817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numRef>
              <c:f>推出成交!$A$3:$A$8</c:f>
              <c:numCache>
                <c:formatCode>General</c:formatCode>
                <c:ptCount val="6"/>
                <c:pt idx="0">
                  <c:v>2020</c:v>
                </c:pt>
                <c:pt idx="1">
                  <c:v>2021</c:v>
                </c:pt>
                <c:pt idx="2">
                  <c:v>2022</c:v>
                </c:pt>
                <c:pt idx="3">
                  <c:v>2023</c:v>
                </c:pt>
                <c:pt idx="4">
                  <c:v>2024</c:v>
                </c:pt>
                <c:pt idx="5">
                  <c:v>2025</c:v>
                </c:pt>
              </c:numCache>
            </c:numRef>
          </c:cat>
          <c:val>
            <c:numRef>
              <c:f>推出成交!$B$3:$B$8</c:f>
              <c:numCache>
                <c:formatCode>0_ </c:formatCode>
                <c:ptCount val="6"/>
                <c:pt idx="0">
                  <c:v>620.38</c:v>
                </c:pt>
                <c:pt idx="1">
                  <c:v>959.72</c:v>
                </c:pt>
                <c:pt idx="2">
                  <c:v>576.72</c:v>
                </c:pt>
                <c:pt idx="3">
                  <c:v>621.01</c:v>
                </c:pt>
                <c:pt idx="4">
                  <c:v>492</c:v>
                </c:pt>
                <c:pt idx="5">
                  <c:v>307</c:v>
                </c:pt>
              </c:numCache>
            </c:numRef>
          </c:val>
        </c:ser>
        <c:ser>
          <c:idx val="1"/>
          <c:order val="1"/>
          <c:tx>
            <c:strRef>
              <c:f>推出成交!$C$2</c:f>
              <c:strCache>
                <c:ptCount val="1"/>
                <c:pt idx="0">
                  <c:v>成交规划建面（万㎡）</c:v>
                </c:pt>
              </c:strCache>
            </c:strRef>
          </c:tx>
          <c:invertIfNegative val="0"/>
          <c:dLbls>
            <c:dLbl>
              <c:idx val="0"/>
              <c:layout>
                <c:manualLayout>
                  <c:x val="0.0147058795148449"/>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47058795148449"/>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numRef>
              <c:f>推出成交!$A$3:$A$8</c:f>
              <c:numCache>
                <c:formatCode>General</c:formatCode>
                <c:ptCount val="6"/>
                <c:pt idx="0">
                  <c:v>2020</c:v>
                </c:pt>
                <c:pt idx="1">
                  <c:v>2021</c:v>
                </c:pt>
                <c:pt idx="2">
                  <c:v>2022</c:v>
                </c:pt>
                <c:pt idx="3">
                  <c:v>2023</c:v>
                </c:pt>
                <c:pt idx="4">
                  <c:v>2024</c:v>
                </c:pt>
                <c:pt idx="5">
                  <c:v>2025</c:v>
                </c:pt>
              </c:numCache>
            </c:numRef>
          </c:cat>
          <c:val>
            <c:numRef>
              <c:f>推出成交!$C$3:$C$8</c:f>
              <c:numCache>
                <c:formatCode>0_ </c:formatCode>
                <c:ptCount val="6"/>
                <c:pt idx="0">
                  <c:v>624.28</c:v>
                </c:pt>
                <c:pt idx="1">
                  <c:v>688.57</c:v>
                </c:pt>
                <c:pt idx="2">
                  <c:v>484.71</c:v>
                </c:pt>
                <c:pt idx="3">
                  <c:v>582.25</c:v>
                </c:pt>
                <c:pt idx="4">
                  <c:v>470.38</c:v>
                </c:pt>
                <c:pt idx="5">
                  <c:v>359</c:v>
                </c:pt>
              </c:numCache>
            </c:numRef>
          </c:val>
        </c:ser>
        <c:dLbls>
          <c:showLegendKey val="0"/>
          <c:showVal val="0"/>
          <c:showCatName val="0"/>
          <c:showSerName val="0"/>
          <c:showPercent val="0"/>
          <c:showBubbleSize val="0"/>
        </c:dLbls>
        <c:gapWidth val="150"/>
        <c:axId val="412522496"/>
        <c:axId val="49787392"/>
      </c:barChart>
      <c:catAx>
        <c:axId val="41252249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9787392"/>
        <c:crosses val="autoZero"/>
        <c:auto val="1"/>
        <c:lblAlgn val="ctr"/>
        <c:lblOffset val="100"/>
        <c:noMultiLvlLbl val="0"/>
      </c:catAx>
      <c:valAx>
        <c:axId val="49787392"/>
        <c:scaling>
          <c:orientation val="minMax"/>
        </c:scaling>
        <c:delete val="0"/>
        <c:axPos val="l"/>
        <c:majorGridlines/>
        <c:numFmt formatCode="0_ "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12522496"/>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6029c0d5-3c1f-42e1-9f9f-a9e8593a8124}"/>
      </c:ext>
    </c:extLst>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sz="1200" b="1">
                <a:latin typeface="汉仪中黑 197" panose="00020600040101010101" pitchFamily="18" charset="-122"/>
                <a:ea typeface="汉仪中黑 197" panose="00020600040101010101" pitchFamily="18" charset="-122"/>
              </a:rPr>
              <a:t>近年来北京存量商品住宅成交套数占比变化</a:t>
            </a:r>
            <a:endParaRPr lang="zh-CN" altLang="en-US" sz="1200" b="1">
              <a:latin typeface="汉仪中黑 197" panose="00020600040101010101" pitchFamily="18" charset="-122"/>
              <a:ea typeface="汉仪中黑 197" panose="00020600040101010101" pitchFamily="18" charset="-122"/>
            </a:endParaRPr>
          </a:p>
        </c:rich>
      </c:tx>
      <c:layout/>
      <c:overlay val="0"/>
      <c:spPr>
        <a:noFill/>
        <a:ln>
          <a:noFill/>
        </a:ln>
        <a:effectLst/>
      </c:spPr>
    </c:title>
    <c:autoTitleDeleted val="0"/>
    <c:plotArea>
      <c:layout/>
      <c:lineChart>
        <c:grouping val="standard"/>
        <c:varyColors val="0"/>
        <c:ser>
          <c:idx val="0"/>
          <c:order val="0"/>
          <c:tx>
            <c:strRef>
              <c:f>存量房占比!$B$1</c:f>
              <c:strCache>
                <c:ptCount val="1"/>
                <c:pt idx="0">
                  <c:v>近年来北京存量商品住宅成交套数占比变化</c:v>
                </c:pt>
              </c:strCache>
            </c:strRef>
          </c:tx>
          <c:spPr>
            <a:ln w="28575" cap="rnd">
              <a:solidFill>
                <a:schemeClr val="accent1"/>
              </a:solidFill>
              <a:round/>
            </a:ln>
            <a:effectLst/>
          </c:spPr>
          <c:marker>
            <c:symbol val="none"/>
          </c:marker>
          <c:dLbls>
            <c:dLbl>
              <c:idx val="6"/>
              <c:layout>
                <c:manualLayout>
                  <c:x val="-0.0333333333333334"/>
                  <c:y val="0.046296296296296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存量房占比!$A$2:$A$12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存量房占比!$B$2:$B$12</c:f>
              <c:numCache>
                <c:formatCode>0%</c:formatCode>
                <c:ptCount val="11"/>
                <c:pt idx="0">
                  <c:v>0.67</c:v>
                </c:pt>
                <c:pt idx="1">
                  <c:v>0.77</c:v>
                </c:pt>
                <c:pt idx="2">
                  <c:v>0.72</c:v>
                </c:pt>
                <c:pt idx="3">
                  <c:v>0.8</c:v>
                </c:pt>
                <c:pt idx="4">
                  <c:v>0.69</c:v>
                </c:pt>
                <c:pt idx="5">
                  <c:v>0.71</c:v>
                </c:pt>
                <c:pt idx="6">
                  <c:v>0.68</c:v>
                </c:pt>
                <c:pt idx="7">
                  <c:v>0.68</c:v>
                </c:pt>
                <c:pt idx="8">
                  <c:v>0.7</c:v>
                </c:pt>
                <c:pt idx="9">
                  <c:v>0.78</c:v>
                </c:pt>
                <c:pt idx="10">
                  <c:v>0.81</c:v>
                </c:pt>
              </c:numCache>
            </c:numRef>
          </c:val>
          <c:smooth val="0"/>
        </c:ser>
        <c:dLbls>
          <c:showLegendKey val="0"/>
          <c:showVal val="0"/>
          <c:showCatName val="0"/>
          <c:showSerName val="0"/>
          <c:showPercent val="0"/>
          <c:showBubbleSize val="0"/>
        </c:dLbls>
        <c:marker val="0"/>
        <c:smooth val="0"/>
        <c:axId val="780246832"/>
        <c:axId val="780247192"/>
      </c:lineChart>
      <c:catAx>
        <c:axId val="78024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80247192"/>
        <c:crosses val="autoZero"/>
        <c:auto val="1"/>
        <c:lblAlgn val="ctr"/>
        <c:lblOffset val="100"/>
        <c:noMultiLvlLbl val="0"/>
      </c:catAx>
      <c:valAx>
        <c:axId val="780247192"/>
        <c:scaling>
          <c:orientation val="minMax"/>
          <c:min val="0.6"/>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80246832"/>
        <c:crosses val="autoZero"/>
        <c:crossBetween val="between"/>
      </c:valAx>
      <c:spPr>
        <a:noFill/>
        <a:ln>
          <a:noFill/>
        </a:ln>
        <a:effectLst/>
      </c:spPr>
    </c:plotArea>
    <c:plotVisOnly val="1"/>
    <c:dispBlanksAs val="gap"/>
    <c:showDLblsOverMax val="0"/>
    <c:extLst>
      <c:ext uri="{0b15fc19-7d7d-44ad-8c2d-2c3a37ce22c3}">
        <chartProps xmlns="https://web.wps.cn/et/2018/main" chartId="{5b27c19f-1dc9-4629-88b0-53ff36fbf38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3A768D-FF90-4661-9AE7-20C7C4CD4E77}">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101</Pages>
  <Words>1995</Words>
  <Characters>2361</Characters>
  <Lines>564</Lines>
  <Paragraphs>158</Paragraphs>
  <TotalTime>17</TotalTime>
  <ScaleCrop>false</ScaleCrop>
  <LinksUpToDate>false</LinksUpToDate>
  <CharactersWithSpaces>2409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2024-11-06T02:22:00Z</dcterms:created>
  <dc:creator>djg</dc:creator>
  <cp:lastModifiedBy>诗霖</cp:lastModifiedBy>
  <cp:lastPrinted>2024-05-24T07:20:00Z</cp:lastPrinted>
  <dcterms:modified xsi:type="dcterms:W3CDTF">2026-04-16T06:26:29Z</dcterms:modified>
  <dc:title>电 话：82253558  传真：82253565</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8FFC14EAB29E4E7D8830CB7036EFBFA0_13</vt:lpwstr>
  </property>
  <property fmtid="{D5CDD505-2E9C-101B-9397-08002B2CF9AE}" pid="4" name="KSOTemplateDocerSaveRecord">
    <vt:lpwstr>eyJoZGlkIjoiMDdlZmQwYWM0MmRiNGMxZDA3YWY5YzJiY2QxOTlhYTMiLCJ1c2VySWQiOiIyMDkxMDc5NzUifQ==</vt:lpwstr>
  </property>
</Properties>
</file>