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header2.xml" ContentType="application/vnd.openxmlformats-officedocument.wordprocessingml.header+xml"/>
  <Override PartName="/word/media/image1.jpeg" ContentType="image/jpeg"/>
  <Override PartName="/word/media/image8.png" ContentType="image/pn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9.png" ContentType="image/png"/>
  <Override PartName="/word/media/image7.jpeg" ContentType="image/jpeg"/>
  <Override PartName="/word/media/image10.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jpeg" ContentType="image/jpeg"/>
  <Override PartName="/word/media/image21.jpeg" ContentType="image/jpeg"/>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header3.xml.rels" ContentType="application/vnd.openxmlformats-package.relationships+xml"/>
  <Override PartName="/word/_rels/document.xml.rels" ContentType="application/vnd.openxmlformats-package.relationships+xml"/>
  <Override PartName="/word/_rels/header9.xml.rels" ContentType="application/vnd.openxmlformats-package.relationships+xml"/>
  <Override PartName="/word/_rels/header1.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word/_rels/header10.xml.rels" ContentType="application/vnd.openxmlformats-package.relationships+xml"/>
  <Override PartName="/word/_rels/header1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headerReference w:type="default" r:id="rId2"/>
          <w:headerReference w:type="first" r:id="rId3"/>
          <w:footerReference w:type="default" r:id="rId4"/>
          <w:footerReference w:type="first" r:id="rId5"/>
          <w:type w:val="nextPage"/>
          <w:pgSz w:w="11906" w:h="16838"/>
          <w:pgMar w:left="1304" w:right="1304" w:header="1134" w:top="1843" w:footer="907" w:bottom="1134" w:gutter="0"/>
          <w:pgNumType w:fmt="decimal"/>
          <w:formProt w:val="false"/>
          <w:titlePg/>
          <w:textDirection w:val="lrTb"/>
          <w:docGrid w:type="default" w:linePitch="326" w:charSpace="0"/>
        </w:sectPr>
        <w:pStyle w:val="Normal"/>
        <w:numPr>
          <w:ilvl w:val="0"/>
          <w:numId w:val="0"/>
        </w:numPr>
        <w:spacing w:lineRule="exact" w:line="300"/>
        <w:rPr>
          <w:rFonts w:ascii="Arial" w:hAnsi="Arial" w:eastAsia="方正黑体简体;微软雅黑" w:cs="Arial"/>
          <w:sz w:val="21"/>
          <w:szCs w:val="21"/>
          <w:lang w:val="zh-CN" w:eastAsia="zh-CN"/>
        </w:rPr>
      </w:pPr>
      <w:r>
        <w:rPr>
          <w:rFonts w:eastAsia="方正黑体简体;微软雅黑" w:cs="Arial" w:ascii="Arial" w:hAnsi="Arial"/>
          <w:sz w:val="21"/>
          <w:szCs w:val="21"/>
          <w:lang w:val="zh-CN" w:eastAsia="zh-CN"/>
        </w:rPr>
      </w:r>
    </w:p>
    <w:p>
      <w:pPr>
        <w:pStyle w:val="1"/>
        <w:spacing w:lineRule="auto" w:line="480"/>
        <w:jc w:val="center"/>
        <w:rPr>
          <w:rFonts w:eastAsia="方正黑体简体;微软雅黑"/>
          <w:b w:val="false"/>
          <w:b w:val="false"/>
          <w:kern w:val="2"/>
          <w:sz w:val="32"/>
          <w:szCs w:val="32"/>
        </w:rPr>
      </w:pPr>
      <w:r>
        <w:rPr>
          <w:rFonts w:eastAsia="方正黑体简体;微软雅黑"/>
          <w:b w:val="false"/>
          <w:kern w:val="2"/>
          <w:sz w:val="32"/>
          <w:szCs w:val="32"/>
        </w:rPr>
        <w:t>致估价委托人函</w:t>
      </w:r>
    </w:p>
    <w:p>
      <w:pPr>
        <w:pStyle w:val="Normal"/>
        <w:spacing w:lineRule="auto" w:line="480"/>
        <w:rPr/>
      </w:pPr>
      <w:r>
        <w:rPr>
          <w:rFonts w:ascii="Arial" w:hAnsi="Arial" w:cs="Arial"/>
          <w:b/>
          <w:kern w:val="2"/>
          <w:sz w:val="21"/>
          <w:szCs w:val="21"/>
        </w:rPr>
        <w:t>中信信诚资产管理有限公司：</w:t>
      </w:r>
    </w:p>
    <w:p>
      <w:pPr>
        <w:pStyle w:val="Normal"/>
        <w:overflowPunct w:val="false"/>
        <w:spacing w:lineRule="auto" w:line="480"/>
        <w:ind w:firstLine="420"/>
        <w:jc w:val="both"/>
        <w:textAlignment w:val="auto"/>
        <w:rPr>
          <w:rFonts w:ascii="Arial" w:hAnsi="Arial" w:cs="Arial"/>
          <w:sz w:val="21"/>
          <w:szCs w:val="21"/>
        </w:rPr>
      </w:pPr>
      <w:r>
        <w:rPr>
          <w:rFonts w:ascii="Arial" w:hAnsi="Arial" w:cs="Arial"/>
          <w:kern w:val="2"/>
          <w:sz w:val="21"/>
          <w:szCs w:val="21"/>
        </w:rPr>
        <w:t>受贵公司委托，我公司对</w:t>
      </w:r>
      <w:r>
        <w:rPr>
          <w:rFonts w:ascii="Arial" w:hAnsi="Arial" w:cs="Arial"/>
          <w:kern w:val="2"/>
          <w:sz w:val="21"/>
          <w:szCs w:val="21"/>
        </w:rPr>
        <w:t>海南省海口市秀英区滨海大道</w:t>
      </w:r>
      <w:r>
        <w:rPr>
          <w:rFonts w:cs="Arial" w:ascii="Arial" w:hAnsi="Arial"/>
          <w:kern w:val="2"/>
          <w:sz w:val="21"/>
          <w:szCs w:val="21"/>
        </w:rPr>
        <w:t>158</w:t>
      </w:r>
      <w:r>
        <w:rPr>
          <w:rFonts w:ascii="Arial" w:hAnsi="Arial" w:cs="Arial"/>
          <w:kern w:val="2"/>
          <w:sz w:val="21"/>
          <w:szCs w:val="21"/>
        </w:rPr>
        <w:t>号琼珠海岸生态度假村暨全国政协（海南）会议培训中心北区项目</w:t>
      </w:r>
      <w:r>
        <w:rPr>
          <w:rFonts w:cs="Arial" w:ascii="Arial" w:hAnsi="Arial"/>
          <w:kern w:val="2"/>
          <w:sz w:val="21"/>
          <w:szCs w:val="21"/>
        </w:rPr>
        <w:t>1</w:t>
      </w:r>
      <w:r>
        <w:rPr>
          <w:rFonts w:ascii="Arial" w:hAnsi="Arial" w:cs="Arial"/>
          <w:kern w:val="2"/>
          <w:sz w:val="21"/>
          <w:szCs w:val="21"/>
        </w:rPr>
        <w:t>号楼等</w:t>
      </w:r>
      <w:r>
        <w:rPr>
          <w:rFonts w:cs="Arial" w:ascii="Arial" w:hAnsi="Arial"/>
          <w:kern w:val="2"/>
          <w:sz w:val="21"/>
          <w:szCs w:val="21"/>
        </w:rPr>
        <w:t>34</w:t>
      </w:r>
      <w:r>
        <w:rPr>
          <w:rFonts w:ascii="Arial" w:hAnsi="Arial" w:cs="Arial"/>
          <w:kern w:val="2"/>
          <w:sz w:val="21"/>
          <w:szCs w:val="21"/>
        </w:rPr>
        <w:t>套产权式酒店（别墅）用房房地产快速变现价值</w:t>
      </w:r>
      <w:r>
        <w:rPr>
          <w:rFonts w:ascii="Arial" w:hAnsi="Arial" w:cs="Arial"/>
          <w:sz w:val="21"/>
          <w:szCs w:val="21"/>
        </w:rPr>
        <w:t>进行了评估</w:t>
      </w:r>
      <w:r>
        <w:rPr>
          <w:rFonts w:ascii="Arial" w:hAnsi="Arial" w:cs="Arial"/>
          <w:kern w:val="2"/>
          <w:sz w:val="21"/>
          <w:szCs w:val="21"/>
        </w:rPr>
        <w:t>。</w:t>
      </w:r>
    </w:p>
    <w:p>
      <w:pPr>
        <w:pStyle w:val="Normal"/>
        <w:overflowPunct w:val="false"/>
        <w:spacing w:lineRule="auto" w:line="480"/>
        <w:ind w:firstLine="420"/>
        <w:jc w:val="both"/>
        <w:textAlignment w:val="auto"/>
        <w:rPr>
          <w:rFonts w:ascii="Arial" w:hAnsi="Arial" w:cs="Arial"/>
          <w:color w:val="E36C0A"/>
          <w:sz w:val="21"/>
          <w:szCs w:val="21"/>
        </w:rPr>
      </w:pPr>
      <w:r>
        <w:rPr>
          <w:rFonts w:ascii="Arial" w:hAnsi="Arial" w:cs="Arial"/>
          <w:b/>
          <w:bCs/>
          <w:sz w:val="21"/>
          <w:szCs w:val="21"/>
        </w:rPr>
        <w:t>估价对象：</w:t>
      </w:r>
      <w:r>
        <w:rPr>
          <w:rFonts w:ascii="Arial" w:hAnsi="Arial" w:cs="Arial"/>
          <w:bCs/>
          <w:sz w:val="21"/>
          <w:szCs w:val="21"/>
        </w:rPr>
        <w:t>估价对象为</w:t>
      </w:r>
      <w:r>
        <w:rPr>
          <w:rFonts w:ascii="Arial" w:hAnsi="Arial" w:cs="Arial"/>
          <w:kern w:val="2"/>
          <w:sz w:val="21"/>
          <w:szCs w:val="21"/>
        </w:rPr>
        <w:t>海南省海口市秀英区滨海大道</w:t>
      </w:r>
      <w:r>
        <w:rPr>
          <w:rFonts w:cs="Arial" w:ascii="Arial" w:hAnsi="Arial"/>
          <w:kern w:val="2"/>
          <w:sz w:val="21"/>
          <w:szCs w:val="21"/>
        </w:rPr>
        <w:t>158</w:t>
      </w:r>
      <w:r>
        <w:rPr>
          <w:rFonts w:ascii="Arial" w:hAnsi="Arial" w:cs="Arial"/>
          <w:kern w:val="2"/>
          <w:sz w:val="21"/>
          <w:szCs w:val="21"/>
        </w:rPr>
        <w:t>号琼珠海岸生态度假村暨全国政协（海南）会议培训中心北区项目</w:t>
      </w:r>
      <w:r>
        <w:rPr>
          <w:rFonts w:cs="Arial" w:ascii="Arial" w:hAnsi="Arial"/>
          <w:kern w:val="2"/>
          <w:sz w:val="21"/>
          <w:szCs w:val="21"/>
        </w:rPr>
        <w:t>1</w:t>
      </w:r>
      <w:r>
        <w:rPr>
          <w:rFonts w:ascii="Arial" w:hAnsi="Arial" w:cs="Arial"/>
          <w:kern w:val="2"/>
          <w:sz w:val="21"/>
          <w:szCs w:val="21"/>
        </w:rPr>
        <w:t>号楼等</w:t>
      </w:r>
      <w:r>
        <w:rPr>
          <w:rFonts w:cs="Arial" w:ascii="Arial" w:hAnsi="Arial"/>
          <w:kern w:val="2"/>
          <w:sz w:val="21"/>
          <w:szCs w:val="21"/>
        </w:rPr>
        <w:t>34</w:t>
      </w:r>
      <w:r>
        <w:rPr>
          <w:rFonts w:ascii="Arial" w:hAnsi="Arial" w:cs="Arial"/>
          <w:kern w:val="2"/>
          <w:sz w:val="21"/>
          <w:szCs w:val="21"/>
        </w:rPr>
        <w:t>套产权式酒店（别墅）用房</w:t>
      </w:r>
      <w:r>
        <w:rPr>
          <w:rFonts w:ascii="Arial" w:hAnsi="Arial" w:cs="Arial"/>
          <w:sz w:val="21"/>
          <w:szCs w:val="21"/>
        </w:rPr>
        <w:t>房地产</w:t>
      </w:r>
      <w:r>
        <w:rPr>
          <w:rFonts w:ascii="Arial" w:hAnsi="Arial" w:cs="Arial"/>
          <w:bCs/>
          <w:sz w:val="21"/>
          <w:szCs w:val="21"/>
        </w:rPr>
        <w:t>，</w:t>
      </w:r>
      <w:r>
        <w:rPr>
          <w:rFonts w:ascii="Arial" w:hAnsi="Arial" w:cs="Arial"/>
          <w:bCs/>
          <w:sz w:val="21"/>
          <w:szCs w:val="21"/>
        </w:rPr>
        <w:t>为</w:t>
      </w:r>
      <w:r>
        <w:rPr>
          <w:rFonts w:ascii="Arial" w:hAnsi="Arial" w:cs="Arial"/>
          <w:bCs/>
          <w:sz w:val="21"/>
          <w:szCs w:val="21"/>
        </w:rPr>
        <w:t>海南省政协干部培训中心、海南金石投资有限公司共同共</w:t>
      </w:r>
      <w:r>
        <w:rPr>
          <w:rFonts w:ascii="Arial" w:hAnsi="Arial" w:cs="Arial"/>
          <w:bCs/>
          <w:sz w:val="21"/>
          <w:szCs w:val="21"/>
        </w:rPr>
        <w:t>有。</w:t>
      </w:r>
      <w:r>
        <w:rPr>
          <w:rFonts w:ascii="Arial" w:hAnsi="Arial" w:cs="Arial"/>
          <w:sz w:val="21"/>
          <w:szCs w:val="21"/>
        </w:rPr>
        <w:t>根据</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0078372</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本、《评估范围清单明细》</w:t>
      </w:r>
      <w:r>
        <w:rPr>
          <w:rFonts w:ascii="Arial" w:hAnsi="Arial" w:cs="Arial"/>
          <w:sz w:val="21"/>
          <w:szCs w:val="21"/>
        </w:rPr>
        <w:t>，估价对象</w:t>
      </w:r>
      <w:r>
        <w:rPr>
          <w:rFonts w:ascii="Arial" w:hAnsi="Arial" w:cs="Arial"/>
          <w:sz w:val="21"/>
          <w:szCs w:val="21"/>
        </w:rPr>
        <w:t>分摊土地面积为</w:t>
      </w:r>
      <w:r>
        <w:rPr>
          <w:rFonts w:cs="Arial" w:ascii="Arial" w:hAnsi="Arial"/>
          <w:sz w:val="21"/>
          <w:szCs w:val="21"/>
        </w:rPr>
        <w:t>20358.14</w:t>
      </w:r>
      <w:r>
        <w:rPr>
          <w:rFonts w:ascii="Arial" w:hAnsi="Arial" w:cs="Arial"/>
          <w:sz w:val="21"/>
          <w:szCs w:val="21"/>
        </w:rPr>
        <w:t>平方米，</w:t>
      </w:r>
      <w:r>
        <w:rPr>
          <w:rFonts w:ascii="Arial" w:hAnsi="Arial" w:cs="Arial"/>
          <w:sz w:val="21"/>
          <w:szCs w:val="21"/>
        </w:rPr>
        <w:t>建筑面积为</w:t>
      </w:r>
      <w:r>
        <w:rPr>
          <w:rFonts w:cs="Arial" w:ascii="Arial" w:hAnsi="Arial"/>
          <w:sz w:val="21"/>
          <w:szCs w:val="21"/>
        </w:rPr>
        <w:t>15260.82</w:t>
      </w:r>
      <w:r>
        <w:rPr>
          <w:rFonts w:ascii="Arial" w:hAnsi="Arial" w:cs="Arial"/>
          <w:sz w:val="21"/>
          <w:szCs w:val="21"/>
        </w:rPr>
        <w:t>平方米，</w:t>
      </w:r>
      <w:r>
        <w:rPr>
          <w:rFonts w:ascii="Arial" w:hAnsi="Arial" w:cs="Arial"/>
          <w:sz w:val="21"/>
          <w:szCs w:val="21"/>
        </w:rPr>
        <w:t>全部为产权式酒店（别墅）用房</w:t>
      </w:r>
      <w:r>
        <w:rPr>
          <w:rFonts w:ascii="Arial" w:hAnsi="Arial" w:cs="Arial"/>
          <w:sz w:val="21"/>
          <w:szCs w:val="21"/>
        </w:rPr>
        <w:t>。</w:t>
      </w:r>
      <w:r>
        <w:rPr>
          <w:rFonts w:ascii="Arial" w:hAnsi="Arial" w:cs="Arial"/>
          <w:bCs/>
          <w:sz w:val="21"/>
          <w:szCs w:val="21"/>
        </w:rPr>
        <w:t>清单详见附表</w:t>
      </w:r>
      <w:r>
        <w:rPr>
          <w:rFonts w:ascii="Arial" w:hAnsi="Arial" w:cs="Arial"/>
          <w:bCs/>
          <w:sz w:val="21"/>
          <w:szCs w:val="21"/>
        </w:rPr>
        <w:t>。</w:t>
      </w:r>
      <w:r>
        <w:rPr>
          <w:rFonts w:ascii="Arial" w:hAnsi="Arial" w:cs="Arial" w:eastAsia="Arial"/>
          <w:color w:val="E36C0A"/>
          <w:sz w:val="21"/>
          <w:szCs w:val="21"/>
        </w:rPr>
        <w:t xml:space="preserve"> </w:t>
      </w:r>
    </w:p>
    <w:p>
      <w:pPr>
        <w:pStyle w:val="Normal"/>
        <w:overflowPunct w:val="false"/>
        <w:spacing w:lineRule="auto" w:line="480"/>
        <w:ind w:firstLine="420"/>
        <w:jc w:val="both"/>
        <w:textAlignment w:val="auto"/>
        <w:rPr/>
      </w:pPr>
      <w:r>
        <w:rPr>
          <w:rFonts w:ascii="Arial" w:hAnsi="Arial" w:cs="Arial"/>
          <w:b/>
          <w:bCs/>
          <w:color w:val="000000"/>
          <w:sz w:val="21"/>
          <w:szCs w:val="21"/>
        </w:rPr>
        <w:t>估价目的</w:t>
      </w:r>
      <w:r>
        <w:rPr>
          <w:rFonts w:ascii="Arial" w:hAnsi="Arial" w:cs="Arial"/>
          <w:b/>
          <w:bCs/>
          <w:sz w:val="21"/>
          <w:szCs w:val="21"/>
        </w:rPr>
        <w:t>：</w:t>
      </w:r>
      <w:r>
        <w:rPr>
          <w:rFonts w:ascii="Arial" w:hAnsi="Arial" w:cs="Arial"/>
          <w:sz w:val="21"/>
          <w:szCs w:val="21"/>
        </w:rPr>
        <w:t>为估价委托人</w:t>
      </w:r>
      <w:r>
        <w:rPr>
          <w:rFonts w:ascii="Arial" w:hAnsi="Arial" w:cs="Arial"/>
          <w:sz w:val="21"/>
          <w:szCs w:val="21"/>
        </w:rPr>
        <w:t>因处置资产需要了解估价对象房地产</w:t>
      </w:r>
      <w:r>
        <w:rPr>
          <w:rFonts w:ascii="Arial" w:hAnsi="Arial" w:cs="Arial"/>
          <w:sz w:val="21"/>
          <w:szCs w:val="21"/>
        </w:rPr>
        <w:t>快速变现价值提供参考依据。</w:t>
      </w:r>
    </w:p>
    <w:p>
      <w:pPr>
        <w:pStyle w:val="Normal"/>
        <w:overflowPunct w:val="false"/>
        <w:spacing w:lineRule="auto" w:line="480"/>
        <w:ind w:firstLine="420"/>
        <w:jc w:val="both"/>
        <w:textAlignment w:val="auto"/>
        <w:rPr/>
      </w:pPr>
      <w:r>
        <w:rPr>
          <w:rFonts w:ascii="Arial" w:hAnsi="Arial" w:cs="Arial"/>
          <w:b/>
          <w:bCs/>
          <w:sz w:val="21"/>
          <w:szCs w:val="21"/>
        </w:rPr>
        <w:t>价值时点：</w:t>
      </w:r>
      <w:r>
        <w:rPr>
          <w:rFonts w:cs="Arial" w:ascii="Arial" w:hAnsi="Arial"/>
          <w:sz w:val="21"/>
          <w:szCs w:val="21"/>
        </w:rPr>
        <w:t>20</w:t>
      </w:r>
      <w:r>
        <w:rPr>
          <w:rFonts w:cs="Arial" w:ascii="Arial" w:hAnsi="Arial"/>
          <w:sz w:val="21"/>
          <w:szCs w:val="21"/>
        </w:rPr>
        <w:t>24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15</w:t>
      </w:r>
      <w:r>
        <w:rPr>
          <w:rFonts w:ascii="Arial" w:hAnsi="Arial" w:cs="Arial"/>
          <w:sz w:val="21"/>
          <w:szCs w:val="21"/>
        </w:rPr>
        <w:t>日</w:t>
      </w:r>
    </w:p>
    <w:p>
      <w:pPr>
        <w:pStyle w:val="Normal"/>
        <w:overflowPunct w:val="false"/>
        <w:spacing w:lineRule="auto" w:line="480"/>
        <w:ind w:firstLine="420"/>
        <w:jc w:val="both"/>
        <w:textAlignment w:val="auto"/>
        <w:rPr>
          <w:rFonts w:ascii="Arial" w:hAnsi="Arial" w:cs="Arial"/>
          <w:sz w:val="21"/>
          <w:szCs w:val="21"/>
        </w:rPr>
      </w:pPr>
      <w:r>
        <w:rPr>
          <w:rFonts w:ascii="Arial" w:hAnsi="Arial" w:cs="Arial"/>
          <w:b/>
          <w:bCs/>
          <w:sz w:val="21"/>
          <w:szCs w:val="21"/>
        </w:rPr>
        <w:t>价值类型：</w:t>
      </w:r>
      <w:r>
        <w:rPr>
          <w:rFonts w:ascii="Arial" w:hAnsi="Arial" w:cs="Arial"/>
          <w:sz w:val="21"/>
          <w:szCs w:val="21"/>
        </w:rPr>
        <w:t>本次估价的“快速变现价值”是指估价对象在没有充足的时间进行营销情况下的价值，按照房地产市场价值的七折计算。其中“</w:t>
      </w:r>
      <w:r>
        <w:rPr>
          <w:rFonts w:ascii="Arial" w:hAnsi="Arial" w:cs="Arial"/>
          <w:sz w:val="21"/>
          <w:szCs w:val="21"/>
        </w:rPr>
        <w:t>房地产价值</w:t>
      </w:r>
      <w:r>
        <w:rPr>
          <w:rFonts w:ascii="Arial" w:hAnsi="Arial" w:cs="Arial"/>
          <w:sz w:val="21"/>
          <w:szCs w:val="21"/>
        </w:rPr>
        <w:t>”</w:t>
      </w:r>
      <w:r>
        <w:rPr>
          <w:rFonts w:ascii="Arial" w:hAnsi="Arial" w:cs="Arial"/>
          <w:sz w:val="21"/>
          <w:szCs w:val="21"/>
        </w:rPr>
        <w:t>是指在正常市场情况下，在价值时点</w:t>
      </w:r>
      <w:r>
        <w:rPr>
          <w:rFonts w:cs="Arial" w:ascii="Arial" w:hAnsi="Arial"/>
          <w:sz w:val="21"/>
          <w:szCs w:val="21"/>
        </w:rPr>
        <w:t>2024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15</w:t>
      </w:r>
      <w:r>
        <w:rPr>
          <w:rFonts w:ascii="Arial" w:hAnsi="Arial" w:cs="Arial"/>
          <w:sz w:val="21"/>
          <w:szCs w:val="21"/>
        </w:rPr>
        <w:t>日，估价对象用途为</w:t>
      </w:r>
      <w:r>
        <w:rPr>
          <w:rFonts w:ascii="Arial" w:hAnsi="Arial" w:cs="Arial"/>
          <w:sz w:val="21"/>
          <w:szCs w:val="21"/>
        </w:rPr>
        <w:t>产权式酒店（别墅）</w:t>
      </w:r>
      <w:r>
        <w:rPr>
          <w:rFonts w:ascii="Arial" w:hAnsi="Arial" w:cs="Arial"/>
          <w:sz w:val="21"/>
          <w:szCs w:val="21"/>
        </w:rPr>
        <w:t>，</w:t>
      </w:r>
      <w:r>
        <w:rPr>
          <w:rFonts w:ascii="Arial" w:hAnsi="Arial" w:cs="Arial"/>
          <w:bCs/>
          <w:sz w:val="21"/>
          <w:szCs w:val="21"/>
        </w:rPr>
        <w:t>土地取得方式为出让</w:t>
      </w:r>
      <w:r>
        <w:rPr>
          <w:rFonts w:ascii="Arial" w:hAnsi="Arial" w:cs="Arial"/>
          <w:bCs/>
          <w:sz w:val="21"/>
          <w:szCs w:val="21"/>
        </w:rPr>
        <w:t>，</w:t>
      </w:r>
      <w:r>
        <w:rPr>
          <w:rFonts w:ascii="Arial" w:hAnsi="Arial" w:cs="Arial"/>
          <w:bCs/>
          <w:sz w:val="21"/>
          <w:szCs w:val="21"/>
        </w:rPr>
        <w:t>出让</w:t>
      </w:r>
      <w:r>
        <w:rPr>
          <w:rFonts w:ascii="Arial" w:hAnsi="Arial" w:cs="Arial"/>
          <w:sz w:val="21"/>
          <w:szCs w:val="21"/>
        </w:rPr>
        <w:t>国有建设用地使用权剩余土地使用年限为</w:t>
      </w:r>
      <w:r>
        <w:rPr>
          <w:rFonts w:cs="Arial" w:ascii="Arial" w:hAnsi="Arial"/>
          <w:sz w:val="21"/>
          <w:szCs w:val="21"/>
        </w:rPr>
        <w:t>25.37</w:t>
      </w:r>
      <w:r>
        <w:rPr>
          <w:rFonts w:ascii="Arial" w:hAnsi="Arial" w:cs="Arial"/>
          <w:sz w:val="21"/>
          <w:szCs w:val="21"/>
        </w:rPr>
        <w:t>年的房地产市场价值。</w:t>
      </w:r>
    </w:p>
    <w:p>
      <w:pPr>
        <w:pStyle w:val="Normal"/>
        <w:overflowPunct w:val="false"/>
        <w:spacing w:lineRule="auto" w:line="480"/>
        <w:ind w:firstLine="420"/>
        <w:jc w:val="both"/>
        <w:textAlignment w:val="auto"/>
        <w:rPr>
          <w:rFonts w:ascii="Arial" w:hAnsi="Arial" w:cs="Arial"/>
          <w:b/>
          <w:b/>
          <w:bCs/>
          <w:sz w:val="21"/>
          <w:szCs w:val="21"/>
        </w:rPr>
      </w:pPr>
      <w:r>
        <w:rPr>
          <w:rFonts w:ascii="Arial" w:hAnsi="Arial" w:cs="Arial"/>
          <w:b/>
          <w:bCs/>
          <w:sz w:val="21"/>
          <w:szCs w:val="21"/>
        </w:rPr>
        <w:t>估价方法：</w:t>
      </w:r>
      <w:r>
        <w:rPr>
          <w:rFonts w:ascii="Arial" w:hAnsi="Arial" w:cs="Arial"/>
          <w:bCs/>
          <w:sz w:val="21"/>
          <w:szCs w:val="21"/>
        </w:rPr>
        <w:t>本次评估采用的估价方法</w:t>
      </w:r>
      <w:r>
        <w:rPr>
          <w:rFonts w:ascii="Arial" w:hAnsi="Arial" w:cs="Arial"/>
          <w:bCs/>
          <w:sz w:val="21"/>
          <w:szCs w:val="21"/>
        </w:rPr>
        <w:t>为</w:t>
      </w:r>
      <w:r>
        <w:rPr>
          <w:rFonts w:ascii="Arial" w:hAnsi="Arial" w:cs="宋体;SimSun"/>
          <w:sz w:val="21"/>
          <w:szCs w:val="21"/>
        </w:rPr>
        <w:t>比较法和收益法</w:t>
      </w:r>
      <w:r>
        <w:rPr>
          <w:rFonts w:ascii="Arial" w:hAnsi="Arial" w:cs="Arial"/>
          <w:sz w:val="21"/>
          <w:szCs w:val="21"/>
        </w:rPr>
        <w:t>。</w:t>
      </w:r>
    </w:p>
    <w:p>
      <w:pPr>
        <w:pStyle w:val="Normal"/>
        <w:overflowPunct w:val="false"/>
        <w:spacing w:lineRule="auto" w:line="480"/>
        <w:ind w:firstLine="42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评估专业人员根据估价的目的，按照估价的程序，采用科学的估价方法，在认真分析现有资料的基础上，结合</w:t>
      </w:r>
      <w:r>
        <w:rPr>
          <w:rFonts w:ascii="Arial" w:hAnsi="Arial" w:cs="Arial"/>
          <w:sz w:val="21"/>
          <w:szCs w:val="21"/>
        </w:rPr>
        <w:t>本次评估</w:t>
      </w:r>
      <w:r>
        <w:rPr>
          <w:rFonts w:ascii="Arial" w:hAnsi="Arial" w:cs="Arial"/>
          <w:sz w:val="21"/>
          <w:szCs w:val="21"/>
        </w:rPr>
        <w:t>的要求，通过仔细测算和认真分析各种影响房地产价格的因素，</w:t>
      </w:r>
      <w:r>
        <w:rPr>
          <w:rFonts w:ascii="Arial" w:hAnsi="Arial" w:cs="Arial" w:eastAsia="Arial"/>
          <w:sz w:val="21"/>
          <w:szCs w:val="21"/>
        </w:rPr>
        <w:t xml:space="preserve"> </w:t>
      </w:r>
      <w:r>
        <w:rPr>
          <w:rFonts w:ascii="Arial" w:hAnsi="Arial" w:cs="Arial"/>
          <w:sz w:val="21"/>
          <w:szCs w:val="21"/>
        </w:rPr>
        <w:t>确定估价对象</w:t>
      </w:r>
      <w:r>
        <w:rPr>
          <w:rFonts w:ascii="Arial" w:hAnsi="Arial" w:cs="Arial"/>
          <w:sz w:val="21"/>
          <w:szCs w:val="21"/>
        </w:rPr>
        <w:t>于价值时点的</w:t>
      </w:r>
      <w:r>
        <w:rPr>
          <w:rFonts w:ascii="Arial" w:hAnsi="Arial" w:cs="Arial"/>
          <w:color w:val="000000"/>
          <w:sz w:val="21"/>
          <w:szCs w:val="21"/>
        </w:rPr>
        <w:t>房地产评估价值，详见估价结果一览表</w:t>
      </w:r>
      <w:r>
        <w:rPr>
          <w:rFonts w:ascii="Arial" w:hAnsi="Arial" w:cs="Arial"/>
          <w:sz w:val="21"/>
          <w:szCs w:val="21"/>
        </w:rPr>
        <w:t>。</w:t>
      </w:r>
      <w:r>
        <w:rPr>
          <w:rFonts w:ascii="Arial" w:hAnsi="Arial" w:cs="Arial" w:eastAsia="Arial"/>
          <w:sz w:val="21"/>
          <w:szCs w:val="21"/>
        </w:rPr>
        <w:t xml:space="preserve"> </w:t>
      </w:r>
    </w:p>
    <w:p>
      <w:pPr>
        <w:sectPr>
          <w:headerReference w:type="default" r:id="rId6"/>
          <w:footerReference w:type="default" r:id="rId7"/>
          <w:type w:val="nextPage"/>
          <w:pgSz w:w="11906" w:h="16838"/>
          <w:pgMar w:left="1304" w:right="1304" w:header="1134" w:top="1843" w:footer="907" w:bottom="1134" w:gutter="0"/>
          <w:pgNumType w:start="1" w:fmt="decimal"/>
          <w:formProt w:val="false"/>
          <w:textDirection w:val="lrTb"/>
          <w:docGrid w:type="default" w:linePitch="326" w:charSpace="0"/>
        </w:sect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（转下页）</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p>
    <w:p>
      <w:pPr>
        <w:pStyle w:val="Normal"/>
        <w:spacing w:lineRule="auto" w:line="240"/>
        <w:jc w:val="center"/>
        <w:rPr>
          <w:rFonts w:ascii="Arial" w:hAnsi="Arial" w:eastAsia="方正黑体简体;微软雅黑" w:cs="Arial"/>
        </w:rPr>
      </w:pPr>
      <w:r>
        <w:rPr>
          <w:rFonts w:ascii="Arial" w:hAnsi="Arial" w:cs="Arial" w:eastAsia="方正黑体简体;微软雅黑"/>
        </w:rPr>
        <w:t>估价结果一览表</w:t>
      </w:r>
    </w:p>
    <w:tbl>
      <w:tblPr>
        <w:tblW w:w="9304" w:type="dxa"/>
        <w:jc w:val="center"/>
        <w:tblInd w:w="0" w:type="dxa"/>
        <w:tblCellMar>
          <w:top w:w="57" w:type="dxa"/>
          <w:left w:w="57" w:type="dxa"/>
          <w:bottom w:w="57" w:type="dxa"/>
          <w:right w:w="57" w:type="dxa"/>
        </w:tblCellMar>
      </w:tblPr>
      <w:tblGrid>
        <w:gridCol w:w="1843"/>
        <w:gridCol w:w="2553"/>
        <w:gridCol w:w="1275"/>
        <w:gridCol w:w="1843"/>
        <w:gridCol w:w="1790"/>
      </w:tblGrid>
      <w:tr>
        <w:trPr>
          <w:cantSplit w:val="true"/>
        </w:trPr>
        <w:tc>
          <w:tcPr>
            <w:tcW w:w="5671" w:type="dxa"/>
            <w:gridSpan w:val="3"/>
            <w:vMerge w:val="restart"/>
            <w:tcBorders>
              <w:top w:val="thickThinSmallGap" w:sz="12" w:space="0" w:color="404040"/>
              <w:left w:val="dotted" w:sz="2" w:space="0" w:color="404040"/>
              <w:bottom w:val="dotted" w:sz="2" w:space="0" w:color="404040"/>
            </w:tcBorders>
            <w:shd w:fill="auto" w:val="clear"/>
            <w:vAlign w:val="center"/>
          </w:tcPr>
          <w:p>
            <w:pPr>
              <w:pStyle w:val="Normal"/>
              <w:widowControl/>
              <w:spacing w:lineRule="exact" w:line="240"/>
              <w:ind w:firstLine="2806"/>
              <w:jc w:val="right"/>
              <w:rPr>
                <w:rFonts w:ascii="Arial" w:hAnsi="Arial" w:eastAsia="华文细黑" w:cs="宋体;SimSun"/>
                <w:sz w:val="18"/>
                <w:szCs w:val="18"/>
              </w:rPr>
            </w:pPr>
            <w:r>
              <w:rPr>
                <w:rFonts w:ascii="Arial" w:hAnsi="Arial" w:cs="宋体;SimSun" w:eastAsia="华文细黑"/>
                <w:sz w:val="18"/>
                <w:szCs w:val="18"/>
              </w:rPr>
              <w:t>估价方法及结果</w:t>
            </w:r>
          </w:p>
          <w:p>
            <w:pPr>
              <w:pStyle w:val="Normal"/>
              <w:spacing w:lineRule="exact" w:line="240"/>
              <w:jc w:val="both"/>
              <w:rPr>
                <w:rFonts w:ascii="Arial" w:hAnsi="Arial" w:cs="Arial"/>
                <w:b/>
                <w:b/>
                <w:bCs/>
                <w:sz w:val="21"/>
                <w:szCs w:val="21"/>
              </w:rPr>
            </w:pPr>
            <w:r>
              <w:rPr>
                <w:rFonts w:ascii="Arial" w:hAnsi="Arial" w:cs="宋体;SimSun" w:eastAsia="华文细黑"/>
                <w:sz w:val="18"/>
                <w:szCs w:val="18"/>
              </w:rPr>
              <w:t>估价对象及结果</w:t>
            </w:r>
          </w:p>
        </w:tc>
        <w:tc>
          <w:tcPr>
            <w:tcW w:w="3633" w:type="dxa"/>
            <w:gridSpan w:val="2"/>
            <w:tcBorders>
              <w:top w:val="thickThinSmallGap" w:sz="1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测算结果</w:t>
            </w:r>
          </w:p>
        </w:tc>
      </w:tr>
      <w:tr>
        <w:trPr>
          <w:cantSplit w:val="true"/>
        </w:trPr>
        <w:tc>
          <w:tcPr>
            <w:tcW w:w="5671" w:type="dxa"/>
            <w:gridSpan w:val="3"/>
            <w:vMerge w:val="continue"/>
            <w:tcBorders>
              <w:top w:val="thickThinSmallGap" w:sz="1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Arial"/>
                <w:b/>
                <w:b/>
                <w:bCs/>
                <w:sz w:val="21"/>
                <w:szCs w:val="21"/>
              </w:rPr>
            </w:pPr>
            <w:r>
              <w:rPr>
                <w:rFonts w:eastAsia="华文细黑" w:cs="Arial" w:ascii="Arial" w:hAnsi="Arial"/>
                <w:b/>
                <w:bCs/>
                <w:sz w:val="21"/>
                <w:szCs w:val="21"/>
              </w:rPr>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比较法</w:t>
            </w:r>
          </w:p>
        </w:tc>
        <w:tc>
          <w:tcPr>
            <w:tcW w:w="1790" w:type="dxa"/>
            <w:tcBorders>
              <w:top w:val="dotted" w:sz="4" w:space="0" w:color="000000"/>
              <w:left w:val="dotted" w:sz="2" w:space="0" w:color="404040"/>
              <w:bottom w:val="dotted" w:sz="2" w:space="0" w:color="404040"/>
              <w:right w:val="dotted" w:sz="2" w:space="0" w:color="404040"/>
            </w:tcBorders>
            <w:shd w:fill="auto" w:val="clear"/>
            <w:vAlign w:val="center"/>
          </w:tcPr>
          <w:p>
            <w:pPr>
              <w:pStyle w:val="Normal"/>
              <w:spacing w:lineRule="exact" w:line="240"/>
              <w:jc w:val="both"/>
              <w:rPr>
                <w:rFonts w:ascii="Arial" w:hAnsi="Arial" w:eastAsia="华文细黑" w:cs="宋体;SimSun"/>
                <w:sz w:val="18"/>
                <w:szCs w:val="18"/>
              </w:rPr>
            </w:pPr>
            <w:r>
              <w:rPr>
                <w:rFonts w:ascii="Arial" w:hAnsi="Arial" w:cs="宋体;SimSun" w:eastAsia="华文细黑"/>
                <w:sz w:val="18"/>
                <w:szCs w:val="18"/>
              </w:rPr>
              <w:t>收益法</w:t>
            </w:r>
          </w:p>
        </w:tc>
      </w:tr>
      <w:tr>
        <w:trPr>
          <w:trHeight w:val="340" w:hRule="exact"/>
          <w:cantSplit w:val="true"/>
        </w:trPr>
        <w:tc>
          <w:tcPr>
            <w:tcW w:w="4396" w:type="dxa"/>
            <w:gridSpan w:val="2"/>
            <w:vMerge w:val="restart"/>
            <w:tcBorders>
              <w:top w:val="dotted" w:sz="2" w:space="0" w:color="404040"/>
              <w:left w:val="dotted" w:sz="2" w:space="0" w:color="404040"/>
              <w:bottom w:val="dotted" w:sz="2" w:space="0" w:color="404040"/>
            </w:tcBorders>
            <w:shd w:fill="auto" w:val="clear"/>
            <w:vAlign w:val="center"/>
          </w:tcPr>
          <w:p>
            <w:pPr>
              <w:pStyle w:val="Normal"/>
              <w:spacing w:lineRule="exact" w:line="240"/>
              <w:jc w:val="both"/>
              <w:rPr>
                <w:rFonts w:ascii="Arial" w:hAnsi="Arial" w:eastAsia="华文细黑" w:cs="宋体;SimSun"/>
                <w:sz w:val="18"/>
                <w:szCs w:val="18"/>
              </w:rPr>
            </w:pPr>
            <w:r>
              <w:rPr>
                <w:rFonts w:ascii="Arial" w:hAnsi="Arial" w:cs="宋体;SimSun" w:eastAsia="华文细黑"/>
                <w:sz w:val="18"/>
                <w:szCs w:val="18"/>
              </w:rPr>
              <w:t>海南省海口市秀英区滨海大道</w:t>
            </w:r>
            <w:r>
              <w:rPr>
                <w:rFonts w:eastAsia="华文细黑" w:cs="宋体;SimSun" w:ascii="Arial" w:hAnsi="Arial"/>
                <w:sz w:val="18"/>
                <w:szCs w:val="18"/>
              </w:rPr>
              <w:t>158</w:t>
            </w:r>
            <w:r>
              <w:rPr>
                <w:rFonts w:ascii="Arial" w:hAnsi="Arial" w:cs="宋体;SimSun" w:eastAsia="华文细黑"/>
                <w:sz w:val="18"/>
                <w:szCs w:val="18"/>
              </w:rPr>
              <w:t>号琼珠海岸生态度假村暨全国政协（海南）会议培训中心北区项目</w:t>
            </w:r>
            <w:r>
              <w:rPr>
                <w:rFonts w:eastAsia="华文细黑" w:cs="宋体;SimSun" w:ascii="Arial" w:hAnsi="Arial"/>
                <w:sz w:val="18"/>
                <w:szCs w:val="18"/>
              </w:rPr>
              <w:t>1</w:t>
            </w:r>
            <w:r>
              <w:rPr>
                <w:rFonts w:ascii="Arial" w:hAnsi="Arial" w:cs="宋体;SimSun" w:eastAsia="华文细黑"/>
                <w:sz w:val="18"/>
                <w:szCs w:val="18"/>
              </w:rPr>
              <w:t>号楼等</w:t>
            </w:r>
            <w:r>
              <w:rPr>
                <w:rFonts w:eastAsia="华文细黑" w:cs="宋体;SimSun" w:ascii="Arial" w:hAnsi="Arial"/>
                <w:sz w:val="18"/>
                <w:szCs w:val="18"/>
              </w:rPr>
              <w:t>34</w:t>
            </w:r>
            <w:r>
              <w:rPr>
                <w:rFonts w:ascii="Arial" w:hAnsi="Arial" w:cs="宋体;SimSun" w:eastAsia="华文细黑"/>
                <w:sz w:val="18"/>
                <w:szCs w:val="18"/>
              </w:rPr>
              <w:t>套产权式酒店（别墅）用房房地产</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54867</w:t>
            </w:r>
          </w:p>
        </w:tc>
        <w:tc>
          <w:tcPr>
            <w:tcW w:w="1790" w:type="dxa"/>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17878</w:t>
            </w:r>
          </w:p>
        </w:tc>
      </w:tr>
      <w:tr>
        <w:trPr>
          <w:trHeight w:val="340" w:hRule="exact"/>
          <w:cantSplit w:val="true"/>
        </w:trPr>
        <w:tc>
          <w:tcPr>
            <w:tcW w:w="4396" w:type="dxa"/>
            <w:gridSpan w:val="2"/>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sz w:val="18"/>
                <w:szCs w:val="18"/>
              </w:rPr>
            </w:pPr>
            <w:r>
              <w:rPr>
                <w:rFonts w:eastAsia="华文细黑" w:cs="宋体;SimSun" w:ascii="Arial" w:hAnsi="Arial"/>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35953</w:t>
            </w:r>
          </w:p>
        </w:tc>
        <w:tc>
          <w:tcPr>
            <w:tcW w:w="1790" w:type="dxa"/>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11715</w:t>
            </w:r>
          </w:p>
        </w:tc>
      </w:tr>
      <w:tr>
        <w:trPr>
          <w:cantSplit w:val="true"/>
        </w:trPr>
        <w:tc>
          <w:tcPr>
            <w:tcW w:w="184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评估价值</w:t>
            </w:r>
          </w:p>
        </w:tc>
        <w:tc>
          <w:tcPr>
            <w:tcW w:w="255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房地产价值</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40071</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大写金额</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肆亿零柒拾壹万元整</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26257</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快速变现价值</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28050</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大写金额</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贰亿捌仟零伍拾万</w:t>
            </w:r>
            <w:r>
              <w:rPr>
                <w:rFonts w:ascii="Arial" w:hAnsi="Arial" w:cs="宋体;SimSun" w:eastAsia="华文细黑"/>
                <w:sz w:val="18"/>
                <w:szCs w:val="18"/>
              </w:rPr>
              <w:t>元整</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thickThinSmallGap" w:sz="1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3633" w:type="dxa"/>
            <w:gridSpan w:val="2"/>
            <w:tcBorders>
              <w:top w:val="dotted" w:sz="2" w:space="0" w:color="404040"/>
              <w:left w:val="dotted" w:sz="2" w:space="0" w:color="404040"/>
              <w:bottom w:val="thickThinSmallGap" w:sz="1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18380</w:t>
            </w:r>
          </w:p>
        </w:tc>
      </w:tr>
    </w:tbl>
    <w:p>
      <w:pPr>
        <w:pStyle w:val="Normal"/>
        <w:spacing w:lineRule="auto" w:line="360"/>
        <w:rPr>
          <w:rFonts w:ascii="Arial" w:hAnsi="Arial" w:eastAsia="华文细黑" w:cs="Arial"/>
          <w:sz w:val="18"/>
        </w:rPr>
      </w:pPr>
      <w:r>
        <w:rPr>
          <w:rFonts w:ascii="Arial" w:hAnsi="Arial" w:cs="Arial" w:eastAsia="华文细黑"/>
          <w:sz w:val="18"/>
        </w:rPr>
        <w:t>单位：万元、元</w:t>
      </w:r>
      <w:r>
        <w:rPr>
          <w:rFonts w:eastAsia="华文细黑" w:cs="Arial" w:ascii="Arial" w:hAnsi="Arial"/>
          <w:sz w:val="18"/>
        </w:rPr>
        <w:t>/</w:t>
      </w:r>
      <w:r>
        <w:rPr>
          <w:rFonts w:ascii="Arial" w:hAnsi="Arial" w:cs="Arial" w:eastAsia="华文细黑"/>
          <w:sz w:val="18"/>
        </w:rPr>
        <w:t>平方米（币种：人民币）</w:t>
      </w:r>
    </w:p>
    <w:p>
      <w:pPr>
        <w:pStyle w:val="Normal"/>
        <w:spacing w:lineRule="auto" w:line="360"/>
        <w:rPr>
          <w:rFonts w:ascii="Arial" w:hAnsi="Arial" w:eastAsia="华文细黑" w:cs="Arial"/>
          <w:sz w:val="18"/>
        </w:rPr>
      </w:pPr>
      <w:r>
        <w:rPr>
          <w:rFonts w:eastAsia="华文细黑" w:cs="Arial" w:ascii="Arial" w:hAnsi="Arial"/>
          <w:sz w:val="18"/>
        </w:rPr>
      </w:r>
    </w:p>
    <w:p>
      <w:pPr>
        <w:pStyle w:val="Normal"/>
        <w:spacing w:lineRule="auto" w:line="480"/>
        <w:jc w:val="both"/>
        <w:rPr>
          <w:rFonts w:ascii="Arial" w:hAnsi="Arial" w:cs="Arial"/>
          <w:b/>
          <w:b/>
          <w:bCs/>
          <w:sz w:val="21"/>
          <w:szCs w:val="21"/>
        </w:rPr>
      </w:pPr>
      <w:r>
        <w:rPr>
          <w:rFonts w:ascii="Arial" w:hAnsi="Arial" w:cs="Arial"/>
          <w:b/>
          <w:bCs/>
          <w:sz w:val="21"/>
          <w:szCs w:val="21"/>
        </w:rPr>
        <w:t>特别提示：</w:t>
      </w:r>
    </w:p>
    <w:p>
      <w:pPr>
        <w:pStyle w:val="Normal"/>
        <w:spacing w:lineRule="auto" w:line="480"/>
        <w:jc w:val="both"/>
        <w:rPr/>
      </w:pPr>
      <w:r>
        <w:rPr>
          <w:rFonts w:cs="Arial" w:ascii="Arial" w:hAnsi="Arial"/>
          <w:bCs/>
          <w:sz w:val="21"/>
          <w:szCs w:val="21"/>
        </w:rPr>
        <w:t>1.</w:t>
      </w:r>
      <w:r>
        <w:rPr>
          <w:rFonts w:ascii="Arial" w:hAnsi="Arial" w:cs="Arial"/>
          <w:bCs/>
          <w:sz w:val="21"/>
          <w:szCs w:val="21"/>
        </w:rPr>
        <w:t>估价对象权利限制状况</w:t>
      </w:r>
      <w:r>
        <w:rPr>
          <w:rFonts w:ascii="Arial" w:hAnsi="Arial" w:cs="Arial"/>
          <w:bCs/>
          <w:sz w:val="21"/>
          <w:szCs w:val="21"/>
        </w:rPr>
        <w:t>：</w:t>
      </w:r>
    </w:p>
    <w:p>
      <w:pPr>
        <w:pStyle w:val="Normal"/>
        <w:spacing w:lineRule="auto" w:line="480"/>
        <w:ind w:firstLine="420"/>
        <w:jc w:val="both"/>
        <w:rPr/>
      </w:pPr>
      <w:r>
        <w:rPr>
          <w:rFonts w:ascii="Arial" w:hAnsi="Arial" w:cs="Arial"/>
          <w:sz w:val="21"/>
          <w:szCs w:val="21"/>
        </w:rPr>
        <w:t>（</w:t>
      </w:r>
      <w:r>
        <w:rPr>
          <w:rFonts w:cs="Arial" w:ascii="Arial" w:hAnsi="Arial"/>
          <w:sz w:val="21"/>
          <w:szCs w:val="21"/>
        </w:rPr>
        <w:t>1</w:t>
      </w:r>
      <w:r>
        <w:rPr>
          <w:rFonts w:ascii="Arial" w:hAnsi="Arial" w:cs="Arial"/>
          <w:sz w:val="21"/>
          <w:szCs w:val="21"/>
        </w:rPr>
        <w:t>）抵押权</w:t>
      </w:r>
    </w:p>
    <w:p>
      <w:pPr>
        <w:pStyle w:val="Normal"/>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sz w:val="21"/>
          <w:szCs w:val="21"/>
        </w:rPr>
        <w:t>）根据《国有土地使用证》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及《他项权利证》</w:t>
      </w:r>
      <w:r>
        <w:rPr>
          <w:rFonts w:ascii="Arial" w:hAnsi="Arial" w:cs="Arial" w:eastAsia="Arial"/>
          <w:sz w:val="21"/>
          <w:szCs w:val="21"/>
        </w:rPr>
        <w:t xml:space="preserve"> </w:t>
      </w:r>
      <w:r>
        <w:rPr>
          <w:rFonts w:cs="Arial" w:ascii="Arial" w:hAnsi="Arial"/>
          <w:sz w:val="21"/>
          <w:szCs w:val="21"/>
        </w:rPr>
        <w:t>[</w:t>
      </w:r>
      <w:r>
        <w:rPr>
          <w:rFonts w:ascii="Arial" w:hAnsi="Arial" w:cs="Arial"/>
          <w:sz w:val="21"/>
          <w:szCs w:val="21"/>
        </w:rPr>
        <w:t>海口市他项（</w:t>
      </w:r>
      <w:r>
        <w:rPr>
          <w:rFonts w:cs="Arial" w:ascii="Arial" w:hAnsi="Arial"/>
          <w:sz w:val="21"/>
          <w:szCs w:val="21"/>
        </w:rPr>
        <w:t>2015</w:t>
      </w:r>
      <w:r>
        <w:rPr>
          <w:rFonts w:ascii="Arial" w:hAnsi="Arial" w:cs="Arial"/>
          <w:sz w:val="21"/>
          <w:szCs w:val="21"/>
        </w:rPr>
        <w:t>）第</w:t>
      </w:r>
      <w:r>
        <w:rPr>
          <w:rFonts w:cs="Arial" w:ascii="Arial" w:hAnsi="Arial"/>
          <w:sz w:val="21"/>
          <w:szCs w:val="21"/>
        </w:rPr>
        <w:t>0343</w:t>
      </w:r>
      <w:r>
        <w:rPr>
          <w:rFonts w:ascii="Arial" w:hAnsi="Arial" w:cs="Arial"/>
          <w:sz w:val="21"/>
          <w:szCs w:val="21"/>
        </w:rPr>
        <w:t>号、海口市房建海房字第</w:t>
      </w:r>
      <w:r>
        <w:rPr>
          <w:rFonts w:cs="Arial" w:ascii="Arial" w:hAnsi="Arial"/>
          <w:sz w:val="21"/>
          <w:szCs w:val="21"/>
        </w:rPr>
        <w:t>T087275</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复印件，抵押土地面积</w:t>
      </w:r>
      <w:r>
        <w:rPr>
          <w:rFonts w:cs="Arial" w:ascii="Arial" w:hAnsi="Arial"/>
          <w:sz w:val="21"/>
          <w:szCs w:val="21"/>
        </w:rPr>
        <w:t>64507.9</w:t>
      </w:r>
      <w:r>
        <w:rPr>
          <w:rFonts w:ascii="Arial" w:hAnsi="Arial" w:cs="Arial"/>
          <w:sz w:val="21"/>
          <w:szCs w:val="21"/>
        </w:rPr>
        <w:t>平方米，连同海口市房建海房字第</w:t>
      </w:r>
      <w:r>
        <w:rPr>
          <w:rFonts w:cs="Arial" w:ascii="Arial" w:hAnsi="Arial"/>
          <w:sz w:val="21"/>
          <w:szCs w:val="21"/>
        </w:rPr>
        <w:t>T087275</w:t>
      </w:r>
      <w:r>
        <w:rPr>
          <w:rFonts w:ascii="Arial" w:hAnsi="Arial" w:cs="Arial"/>
          <w:sz w:val="21"/>
          <w:szCs w:val="21"/>
        </w:rPr>
        <w:t>号他项证下在建工程抵押贷款人民币</w:t>
      </w:r>
      <w:r>
        <w:rPr>
          <w:rFonts w:cs="Arial" w:ascii="Arial" w:hAnsi="Arial"/>
          <w:sz w:val="21"/>
          <w:szCs w:val="21"/>
        </w:rPr>
        <w:t>5.5</w:t>
      </w:r>
      <w:r>
        <w:rPr>
          <w:rFonts w:ascii="Arial" w:hAnsi="Arial" w:cs="Arial"/>
          <w:sz w:val="21"/>
          <w:szCs w:val="21"/>
        </w:rPr>
        <w:t>亿元。受理编号：</w:t>
      </w:r>
      <w:r>
        <w:rPr>
          <w:rFonts w:cs="Arial" w:ascii="Arial" w:hAnsi="Arial"/>
          <w:sz w:val="21"/>
          <w:szCs w:val="21"/>
        </w:rPr>
        <w:t>2019035547</w:t>
      </w:r>
      <w:r>
        <w:rPr>
          <w:rFonts w:ascii="Arial" w:hAnsi="Arial" w:cs="Arial"/>
          <w:sz w:val="21"/>
          <w:szCs w:val="21"/>
        </w:rPr>
        <w:t>；申请部分解除在建工程抵押登记不动产权证</w:t>
      </w:r>
      <w:r>
        <w:rPr>
          <w:rFonts w:cs="Arial" w:ascii="Arial" w:hAnsi="Arial"/>
          <w:sz w:val="21"/>
          <w:szCs w:val="21"/>
        </w:rPr>
        <w:t>T087275</w:t>
      </w:r>
      <w:r>
        <w:rPr>
          <w:rFonts w:ascii="Arial" w:hAnsi="Arial" w:cs="Arial"/>
          <w:sz w:val="21"/>
          <w:szCs w:val="21"/>
        </w:rPr>
        <w:t>号项下抵押房号为：</w:t>
      </w:r>
      <w:r>
        <w:rPr>
          <w:rFonts w:cs="Arial" w:ascii="Arial" w:hAnsi="Arial"/>
          <w:sz w:val="21"/>
          <w:szCs w:val="21"/>
        </w:rPr>
        <w:t>12#</w:t>
      </w:r>
      <w:r>
        <w:rPr>
          <w:rFonts w:ascii="Arial" w:hAnsi="Arial" w:cs="Arial"/>
          <w:sz w:val="21"/>
          <w:szCs w:val="21"/>
        </w:rPr>
        <w:t>楼；共</w:t>
      </w:r>
      <w:r>
        <w:rPr>
          <w:rFonts w:cs="Arial" w:ascii="Arial" w:hAnsi="Arial"/>
          <w:sz w:val="21"/>
          <w:szCs w:val="21"/>
        </w:rPr>
        <w:t>1</w:t>
      </w:r>
      <w:r>
        <w:rPr>
          <w:rFonts w:ascii="Arial" w:hAnsi="Arial" w:cs="Arial"/>
          <w:sz w:val="21"/>
          <w:szCs w:val="21"/>
        </w:rPr>
        <w:t>栋及对应登记在海口市国用（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号土地使用权证项下土地使用权的抵押权，剩余抵押房源为</w:t>
      </w:r>
      <w:r>
        <w:rPr>
          <w:rFonts w:cs="Arial" w:ascii="Arial" w:hAnsi="Arial"/>
          <w:sz w:val="21"/>
          <w:szCs w:val="21"/>
        </w:rPr>
        <w:t>301</w:t>
      </w:r>
      <w:r>
        <w:rPr>
          <w:rFonts w:ascii="Arial" w:hAnsi="Arial" w:cs="Arial"/>
          <w:sz w:val="21"/>
          <w:szCs w:val="21"/>
        </w:rPr>
        <w:t>套。</w:t>
      </w:r>
      <w:r>
        <w:rPr>
          <w:rFonts w:cs="Arial" w:ascii="Arial" w:hAnsi="Arial"/>
          <w:sz w:val="21"/>
          <w:szCs w:val="21"/>
        </w:rPr>
        <w:t>2017</w:t>
      </w:r>
      <w:r>
        <w:rPr>
          <w:rFonts w:ascii="Arial" w:hAnsi="Arial" w:cs="Arial"/>
          <w:sz w:val="21"/>
          <w:szCs w:val="21"/>
        </w:rPr>
        <w:t>年</w:t>
      </w:r>
      <w:r>
        <w:rPr>
          <w:rFonts w:cs="Arial" w:ascii="Arial" w:hAnsi="Arial"/>
          <w:sz w:val="21"/>
          <w:szCs w:val="21"/>
        </w:rPr>
        <w:t>02</w:t>
      </w:r>
      <w:r>
        <w:rPr>
          <w:rFonts w:ascii="Arial" w:hAnsi="Arial" w:cs="Arial"/>
          <w:sz w:val="21"/>
          <w:szCs w:val="21"/>
        </w:rPr>
        <w:t>月</w:t>
      </w:r>
      <w:r>
        <w:rPr>
          <w:rFonts w:cs="Arial" w:ascii="Arial" w:hAnsi="Arial"/>
          <w:sz w:val="21"/>
          <w:szCs w:val="21"/>
        </w:rPr>
        <w:t>20</w:t>
      </w:r>
      <w:r>
        <w:rPr>
          <w:rFonts w:ascii="Arial" w:hAnsi="Arial" w:cs="Arial"/>
          <w:sz w:val="21"/>
          <w:szCs w:val="21"/>
        </w:rPr>
        <w:t>日部分解除在建工程抵押房号为</w:t>
      </w:r>
      <w:r>
        <w:rPr>
          <w:rFonts w:cs="Arial" w:ascii="Arial" w:hAnsi="Arial"/>
          <w:sz w:val="21"/>
          <w:szCs w:val="21"/>
        </w:rPr>
        <w:t>35#</w:t>
      </w:r>
      <w:r>
        <w:rPr>
          <w:rFonts w:ascii="Arial" w:hAnsi="Arial" w:cs="Arial"/>
          <w:sz w:val="21"/>
          <w:szCs w:val="21"/>
        </w:rPr>
        <w:t>楼，共</w:t>
      </w:r>
      <w:r>
        <w:rPr>
          <w:rFonts w:cs="Arial" w:ascii="Arial" w:hAnsi="Arial"/>
          <w:sz w:val="21"/>
          <w:szCs w:val="21"/>
        </w:rPr>
        <w:t>1</w:t>
      </w:r>
      <w:r>
        <w:rPr>
          <w:rFonts w:ascii="Arial" w:hAnsi="Arial" w:cs="Arial"/>
          <w:sz w:val="21"/>
          <w:szCs w:val="21"/>
        </w:rPr>
        <w:t>套，建筑面积</w:t>
      </w:r>
      <w:r>
        <w:rPr>
          <w:rFonts w:cs="Arial" w:ascii="Arial" w:hAnsi="Arial"/>
          <w:sz w:val="21"/>
          <w:szCs w:val="21"/>
        </w:rPr>
        <w:t>460.93</w:t>
      </w:r>
      <w:r>
        <w:rPr>
          <w:rFonts w:ascii="Arial" w:hAnsi="Arial" w:cs="Arial"/>
          <w:sz w:val="21"/>
          <w:szCs w:val="21"/>
        </w:rPr>
        <w:t>平方米，及对应登记在</w:t>
      </w:r>
      <w:r>
        <w:rPr>
          <w:rFonts w:cs="Arial" w:ascii="Arial" w:hAnsi="Arial"/>
          <w:sz w:val="21"/>
          <w:szCs w:val="21"/>
        </w:rPr>
        <w:t>2010009818</w:t>
      </w:r>
      <w:r>
        <w:rPr>
          <w:rFonts w:ascii="Arial" w:hAnsi="Arial" w:cs="Arial"/>
          <w:sz w:val="21"/>
          <w:szCs w:val="21"/>
        </w:rPr>
        <w:t>土地使用权证项下土地使用权的抵押权。截至价值时点，不动产权利人未提供《国有土地使用证》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ascii="Arial" w:hAnsi="Arial" w:cs="Arial"/>
          <w:sz w:val="21"/>
          <w:szCs w:val="21"/>
        </w:rPr>
        <w:t>，</w:t>
      </w:r>
      <w:commentRangeStart w:id="0"/>
      <w:r>
        <w:rPr>
          <w:rFonts w:ascii="Arial" w:hAnsi="Arial" w:cs="Arial"/>
          <w:sz w:val="21"/>
          <w:szCs w:val="21"/>
        </w:rPr>
        <w:t>本次评估设定其土地证上的抵押登记情况与《国有土地使用证》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一致</w:t>
      </w:r>
      <w:r>
        <w:rPr>
          <w:rFonts w:ascii="Arial" w:hAnsi="Arial" w:cs="Arial"/>
          <w:sz w:val="21"/>
          <w:szCs w:val="21"/>
        </w:rPr>
      </w:r>
      <w:commentRangeEnd w:id="0"/>
      <w:r>
        <w:commentReference w:id="0"/>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bCs/>
          <w:sz w:val="21"/>
          <w:szCs w:val="21"/>
        </w:rPr>
        <w:t>2</w:t>
      </w:r>
      <w:r>
        <w:rPr>
          <w:rFonts w:ascii="Arial" w:hAnsi="Arial" w:cs="Arial"/>
          <w:bCs/>
          <w:sz w:val="21"/>
          <w:szCs w:val="21"/>
        </w:rPr>
        <w:t>）根据</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本复印件，</w:t>
      </w:r>
      <w:commentRangeStart w:id="1"/>
      <w:r>
        <w:rPr>
          <w:rFonts w:ascii="Arial" w:hAnsi="Arial" w:cs="Arial"/>
          <w:sz w:val="21"/>
          <w:szCs w:val="21"/>
        </w:rPr>
        <w:t>将原登记在琼（</w:t>
      </w:r>
      <w:r>
        <w:rPr>
          <w:rFonts w:cs="Arial" w:ascii="Arial" w:hAnsi="Arial"/>
          <w:sz w:val="21"/>
          <w:szCs w:val="21"/>
        </w:rPr>
        <w:t>2010</w:t>
      </w:r>
      <w:r>
        <w:rPr>
          <w:rFonts w:ascii="Arial" w:hAnsi="Arial" w:cs="Arial"/>
          <w:sz w:val="21"/>
          <w:szCs w:val="21"/>
        </w:rPr>
        <w:t>）海口市不动产权第</w:t>
      </w:r>
      <w:r>
        <w:rPr>
          <w:rFonts w:cs="Arial" w:ascii="Arial" w:hAnsi="Arial"/>
          <w:sz w:val="21"/>
          <w:szCs w:val="21"/>
        </w:rPr>
        <w:t>009818</w:t>
      </w:r>
      <w:r>
        <w:rPr>
          <w:rFonts w:ascii="Arial" w:hAnsi="Arial" w:cs="Arial"/>
          <w:sz w:val="21"/>
          <w:szCs w:val="21"/>
        </w:rPr>
        <w:t>号土地证项下，海口市他项（</w:t>
      </w:r>
      <w:r>
        <w:rPr>
          <w:rFonts w:cs="Arial" w:ascii="Arial" w:hAnsi="Arial"/>
          <w:sz w:val="21"/>
          <w:szCs w:val="21"/>
        </w:rPr>
        <w:t>2015</w:t>
      </w:r>
      <w:r>
        <w:rPr>
          <w:rFonts w:ascii="Arial" w:hAnsi="Arial" w:cs="Arial"/>
          <w:sz w:val="21"/>
          <w:szCs w:val="21"/>
        </w:rPr>
        <w:t>）第</w:t>
      </w:r>
      <w:r>
        <w:rPr>
          <w:rFonts w:cs="Arial" w:ascii="Arial" w:hAnsi="Arial"/>
          <w:sz w:val="21"/>
          <w:szCs w:val="21"/>
        </w:rPr>
        <w:t>0343</w:t>
      </w:r>
      <w:r>
        <w:rPr>
          <w:rFonts w:ascii="Arial" w:hAnsi="Arial" w:cs="Arial"/>
          <w:sz w:val="21"/>
          <w:szCs w:val="21"/>
        </w:rPr>
        <w:t>号和海口市房建海房字第</w:t>
      </w:r>
      <w:r>
        <w:rPr>
          <w:rFonts w:cs="Arial" w:ascii="Arial" w:hAnsi="Arial"/>
          <w:sz w:val="21"/>
          <w:szCs w:val="21"/>
        </w:rPr>
        <w:t>T087275</w:t>
      </w:r>
      <w:r>
        <w:rPr>
          <w:rFonts w:ascii="Arial" w:hAnsi="Arial" w:cs="Arial"/>
          <w:sz w:val="21"/>
          <w:szCs w:val="21"/>
        </w:rPr>
        <w:t>号的在建工程抵押权随之转移到《不动产权证书》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本复印件项下，</w:t>
      </w:r>
      <w:r>
        <w:rPr>
          <w:rFonts w:ascii="Arial" w:hAnsi="Arial" w:cs="Arial"/>
          <w:sz w:val="21"/>
          <w:szCs w:val="21"/>
        </w:rPr>
      </w:r>
      <w:commentRangeEnd w:id="1"/>
      <w:r>
        <w:commentReference w:id="1"/>
      </w:r>
      <w:r>
        <w:rPr>
          <w:rFonts w:ascii="Arial" w:hAnsi="Arial" w:cs="Arial"/>
          <w:sz w:val="21"/>
          <w:szCs w:val="21"/>
        </w:rPr>
        <w:t>其他事项不变。</w:t>
      </w:r>
    </w:p>
    <w:p>
      <w:pPr>
        <w:pStyle w:val="Normal"/>
        <w:spacing w:lineRule="auto" w:line="480"/>
        <w:ind w:firstLine="420"/>
        <w:rPr>
          <w:rFonts w:ascii="Arial" w:hAnsi="Arial" w:cs="Arial"/>
          <w:color w:val="000000"/>
          <w:sz w:val="21"/>
          <w:szCs w:val="24"/>
        </w:rPr>
      </w:pPr>
      <w:r>
        <w:rPr>
          <w:rFonts w:ascii="Arial" w:hAnsi="Arial" w:cs="Arial"/>
          <w:color w:val="000000"/>
          <w:sz w:val="21"/>
          <w:szCs w:val="24"/>
        </w:rPr>
        <w:t>（</w:t>
      </w:r>
      <w:r>
        <w:rPr>
          <w:rFonts w:cs="Arial" w:ascii="Arial" w:hAnsi="Arial"/>
          <w:color w:val="000000"/>
          <w:sz w:val="21"/>
          <w:szCs w:val="24"/>
        </w:rPr>
        <w:t>2</w:t>
      </w:r>
      <w:r>
        <w:rPr>
          <w:rFonts w:ascii="Arial" w:hAnsi="Arial" w:cs="Arial"/>
          <w:color w:val="000000"/>
          <w:sz w:val="21"/>
          <w:szCs w:val="24"/>
        </w:rPr>
        <w:t>）租赁或占用情况：根据评估专业人员实地查勘，截至价值时点，估价对象未设定租赁权、地役权等其他他项权利。</w:t>
      </w:r>
    </w:p>
    <w:p>
      <w:pPr>
        <w:pStyle w:val="Normal"/>
        <w:spacing w:lineRule="auto" w:line="480"/>
        <w:ind w:firstLine="420"/>
        <w:rPr/>
      </w:pPr>
      <w:r>
        <w:rPr>
          <w:rFonts w:ascii="Arial" w:hAnsi="Arial" w:cs="Arial"/>
          <w:sz w:val="21"/>
          <w:szCs w:val="24"/>
        </w:rPr>
        <w:t>（</w:t>
      </w:r>
      <w:r>
        <w:rPr>
          <w:rFonts w:cs="Arial" w:ascii="Arial" w:hAnsi="Arial"/>
          <w:sz w:val="21"/>
          <w:szCs w:val="24"/>
        </w:rPr>
        <w:t>3</w:t>
      </w:r>
      <w:r>
        <w:rPr>
          <w:rFonts w:ascii="Arial" w:hAnsi="Arial" w:cs="Arial"/>
          <w:sz w:val="21"/>
          <w:szCs w:val="24"/>
        </w:rPr>
        <w:t>）其他：根据估价委托人介绍，估价对象目前已被查封，不存在其他形式的权利限制。</w:t>
      </w:r>
    </w:p>
    <w:p>
      <w:pPr>
        <w:pStyle w:val="Normal"/>
        <w:spacing w:lineRule="auto" w:line="480"/>
        <w:ind w:firstLine="420"/>
        <w:rPr>
          <w:rFonts w:ascii="Arial" w:hAnsi="Arial" w:cs="Arial"/>
          <w:color w:val="000000"/>
          <w:sz w:val="21"/>
          <w:szCs w:val="24"/>
        </w:rPr>
      </w:pPr>
      <w:r>
        <w:rPr>
          <w:rFonts w:ascii="Arial" w:hAnsi="Arial" w:cs="Arial"/>
          <w:sz w:val="21"/>
          <w:szCs w:val="24"/>
        </w:rPr>
        <w:t>依据估价目的，未考虑估价对象上述权利限制情况对本次评估的影响。</w:t>
      </w:r>
    </w:p>
    <w:p>
      <w:pPr>
        <w:pStyle w:val="Normal"/>
        <w:spacing w:lineRule="auto" w:line="480"/>
        <w:jc w:val="both"/>
        <w:rPr>
          <w:rFonts w:ascii="Arial" w:hAnsi="Arial" w:cs="Arial"/>
          <w:bCs/>
          <w:color w:val="548DD4"/>
          <w:sz w:val="21"/>
          <w:szCs w:val="21"/>
        </w:rPr>
      </w:pPr>
      <w:r>
        <w:rPr>
          <w:rFonts w:cs="Arial" w:ascii="Arial" w:hAnsi="Arial"/>
          <w:bCs/>
          <w:sz w:val="21"/>
          <w:szCs w:val="21"/>
        </w:rPr>
        <w:t>2.</w:t>
      </w:r>
      <w:r>
        <w:rPr>
          <w:rFonts w:cs="Arial" w:ascii="Arial" w:hAnsi="Arial"/>
          <w:sz w:val="21"/>
        </w:rPr>
        <w:t xml:space="preserve"> </w:t>
      </w:r>
      <w:r>
        <w:rPr>
          <w:rFonts w:ascii="Arial" w:hAnsi="Arial" w:cs="Arial"/>
          <w:sz w:val="21"/>
        </w:rPr>
        <w:t>本</w:t>
      </w:r>
      <w:commentRangeStart w:id="2"/>
      <w:r>
        <w:rPr>
          <w:rFonts w:ascii="Arial" w:hAnsi="Arial" w:cs="Arial"/>
          <w:sz w:val="21"/>
        </w:rPr>
        <w:t>《不动产估价报告》</w:t>
      </w:r>
      <w:r>
        <w:rPr>
          <w:rFonts w:ascii="Arial" w:hAnsi="Arial" w:cs="Arial"/>
          <w:sz w:val="21"/>
        </w:rPr>
      </w:r>
      <w:commentRangeEnd w:id="2"/>
      <w:r>
        <w:commentReference w:id="2"/>
      </w:r>
      <w:r>
        <w:rPr>
          <w:rFonts w:ascii="Arial" w:hAnsi="Arial" w:cs="Arial"/>
          <w:sz w:val="21"/>
        </w:rPr>
        <w:t>中数据全部采用电算化连续计算得出，由于在报告中计算的数据均按四舍五入取整或保留小数位，故可能出现个别等式左右不完全相等的情况，但不影响计算结果及最终评估结论的准确性。</w:t>
      </w:r>
    </w:p>
    <w:p>
      <w:pPr>
        <w:pStyle w:val="Normal"/>
        <w:spacing w:lineRule="auto" w:line="480"/>
        <w:jc w:val="both"/>
        <w:rPr>
          <w:rFonts w:ascii="Arial" w:hAnsi="Arial" w:cs="Arial"/>
          <w:bCs/>
          <w:sz w:val="21"/>
          <w:szCs w:val="21"/>
        </w:rPr>
      </w:pPr>
      <w:r>
        <w:rPr>
          <w:rFonts w:cs="Arial" w:ascii="Arial" w:hAnsi="Arial"/>
          <w:bCs/>
          <w:sz w:val="21"/>
          <w:szCs w:val="21"/>
        </w:rPr>
        <w:t>3.</w:t>
      </w:r>
      <w:r>
        <w:rPr>
          <w:rFonts w:ascii="Arial" w:hAnsi="Arial" w:cs="Arial"/>
          <w:sz w:val="21"/>
          <w:szCs w:val="21"/>
        </w:rPr>
        <w:t>本估价结果同时受本估价报告正文中</w:t>
      </w:r>
      <w:r>
        <w:rPr>
          <w:rFonts w:ascii="Arial" w:hAnsi="Arial" w:cs="Arial"/>
          <w:bCs/>
          <w:sz w:val="21"/>
          <w:szCs w:val="21"/>
        </w:rPr>
        <w:t>“</w:t>
      </w:r>
      <w:r>
        <w:rPr>
          <w:rFonts w:ascii="Arial" w:hAnsi="Arial" w:cs="Arial"/>
          <w:bCs/>
          <w:sz w:val="21"/>
          <w:szCs w:val="21"/>
        </w:rPr>
        <w:t>估价的假设和限制条件</w:t>
      </w:r>
      <w:r>
        <w:rPr>
          <w:rFonts w:ascii="Arial" w:hAnsi="Arial" w:cs="Arial"/>
          <w:bCs/>
          <w:sz w:val="21"/>
          <w:szCs w:val="21"/>
        </w:rPr>
        <w:t>”</w:t>
      </w:r>
      <w:r>
        <w:rPr>
          <w:rFonts w:ascii="Arial" w:hAnsi="Arial" w:cs="Arial"/>
          <w:bCs/>
          <w:sz w:val="21"/>
          <w:szCs w:val="21"/>
        </w:rPr>
        <w:t>限制。</w:t>
      </w:r>
    </w:p>
    <w:p>
      <w:pPr>
        <w:pStyle w:val="Normal"/>
        <w:spacing w:lineRule="auto" w:line="480"/>
        <w:jc w:val="both"/>
        <w:rPr>
          <w:rFonts w:ascii="Arial" w:hAnsi="Arial" w:cs="Arial"/>
          <w:bCs/>
          <w:sz w:val="21"/>
          <w:szCs w:val="21"/>
        </w:rPr>
      </w:pPr>
      <w:r>
        <w:rPr>
          <w:rFonts w:cs="Arial" w:ascii="Arial" w:hAnsi="Arial"/>
          <w:bCs/>
          <w:sz w:val="21"/>
          <w:szCs w:val="21"/>
        </w:rPr>
      </w:r>
    </w:p>
    <w:p>
      <w:pPr>
        <w:pStyle w:val="Normal"/>
        <w:spacing w:lineRule="auto" w:line="480"/>
        <w:jc w:val="both"/>
        <w:rPr>
          <w:rFonts w:ascii="Arial" w:hAnsi="Arial" w:cs="Arial"/>
          <w:bCs/>
          <w:sz w:val="21"/>
          <w:szCs w:val="21"/>
        </w:rPr>
      </w:pPr>
      <w:r>
        <w:rPr>
          <w:rFonts w:cs="Arial" w:ascii="Arial" w:hAnsi="Arial"/>
          <w:bCs/>
          <w:sz w:val="21"/>
          <w:szCs w:val="21"/>
        </w:rPr>
      </w:r>
    </w:p>
    <w:tbl>
      <w:tblPr>
        <w:tblW w:w="9299" w:type="dxa"/>
        <w:jc w:val="center"/>
        <w:tblInd w:w="0" w:type="dxa"/>
        <w:tblCellMar>
          <w:top w:w="0" w:type="dxa"/>
          <w:left w:w="0" w:type="dxa"/>
          <w:bottom w:w="0" w:type="dxa"/>
          <w:right w:w="0" w:type="dxa"/>
        </w:tblCellMar>
      </w:tblPr>
      <w:tblGrid>
        <w:gridCol w:w="6096"/>
        <w:gridCol w:w="3203"/>
      </w:tblGrid>
      <w:tr>
        <w:trPr>
          <w:trHeight w:val="454" w:hRule="exact"/>
          <w:cantSplit w:val="true"/>
        </w:trPr>
        <w:tc>
          <w:tcPr>
            <w:tcW w:w="6096" w:type="dxa"/>
            <w:tcBorders/>
            <w:shd w:fill="auto" w:val="clear"/>
          </w:tcPr>
          <w:p>
            <w:pPr>
              <w:pStyle w:val="Normal"/>
              <w:spacing w:lineRule="auto" w:line="480"/>
              <w:ind w:firstLine="1575"/>
              <w:rPr>
                <w:rFonts w:ascii="Arial" w:hAnsi="Arial" w:cs="Arial"/>
                <w:sz w:val="21"/>
                <w:szCs w:val="21"/>
              </w:rPr>
            </w:pPr>
            <w:r>
              <w:rPr>
                <w:rFonts w:ascii="Arial" w:hAnsi="Arial" w:cs="Arial"/>
                <w:sz w:val="21"/>
                <w:szCs w:val="21"/>
              </w:rPr>
              <w:t>顺致</w:t>
            </w:r>
          </w:p>
        </w:tc>
        <w:tc>
          <w:tcPr>
            <w:tcW w:w="3203" w:type="dxa"/>
            <w:tcBorders/>
            <w:shd w:fill="auto" w:val="clear"/>
          </w:tcPr>
          <w:p>
            <w:pPr>
              <w:pStyle w:val="Normal"/>
              <w:snapToGrid w:val="false"/>
              <w:spacing w:lineRule="auto" w:line="480"/>
              <w:jc w:val="right"/>
              <w:rPr>
                <w:rFonts w:ascii="Arial" w:hAnsi="Arial" w:cs="Arial"/>
                <w:sz w:val="21"/>
                <w:szCs w:val="21"/>
              </w:rPr>
            </w:pPr>
            <w:r>
              <w:rPr>
                <w:rFonts w:cs="Arial" w:ascii="Arial" w:hAnsi="Arial"/>
                <w:sz w:val="21"/>
                <w:szCs w:val="21"/>
              </w:rPr>
            </w:r>
          </w:p>
        </w:tc>
      </w:tr>
      <w:tr>
        <w:trPr>
          <w:trHeight w:val="454" w:hRule="exact"/>
          <w:cantSplit w:val="true"/>
        </w:trPr>
        <w:tc>
          <w:tcPr>
            <w:tcW w:w="6096" w:type="dxa"/>
            <w:tcBorders/>
            <w:shd w:fill="auto" w:val="clear"/>
          </w:tcPr>
          <w:p>
            <w:pPr>
              <w:pStyle w:val="Normal"/>
              <w:spacing w:lineRule="auto" w:line="480"/>
              <w:rPr>
                <w:rFonts w:ascii="Arial" w:hAnsi="Arial" w:cs="Arial"/>
                <w:sz w:val="21"/>
                <w:szCs w:val="21"/>
              </w:rPr>
            </w:pPr>
            <w:r>
              <w:rPr>
                <w:rFonts w:ascii="Arial" w:hAnsi="Arial" w:cs="Arial"/>
                <w:sz w:val="21"/>
                <w:szCs w:val="21"/>
              </w:rPr>
              <w:t>商祺</w:t>
            </w:r>
          </w:p>
        </w:tc>
        <w:tc>
          <w:tcPr>
            <w:tcW w:w="3203" w:type="dxa"/>
            <w:tcBorders/>
            <w:shd w:fill="auto" w:val="clear"/>
          </w:tcPr>
          <w:p>
            <w:pPr>
              <w:pStyle w:val="Normal"/>
              <w:snapToGrid w:val="false"/>
              <w:spacing w:lineRule="auto" w:line="480"/>
              <w:jc w:val="right"/>
              <w:rPr>
                <w:rFonts w:ascii="Arial" w:hAnsi="Arial" w:cs="Arial"/>
                <w:sz w:val="21"/>
                <w:szCs w:val="21"/>
              </w:rPr>
            </w:pPr>
            <w:r>
              <w:rPr>
                <w:rFonts w:cs="Arial" w:ascii="Arial" w:hAnsi="Arial"/>
                <w:sz w:val="21"/>
                <w:szCs w:val="21"/>
              </w:rPr>
            </w:r>
          </w:p>
        </w:tc>
      </w:tr>
      <w:tr>
        <w:trPr>
          <w:cantSplit w:val="true"/>
        </w:trPr>
        <w:tc>
          <w:tcPr>
            <w:tcW w:w="6096" w:type="dxa"/>
            <w:tcBorders/>
            <w:shd w:fill="auto" w:val="clear"/>
          </w:tcPr>
          <w:p>
            <w:pPr>
              <w:pStyle w:val="Normal"/>
              <w:snapToGrid w:val="false"/>
              <w:spacing w:lineRule="auto" w:line="480"/>
              <w:jc w:val="right"/>
              <w:rPr>
                <w:rFonts w:ascii="Arial" w:hAnsi="Arial" w:cs="Arial"/>
                <w:sz w:val="21"/>
                <w:szCs w:val="21"/>
              </w:rPr>
            </w:pPr>
            <w:r>
              <w:rPr>
                <w:rFonts w:cs="Arial" w:ascii="Arial" w:hAnsi="Arial"/>
                <w:sz w:val="21"/>
                <w:szCs w:val="21"/>
              </w:rPr>
            </w:r>
          </w:p>
        </w:tc>
        <w:tc>
          <w:tcPr>
            <w:tcW w:w="3203" w:type="dxa"/>
            <w:tcBorders/>
            <w:shd w:fill="auto" w:val="clear"/>
          </w:tcPr>
          <w:p>
            <w:pPr>
              <w:pStyle w:val="Normal"/>
              <w:spacing w:lineRule="auto" w:line="480"/>
              <w:rPr>
                <w:rFonts w:ascii="Arial" w:hAnsi="Arial" w:cs="Arial"/>
                <w:sz w:val="21"/>
                <w:szCs w:val="21"/>
              </w:rPr>
            </w:pPr>
            <w:r>
              <w:rPr>
                <w:rFonts w:ascii="Arial" w:hAnsi="Arial" w:cs="Arial"/>
                <w:sz w:val="21"/>
                <w:szCs w:val="21"/>
              </w:rPr>
              <w:t>北京康正宏基房地产评估有限公司</w:t>
            </w:r>
          </w:p>
        </w:tc>
      </w:tr>
      <w:tr>
        <w:trPr>
          <w:trHeight w:val="1134" w:hRule="exact"/>
          <w:cantSplit w:val="true"/>
        </w:trPr>
        <w:tc>
          <w:tcPr>
            <w:tcW w:w="6096" w:type="dxa"/>
            <w:tcBorders/>
            <w:shd w:fill="auto" w:val="clear"/>
          </w:tcPr>
          <w:p>
            <w:pPr>
              <w:pStyle w:val="Normal"/>
              <w:snapToGrid w:val="false"/>
              <w:spacing w:lineRule="auto" w:line="480"/>
              <w:jc w:val="right"/>
              <w:rPr>
                <w:rFonts w:ascii="Arial" w:hAnsi="Arial" w:cs="Arial"/>
                <w:sz w:val="21"/>
                <w:szCs w:val="21"/>
              </w:rPr>
            </w:pPr>
            <w:r>
              <w:rPr>
                <w:rFonts w:cs="Arial" w:ascii="Arial" w:hAnsi="Arial"/>
                <w:sz w:val="21"/>
                <w:szCs w:val="21"/>
              </w:rPr>
            </w:r>
          </w:p>
        </w:tc>
        <w:tc>
          <w:tcPr>
            <w:tcW w:w="3203" w:type="dxa"/>
            <w:tcBorders/>
            <w:shd w:fill="auto" w:val="clear"/>
          </w:tcPr>
          <w:p>
            <w:pPr>
              <w:pStyle w:val="Normal"/>
              <w:spacing w:lineRule="auto" w:line="480"/>
              <w:rPr>
                <w:rFonts w:ascii="Arial" w:hAnsi="Arial" w:cs="Arial"/>
                <w:sz w:val="21"/>
                <w:szCs w:val="21"/>
              </w:rPr>
            </w:pPr>
            <w:r>
              <w:rPr>
                <w:rFonts w:ascii="Arial" w:hAnsi="Arial" w:cs="Arial"/>
                <w:sz w:val="21"/>
                <w:szCs w:val="21"/>
              </w:rPr>
              <w:t>法定代表人：</w:t>
            </w:r>
          </w:p>
        </w:tc>
      </w:tr>
      <w:tr>
        <w:trPr>
          <w:cantSplit w:val="true"/>
        </w:trPr>
        <w:tc>
          <w:tcPr>
            <w:tcW w:w="6096" w:type="dxa"/>
            <w:tcBorders/>
            <w:shd w:fill="auto" w:val="clear"/>
          </w:tcPr>
          <w:p>
            <w:pPr>
              <w:pStyle w:val="Normal"/>
              <w:snapToGrid w:val="false"/>
              <w:spacing w:lineRule="auto" w:line="480"/>
              <w:jc w:val="right"/>
              <w:rPr>
                <w:rFonts w:ascii="Arial" w:hAnsi="Arial" w:cs="Arial"/>
                <w:sz w:val="21"/>
                <w:szCs w:val="21"/>
              </w:rPr>
            </w:pPr>
            <w:r>
              <w:rPr>
                <w:rFonts w:cs="Arial" w:ascii="Arial" w:hAnsi="Arial"/>
                <w:sz w:val="21"/>
                <w:szCs w:val="21"/>
              </w:rPr>
            </w:r>
          </w:p>
        </w:tc>
        <w:tc>
          <w:tcPr>
            <w:tcW w:w="3203" w:type="dxa"/>
            <w:tcBorders/>
            <w:shd w:fill="auto" w:val="clear"/>
          </w:tcPr>
          <w:p>
            <w:pPr>
              <w:pStyle w:val="Normal"/>
              <w:spacing w:lineRule="auto" w:line="480"/>
              <w:jc w:val="right"/>
              <w:rPr/>
            </w:pPr>
            <w:commentRangeStart w:id="3"/>
            <w:r>
              <w:rPr>
                <w:rFonts w:ascii="Arial" w:hAnsi="Arial" w:cs="Arial"/>
                <w:sz w:val="21"/>
                <w:szCs w:val="21"/>
              </w:rPr>
              <w:t>二</w:t>
            </w:r>
            <w:r>
              <w:rPr>
                <w:rFonts w:ascii="Arial" w:hAnsi="Arial" w:cs="Arial"/>
                <w:sz w:val="21"/>
                <w:szCs w:val="21"/>
              </w:rPr>
              <w:t>○二四</w:t>
            </w:r>
            <w:r>
              <w:rPr>
                <w:rFonts w:ascii="Arial" w:hAnsi="Arial" w:cs="Arial"/>
                <w:sz w:val="21"/>
                <w:szCs w:val="21"/>
              </w:rPr>
              <w:t>年</w:t>
            </w:r>
            <w:r>
              <w:rPr>
                <w:rFonts w:ascii="Arial" w:hAnsi="Arial" w:cs="Arial"/>
                <w:sz w:val="21"/>
                <w:szCs w:val="21"/>
              </w:rPr>
              <w:t>七月二十五日</w:t>
            </w:r>
            <w:commentRangeEnd w:id="3"/>
            <w:r>
              <w:commentReference w:id="3"/>
            </w:r>
            <w:r>
              <w:rPr>
                <w:rFonts w:ascii="Arial" w:hAnsi="Arial" w:cs="Arial"/>
                <w:sz w:val="21"/>
                <w:szCs w:val="21"/>
              </w:rPr>
            </w:r>
          </w:p>
        </w:tc>
      </w:tr>
    </w:tbl>
    <w:p>
      <w:pPr>
        <w:sectPr>
          <w:headerReference w:type="default" r:id="rId8"/>
          <w:footerReference w:type="default" r:id="rId9"/>
          <w:type w:val="nextPage"/>
          <w:pgSz w:w="11906" w:h="16838"/>
          <w:pgMar w:left="1304" w:right="1304" w:header="1134" w:top="1843" w:footer="907" w:bottom="1134" w:gutter="0"/>
          <w:pgNumType w:fmt="decimal"/>
          <w:formProt w:val="false"/>
          <w:textDirection w:val="lrTb"/>
          <w:docGrid w:type="default" w:linePitch="326" w:charSpace="0"/>
        </w:sectPr>
        <w:pStyle w:val="Normal"/>
        <w:spacing w:lineRule="auto" w:line="480"/>
        <w:jc w:val="right"/>
        <w:rPr>
          <w:rFonts w:ascii="Arial" w:hAnsi="Arial" w:cs="Arial"/>
          <w:sz w:val="21"/>
          <w:szCs w:val="21"/>
        </w:rPr>
      </w:pPr>
      <w:r>
        <w:rPr>
          <w:rFonts w:cs="Arial" w:ascii="Arial" w:hAnsi="Arial"/>
          <w:sz w:val="21"/>
          <w:szCs w:val="21"/>
        </w:rPr>
      </w:r>
    </w:p>
    <w:p>
      <w:pPr>
        <w:pStyle w:val="Normal"/>
        <w:rPr>
          <w:rFonts w:ascii="Arial" w:hAnsi="Arial" w:eastAsia="方正黑体简体;微软雅黑" w:cs="Arial"/>
          <w:kern w:val="2"/>
          <w:szCs w:val="24"/>
        </w:rPr>
      </w:pPr>
      <w:r>
        <w:rPr>
          <w:rFonts w:ascii="Arial" w:hAnsi="Arial" w:cs="Arial" w:eastAsia="方正黑体简体;微软雅黑"/>
          <w:kern w:val="2"/>
          <w:szCs w:val="24"/>
        </w:rPr>
        <w:t>附表：</w:t>
      </w:r>
    </w:p>
    <w:p>
      <w:pPr>
        <w:pStyle w:val="Normal"/>
        <w:jc w:val="center"/>
        <w:rPr>
          <w:rFonts w:ascii="Arial" w:hAnsi="Arial" w:eastAsia="方正黑体简体;微软雅黑" w:cs="Arial"/>
          <w:kern w:val="2"/>
          <w:szCs w:val="24"/>
        </w:rPr>
      </w:pPr>
      <w:r>
        <w:rPr>
          <w:rFonts w:ascii="Arial" w:hAnsi="Arial" w:cs="Arial" w:eastAsia="方正黑体简体;微软雅黑"/>
          <w:kern w:val="2"/>
          <w:szCs w:val="24"/>
        </w:rPr>
        <w:t>估价对象清单</w:t>
      </w:r>
    </w:p>
    <w:tbl>
      <w:tblPr>
        <w:tblW w:w="14582" w:type="dxa"/>
        <w:jc w:val="center"/>
        <w:tblInd w:w="0" w:type="dxa"/>
        <w:tblCellMar>
          <w:top w:w="57" w:type="dxa"/>
          <w:left w:w="57" w:type="dxa"/>
          <w:bottom w:w="57" w:type="dxa"/>
          <w:right w:w="57" w:type="dxa"/>
        </w:tblCellMar>
      </w:tblPr>
      <w:tblGrid>
        <w:gridCol w:w="475"/>
        <w:gridCol w:w="1045"/>
        <w:gridCol w:w="1482"/>
        <w:gridCol w:w="1126"/>
        <w:gridCol w:w="1109"/>
        <w:gridCol w:w="892"/>
        <w:gridCol w:w="966"/>
        <w:gridCol w:w="966"/>
        <w:gridCol w:w="966"/>
        <w:gridCol w:w="576"/>
        <w:gridCol w:w="891"/>
        <w:gridCol w:w="983"/>
        <w:gridCol w:w="1146"/>
        <w:gridCol w:w="914"/>
        <w:gridCol w:w="1045"/>
      </w:tblGrid>
      <w:tr>
        <w:trPr>
          <w:tblHeader w:val="true"/>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序号</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权利人</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坐落</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不动产权证号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用途</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建筑面积（㎡）</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地上建筑面积（㎡）</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地下建筑面积（㎡）</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分摊土地面积（㎡）</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房屋结构</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房屋总层数</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房屋竣工时间</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使用期限</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持证方式</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备注</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6</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0078372</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1029.82</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699.87</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329.95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1399.74</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7</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0078371</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1029.82</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699.87</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329.95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1399.74</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8</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0078369</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1029.82</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699.87</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329.95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1399.74</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10</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sz w:val="18"/>
                <w:szCs w:val="18"/>
              </w:rPr>
            </w:pPr>
            <w:r>
              <w:rPr>
                <w:rFonts w:ascii="Arial" w:hAnsi="Arial" w:cs="宋体;SimSun" w:eastAsia="华文细黑"/>
                <w:sz w:val="18"/>
                <w:szCs w:val="18"/>
              </w:rPr>
              <w:t>琼（</w:t>
            </w:r>
            <w:r>
              <w:rPr>
                <w:rFonts w:eastAsia="华文细黑" w:cs="宋体;SimSun" w:ascii="Arial" w:hAnsi="Arial"/>
                <w:sz w:val="18"/>
                <w:szCs w:val="18"/>
              </w:rPr>
              <w:t>2018</w:t>
            </w:r>
            <w:r>
              <w:rPr>
                <w:rFonts w:ascii="Arial" w:hAnsi="Arial" w:cs="宋体;SimSun" w:eastAsia="华文细黑"/>
                <w:sz w:val="18"/>
                <w:szCs w:val="18"/>
              </w:rPr>
              <w:t>）海口市不动产权第</w:t>
            </w:r>
            <w:r>
              <w:rPr>
                <w:rFonts w:eastAsia="华文细黑" w:cs="宋体;SimSun" w:ascii="Arial" w:hAnsi="Arial"/>
                <w:sz w:val="18"/>
                <w:szCs w:val="18"/>
              </w:rPr>
              <w:t>0078365</w:t>
            </w:r>
            <w:r>
              <w:rPr>
                <w:rFonts w:ascii="Arial" w:hAnsi="Arial" w:cs="宋体;SimSun" w:eastAsia="华文细黑"/>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13</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0078352</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6</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14</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0078358</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7</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15</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0078520</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8</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16</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0078562</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9</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17</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0078529</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10</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18</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0078530</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19</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0078531</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12</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20</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0078582</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13</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21</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0078533</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14</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22</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0078536</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23</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0078538</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16</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24</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0078541</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17</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25</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0078542</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18</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26</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0078545</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19</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27</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0078549</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28</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0078554</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21</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29</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0078559</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578.42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22</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30</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0078389</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485.22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23</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31</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0078390</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32</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0078391</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25</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33</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0078392</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449.56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293.71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155.85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587.42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26</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34</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0078393</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27</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36</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0078386</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28</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38</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0078384</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29</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39</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0078564</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30</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40</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0078383</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31</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41</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0078380</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32</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42</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0078378</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33</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44</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0078376</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r>
        <w:trPr>
          <w:cantSplit w:val="true"/>
        </w:trPr>
        <w:tc>
          <w:tcPr>
            <w:tcW w:w="47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34</w:t>
            </w:r>
          </w:p>
        </w:tc>
        <w:tc>
          <w:tcPr>
            <w:tcW w:w="1045"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海南省政协干部培训中心、海南金石投资有限公司</w:t>
            </w:r>
          </w:p>
        </w:tc>
        <w:tc>
          <w:tcPr>
            <w:tcW w:w="148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海口市秀英区滨海大道</w:t>
            </w:r>
            <w:r>
              <w:rPr>
                <w:rFonts w:eastAsia="华文细黑" w:cs="宋体;SimSun" w:ascii="Arial" w:hAnsi="Arial"/>
                <w:color w:val="000000"/>
                <w:sz w:val="18"/>
                <w:szCs w:val="18"/>
              </w:rPr>
              <w:t>158</w:t>
            </w:r>
            <w:r>
              <w:rPr>
                <w:rFonts w:ascii="Arial" w:hAnsi="Arial" w:cs="宋体;SimSun" w:eastAsia="华文细黑"/>
                <w:color w:val="000000"/>
                <w:sz w:val="18"/>
                <w:szCs w:val="18"/>
              </w:rPr>
              <w:t>号琼珠海岸生态度假村暨全国政协（海南）会议培训中心北区项目</w:t>
            </w:r>
            <w:r>
              <w:rPr>
                <w:rFonts w:eastAsia="华文细黑" w:cs="宋体;SimSun" w:ascii="Arial" w:hAnsi="Arial"/>
                <w:color w:val="000000"/>
                <w:sz w:val="18"/>
                <w:szCs w:val="18"/>
              </w:rPr>
              <w:t>45</w:t>
            </w:r>
            <w:r>
              <w:rPr>
                <w:rFonts w:ascii="Arial" w:hAnsi="Arial" w:cs="宋体;SimSun" w:eastAsia="华文细黑"/>
                <w:color w:val="000000"/>
                <w:sz w:val="18"/>
                <w:szCs w:val="18"/>
              </w:rPr>
              <w:t>号楼</w:t>
            </w:r>
          </w:p>
        </w:tc>
        <w:tc>
          <w:tcPr>
            <w:tcW w:w="112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琼（</w:t>
            </w:r>
            <w:r>
              <w:rPr>
                <w:rFonts w:eastAsia="华文细黑" w:cs="宋体;SimSun" w:ascii="Arial" w:hAnsi="Arial"/>
                <w:color w:val="000000"/>
                <w:sz w:val="18"/>
                <w:szCs w:val="18"/>
              </w:rPr>
              <w:t>2018</w:t>
            </w:r>
            <w:r>
              <w:rPr>
                <w:rFonts w:ascii="Arial" w:hAnsi="Arial" w:cs="宋体;SimSun" w:eastAsia="华文细黑"/>
                <w:color w:val="000000"/>
                <w:sz w:val="18"/>
                <w:szCs w:val="18"/>
              </w:rPr>
              <w:t>）海口市不动产权第</w:t>
            </w:r>
            <w:r>
              <w:rPr>
                <w:rFonts w:eastAsia="华文细黑" w:cs="宋体;SimSun" w:ascii="Arial" w:hAnsi="Arial"/>
                <w:color w:val="000000"/>
                <w:sz w:val="18"/>
                <w:szCs w:val="18"/>
              </w:rPr>
              <w:t>0078395</w:t>
            </w:r>
            <w:r>
              <w:rPr>
                <w:rFonts w:ascii="Arial" w:hAnsi="Arial" w:cs="宋体;SimSun" w:eastAsia="华文细黑"/>
                <w:color w:val="000000"/>
                <w:sz w:val="18"/>
                <w:szCs w:val="18"/>
              </w:rPr>
              <w:t>号</w:t>
            </w:r>
          </w:p>
        </w:tc>
        <w:tc>
          <w:tcPr>
            <w:tcW w:w="110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住宿餐饮用地</w:t>
            </w:r>
            <w:r>
              <w:rPr>
                <w:rFonts w:eastAsia="华文细黑" w:cs="宋体;SimSun" w:ascii="Arial" w:hAnsi="Arial"/>
                <w:color w:val="000000"/>
                <w:sz w:val="18"/>
                <w:szCs w:val="18"/>
              </w:rPr>
              <w:t>/</w:t>
            </w:r>
            <w:r>
              <w:rPr>
                <w:rFonts w:ascii="Arial" w:hAnsi="Arial" w:cs="宋体;SimSun" w:eastAsia="华文细黑"/>
                <w:color w:val="000000"/>
                <w:sz w:val="18"/>
                <w:szCs w:val="18"/>
              </w:rPr>
              <w:t>产权式酒店</w:t>
            </w:r>
          </w:p>
        </w:tc>
        <w:tc>
          <w:tcPr>
            <w:tcW w:w="89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361.31</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242.66</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118.65</w:t>
            </w:r>
          </w:p>
        </w:tc>
        <w:tc>
          <w:tcPr>
            <w:tcW w:w="96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485.32</w:t>
            </w:r>
          </w:p>
        </w:tc>
        <w:tc>
          <w:tcPr>
            <w:tcW w:w="57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钢混</w:t>
            </w:r>
          </w:p>
        </w:tc>
        <w:tc>
          <w:tcPr>
            <w:tcW w:w="891"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pPr>
            <w:r>
              <w:rPr>
                <w:rFonts w:eastAsia="华文细黑" w:cs="宋体;SimSun" w:ascii="Arial" w:hAnsi="Arial"/>
                <w:color w:val="000000"/>
                <w:sz w:val="18"/>
                <w:szCs w:val="18"/>
              </w:rPr>
              <w:t>4</w:t>
            </w:r>
            <w:r>
              <w:rPr>
                <w:rFonts w:ascii="Arial" w:hAnsi="Arial" w:cs="宋体;SimSun" w:eastAsia="华文细黑"/>
                <w:color w:val="000000"/>
                <w:sz w:val="18"/>
                <w:szCs w:val="18"/>
              </w:rPr>
              <w:t>层（地上</w:t>
            </w:r>
            <w:r>
              <w:rPr>
                <w:rFonts w:eastAsia="华文细黑" w:cs="宋体;SimSun" w:ascii="Arial" w:hAnsi="Arial"/>
                <w:color w:val="000000"/>
                <w:sz w:val="18"/>
                <w:szCs w:val="18"/>
              </w:rPr>
              <w:t>3</w:t>
            </w:r>
            <w:r>
              <w:rPr>
                <w:rFonts w:ascii="Arial" w:hAnsi="Arial" w:cs="宋体;SimSun" w:eastAsia="华文细黑"/>
                <w:color w:val="000000"/>
                <w:sz w:val="18"/>
                <w:szCs w:val="18"/>
              </w:rPr>
              <w:t>层，地下</w:t>
            </w:r>
            <w:r>
              <w:rPr>
                <w:rFonts w:eastAsia="华文细黑" w:cs="宋体;SimSun" w:ascii="Arial" w:hAnsi="Arial"/>
                <w:color w:val="000000"/>
                <w:sz w:val="18"/>
                <w:szCs w:val="18"/>
              </w:rPr>
              <w:t>1</w:t>
            </w:r>
            <w:r>
              <w:rPr>
                <w:rFonts w:ascii="Arial" w:hAnsi="Arial" w:cs="宋体;SimSun" w:eastAsia="华文细黑"/>
                <w:color w:val="000000"/>
                <w:sz w:val="18"/>
                <w:szCs w:val="18"/>
              </w:rPr>
              <w:t>层）</w:t>
            </w:r>
          </w:p>
        </w:tc>
        <w:tc>
          <w:tcPr>
            <w:tcW w:w="983"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2018/2/26</w:t>
            </w:r>
          </w:p>
        </w:tc>
        <w:tc>
          <w:tcPr>
            <w:tcW w:w="1146"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2049/11/23</w:t>
            </w:r>
          </w:p>
        </w:tc>
        <w:tc>
          <w:tcPr>
            <w:tcW w:w="91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共同持证</w:t>
            </w:r>
          </w:p>
        </w:tc>
        <w:tc>
          <w:tcPr>
            <w:tcW w:w="10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20"/>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地下房屋用途为配套储藏室，地下土地用途为构筑物，土地年限暂无</w:t>
            </w:r>
          </w:p>
        </w:tc>
      </w:tr>
    </w:tbl>
    <w:p>
      <w:pPr>
        <w:sectPr>
          <w:headerReference w:type="default" r:id="rId10"/>
          <w:footerReference w:type="default" r:id="rId11"/>
          <w:type w:val="nextPage"/>
          <w:pgSz w:orient="landscape" w:w="16838" w:h="11906"/>
          <w:pgMar w:left="1134" w:right="1134" w:header="1304" w:top="2041" w:footer="1020" w:bottom="1134" w:gutter="0"/>
          <w:pgNumType w:fmt="decimal"/>
          <w:formProt w:val="false"/>
          <w:textDirection w:val="lrTb"/>
          <w:docGrid w:type="default" w:linePitch="326" w:charSpace="0"/>
        </w:sectPr>
        <w:pStyle w:val="Normal"/>
        <w:widowControl/>
        <w:spacing w:lineRule="exact" w:line="240"/>
        <w:jc w:val="both"/>
        <w:textAlignment w:val="auto"/>
        <w:rPr>
          <w:rFonts w:ascii="Arial" w:hAnsi="Arial" w:eastAsia="华文细黑" w:cs="Arial"/>
          <w:color w:val="000000"/>
          <w:sz w:val="18"/>
          <w:szCs w:val="18"/>
        </w:rPr>
      </w:pPr>
      <w:r>
        <w:rPr>
          <w:rFonts w:ascii="Arial" w:hAnsi="Arial" w:cs="Arial" w:eastAsia="华文细黑"/>
          <w:color w:val="000000"/>
          <w:sz w:val="18"/>
          <w:szCs w:val="18"/>
        </w:rPr>
        <w:t>单位：平方米</w:t>
      </w:r>
    </w:p>
    <w:p>
      <w:pPr>
        <w:pStyle w:val="Normal"/>
        <w:numPr>
          <w:ilvl w:val="0"/>
          <w:numId w:val="0"/>
        </w:numPr>
        <w:spacing w:lineRule="auto" w:line="480"/>
        <w:jc w:val="center"/>
        <w:outlineLvl w:val="0"/>
        <w:rPr/>
      </w:pPr>
      <w:r>
        <w:rPr>
          <w:rFonts w:ascii="Arial" w:hAnsi="Arial" w:cs="Arial" w:eastAsia="方正黑体简体;微软雅黑"/>
          <w:sz w:val="32"/>
          <w:szCs w:val="32"/>
        </w:rPr>
        <w:t xml:space="preserve">目   </w:t>
      </w:r>
      <w:r>
        <w:rPr/>
        <w:t>录</w:t>
      </w:r>
    </w:p>
    <w:sdt>
      <w:sdtPr>
        <w:docPartObj>
          <w:docPartGallery w:val="Table of Contents"/>
          <w:docPartUnique w:val="true"/>
        </w:docPartObj>
      </w:sdtPr>
      <w:sdtContent>
        <w:p>
          <w:pPr>
            <w:pStyle w:val="11"/>
            <w:rPr>
              <w:rFonts w:ascii="Arial" w:hAnsi="Arial" w:eastAsia="宋体;SimSun" w:cs="Arial"/>
              <w:b w:val="false"/>
              <w:b w:val="false"/>
              <w:bCs w:val="false"/>
              <w:kern w:val="2"/>
              <w:sz w:val="21"/>
              <w:szCs w:val="21"/>
            </w:rPr>
          </w:pPr>
          <w:r>
            <w:fldChar w:fldCharType="begin"/>
          </w:r>
          <w:r>
            <w:rPr>
              <w:rStyle w:val="Style"/>
              <w:sz w:val="21"/>
              <w:szCs w:val="21"/>
              <w:rFonts w:ascii="Arial" w:hAnsi="Arial" w:cs="Arial" w:eastAsia="宋体;SimSun"/>
            </w:rPr>
            <w:instrText> TOC \o "1-3" \h \z </w:instrText>
          </w:r>
          <w:r>
            <w:rPr>
              <w:rStyle w:val="Style"/>
              <w:sz w:val="21"/>
              <w:szCs w:val="21"/>
              <w:rFonts w:ascii="Arial" w:hAnsi="Arial" w:cs="Arial" w:eastAsia="宋体;SimSun"/>
            </w:rPr>
            <w:fldChar w:fldCharType="separate"/>
          </w:r>
          <w:hyperlink w:anchor="__RefHeading___Toc162425547">
            <w:r>
              <w:rPr>
                <w:rStyle w:val="Style"/>
                <w:rFonts w:ascii="Arial" w:hAnsi="Arial" w:cs="Arial" w:eastAsia="宋体;SimSun"/>
                <w:sz w:val="21"/>
                <w:szCs w:val="21"/>
              </w:rPr>
              <w:t>估价师声明</w:t>
            </w:r>
            <w:r>
              <w:rPr>
                <w:rStyle w:val="Style"/>
                <w:rFonts w:eastAsia="宋体;SimSun" w:cs="Arial" w:ascii="Arial" w:hAnsi="Arial"/>
                <w:sz w:val="21"/>
                <w:szCs w:val="21"/>
              </w:rPr>
              <w:tab/>
              <w:t>13</w:t>
            </w:r>
          </w:hyperlink>
        </w:p>
        <w:p>
          <w:pPr>
            <w:pStyle w:val="11"/>
            <w:rPr>
              <w:rFonts w:ascii="Arial" w:hAnsi="Arial" w:eastAsia="宋体;SimSun" w:cs="Arial"/>
              <w:b w:val="false"/>
              <w:b w:val="false"/>
              <w:bCs w:val="false"/>
              <w:kern w:val="2"/>
              <w:sz w:val="21"/>
              <w:szCs w:val="21"/>
            </w:rPr>
          </w:pPr>
          <w:hyperlink w:anchor="__RefHeading___Toc162425548">
            <w:r>
              <w:rPr>
                <w:rStyle w:val="Style"/>
                <w:rFonts w:ascii="Arial" w:hAnsi="Arial" w:cs="Arial" w:eastAsia="宋体;SimSun"/>
                <w:sz w:val="21"/>
                <w:szCs w:val="21"/>
              </w:rPr>
              <w:t>估价假设和限制条件</w:t>
            </w:r>
            <w:r>
              <w:rPr>
                <w:rStyle w:val="Style"/>
                <w:rFonts w:eastAsia="宋体;SimSun" w:cs="Arial" w:ascii="Arial" w:hAnsi="Arial"/>
                <w:sz w:val="21"/>
                <w:szCs w:val="21"/>
              </w:rPr>
              <w:tab/>
              <w:t>14</w:t>
            </w:r>
          </w:hyperlink>
        </w:p>
        <w:p>
          <w:pPr>
            <w:pStyle w:val="11"/>
            <w:rPr>
              <w:rFonts w:ascii="Arial" w:hAnsi="Arial" w:eastAsia="宋体;SimSun" w:cs="Arial"/>
              <w:b w:val="false"/>
              <w:b w:val="false"/>
              <w:bCs w:val="false"/>
              <w:kern w:val="2"/>
              <w:sz w:val="21"/>
              <w:szCs w:val="21"/>
            </w:rPr>
          </w:pPr>
          <w:hyperlink w:anchor="__RefHeading___Toc162425549">
            <w:r>
              <w:rPr>
                <w:rStyle w:val="Style"/>
                <w:rFonts w:ascii="Arial" w:hAnsi="Arial" w:cs="Arial" w:eastAsia="宋体;SimSun"/>
                <w:sz w:val="21"/>
                <w:szCs w:val="21"/>
              </w:rPr>
              <w:t>估价结果报告</w:t>
            </w:r>
            <w:r>
              <w:rPr>
                <w:rStyle w:val="Style"/>
                <w:rFonts w:eastAsia="宋体;SimSun" w:cs="Arial" w:ascii="Arial" w:hAnsi="Arial"/>
                <w:sz w:val="21"/>
                <w:szCs w:val="21"/>
              </w:rPr>
              <w:tab/>
              <w:t>18</w:t>
            </w:r>
          </w:hyperlink>
        </w:p>
        <w:p>
          <w:pPr>
            <w:pStyle w:val="23"/>
            <w:rPr>
              <w:rFonts w:ascii="Arial" w:hAnsi="Arial" w:eastAsia="宋体;SimSun" w:cs="Arial"/>
              <w:kern w:val="2"/>
              <w:sz w:val="21"/>
              <w:szCs w:val="21"/>
            </w:rPr>
          </w:pPr>
          <w:hyperlink w:anchor="__RefHeading___Toc162425550">
            <w:r>
              <w:rPr>
                <w:rStyle w:val="Style"/>
                <w:rFonts w:ascii="Arial" w:hAnsi="Arial" w:cs="Arial" w:eastAsia="宋体;SimSun"/>
                <w:sz w:val="21"/>
                <w:szCs w:val="21"/>
              </w:rPr>
              <w:t>一、估价委托人</w:t>
            </w:r>
            <w:r>
              <w:rPr>
                <w:rStyle w:val="Style"/>
                <w:rFonts w:eastAsia="宋体;SimSun" w:cs="Arial" w:ascii="Arial" w:hAnsi="Arial"/>
                <w:sz w:val="21"/>
                <w:szCs w:val="21"/>
              </w:rPr>
              <w:tab/>
              <w:t>18</w:t>
            </w:r>
          </w:hyperlink>
        </w:p>
        <w:p>
          <w:pPr>
            <w:pStyle w:val="23"/>
            <w:rPr>
              <w:rFonts w:ascii="Arial" w:hAnsi="Arial" w:eastAsia="宋体;SimSun" w:cs="Arial"/>
              <w:kern w:val="2"/>
              <w:sz w:val="21"/>
              <w:szCs w:val="21"/>
            </w:rPr>
          </w:pPr>
          <w:hyperlink w:anchor="__RefHeading___Toc162425551">
            <w:r>
              <w:rPr>
                <w:rStyle w:val="Style"/>
                <w:rFonts w:ascii="Arial" w:hAnsi="Arial" w:cs="Arial" w:eastAsia="宋体;SimSun"/>
                <w:sz w:val="21"/>
                <w:szCs w:val="21"/>
              </w:rPr>
              <w:t>二、房地产估价机构</w:t>
            </w:r>
            <w:r>
              <w:rPr>
                <w:rStyle w:val="Style"/>
                <w:rFonts w:eastAsia="宋体;SimSun" w:cs="Arial" w:ascii="Arial" w:hAnsi="Arial"/>
                <w:sz w:val="21"/>
                <w:szCs w:val="21"/>
              </w:rPr>
              <w:tab/>
              <w:t>18</w:t>
            </w:r>
          </w:hyperlink>
        </w:p>
        <w:p>
          <w:pPr>
            <w:pStyle w:val="23"/>
            <w:rPr>
              <w:rFonts w:ascii="Arial" w:hAnsi="Arial" w:eastAsia="宋体;SimSun" w:cs="Arial"/>
              <w:kern w:val="2"/>
              <w:sz w:val="21"/>
              <w:szCs w:val="21"/>
            </w:rPr>
          </w:pPr>
          <w:hyperlink w:anchor="__RefHeading___Toc162425552">
            <w:r>
              <w:rPr>
                <w:rStyle w:val="Style"/>
                <w:rFonts w:ascii="Arial" w:hAnsi="Arial" w:cs="Arial" w:eastAsia="宋体;SimSun"/>
                <w:sz w:val="21"/>
                <w:szCs w:val="21"/>
              </w:rPr>
              <w:t>三、估价目的</w:t>
            </w:r>
            <w:r>
              <w:rPr>
                <w:rStyle w:val="Style"/>
                <w:rFonts w:eastAsia="宋体;SimSun" w:cs="Arial" w:ascii="Arial" w:hAnsi="Arial"/>
                <w:sz w:val="21"/>
                <w:szCs w:val="21"/>
              </w:rPr>
              <w:tab/>
              <w:t>19</w:t>
            </w:r>
          </w:hyperlink>
        </w:p>
        <w:p>
          <w:pPr>
            <w:pStyle w:val="23"/>
            <w:rPr>
              <w:rFonts w:ascii="Arial" w:hAnsi="Arial" w:eastAsia="宋体;SimSun" w:cs="Arial"/>
              <w:kern w:val="2"/>
              <w:sz w:val="21"/>
              <w:szCs w:val="21"/>
            </w:rPr>
          </w:pPr>
          <w:hyperlink w:anchor="__RefHeading___Toc162425553">
            <w:r>
              <w:rPr>
                <w:rStyle w:val="Style"/>
                <w:rFonts w:ascii="Arial" w:hAnsi="Arial" w:cs="Arial" w:eastAsia="宋体;SimSun"/>
                <w:sz w:val="21"/>
                <w:szCs w:val="21"/>
              </w:rPr>
              <w:t>四、估价对象</w:t>
            </w:r>
            <w:r>
              <w:rPr>
                <w:rStyle w:val="Style"/>
                <w:rFonts w:eastAsia="宋体;SimSun" w:cs="Arial" w:ascii="Arial" w:hAnsi="Arial"/>
                <w:sz w:val="21"/>
                <w:szCs w:val="21"/>
              </w:rPr>
              <w:tab/>
              <w:t>19</w:t>
            </w:r>
          </w:hyperlink>
        </w:p>
        <w:p>
          <w:pPr>
            <w:pStyle w:val="23"/>
            <w:rPr>
              <w:rFonts w:ascii="Arial" w:hAnsi="Arial" w:eastAsia="宋体;SimSun" w:cs="Arial"/>
              <w:kern w:val="2"/>
              <w:sz w:val="21"/>
              <w:szCs w:val="21"/>
            </w:rPr>
          </w:pPr>
          <w:hyperlink w:anchor="__RefHeading___Toc162425554">
            <w:r>
              <w:rPr>
                <w:rStyle w:val="Style"/>
                <w:rFonts w:ascii="Arial" w:hAnsi="Arial" w:cs="Arial" w:eastAsia="宋体;SimSun"/>
                <w:sz w:val="21"/>
                <w:szCs w:val="21"/>
              </w:rPr>
              <w:t>五、价值时点</w:t>
            </w:r>
            <w:r>
              <w:rPr>
                <w:rStyle w:val="Style"/>
                <w:rFonts w:eastAsia="宋体;SimSun" w:cs="Arial" w:ascii="Arial" w:hAnsi="Arial"/>
                <w:sz w:val="21"/>
                <w:szCs w:val="21"/>
              </w:rPr>
              <w:tab/>
              <w:t>22</w:t>
            </w:r>
          </w:hyperlink>
        </w:p>
        <w:p>
          <w:pPr>
            <w:pStyle w:val="23"/>
            <w:rPr>
              <w:rFonts w:ascii="Arial" w:hAnsi="Arial" w:eastAsia="宋体;SimSun" w:cs="Arial"/>
              <w:kern w:val="2"/>
              <w:sz w:val="21"/>
              <w:szCs w:val="21"/>
            </w:rPr>
          </w:pPr>
          <w:hyperlink w:anchor="__RefHeading___Toc162425555">
            <w:r>
              <w:rPr>
                <w:rStyle w:val="Style"/>
                <w:rFonts w:ascii="Arial" w:hAnsi="Arial" w:cs="Arial" w:eastAsia="宋体;SimSun"/>
                <w:sz w:val="21"/>
                <w:szCs w:val="21"/>
              </w:rPr>
              <w:t>六、价值类型</w:t>
            </w:r>
            <w:r>
              <w:rPr>
                <w:rStyle w:val="Style"/>
                <w:rFonts w:eastAsia="宋体;SimSun" w:cs="Arial" w:ascii="Arial" w:hAnsi="Arial"/>
                <w:sz w:val="21"/>
                <w:szCs w:val="21"/>
              </w:rPr>
              <w:tab/>
              <w:t>23</w:t>
            </w:r>
          </w:hyperlink>
        </w:p>
        <w:p>
          <w:pPr>
            <w:pStyle w:val="23"/>
            <w:rPr>
              <w:rFonts w:ascii="Arial" w:hAnsi="Arial" w:eastAsia="宋体;SimSun" w:cs="Arial"/>
              <w:kern w:val="2"/>
              <w:sz w:val="21"/>
              <w:szCs w:val="21"/>
            </w:rPr>
          </w:pPr>
          <w:hyperlink w:anchor="__RefHeading___Toc162425556">
            <w:r>
              <w:rPr>
                <w:rStyle w:val="Style"/>
                <w:rFonts w:ascii="Arial" w:hAnsi="Arial" w:cs="Arial" w:eastAsia="宋体;SimSun"/>
                <w:sz w:val="21"/>
                <w:szCs w:val="21"/>
              </w:rPr>
              <w:t>七、估价原则</w:t>
            </w:r>
            <w:r>
              <w:rPr>
                <w:rStyle w:val="Style"/>
                <w:rFonts w:eastAsia="宋体;SimSun" w:cs="Arial" w:ascii="Arial" w:hAnsi="Arial"/>
                <w:sz w:val="21"/>
                <w:szCs w:val="21"/>
              </w:rPr>
              <w:tab/>
              <w:t>23</w:t>
            </w:r>
          </w:hyperlink>
        </w:p>
        <w:p>
          <w:pPr>
            <w:pStyle w:val="23"/>
            <w:rPr>
              <w:rFonts w:ascii="Arial" w:hAnsi="Arial" w:eastAsia="宋体;SimSun" w:cs="Arial"/>
              <w:kern w:val="2"/>
              <w:sz w:val="21"/>
              <w:szCs w:val="21"/>
            </w:rPr>
          </w:pPr>
          <w:hyperlink w:anchor="__RefHeading___Toc162425557">
            <w:r>
              <w:rPr>
                <w:rStyle w:val="Style"/>
                <w:rFonts w:ascii="Arial" w:hAnsi="Arial" w:cs="Arial" w:eastAsia="宋体;SimSun"/>
                <w:sz w:val="21"/>
                <w:szCs w:val="21"/>
              </w:rPr>
              <w:t>八、估价依据</w:t>
            </w:r>
            <w:r>
              <w:rPr>
                <w:rStyle w:val="Style"/>
                <w:rFonts w:eastAsia="宋体;SimSun" w:cs="Arial" w:ascii="Arial" w:hAnsi="Arial"/>
                <w:sz w:val="21"/>
                <w:szCs w:val="21"/>
              </w:rPr>
              <w:tab/>
              <w:t>24</w:t>
            </w:r>
          </w:hyperlink>
        </w:p>
        <w:p>
          <w:pPr>
            <w:pStyle w:val="23"/>
            <w:rPr>
              <w:rFonts w:ascii="Arial" w:hAnsi="Arial" w:eastAsia="宋体;SimSun" w:cs="Arial"/>
              <w:kern w:val="2"/>
              <w:sz w:val="21"/>
              <w:szCs w:val="21"/>
            </w:rPr>
          </w:pPr>
          <w:hyperlink w:anchor="__RefHeading___Toc162425558">
            <w:r>
              <w:rPr>
                <w:rStyle w:val="Style"/>
                <w:rFonts w:ascii="Arial" w:hAnsi="Arial" w:cs="Arial" w:eastAsia="宋体;SimSun"/>
                <w:sz w:val="21"/>
                <w:szCs w:val="21"/>
              </w:rPr>
              <w:t>九、估价方法</w:t>
            </w:r>
            <w:r>
              <w:rPr>
                <w:rStyle w:val="Style"/>
                <w:rFonts w:eastAsia="宋体;SimSun" w:cs="Arial" w:ascii="Arial" w:hAnsi="Arial"/>
                <w:sz w:val="21"/>
                <w:szCs w:val="21"/>
              </w:rPr>
              <w:tab/>
              <w:t>28</w:t>
            </w:r>
          </w:hyperlink>
        </w:p>
        <w:p>
          <w:pPr>
            <w:pStyle w:val="23"/>
            <w:rPr>
              <w:rFonts w:ascii="Arial" w:hAnsi="Arial" w:eastAsia="宋体;SimSun" w:cs="Arial"/>
              <w:kern w:val="2"/>
              <w:sz w:val="21"/>
              <w:szCs w:val="21"/>
            </w:rPr>
          </w:pPr>
          <w:hyperlink w:anchor="__RefHeading___Toc162425559">
            <w:r>
              <w:rPr>
                <w:rStyle w:val="Style"/>
                <w:rFonts w:ascii="Arial" w:hAnsi="Arial" w:cs="Arial" w:eastAsia="宋体;SimSun"/>
                <w:sz w:val="21"/>
                <w:szCs w:val="21"/>
              </w:rPr>
              <w:t>十、估价结果</w:t>
            </w:r>
            <w:r>
              <w:rPr>
                <w:rStyle w:val="Style"/>
                <w:rFonts w:eastAsia="宋体;SimSun" w:cs="Arial" w:ascii="Arial" w:hAnsi="Arial"/>
                <w:sz w:val="21"/>
                <w:szCs w:val="21"/>
              </w:rPr>
              <w:tab/>
              <w:t>29</w:t>
            </w:r>
          </w:hyperlink>
        </w:p>
        <w:p>
          <w:pPr>
            <w:pStyle w:val="23"/>
            <w:rPr>
              <w:rFonts w:ascii="Arial" w:hAnsi="Arial" w:eastAsia="宋体;SimSun" w:cs="Arial"/>
              <w:kern w:val="2"/>
              <w:sz w:val="21"/>
              <w:szCs w:val="21"/>
            </w:rPr>
          </w:pPr>
          <w:hyperlink w:anchor="__RefHeading___Toc162425560">
            <w:r>
              <w:rPr>
                <w:rStyle w:val="Style"/>
                <w:rFonts w:ascii="Arial" w:hAnsi="Arial" w:cs="Arial" w:eastAsia="宋体;SimSun"/>
                <w:sz w:val="21"/>
                <w:szCs w:val="21"/>
              </w:rPr>
              <w:t>十一、参与本次估价工作的评估专业人员</w:t>
            </w:r>
            <w:r>
              <w:rPr>
                <w:rStyle w:val="Style"/>
                <w:rFonts w:eastAsia="宋体;SimSun" w:cs="Arial" w:ascii="Arial" w:hAnsi="Arial"/>
                <w:sz w:val="21"/>
                <w:szCs w:val="21"/>
              </w:rPr>
              <w:tab/>
              <w:t>31</w:t>
            </w:r>
          </w:hyperlink>
        </w:p>
        <w:p>
          <w:pPr>
            <w:pStyle w:val="23"/>
            <w:rPr>
              <w:rFonts w:ascii="Arial" w:hAnsi="Arial" w:eastAsia="宋体;SimSun" w:cs="Arial"/>
              <w:kern w:val="2"/>
              <w:sz w:val="21"/>
              <w:szCs w:val="21"/>
            </w:rPr>
          </w:pPr>
          <w:hyperlink w:anchor="__RefHeading___Toc162425561">
            <w:r>
              <w:rPr>
                <w:rStyle w:val="Style"/>
                <w:rFonts w:ascii="Arial" w:hAnsi="Arial" w:cs="Arial" w:eastAsia="宋体;SimSun"/>
                <w:sz w:val="21"/>
                <w:szCs w:val="21"/>
              </w:rPr>
              <w:t>十二、实地查勘期</w:t>
            </w:r>
            <w:r>
              <w:rPr>
                <w:rStyle w:val="Style"/>
                <w:rFonts w:eastAsia="宋体;SimSun" w:cs="Arial" w:ascii="Arial" w:hAnsi="Arial"/>
                <w:sz w:val="21"/>
                <w:szCs w:val="21"/>
              </w:rPr>
              <w:tab/>
              <w:t>31</w:t>
            </w:r>
          </w:hyperlink>
        </w:p>
        <w:p>
          <w:pPr>
            <w:pStyle w:val="23"/>
            <w:rPr>
              <w:rFonts w:ascii="Arial" w:hAnsi="Arial" w:eastAsia="宋体;SimSun" w:cs="Arial"/>
              <w:kern w:val="2"/>
              <w:sz w:val="21"/>
              <w:szCs w:val="21"/>
            </w:rPr>
          </w:pPr>
          <w:hyperlink w:anchor="__RefHeading___Toc162425562">
            <w:r>
              <w:rPr>
                <w:rStyle w:val="Style"/>
                <w:rFonts w:ascii="Arial" w:hAnsi="Arial" w:cs="Arial" w:eastAsia="宋体;SimSun"/>
                <w:sz w:val="21"/>
                <w:szCs w:val="21"/>
              </w:rPr>
              <w:t>十三、估价作业期</w:t>
            </w:r>
            <w:r>
              <w:rPr>
                <w:rStyle w:val="Style"/>
                <w:rFonts w:eastAsia="宋体;SimSun" w:cs="Arial" w:ascii="Arial" w:hAnsi="Arial"/>
                <w:sz w:val="21"/>
                <w:szCs w:val="21"/>
              </w:rPr>
              <w:tab/>
              <w:t>31</w:t>
            </w:r>
          </w:hyperlink>
        </w:p>
        <w:p>
          <w:pPr>
            <w:pStyle w:val="11"/>
            <w:rPr>
              <w:rFonts w:ascii="Arial" w:hAnsi="Arial" w:eastAsia="宋体;SimSun" w:cs="Arial"/>
              <w:b w:val="false"/>
              <w:b w:val="false"/>
              <w:bCs w:val="false"/>
              <w:kern w:val="2"/>
              <w:sz w:val="21"/>
              <w:szCs w:val="21"/>
            </w:rPr>
          </w:pPr>
          <w:hyperlink w:anchor="__RefHeading___Toc162425563">
            <w:r>
              <w:rPr>
                <w:rStyle w:val="Style"/>
                <w:rFonts w:ascii="Arial" w:hAnsi="Arial" w:cs="Arial" w:eastAsia="宋体;SimSun"/>
                <w:sz w:val="21"/>
                <w:szCs w:val="21"/>
              </w:rPr>
              <w:t>估价技术报告</w:t>
            </w:r>
            <w:r>
              <w:rPr>
                <w:rStyle w:val="Style"/>
                <w:rFonts w:eastAsia="宋体;SimSun" w:cs="Arial" w:ascii="Arial" w:hAnsi="Arial"/>
                <w:sz w:val="21"/>
                <w:szCs w:val="21"/>
              </w:rPr>
              <w:tab/>
              <w:t>32</w:t>
            </w:r>
          </w:hyperlink>
        </w:p>
        <w:p>
          <w:pPr>
            <w:pStyle w:val="23"/>
            <w:rPr>
              <w:rFonts w:ascii="Arial" w:hAnsi="Arial" w:eastAsia="宋体;SimSun" w:cs="Arial"/>
              <w:kern w:val="2"/>
              <w:sz w:val="21"/>
              <w:szCs w:val="21"/>
            </w:rPr>
          </w:pPr>
          <w:hyperlink w:anchor="__RefHeading___Toc162425564">
            <w:r>
              <w:rPr>
                <w:rStyle w:val="Style"/>
                <w:rFonts w:ascii="Arial" w:hAnsi="Arial" w:cs="Arial" w:eastAsia="宋体;SimSun"/>
                <w:sz w:val="21"/>
                <w:szCs w:val="21"/>
              </w:rPr>
              <w:t>一、估价对象描述与分析</w:t>
            </w:r>
            <w:r>
              <w:rPr>
                <w:rStyle w:val="Style"/>
                <w:rFonts w:eastAsia="宋体;SimSun" w:cs="Arial" w:ascii="Arial" w:hAnsi="Arial"/>
                <w:sz w:val="21"/>
                <w:szCs w:val="21"/>
              </w:rPr>
              <w:tab/>
              <w:t>32</w:t>
            </w:r>
          </w:hyperlink>
        </w:p>
        <w:p>
          <w:pPr>
            <w:pStyle w:val="23"/>
            <w:rPr>
              <w:rFonts w:ascii="Arial" w:hAnsi="Arial" w:eastAsia="宋体;SimSun" w:cs="Arial"/>
              <w:kern w:val="2"/>
              <w:sz w:val="21"/>
              <w:szCs w:val="21"/>
            </w:rPr>
          </w:pPr>
          <w:hyperlink w:anchor="__RefHeading___Toc162425565">
            <w:r>
              <w:rPr>
                <w:rStyle w:val="Style"/>
                <w:rFonts w:ascii="Arial" w:hAnsi="Arial" w:cs="Arial" w:eastAsia="宋体;SimSun"/>
                <w:sz w:val="21"/>
                <w:szCs w:val="21"/>
              </w:rPr>
              <w:t>（一）实物状况分析</w:t>
            </w:r>
            <w:r>
              <w:rPr>
                <w:rStyle w:val="Style"/>
                <w:rFonts w:eastAsia="宋体;SimSun" w:cs="Arial" w:ascii="Arial" w:hAnsi="Arial"/>
                <w:sz w:val="21"/>
                <w:szCs w:val="21"/>
              </w:rPr>
              <w:tab/>
              <w:t>32</w:t>
            </w:r>
          </w:hyperlink>
        </w:p>
        <w:p>
          <w:pPr>
            <w:pStyle w:val="23"/>
            <w:rPr>
              <w:rFonts w:ascii="Arial" w:hAnsi="Arial" w:eastAsia="宋体;SimSun" w:cs="Arial"/>
              <w:kern w:val="2"/>
              <w:sz w:val="21"/>
              <w:szCs w:val="21"/>
            </w:rPr>
          </w:pPr>
          <w:hyperlink w:anchor="__RefHeading___Toc162425566">
            <w:r>
              <w:rPr>
                <w:rStyle w:val="Style"/>
                <w:rFonts w:ascii="Arial" w:hAnsi="Arial" w:cs="Arial" w:eastAsia="宋体;SimSun"/>
                <w:sz w:val="21"/>
                <w:szCs w:val="21"/>
              </w:rPr>
              <w:t>（二）权益状况分析</w:t>
            </w:r>
            <w:r>
              <w:rPr>
                <w:rStyle w:val="Style"/>
                <w:rFonts w:eastAsia="宋体;SimSun" w:cs="Arial" w:ascii="Arial" w:hAnsi="Arial"/>
                <w:sz w:val="21"/>
                <w:szCs w:val="21"/>
              </w:rPr>
              <w:tab/>
              <w:t>34</w:t>
            </w:r>
          </w:hyperlink>
        </w:p>
        <w:p>
          <w:pPr>
            <w:pStyle w:val="23"/>
            <w:rPr>
              <w:rFonts w:ascii="Arial" w:hAnsi="Arial" w:eastAsia="宋体;SimSun" w:cs="Arial"/>
              <w:kern w:val="2"/>
              <w:sz w:val="21"/>
              <w:szCs w:val="21"/>
            </w:rPr>
          </w:pPr>
          <w:hyperlink w:anchor="__RefHeading___Toc162425567">
            <w:r>
              <w:rPr>
                <w:rStyle w:val="Style"/>
                <w:rFonts w:ascii="Arial" w:hAnsi="Arial" w:cs="Arial" w:eastAsia="宋体;SimSun"/>
                <w:sz w:val="21"/>
                <w:szCs w:val="21"/>
              </w:rPr>
              <w:t>（三）区位状况分析</w:t>
            </w:r>
            <w:r>
              <w:rPr>
                <w:rStyle w:val="Style"/>
                <w:rFonts w:eastAsia="宋体;SimSun" w:cs="Arial" w:ascii="Arial" w:hAnsi="Arial"/>
                <w:sz w:val="21"/>
                <w:szCs w:val="21"/>
              </w:rPr>
              <w:tab/>
              <w:t>35</w:t>
            </w:r>
          </w:hyperlink>
        </w:p>
        <w:p>
          <w:pPr>
            <w:pStyle w:val="23"/>
            <w:rPr>
              <w:rFonts w:ascii="Arial" w:hAnsi="Arial" w:eastAsia="宋体;SimSun" w:cs="Arial"/>
              <w:kern w:val="2"/>
              <w:sz w:val="21"/>
              <w:szCs w:val="21"/>
            </w:rPr>
          </w:pPr>
          <w:hyperlink w:anchor="__RefHeading___Toc162425568">
            <w:r>
              <w:rPr>
                <w:rStyle w:val="Style"/>
                <w:rFonts w:ascii="Arial" w:hAnsi="Arial" w:cs="Arial" w:eastAsia="宋体;SimSun"/>
                <w:sz w:val="21"/>
                <w:szCs w:val="21"/>
              </w:rPr>
              <w:t>二、市场背景描述与分析</w:t>
            </w:r>
            <w:r>
              <w:rPr>
                <w:rStyle w:val="Style"/>
                <w:rFonts w:eastAsia="宋体;SimSun" w:cs="Arial" w:ascii="Arial" w:hAnsi="Arial"/>
                <w:sz w:val="21"/>
                <w:szCs w:val="21"/>
              </w:rPr>
              <w:tab/>
              <w:t>36</w:t>
            </w:r>
          </w:hyperlink>
        </w:p>
        <w:p>
          <w:pPr>
            <w:pStyle w:val="23"/>
            <w:rPr>
              <w:rFonts w:ascii="Arial" w:hAnsi="Arial" w:eastAsia="宋体;SimSun" w:cs="Arial"/>
              <w:kern w:val="2"/>
              <w:sz w:val="21"/>
              <w:szCs w:val="21"/>
            </w:rPr>
          </w:pPr>
          <w:hyperlink w:anchor="__RefHeading___Toc162425569">
            <w:r>
              <w:rPr>
                <w:rStyle w:val="Style"/>
                <w:rFonts w:ascii="Arial" w:hAnsi="Arial" w:cs="Arial" w:eastAsia="宋体;SimSun"/>
                <w:sz w:val="21"/>
                <w:szCs w:val="21"/>
              </w:rPr>
              <w:t>三、最高最佳利用分析</w:t>
            </w:r>
            <w:r>
              <w:rPr>
                <w:rStyle w:val="Style"/>
                <w:rFonts w:eastAsia="宋体;SimSun" w:cs="Arial" w:ascii="Arial" w:hAnsi="Arial"/>
                <w:sz w:val="21"/>
                <w:szCs w:val="21"/>
              </w:rPr>
              <w:tab/>
              <w:t>37</w:t>
            </w:r>
          </w:hyperlink>
        </w:p>
        <w:p>
          <w:pPr>
            <w:pStyle w:val="23"/>
            <w:rPr>
              <w:rFonts w:ascii="Arial" w:hAnsi="Arial" w:eastAsia="宋体;SimSun" w:cs="Arial"/>
              <w:kern w:val="2"/>
              <w:sz w:val="21"/>
              <w:szCs w:val="21"/>
            </w:rPr>
          </w:pPr>
          <w:hyperlink w:anchor="__RefHeading___Toc162425570">
            <w:r>
              <w:rPr>
                <w:rStyle w:val="Style"/>
                <w:rFonts w:ascii="Arial" w:hAnsi="Arial" w:cs="Arial" w:eastAsia="宋体;SimSun"/>
                <w:sz w:val="21"/>
                <w:szCs w:val="21"/>
              </w:rPr>
              <w:t>四、估价方法适用性分析</w:t>
            </w:r>
            <w:r>
              <w:rPr>
                <w:rStyle w:val="Style"/>
                <w:rFonts w:eastAsia="宋体;SimSun" w:cs="Arial" w:ascii="Arial" w:hAnsi="Arial"/>
                <w:sz w:val="21"/>
                <w:szCs w:val="21"/>
              </w:rPr>
              <w:tab/>
              <w:t>39</w:t>
            </w:r>
          </w:hyperlink>
        </w:p>
        <w:p>
          <w:pPr>
            <w:pStyle w:val="23"/>
            <w:rPr>
              <w:rFonts w:ascii="Arial" w:hAnsi="Arial" w:eastAsia="宋体;SimSun" w:cs="Arial"/>
              <w:kern w:val="2"/>
              <w:sz w:val="21"/>
              <w:szCs w:val="21"/>
            </w:rPr>
          </w:pPr>
          <w:hyperlink w:anchor="__RefHeading___Toc162425571">
            <w:r>
              <w:rPr>
                <w:rStyle w:val="Style"/>
                <w:rFonts w:ascii="Arial" w:hAnsi="Arial" w:cs="Arial" w:eastAsia="宋体;SimSun"/>
                <w:sz w:val="21"/>
                <w:szCs w:val="21"/>
              </w:rPr>
              <w:t>五、估价测算过程</w:t>
            </w:r>
            <w:r>
              <w:rPr>
                <w:rStyle w:val="Style"/>
                <w:rFonts w:eastAsia="宋体;SimSun" w:cs="Arial" w:ascii="Arial" w:hAnsi="Arial"/>
                <w:sz w:val="21"/>
                <w:szCs w:val="21"/>
              </w:rPr>
              <w:tab/>
              <w:t>41</w:t>
            </w:r>
          </w:hyperlink>
        </w:p>
        <w:p>
          <w:pPr>
            <w:pStyle w:val="23"/>
            <w:rPr>
              <w:rFonts w:ascii="Arial" w:hAnsi="Arial" w:eastAsia="宋体;SimSun" w:cs="Arial"/>
              <w:kern w:val="2"/>
              <w:sz w:val="21"/>
              <w:szCs w:val="21"/>
            </w:rPr>
          </w:pPr>
          <w:hyperlink w:anchor="__RefHeading___Toc162425572">
            <w:r>
              <w:rPr>
                <w:rStyle w:val="Style"/>
                <w:rFonts w:ascii="Arial" w:hAnsi="Arial" w:cs="Arial" w:eastAsia="宋体;SimSun"/>
                <w:sz w:val="21"/>
                <w:szCs w:val="21"/>
              </w:rPr>
              <w:t>六、估价结果确定</w:t>
            </w:r>
            <w:r>
              <w:rPr>
                <w:rStyle w:val="Style"/>
                <w:rFonts w:eastAsia="宋体;SimSun" w:cs="Arial" w:ascii="Arial" w:hAnsi="Arial"/>
                <w:sz w:val="21"/>
                <w:szCs w:val="21"/>
              </w:rPr>
              <w:tab/>
              <w:t>43</w:t>
            </w:r>
          </w:hyperlink>
        </w:p>
        <w:p>
          <w:pPr>
            <w:pStyle w:val="11"/>
            <w:rPr>
              <w:rFonts w:ascii="Arial" w:hAnsi="Arial" w:eastAsia="宋体;SimSun" w:cs="Arial"/>
              <w:kern w:val="2"/>
              <w:sz w:val="21"/>
              <w:szCs w:val="21"/>
            </w:rPr>
          </w:pPr>
          <w:hyperlink w:anchor="__RefHeading___Toc162425573">
            <w:r>
              <w:rPr>
                <w:rStyle w:val="Style"/>
                <w:rFonts w:ascii="Arial" w:hAnsi="Arial" w:cs="Arial" w:eastAsia="宋体;SimSun"/>
                <w:b w:val="false"/>
                <w:bCs w:val="false"/>
                <w:sz w:val="21"/>
                <w:szCs w:val="21"/>
              </w:rPr>
              <w:t>附</w:t>
            </w:r>
            <w:r>
              <w:rPr>
                <w:rStyle w:val="Style"/>
                <w:rFonts w:ascii="Arial" w:hAnsi="Arial" w:cs="Arial" w:eastAsia="Arial"/>
                <w:b w:val="false"/>
                <w:bCs w:val="false"/>
                <w:sz w:val="21"/>
                <w:szCs w:val="21"/>
              </w:rPr>
              <w:t xml:space="preserve">   </w:t>
            </w:r>
            <w:r>
              <w:rPr>
                <w:rStyle w:val="Style"/>
                <w:rFonts w:ascii="Arial" w:hAnsi="Arial" w:cs="Arial" w:eastAsia="宋体;SimSun"/>
                <w:b w:val="false"/>
                <w:bCs w:val="false"/>
                <w:sz w:val="21"/>
                <w:szCs w:val="21"/>
              </w:rPr>
              <w:t>件</w:t>
            </w:r>
            <w:r>
              <w:rPr>
                <w:rStyle w:val="Style"/>
                <w:rFonts w:eastAsia="宋体;SimSun" w:cs="Arial" w:ascii="Arial" w:hAnsi="Arial"/>
                <w:b w:val="false"/>
                <w:bCs w:val="false"/>
                <w:sz w:val="21"/>
                <w:szCs w:val="21"/>
              </w:rPr>
              <w:tab/>
              <w:t>48</w:t>
            </w:r>
          </w:hyperlink>
          <w:r>
            <w:rPr>
              <w:rStyle w:val="Style"/>
              <w:sz w:val="21"/>
              <w:b w:val="false"/>
              <w:szCs w:val="21"/>
              <w:bCs w:val="false"/>
              <w:rFonts w:ascii="Arial" w:hAnsi="Arial" w:cs="Arial" w:eastAsia="宋体;SimSun"/>
            </w:rPr>
            <w:fldChar w:fldCharType="end"/>
          </w:r>
        </w:p>
      </w:sdtContent>
    </w:sdt>
    <w:p>
      <w:pPr>
        <w:pStyle w:val="Normal"/>
        <w:numPr>
          <w:ilvl w:val="0"/>
          <w:numId w:val="6"/>
        </w:numPr>
        <w:spacing w:lineRule="auto" w:line="360"/>
        <w:jc w:val="both"/>
        <w:rPr>
          <w:rFonts w:ascii="Arial" w:hAnsi="Arial" w:cs="Arial"/>
          <w:sz w:val="21"/>
          <w:szCs w:val="21"/>
        </w:rPr>
      </w:pPr>
      <w:r>
        <w:rPr>
          <w:rFonts w:ascii="Arial" w:hAnsi="Arial" w:cs="Arial"/>
          <w:sz w:val="21"/>
          <w:szCs w:val="21"/>
        </w:rPr>
        <w:t>《估价委托书》</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估价对象所在位置示意图</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估价对象实地查勘情况和相关照片</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《国有土地使用权出让合同》</w:t>
      </w:r>
      <w:r>
        <w:rPr>
          <w:rFonts w:cs="Arial" w:ascii="Arial" w:hAnsi="Arial"/>
          <w:sz w:val="21"/>
          <w:szCs w:val="21"/>
        </w:rPr>
        <w:t>[</w:t>
      </w:r>
      <w:r>
        <w:rPr>
          <w:rFonts w:ascii="Arial" w:hAnsi="Arial" w:cs="Arial"/>
          <w:sz w:val="21"/>
          <w:szCs w:val="21"/>
        </w:rPr>
        <w:t>电子监管号：</w:t>
      </w:r>
      <w:r>
        <w:rPr>
          <w:rFonts w:cs="Arial" w:ascii="Arial" w:hAnsi="Arial"/>
          <w:sz w:val="21"/>
          <w:szCs w:val="21"/>
        </w:rPr>
        <w:t>4601002009B00664]</w:t>
      </w:r>
      <w:r>
        <w:rPr>
          <w:rFonts w:ascii="Arial" w:hAnsi="Arial" w:cs="Arial"/>
          <w:sz w:val="21"/>
          <w:szCs w:val="21"/>
        </w:rPr>
        <w:t>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6"/>
        </w:numPr>
        <w:spacing w:lineRule="auto" w:line="360"/>
        <w:jc w:val="both"/>
        <w:rPr/>
      </w:pPr>
      <w:r>
        <w:rPr>
          <w:rFonts w:ascii="Arial" w:hAnsi="Arial" w:cs="Arial"/>
          <w:sz w:val="21"/>
          <w:szCs w:val="21"/>
        </w:rPr>
        <w:t>《土地他项权证》</w:t>
      </w:r>
      <w:r>
        <w:rPr>
          <w:rFonts w:ascii="Arial" w:hAnsi="Arial" w:cs="Arial" w:eastAsia="Arial"/>
          <w:sz w:val="21"/>
          <w:szCs w:val="21"/>
        </w:rPr>
        <w:t xml:space="preserve"> </w:t>
      </w:r>
      <w:r>
        <w:rPr>
          <w:rFonts w:cs="Arial" w:ascii="Arial" w:hAnsi="Arial"/>
          <w:sz w:val="21"/>
          <w:szCs w:val="21"/>
        </w:rPr>
        <w:t>[</w:t>
      </w:r>
      <w:r>
        <w:rPr>
          <w:rFonts w:ascii="Arial" w:hAnsi="Arial" w:cs="Arial"/>
          <w:sz w:val="21"/>
          <w:szCs w:val="21"/>
        </w:rPr>
        <w:t>海口市他项（</w:t>
      </w:r>
      <w:r>
        <w:rPr>
          <w:rFonts w:cs="Arial" w:ascii="Arial" w:hAnsi="Arial"/>
          <w:sz w:val="21"/>
          <w:szCs w:val="21"/>
        </w:rPr>
        <w:t>2015</w:t>
      </w:r>
      <w:r>
        <w:rPr>
          <w:rFonts w:ascii="Arial" w:hAnsi="Arial" w:cs="Arial"/>
          <w:sz w:val="21"/>
          <w:szCs w:val="21"/>
        </w:rPr>
        <w:t>）第</w:t>
      </w:r>
      <w:r>
        <w:rPr>
          <w:rFonts w:cs="Arial" w:ascii="Arial" w:hAnsi="Arial"/>
          <w:sz w:val="21"/>
          <w:szCs w:val="21"/>
        </w:rPr>
        <w:t>0343</w:t>
      </w:r>
      <w:r>
        <w:rPr>
          <w:rFonts w:ascii="Arial" w:hAnsi="Arial" w:cs="Arial"/>
          <w:sz w:val="21"/>
          <w:szCs w:val="21"/>
        </w:rPr>
        <w:t>号、海口市房建海房字第</w:t>
      </w:r>
      <w:r>
        <w:rPr>
          <w:rFonts w:cs="Arial" w:ascii="Arial" w:hAnsi="Arial"/>
          <w:sz w:val="21"/>
          <w:szCs w:val="21"/>
        </w:rPr>
        <w:t>T087275</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6"/>
        </w:numPr>
        <w:spacing w:lineRule="auto" w:line="360"/>
        <w:jc w:val="both"/>
        <w:rPr/>
      </w:pPr>
      <w:r>
        <w:rPr>
          <w:rFonts w:ascii="Arial" w:hAnsi="Arial" w:cs="Arial"/>
          <w:sz w:val="21"/>
          <w:szCs w:val="21"/>
        </w:rPr>
        <w:t>《建设工程规划许可证》</w:t>
      </w:r>
      <w:r>
        <w:rPr>
          <w:rFonts w:cs="Arial" w:ascii="Arial" w:hAnsi="Arial"/>
          <w:sz w:val="21"/>
          <w:szCs w:val="21"/>
        </w:rPr>
        <w:t>[</w:t>
      </w:r>
      <w:r>
        <w:rPr>
          <w:rFonts w:ascii="Arial" w:hAnsi="Arial" w:cs="Arial"/>
          <w:sz w:val="21"/>
          <w:szCs w:val="21"/>
        </w:rPr>
        <w:t>建字第</w:t>
      </w:r>
      <w:r>
        <w:rPr>
          <w:rFonts w:cs="Arial" w:ascii="Arial" w:hAnsi="Arial"/>
          <w:sz w:val="21"/>
          <w:szCs w:val="21"/>
        </w:rPr>
        <w:t>460100201300002</w:t>
      </w:r>
      <w:r>
        <w:rPr>
          <w:rFonts w:ascii="Arial" w:hAnsi="Arial" w:cs="Arial"/>
          <w:sz w:val="21"/>
          <w:szCs w:val="21"/>
        </w:rPr>
        <w:t>、</w:t>
      </w:r>
      <w:r>
        <w:rPr>
          <w:rFonts w:cs="Arial" w:ascii="Arial" w:hAnsi="Arial"/>
          <w:sz w:val="21"/>
          <w:szCs w:val="21"/>
        </w:rPr>
        <w:t>460100201400161</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6"/>
        </w:numPr>
        <w:spacing w:lineRule="auto" w:line="360"/>
        <w:jc w:val="both"/>
        <w:rPr/>
      </w:pPr>
      <w:r>
        <w:rPr>
          <w:rFonts w:ascii="Arial" w:hAnsi="Arial" w:cs="Arial"/>
          <w:sz w:val="21"/>
          <w:szCs w:val="21"/>
        </w:rPr>
        <w:t>《建筑工程施工许可证》</w:t>
      </w:r>
      <w:r>
        <w:rPr>
          <w:rFonts w:cs="Arial" w:ascii="Arial" w:hAnsi="Arial"/>
          <w:sz w:val="21"/>
          <w:szCs w:val="21"/>
        </w:rPr>
        <w:t>[</w:t>
      </w:r>
      <w:r>
        <w:rPr>
          <w:rFonts w:ascii="Arial" w:hAnsi="Arial" w:cs="Arial"/>
          <w:sz w:val="21"/>
          <w:szCs w:val="21"/>
        </w:rPr>
        <w:t>编号</w:t>
      </w:r>
      <w:r>
        <w:rPr>
          <w:rFonts w:cs="Arial" w:ascii="Arial" w:hAnsi="Arial"/>
          <w:sz w:val="21"/>
          <w:szCs w:val="21"/>
        </w:rPr>
        <w:t>460100201303110101</w:t>
      </w:r>
      <w:r>
        <w:rPr>
          <w:rFonts w:ascii="Arial" w:hAnsi="Arial" w:cs="Arial"/>
          <w:sz w:val="21"/>
          <w:szCs w:val="21"/>
        </w:rPr>
        <w:t>、</w:t>
      </w:r>
      <w:r>
        <w:rPr>
          <w:rFonts w:cs="Arial" w:ascii="Arial" w:hAnsi="Arial"/>
          <w:sz w:val="21"/>
          <w:szCs w:val="21"/>
        </w:rPr>
        <w:t>460100201506120101</w:t>
      </w:r>
      <w:r>
        <w:rPr>
          <w:rFonts w:cs="Arial" w:ascii="Arial" w:hAnsi="Arial"/>
          <w:sz w:val="21"/>
          <w:szCs w:val="21"/>
        </w:rPr>
        <w:t xml:space="preserve">] </w:t>
      </w:r>
      <w:r>
        <w:rPr>
          <w:rFonts w:ascii="Arial" w:hAnsi="Arial" w:cs="Arial"/>
          <w:sz w:val="21"/>
          <w:szCs w:val="21"/>
        </w:rPr>
        <w:t>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《海口市商品房预售许可证》</w:t>
      </w:r>
      <w:r>
        <w:rPr>
          <w:rFonts w:cs="Arial" w:ascii="Arial" w:hAnsi="Arial"/>
          <w:sz w:val="21"/>
          <w:szCs w:val="21"/>
        </w:rPr>
        <w:t>[</w:t>
      </w:r>
      <w:r>
        <w:rPr>
          <w:rFonts w:ascii="Arial" w:hAnsi="Arial" w:cs="Arial"/>
          <w:sz w:val="21"/>
          <w:szCs w:val="21"/>
        </w:rPr>
        <w:t>（</w:t>
      </w:r>
      <w:r>
        <w:rPr>
          <w:rFonts w:cs="Arial" w:ascii="Arial" w:hAnsi="Arial"/>
          <w:sz w:val="21"/>
          <w:szCs w:val="21"/>
        </w:rPr>
        <w:t>2014</w:t>
      </w:r>
      <w:r>
        <w:rPr>
          <w:rFonts w:ascii="Arial" w:hAnsi="Arial" w:cs="Arial"/>
          <w:sz w:val="21"/>
          <w:szCs w:val="21"/>
        </w:rPr>
        <w:t>）海房预字</w:t>
      </w:r>
      <w:r>
        <w:rPr>
          <w:rFonts w:cs="Arial" w:ascii="Arial" w:hAnsi="Arial"/>
          <w:sz w:val="21"/>
          <w:szCs w:val="21"/>
        </w:rPr>
        <w:t>0016</w:t>
      </w:r>
      <w:r>
        <w:rPr>
          <w:rFonts w:ascii="Arial" w:hAnsi="Arial" w:cs="Arial"/>
          <w:sz w:val="21"/>
          <w:szCs w:val="21"/>
        </w:rPr>
        <w:t>号、（</w:t>
      </w:r>
      <w:r>
        <w:rPr>
          <w:rFonts w:cs="Arial" w:ascii="Arial" w:hAnsi="Arial"/>
          <w:sz w:val="21"/>
          <w:szCs w:val="21"/>
        </w:rPr>
        <w:t>2015</w:t>
      </w:r>
      <w:r>
        <w:rPr>
          <w:rFonts w:ascii="Arial" w:hAnsi="Arial" w:cs="Arial"/>
          <w:sz w:val="21"/>
          <w:szCs w:val="21"/>
        </w:rPr>
        <w:t>）海房预字</w:t>
      </w:r>
      <w:r>
        <w:rPr>
          <w:rFonts w:cs="Arial" w:ascii="Arial" w:hAnsi="Arial"/>
          <w:sz w:val="21"/>
          <w:szCs w:val="21"/>
        </w:rPr>
        <w:t>0112</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《海口市建设工程竣工验收备案表》复印件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《海口市房屋建筑面积竣工测绘报告》</w:t>
      </w:r>
      <w:r>
        <w:rPr>
          <w:rFonts w:cs="Arial" w:ascii="Arial" w:hAnsi="Arial"/>
          <w:sz w:val="21"/>
          <w:szCs w:val="21"/>
        </w:rPr>
        <w:t>[</w:t>
      </w:r>
      <w:r>
        <w:rPr>
          <w:rFonts w:ascii="Arial" w:hAnsi="Arial" w:cs="Arial"/>
          <w:sz w:val="21"/>
          <w:szCs w:val="21"/>
        </w:rPr>
        <w:t>报告编号：</w:t>
      </w:r>
      <w:r>
        <w:rPr>
          <w:rFonts w:cs="Arial" w:ascii="Arial" w:hAnsi="Arial"/>
          <w:sz w:val="21"/>
          <w:szCs w:val="21"/>
        </w:rPr>
        <w:t>SW</w:t>
      </w:r>
      <w:r>
        <w:rPr>
          <w:rFonts w:ascii="Arial" w:hAnsi="Arial" w:cs="Arial"/>
          <w:sz w:val="21"/>
          <w:szCs w:val="21"/>
        </w:rPr>
        <w:t>测第</w:t>
      </w:r>
      <w:r>
        <w:rPr>
          <w:rFonts w:cs="Arial" w:ascii="Arial" w:hAnsi="Arial"/>
          <w:sz w:val="21"/>
          <w:szCs w:val="21"/>
        </w:rPr>
        <w:t>20130019</w:t>
      </w:r>
      <w:r>
        <w:rPr>
          <w:rFonts w:ascii="Arial" w:hAnsi="Arial" w:cs="Arial"/>
          <w:sz w:val="21"/>
          <w:szCs w:val="21"/>
        </w:rPr>
        <w:t>、</w:t>
      </w:r>
      <w:r>
        <w:rPr>
          <w:rFonts w:cs="Arial" w:ascii="Arial" w:hAnsi="Arial"/>
          <w:sz w:val="21"/>
          <w:szCs w:val="21"/>
        </w:rPr>
        <w:t>SW</w:t>
      </w:r>
      <w:r>
        <w:rPr>
          <w:rFonts w:ascii="Arial" w:hAnsi="Arial" w:cs="Arial"/>
          <w:sz w:val="21"/>
          <w:szCs w:val="21"/>
        </w:rPr>
        <w:t>测第</w:t>
      </w:r>
      <w:r>
        <w:rPr>
          <w:rFonts w:cs="Arial" w:ascii="Arial" w:hAnsi="Arial"/>
          <w:sz w:val="21"/>
          <w:szCs w:val="21"/>
        </w:rPr>
        <w:t>20130020</w:t>
      </w:r>
      <w:r>
        <w:rPr>
          <w:rFonts w:cs="Arial" w:ascii="Arial" w:hAnsi="Arial"/>
          <w:sz w:val="21"/>
          <w:szCs w:val="21"/>
        </w:rPr>
        <w:t>]</w:t>
      </w:r>
      <w:r>
        <w:rPr>
          <w:rFonts w:ascii="Arial" w:hAnsi="Arial" w:cs="Arial"/>
          <w:sz w:val="21"/>
          <w:szCs w:val="21"/>
        </w:rPr>
        <w:t>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w:t>
      </w:r>
      <w:r>
        <w:rPr>
          <w:rFonts w:ascii="Arial" w:hAnsi="Arial" w:cs="Arial"/>
          <w:sz w:val="21"/>
          <w:szCs w:val="21"/>
        </w:rPr>
        <w:t>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《评估范围清单明细》</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《项目合作协议书》复印件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估价委托人《营业执照（副本）》复印件</w:t>
      </w:r>
    </w:p>
    <w:p>
      <w:pPr>
        <w:pStyle w:val="Normal"/>
        <w:numPr>
          <w:ilvl w:val="0"/>
          <w:numId w:val="6"/>
        </w:numPr>
        <w:spacing w:lineRule="auto" w:line="360"/>
        <w:jc w:val="both"/>
        <w:rPr>
          <w:rFonts w:ascii="Arial" w:hAnsi="Arial" w:cs="Arial"/>
          <w:sz w:val="21"/>
          <w:szCs w:val="21"/>
        </w:rPr>
      </w:pPr>
      <w:r>
        <w:rPr>
          <w:rFonts w:ascii="Arial" w:hAnsi="Arial" w:cs="Arial"/>
          <w:sz w:val="21"/>
          <w:szCs w:val="21"/>
        </w:rPr>
        <w:t>房地产估价机构《营业执照（副本）》复印件</w:t>
      </w:r>
    </w:p>
    <w:p>
      <w:pPr>
        <w:pStyle w:val="Normal"/>
        <w:numPr>
          <w:ilvl w:val="0"/>
          <w:numId w:val="6"/>
        </w:numPr>
        <w:spacing w:lineRule="auto" w:line="360"/>
        <w:jc w:val="both"/>
        <w:rPr/>
      </w:pPr>
      <w:r>
        <w:rPr>
          <w:rFonts w:ascii="Arial" w:hAnsi="Arial" w:cs="Arial"/>
          <w:sz w:val="21"/>
          <w:szCs w:val="21"/>
        </w:rPr>
        <w:t>房地产估价机构</w:t>
      </w:r>
      <w:r>
        <w:rPr>
          <w:rFonts w:ascii="Arial" w:hAnsi="Arial" w:cs="Arial"/>
          <w:sz w:val="21"/>
          <w:szCs w:val="21"/>
        </w:rPr>
        <w:t>估价资质</w:t>
      </w:r>
      <w:r>
        <w:rPr>
          <w:rFonts w:ascii="Arial" w:hAnsi="Arial" w:cs="Arial"/>
          <w:sz w:val="21"/>
          <w:szCs w:val="21"/>
        </w:rPr>
        <w:t>证书复印件</w:t>
      </w:r>
    </w:p>
    <w:p>
      <w:pPr>
        <w:sectPr>
          <w:headerReference w:type="default" r:id="rId12"/>
          <w:footerReference w:type="default" r:id="rId13"/>
          <w:type w:val="nextPage"/>
          <w:pgSz w:w="11906" w:h="16838"/>
          <w:pgMar w:left="1304" w:right="1304" w:header="1134" w:top="1843" w:footer="907" w:bottom="1134" w:gutter="0"/>
          <w:pgNumType w:fmt="decimal"/>
          <w:formProt w:val="false"/>
          <w:textDirection w:val="lrTb"/>
          <w:docGrid w:type="default" w:linePitch="326" w:charSpace="0"/>
        </w:sectPr>
        <w:pStyle w:val="Normal"/>
        <w:numPr>
          <w:ilvl w:val="0"/>
          <w:numId w:val="6"/>
        </w:numPr>
        <w:spacing w:lineRule="auto" w:line="360"/>
        <w:jc w:val="both"/>
        <w:rPr/>
      </w:pPr>
      <w:r>
        <w:rPr>
          <w:rFonts w:ascii="Arial" w:hAnsi="Arial" w:cs="Arial"/>
          <w:sz w:val="21"/>
          <w:szCs w:val="21"/>
        </w:rPr>
        <w:t>评估专业人员</w:t>
      </w:r>
      <w:r>
        <w:rPr>
          <w:rFonts w:ascii="Arial" w:hAnsi="Arial" w:cs="Arial"/>
          <w:sz w:val="21"/>
          <w:szCs w:val="21"/>
        </w:rPr>
        <w:t>执业证书复印件</w:t>
      </w:r>
    </w:p>
    <w:p>
      <w:pPr>
        <w:pStyle w:val="1"/>
        <w:spacing w:lineRule="auto" w:line="480"/>
        <w:jc w:val="center"/>
        <w:rPr>
          <w:rFonts w:eastAsia="方正黑体简体;微软雅黑"/>
          <w:b w:val="false"/>
          <w:b w:val="false"/>
          <w:kern w:val="2"/>
          <w:sz w:val="32"/>
          <w:szCs w:val="32"/>
        </w:rPr>
      </w:pPr>
      <w:bookmarkStart w:id="0" w:name="__RefHeading___Toc162425547"/>
      <w:bookmarkEnd w:id="0"/>
      <w:r>
        <w:rPr>
          <w:rFonts w:eastAsia="方正黑体简体;微软雅黑"/>
          <w:b w:val="false"/>
          <w:kern w:val="2"/>
          <w:sz w:val="32"/>
          <w:szCs w:val="32"/>
        </w:rPr>
        <w:t>估价师声明</w:t>
      </w:r>
    </w:p>
    <w:p>
      <w:pPr>
        <w:pStyle w:val="Normal"/>
        <w:numPr>
          <w:ilvl w:val="0"/>
          <w:numId w:val="0"/>
        </w:numPr>
        <w:spacing w:lineRule="auto" w:line="480"/>
        <w:jc w:val="both"/>
        <w:outlineLvl w:val="0"/>
        <w:rPr/>
      </w:pPr>
      <w:r>
        <w:rPr>
          <w:rFonts w:ascii="Arial" w:hAnsi="Arial" w:cs="Arial"/>
          <w:kern w:val="2"/>
          <w:sz w:val="21"/>
          <w:szCs w:val="21"/>
        </w:rPr>
        <w:t>注册房地产估价师郑重声明：</w:t>
      </w:r>
    </w:p>
    <w:p>
      <w:pPr>
        <w:pStyle w:val="Normal"/>
        <w:numPr>
          <w:ilvl w:val="0"/>
          <w:numId w:val="0"/>
        </w:numPr>
        <w:spacing w:lineRule="auto" w:line="480"/>
        <w:jc w:val="both"/>
        <w:outlineLvl w:val="0"/>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pPr>
        <w:pStyle w:val="Normal"/>
        <w:numPr>
          <w:ilvl w:val="0"/>
          <w:numId w:val="0"/>
        </w:numPr>
        <w:spacing w:lineRule="auto" w:line="480"/>
        <w:jc w:val="both"/>
        <w:outlineLvl w:val="0"/>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pPr>
        <w:pStyle w:val="Normal"/>
        <w:numPr>
          <w:ilvl w:val="0"/>
          <w:numId w:val="0"/>
        </w:numPr>
        <w:spacing w:lineRule="auto" w:line="480"/>
        <w:jc w:val="both"/>
        <w:outlineLvl w:val="0"/>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pPr>
        <w:pStyle w:val="Normal"/>
        <w:numPr>
          <w:ilvl w:val="0"/>
          <w:numId w:val="0"/>
        </w:numPr>
        <w:spacing w:lineRule="auto" w:line="480"/>
        <w:jc w:val="both"/>
        <w:outlineLvl w:val="0"/>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color w:val="000000"/>
          <w:kern w:val="2"/>
          <w:sz w:val="21"/>
          <w:szCs w:val="21"/>
        </w:rPr>
        <w:t>及</w:t>
      </w:r>
      <w:r>
        <w:rPr>
          <w:rFonts w:ascii="Arial" w:hAnsi="Arial" w:cs="Arial"/>
          <w:color w:val="000000"/>
          <w:kern w:val="2"/>
          <w:sz w:val="21"/>
          <w:szCs w:val="21"/>
        </w:rPr>
        <w:t>《房地产估价基本术语标准》</w:t>
      </w:r>
      <w:r>
        <w:rPr>
          <w:rFonts w:ascii="Arial" w:hAnsi="Arial" w:cs="Arial"/>
          <w:color w:val="000000"/>
          <w:kern w:val="2"/>
          <w:sz w:val="21"/>
          <w:szCs w:val="21"/>
        </w:rPr>
        <w:t>，</w:t>
      </w:r>
      <w:r>
        <w:rPr>
          <w:rFonts w:ascii="Arial" w:hAnsi="Arial" w:cs="Arial"/>
          <w:kern w:val="2"/>
          <w:sz w:val="21"/>
          <w:szCs w:val="21"/>
        </w:rPr>
        <w:t>以及相关房地产估价专项标准进行估价工作，撰写本估价报告。</w:t>
      </w:r>
    </w:p>
    <w:p>
      <w:pPr>
        <w:sectPr>
          <w:headerReference w:type="default" r:id="rId14"/>
          <w:footerReference w:type="default" r:id="rId15"/>
          <w:type w:val="nextPage"/>
          <w:pgSz w:w="11906" w:h="16838"/>
          <w:pgMar w:left="1304" w:right="1304" w:header="1134" w:top="1843" w:footer="907" w:bottom="1134" w:gutter="0"/>
          <w:pgNumType w:fmt="decimal"/>
          <w:formProt w:val="false"/>
          <w:textDirection w:val="lrTb"/>
          <w:docGrid w:type="default" w:linePitch="326" w:charSpace="0"/>
        </w:sectPr>
        <w:pStyle w:val="Normal"/>
        <w:numPr>
          <w:ilvl w:val="0"/>
          <w:numId w:val="0"/>
        </w:numPr>
        <w:spacing w:lineRule="auto" w:line="480"/>
        <w:jc w:val="both"/>
        <w:outlineLvl w:val="0"/>
        <w:rPr>
          <w:rFonts w:ascii="Arial" w:hAnsi="Arial" w:eastAsia="楷体_GB2312;楷体" w:cs="Arial"/>
          <w:kern w:val="2"/>
          <w:sz w:val="28"/>
          <w:szCs w:val="21"/>
        </w:rPr>
      </w:pPr>
      <w:r>
        <w:rPr>
          <w:rFonts w:eastAsia="楷体_GB2312;楷体" w:cs="Arial" w:ascii="Arial" w:hAnsi="Arial"/>
          <w:kern w:val="2"/>
          <w:sz w:val="28"/>
          <w:szCs w:val="21"/>
        </w:rPr>
      </w:r>
    </w:p>
    <w:p>
      <w:pPr>
        <w:pStyle w:val="1"/>
        <w:spacing w:lineRule="auto" w:line="480"/>
        <w:jc w:val="center"/>
        <w:rPr>
          <w:rFonts w:eastAsia="方正黑体简体;微软雅黑"/>
          <w:b w:val="false"/>
          <w:b w:val="false"/>
          <w:kern w:val="2"/>
          <w:sz w:val="32"/>
          <w:szCs w:val="32"/>
        </w:rPr>
      </w:pPr>
      <w:bookmarkStart w:id="1" w:name="__RefHeading___Toc162425548"/>
      <w:bookmarkEnd w:id="1"/>
      <w:r>
        <w:rPr>
          <w:rFonts w:eastAsia="方正黑体简体;微软雅黑"/>
          <w:b w:val="false"/>
          <w:kern w:val="2"/>
          <w:sz w:val="32"/>
          <w:szCs w:val="32"/>
        </w:rPr>
        <w:t>估价假设和限制条件</w:t>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（一）</w:t>
      </w:r>
      <w:r>
        <w:rPr>
          <w:rFonts w:ascii="Arial" w:hAnsi="Arial" w:cs="Arial"/>
          <w:b/>
          <w:kern w:val="2"/>
          <w:sz w:val="21"/>
          <w:szCs w:val="21"/>
        </w:rPr>
        <w:t>本次估价的一般假设</w:t>
      </w:r>
    </w:p>
    <w:p>
      <w:pPr>
        <w:pStyle w:val="Normal"/>
        <w:numPr>
          <w:ilvl w:val="0"/>
          <w:numId w:val="2"/>
        </w:numPr>
        <w:overflowPunct w:val="false"/>
        <w:spacing w:lineRule="auto" w:line="480"/>
        <w:ind w:left="0" w:firstLine="420"/>
        <w:jc w:val="both"/>
        <w:rPr>
          <w:rFonts w:ascii="Arial" w:hAnsi="Arial" w:cs="Arial"/>
          <w:kern w:val="2"/>
          <w:sz w:val="21"/>
          <w:szCs w:val="21"/>
        </w:rPr>
      </w:pPr>
      <w:r>
        <w:rPr>
          <w:rFonts w:ascii="Arial" w:hAnsi="Arial" w:cs="Arial"/>
          <w:kern w:val="2"/>
          <w:sz w:val="21"/>
          <w:szCs w:val="21"/>
        </w:rPr>
        <w:t>在价值时点的房地产市场为公开、平等、自愿的交易市场。</w:t>
      </w:r>
    </w:p>
    <w:p>
      <w:pPr>
        <w:pStyle w:val="Normal"/>
        <w:numPr>
          <w:ilvl w:val="0"/>
          <w:numId w:val="2"/>
        </w:numPr>
        <w:overflowPunct w:val="false"/>
        <w:spacing w:lineRule="auto" w:line="480"/>
        <w:ind w:left="0" w:firstLine="420"/>
        <w:jc w:val="both"/>
        <w:rPr>
          <w:rFonts w:ascii="Arial" w:hAnsi="Arial" w:cs="Arial"/>
          <w:kern w:val="2"/>
          <w:sz w:val="21"/>
          <w:szCs w:val="21"/>
        </w:rPr>
      </w:pPr>
      <w:r>
        <w:rPr>
          <w:rFonts w:ascii="Arial" w:hAnsi="Arial" w:cs="Arial"/>
          <w:kern w:val="2"/>
          <w:sz w:val="21"/>
          <w:szCs w:val="21"/>
        </w:rPr>
        <w:t>本估价报告的估价结果是为正常条件下的公开市场价值，</w:t>
      </w:r>
      <w:r>
        <w:rPr>
          <w:rFonts w:ascii="Arial" w:hAnsi="Arial" w:cs="Arial"/>
          <w:kern w:val="2"/>
          <w:sz w:val="21"/>
          <w:szCs w:val="21"/>
        </w:rPr>
        <w:t>房地产交易需要买卖双方在了解足够的市场信息，拥有足够的谈判时间，经过谨慎的考虑和对房地产市场进行合理预期，并具体考虑买卖双方的偏好等条件下方能实现。对于房地产市场的波动及快速变现等特殊交易因素可能导致房地产价格有较大幅度的变化，本估价报告未考虑这种变化对估价对象价值产生的影响</w:t>
      </w:r>
      <w:r>
        <w:rPr>
          <w:rFonts w:ascii="Arial" w:hAnsi="Arial" w:cs="Arial"/>
          <w:kern w:val="2"/>
          <w:sz w:val="21"/>
          <w:szCs w:val="21"/>
        </w:rPr>
        <w:t>。</w:t>
      </w:r>
    </w:p>
    <w:p>
      <w:pPr>
        <w:pStyle w:val="Normal"/>
        <w:numPr>
          <w:ilvl w:val="0"/>
          <w:numId w:val="2"/>
        </w:numPr>
        <w:overflowPunct w:val="false"/>
        <w:spacing w:lineRule="auto" w:line="480"/>
        <w:ind w:left="0" w:firstLine="420"/>
        <w:jc w:val="both"/>
        <w:rPr>
          <w:rFonts w:ascii="Arial" w:hAnsi="Arial" w:cs="Arial"/>
          <w:kern w:val="2"/>
          <w:sz w:val="21"/>
          <w:szCs w:val="21"/>
        </w:rPr>
      </w:pPr>
      <w:r>
        <w:rPr>
          <w:rFonts w:ascii="Arial" w:hAnsi="Arial" w:cs="Arial"/>
          <w:kern w:val="2"/>
          <w:sz w:val="21"/>
          <w:szCs w:val="21"/>
        </w:rPr>
        <w:t>估价对象的出让国有建设用地使用权和建筑物所有权均为合法方式取得，并支付相关税费，估价对象能够正常上市交易。</w:t>
      </w:r>
    </w:p>
    <w:p>
      <w:pPr>
        <w:pStyle w:val="Normal"/>
        <w:numPr>
          <w:ilvl w:val="0"/>
          <w:numId w:val="2"/>
        </w:numPr>
        <w:overflowPunct w:val="false"/>
        <w:spacing w:lineRule="auto" w:line="480"/>
        <w:ind w:left="0" w:firstLine="420"/>
        <w:jc w:val="both"/>
        <w:rPr>
          <w:rFonts w:ascii="Arial" w:hAnsi="Arial" w:cs="Arial"/>
          <w:kern w:val="2"/>
          <w:sz w:val="21"/>
          <w:szCs w:val="21"/>
        </w:rPr>
      </w:pPr>
      <w:r>
        <w:rPr>
          <w:rFonts w:ascii="Arial" w:hAnsi="Arial" w:cs="Arial"/>
          <w:kern w:val="2"/>
          <w:sz w:val="21"/>
          <w:szCs w:val="21"/>
        </w:rPr>
        <w:t>评估专业人员已对估价委托人所提供的、本估价报告所依据的估价对象的权属以及其他相关资料进行了检查</w:t>
      </w:r>
      <w:r>
        <w:rPr>
          <w:rFonts w:ascii="Arial" w:hAnsi="Arial" w:cs="Arial"/>
          <w:kern w:val="2"/>
          <w:sz w:val="21"/>
          <w:szCs w:val="21"/>
        </w:rPr>
        <w:t>，</w:t>
      </w:r>
      <w:r>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pPr>
        <w:pStyle w:val="Normal"/>
        <w:numPr>
          <w:ilvl w:val="0"/>
          <w:numId w:val="2"/>
        </w:numPr>
        <w:overflowPunct w:val="false"/>
        <w:spacing w:lineRule="auto" w:line="480"/>
        <w:ind w:left="0" w:firstLine="420"/>
        <w:jc w:val="both"/>
        <w:rPr/>
      </w:pPr>
      <w:r>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pPr>
        <w:pStyle w:val="Normal"/>
        <w:numPr>
          <w:ilvl w:val="0"/>
          <w:numId w:val="2"/>
        </w:numPr>
        <w:overflowPunct w:val="false"/>
        <w:spacing w:lineRule="auto" w:line="480"/>
        <w:ind w:left="0" w:firstLine="420"/>
        <w:jc w:val="both"/>
        <w:rPr>
          <w:rFonts w:ascii="Arial" w:hAnsi="Arial" w:cs="Arial"/>
          <w:kern w:val="2"/>
          <w:sz w:val="21"/>
          <w:szCs w:val="21"/>
        </w:rPr>
      </w:pPr>
      <w:r>
        <w:rPr>
          <w:rFonts w:ascii="Arial" w:hAnsi="Arial" w:cs="Arial"/>
          <w:kern w:val="2"/>
          <w:sz w:val="21"/>
          <w:szCs w:val="21"/>
        </w:rPr>
        <w:t>任何有关估价对象的运作方式、程序符合国家、地方的有关法律、法规。</w:t>
      </w:r>
    </w:p>
    <w:p>
      <w:pPr>
        <w:pStyle w:val="Normal"/>
        <w:numPr>
          <w:ilvl w:val="0"/>
          <w:numId w:val="2"/>
        </w:numPr>
        <w:overflowPunct w:val="false"/>
        <w:spacing w:lineRule="auto" w:line="480"/>
        <w:ind w:left="0" w:firstLine="420"/>
        <w:jc w:val="both"/>
        <w:rPr>
          <w:rFonts w:ascii="Arial" w:hAnsi="Arial" w:cs="Arial"/>
          <w:color w:val="000000"/>
          <w:kern w:val="2"/>
          <w:sz w:val="21"/>
          <w:szCs w:val="21"/>
        </w:rPr>
      </w:pPr>
      <w:r>
        <w:rPr>
          <w:rFonts w:ascii="Arial" w:hAnsi="Arial" w:cs="Arial"/>
          <w:color w:val="000000"/>
          <w:kern w:val="2"/>
          <w:sz w:val="21"/>
          <w:szCs w:val="21"/>
        </w:rPr>
        <w:t>本次估价结果未考虑国家宏观政策发生重大变化以及遇有自然力和其他不可抗力对估价结果的影响。</w:t>
      </w:r>
    </w:p>
    <w:p>
      <w:pPr>
        <w:pStyle w:val="Normal"/>
        <w:numPr>
          <w:ilvl w:val="0"/>
          <w:numId w:val="2"/>
        </w:numPr>
        <w:overflowPunct w:val="false"/>
        <w:spacing w:lineRule="auto" w:line="480"/>
        <w:ind w:left="0" w:firstLine="420"/>
        <w:jc w:val="both"/>
        <w:rPr>
          <w:rFonts w:ascii="Arial" w:hAnsi="Arial" w:cs="Arial"/>
          <w:kern w:val="2"/>
          <w:sz w:val="21"/>
          <w:szCs w:val="21"/>
        </w:rPr>
      </w:pPr>
      <w:r>
        <w:rPr>
          <w:rFonts w:ascii="Arial" w:hAnsi="Arial" w:cs="Arial"/>
          <w:kern w:val="2"/>
          <w:sz w:val="21"/>
          <w:szCs w:val="21"/>
        </w:rPr>
        <w:t>估价结果未考虑估价对象及其运营企业已承担的债务、或有债务及经营决策失误或市场运作失当对其价值的影响。</w:t>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w:t>
      </w:r>
      <w:r>
        <w:rPr>
          <w:rFonts w:ascii="Arial" w:hAnsi="Arial" w:cs="Arial"/>
          <w:b/>
          <w:kern w:val="2"/>
          <w:sz w:val="21"/>
          <w:szCs w:val="21"/>
        </w:rPr>
        <w:t>二</w:t>
      </w:r>
      <w:r>
        <w:rPr>
          <w:rFonts w:ascii="Arial" w:hAnsi="Arial" w:cs="Arial"/>
          <w:b/>
          <w:kern w:val="2"/>
          <w:sz w:val="21"/>
          <w:szCs w:val="21"/>
        </w:rPr>
        <w:t>）</w:t>
      </w:r>
      <w:r>
        <w:rPr>
          <w:rFonts w:ascii="Arial" w:hAnsi="Arial" w:cs="Arial"/>
          <w:b/>
          <w:kern w:val="2"/>
          <w:sz w:val="21"/>
          <w:szCs w:val="21"/>
        </w:rPr>
        <w:t>特殊事项假设前提</w:t>
      </w:r>
    </w:p>
    <w:p>
      <w:pPr>
        <w:pStyle w:val="Normal"/>
        <w:overflowPunct w:val="false"/>
        <w:spacing w:lineRule="auto" w:line="480"/>
        <w:ind w:firstLine="420"/>
        <w:jc w:val="both"/>
        <w:textAlignment w:val="auto"/>
        <w:rPr>
          <w:rFonts w:ascii="Arial" w:hAnsi="Arial" w:cs="Arial"/>
          <w:kern w:val="2"/>
          <w:sz w:val="21"/>
        </w:rPr>
      </w:pPr>
      <w:r>
        <w:rPr>
          <w:rFonts w:cs="Arial" w:ascii="Arial" w:hAnsi="Arial"/>
          <w:kern w:val="2"/>
          <w:sz w:val="21"/>
        </w:rPr>
        <w:t>1.</w:t>
      </w:r>
      <w:r>
        <w:rPr>
          <w:rFonts w:ascii="Arial" w:hAnsi="Arial" w:cs="Arial"/>
          <w:kern w:val="2"/>
          <w:sz w:val="21"/>
        </w:rPr>
        <w:t>未定事项假设</w:t>
      </w:r>
    </w:p>
    <w:p>
      <w:pPr>
        <w:pStyle w:val="Normal"/>
        <w:overflowPunct w:val="false"/>
        <w:spacing w:lineRule="auto" w:line="480"/>
        <w:ind w:firstLine="420"/>
        <w:jc w:val="both"/>
        <w:textAlignment w:val="auto"/>
        <w:rPr>
          <w:rFonts w:ascii="Arial" w:hAnsi="Arial" w:cs="Arial"/>
          <w:kern w:val="2"/>
          <w:sz w:val="21"/>
        </w:rPr>
      </w:pPr>
      <w:r>
        <w:rPr>
          <w:rFonts w:ascii="Arial" w:hAnsi="Arial" w:cs="Arial"/>
          <w:kern w:val="2"/>
          <w:sz w:val="21"/>
        </w:rPr>
        <w:t>无</w:t>
      </w:r>
    </w:p>
    <w:p>
      <w:pPr>
        <w:pStyle w:val="Normal"/>
        <w:overflowPunct w:val="false"/>
        <w:spacing w:lineRule="auto" w:line="480"/>
        <w:ind w:firstLine="420"/>
        <w:jc w:val="both"/>
        <w:textAlignment w:val="auto"/>
        <w:rPr>
          <w:rFonts w:ascii="Arial" w:hAnsi="Arial" w:cs="Arial"/>
          <w:kern w:val="2"/>
          <w:sz w:val="21"/>
        </w:rPr>
      </w:pPr>
      <w:r>
        <w:rPr>
          <w:rFonts w:cs="Arial" w:ascii="Arial" w:hAnsi="Arial"/>
          <w:kern w:val="2"/>
          <w:sz w:val="21"/>
        </w:rPr>
        <w:t>2.</w:t>
      </w:r>
      <w:r>
        <w:rPr>
          <w:rFonts w:ascii="Arial" w:hAnsi="Arial" w:cs="Arial"/>
          <w:kern w:val="2"/>
          <w:sz w:val="21"/>
        </w:rPr>
        <w:t>背离事实假设</w:t>
      </w:r>
    </w:p>
    <w:p>
      <w:pPr>
        <w:pStyle w:val="Normal"/>
        <w:overflowPunct w:val="false"/>
        <w:spacing w:lineRule="auto" w:line="480"/>
        <w:ind w:firstLine="420"/>
        <w:jc w:val="both"/>
        <w:textAlignment w:val="auto"/>
        <w:rPr>
          <w:rFonts w:ascii="Arial" w:hAnsi="Arial" w:cs="Arial"/>
          <w:kern w:val="2"/>
          <w:sz w:val="21"/>
        </w:rPr>
      </w:pPr>
      <w:r>
        <w:rPr>
          <w:rFonts w:ascii="Arial" w:hAnsi="Arial" w:cs="Arial"/>
          <w:kern w:val="2"/>
          <w:sz w:val="21"/>
        </w:rPr>
        <w:t>无</w:t>
      </w:r>
    </w:p>
    <w:p>
      <w:pPr>
        <w:pStyle w:val="Normal"/>
        <w:overflowPunct w:val="false"/>
        <w:spacing w:lineRule="auto" w:line="480"/>
        <w:ind w:firstLine="420"/>
        <w:jc w:val="both"/>
        <w:textAlignment w:val="auto"/>
        <w:rPr/>
      </w:pPr>
      <w:r>
        <w:rPr>
          <w:rFonts w:cs="Arial" w:ascii="Arial" w:hAnsi="Arial"/>
          <w:color w:val="000000"/>
          <w:kern w:val="2"/>
          <w:sz w:val="21"/>
        </w:rPr>
        <w:t>3.</w:t>
      </w:r>
      <w:r>
        <w:rPr>
          <w:rFonts w:ascii="Arial" w:hAnsi="Arial" w:cs="Arial"/>
          <w:color w:val="000000"/>
          <w:kern w:val="2"/>
          <w:sz w:val="21"/>
        </w:rPr>
        <w:t>不相一致假设</w:t>
      </w:r>
      <w:commentRangeStart w:id="4"/>
      <w:r>
        <w:rPr>
          <w:rFonts w:ascii="Arial" w:hAnsi="Arial" w:cs="Arial"/>
          <w:b/>
          <w:color w:val="548DD4"/>
          <w:kern w:val="2"/>
          <w:sz w:val="21"/>
        </w:rPr>
        <w:t>（</w:t>
      </w:r>
      <w:commentRangeEnd w:id="4"/>
      <w:r>
        <w:commentReference w:id="4"/>
      </w:r>
      <w:r>
        <w:rPr>
          <w:rFonts w:ascii="Arial" w:hAnsi="Arial" w:cs="Arial"/>
          <w:b/>
          <w:color w:val="000000"/>
          <w:kern w:val="2"/>
          <w:sz w:val="21"/>
        </w:rPr>
      </w:r>
    </w:p>
    <w:p>
      <w:pPr>
        <w:pStyle w:val="Normal"/>
        <w:overflowPunct w:val="false"/>
        <w:spacing w:lineRule="auto" w:line="480"/>
        <w:ind w:firstLine="420"/>
        <w:jc w:val="both"/>
        <w:textAlignment w:val="auto"/>
        <w:rPr>
          <w:rFonts w:ascii="Arial" w:hAnsi="Arial" w:cs="Arial"/>
          <w:kern w:val="2"/>
          <w:sz w:val="21"/>
        </w:rPr>
      </w:pPr>
      <w:r>
        <w:rPr>
          <w:rFonts w:ascii="Arial" w:hAnsi="Arial" w:cs="Arial"/>
          <w:kern w:val="2"/>
          <w:sz w:val="21"/>
        </w:rPr>
        <w:t>无</w:t>
      </w:r>
    </w:p>
    <w:p>
      <w:pPr>
        <w:pStyle w:val="Normal"/>
        <w:overflowPunct w:val="false"/>
        <w:spacing w:lineRule="auto" w:line="480"/>
        <w:ind w:firstLine="420"/>
        <w:jc w:val="both"/>
        <w:textAlignment w:val="auto"/>
        <w:rPr>
          <w:rFonts w:ascii="Arial" w:hAnsi="Arial" w:cs="Arial"/>
          <w:kern w:val="2"/>
          <w:sz w:val="21"/>
        </w:rPr>
      </w:pPr>
      <w:r>
        <w:rPr>
          <w:rFonts w:cs="Arial" w:ascii="Arial" w:hAnsi="Arial"/>
          <w:kern w:val="2"/>
          <w:sz w:val="21"/>
        </w:rPr>
        <w:t>4.</w:t>
      </w:r>
      <w:r>
        <w:rPr>
          <w:rFonts w:ascii="Arial" w:hAnsi="Arial" w:cs="Arial"/>
          <w:kern w:val="2"/>
          <w:sz w:val="21"/>
        </w:rPr>
        <w:t>依据不足假设</w:t>
      </w:r>
    </w:p>
    <w:p>
      <w:pPr>
        <w:pStyle w:val="Normal"/>
        <w:overflowPunct w:val="false"/>
        <w:spacing w:lineRule="auto" w:line="480"/>
        <w:ind w:firstLine="420"/>
        <w:jc w:val="both"/>
        <w:textAlignment w:val="auto"/>
        <w:rPr>
          <w:rFonts w:ascii="Arial" w:hAnsi="Arial" w:cs="Arial"/>
          <w:sz w:val="21"/>
        </w:rPr>
      </w:pPr>
      <w:r>
        <w:rPr>
          <w:rFonts w:ascii="Arial" w:hAnsi="Arial" w:cs="Arial"/>
          <w:sz w:val="21"/>
        </w:rPr>
        <w:t>（</w:t>
      </w:r>
      <w:r>
        <w:rPr>
          <w:rFonts w:cs="Arial" w:ascii="Arial" w:hAnsi="Arial"/>
          <w:sz w:val="21"/>
        </w:rPr>
        <w:t>1</w:t>
      </w:r>
      <w:r>
        <w:rPr>
          <w:rFonts w:ascii="Arial" w:hAnsi="Arial" w:cs="Arial"/>
          <w:sz w:val="21"/>
        </w:rPr>
        <w:t>）</w:t>
      </w:r>
      <w:r>
        <w:rPr>
          <w:rFonts w:ascii="Arial" w:hAnsi="Arial" w:cs="Arial"/>
          <w:sz w:val="21"/>
        </w:rPr>
        <w:t>截至本估价报告出具之日，估价委托人未能提供</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39</w:t>
      </w:r>
      <w:r>
        <w:rPr>
          <w:rFonts w:ascii="Arial" w:hAnsi="Arial" w:cs="Arial"/>
          <w:sz w:val="21"/>
          <w:szCs w:val="21"/>
        </w:rPr>
        <w:t>本</w:t>
      </w:r>
      <w:r>
        <w:rPr>
          <w:rFonts w:ascii="Arial" w:hAnsi="Arial" w:cs="Arial"/>
          <w:sz w:val="21"/>
        </w:rPr>
        <w:t>原件供评估专业人员核对，且评估专业人员进行了尽职调查，难以获取该资料。本次评估以</w:t>
      </w:r>
      <w:r>
        <w:rPr>
          <w:rFonts w:ascii="Arial" w:hAnsi="Arial" w:cs="Arial"/>
          <w:sz w:val="21"/>
        </w:rPr>
        <w:t>不动产权利人</w:t>
      </w:r>
      <w:r>
        <w:rPr>
          <w:rFonts w:ascii="Arial" w:hAnsi="Arial" w:cs="Arial"/>
          <w:sz w:val="21"/>
        </w:rPr>
        <w:t>提供的</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39</w:t>
      </w:r>
      <w:r>
        <w:rPr>
          <w:rFonts w:ascii="Arial" w:hAnsi="Arial" w:cs="Arial"/>
          <w:sz w:val="21"/>
          <w:szCs w:val="21"/>
        </w:rPr>
        <w:t>本</w:t>
      </w:r>
      <w:r>
        <w:rPr>
          <w:rFonts w:ascii="Arial" w:hAnsi="Arial" w:cs="Arial"/>
          <w:sz w:val="21"/>
        </w:rPr>
        <w:t>复印件与原件一致为估价的假设前提。</w:t>
      </w:r>
    </w:p>
    <w:p>
      <w:pPr>
        <w:pStyle w:val="Normal"/>
        <w:overflowPunct w:val="false"/>
        <w:spacing w:lineRule="auto" w:line="480"/>
        <w:ind w:firstLine="420"/>
        <w:jc w:val="both"/>
        <w:textAlignment w:val="auto"/>
        <w:rPr>
          <w:rFonts w:ascii="Arial" w:hAnsi="Arial" w:cs="Arial"/>
          <w:sz w:val="21"/>
        </w:rPr>
      </w:pPr>
      <w:r>
        <w:rPr>
          <w:rFonts w:ascii="Arial" w:hAnsi="Arial" w:cs="Arial"/>
          <w:sz w:val="21"/>
        </w:rPr>
        <w:t>（</w:t>
      </w:r>
      <w:r>
        <w:rPr>
          <w:rFonts w:cs="Arial" w:ascii="Arial" w:hAnsi="Arial"/>
          <w:sz w:val="21"/>
        </w:rPr>
        <w:t>2</w:t>
      </w:r>
      <w:r>
        <w:rPr>
          <w:rFonts w:ascii="Arial" w:hAnsi="Arial" w:cs="Arial"/>
          <w:sz w:val="21"/>
        </w:rPr>
        <w:t>）由于不动产权利人未能提供便利条件，估计对象</w:t>
      </w:r>
      <w:commentRangeStart w:id="5"/>
      <w:r>
        <w:rPr>
          <w:rFonts w:ascii="Arial" w:hAnsi="Arial" w:cs="Arial"/>
          <w:sz w:val="21"/>
        </w:rPr>
        <w:t>部分房屋</w:t>
      </w:r>
      <w:r>
        <w:rPr>
          <w:rFonts w:ascii="Arial" w:hAnsi="Arial" w:cs="Arial"/>
          <w:sz w:val="21"/>
        </w:rPr>
      </w:r>
      <w:commentRangeEnd w:id="5"/>
      <w:r>
        <w:commentReference w:id="5"/>
      </w:r>
      <w:r>
        <w:rPr>
          <w:rFonts w:ascii="Arial" w:hAnsi="Arial" w:cs="Arial"/>
          <w:sz w:val="21"/>
        </w:rPr>
        <w:t>评估专业人员实地查勘时未能进入。本次评估依据估价委托人的介绍，以评估专业人员未进入部位的内部为毛坯、结构部分基本完好为假设前提条件。</w:t>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w:t>
      </w:r>
      <w:r>
        <w:rPr>
          <w:rFonts w:ascii="Arial" w:hAnsi="Arial" w:cs="Arial"/>
          <w:b/>
          <w:kern w:val="2"/>
          <w:sz w:val="21"/>
          <w:szCs w:val="21"/>
        </w:rPr>
        <w:t>三</w:t>
      </w:r>
      <w:r>
        <w:rPr>
          <w:rFonts w:ascii="Arial" w:hAnsi="Arial" w:cs="Arial"/>
          <w:b/>
          <w:kern w:val="2"/>
          <w:sz w:val="21"/>
          <w:szCs w:val="21"/>
        </w:rPr>
        <w:t>）</w:t>
      </w:r>
      <w:r>
        <w:rPr>
          <w:rFonts w:ascii="Arial" w:hAnsi="Arial" w:cs="Arial"/>
          <w:b/>
          <w:kern w:val="2"/>
          <w:sz w:val="21"/>
          <w:szCs w:val="21"/>
        </w:rPr>
        <w:t>估价报告使用限制</w:t>
      </w:r>
    </w:p>
    <w:p>
      <w:pPr>
        <w:pStyle w:val="Normal"/>
        <w:numPr>
          <w:ilvl w:val="0"/>
          <w:numId w:val="5"/>
        </w:numPr>
        <w:spacing w:lineRule="auto" w:line="480"/>
        <w:ind w:left="0" w:firstLine="420"/>
        <w:jc w:val="both"/>
        <w:rPr>
          <w:rFonts w:ascii="Arial" w:hAnsi="Arial" w:cs="Arial"/>
          <w:kern w:val="2"/>
          <w:sz w:val="21"/>
          <w:szCs w:val="21"/>
        </w:rPr>
      </w:pPr>
      <w:r>
        <w:rPr>
          <w:rFonts w:ascii="Arial" w:hAnsi="Arial" w:cs="Arial"/>
          <w:kern w:val="2"/>
          <w:sz w:val="21"/>
          <w:szCs w:val="21"/>
        </w:rPr>
        <w:t>使用范围：本估价报告只能由估价报告载明的报告使用者使用，且只能用于本报告载明的唯一估价目的和用途。</w:t>
      </w:r>
    </w:p>
    <w:p>
      <w:pPr>
        <w:pStyle w:val="Normal"/>
        <w:numPr>
          <w:ilvl w:val="0"/>
          <w:numId w:val="5"/>
        </w:numPr>
        <w:spacing w:lineRule="auto" w:line="480"/>
        <w:ind w:left="0" w:firstLine="420"/>
        <w:jc w:val="both"/>
        <w:rPr/>
      </w:pPr>
      <w:r>
        <w:rPr>
          <w:rFonts w:ascii="Arial" w:hAnsi="Arial" w:cs="Arial"/>
          <w:kern w:val="2"/>
          <w:sz w:val="21"/>
          <w:szCs w:val="21"/>
        </w:rPr>
        <w:t>估价报告使用者：本次估价业务的估价委托人及本次估价业务委托合同所约定的使用者。</w:t>
      </w:r>
    </w:p>
    <w:p>
      <w:pPr>
        <w:pStyle w:val="Normal"/>
        <w:numPr>
          <w:ilvl w:val="0"/>
          <w:numId w:val="5"/>
        </w:numPr>
        <w:spacing w:lineRule="auto" w:line="480"/>
        <w:ind w:left="0" w:firstLine="420"/>
        <w:jc w:val="both"/>
        <w:rPr/>
      </w:pPr>
      <w:r>
        <w:rPr>
          <w:rFonts w:ascii="Arial" w:hAnsi="Arial" w:cs="Arial"/>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估价委托人或者本估价报告使用者应按照法律规定和估价报告载明的使用范围使用本估价报告。估价委托人或者估价报告使用者违反前述规定使用本估价报告的，估价机构和评估专业人员不承担责任。</w:t>
      </w:r>
    </w:p>
    <w:p>
      <w:pPr>
        <w:pStyle w:val="Normal"/>
        <w:numPr>
          <w:ilvl w:val="0"/>
          <w:numId w:val="5"/>
        </w:numPr>
        <w:spacing w:lineRule="auto" w:line="480"/>
        <w:ind w:left="0" w:firstLine="420"/>
        <w:jc w:val="both"/>
        <w:rPr/>
      </w:pPr>
      <w:r>
        <w:rPr>
          <w:rFonts w:ascii="Arial" w:hAnsi="Arial" w:cs="Arial"/>
          <w:kern w:val="2"/>
          <w:sz w:val="21"/>
          <w:szCs w:val="21"/>
        </w:rPr>
        <w:t>除估价委托人、估价委托合同中约定的其他估价报告使用者和法律、行政法规规定的估价报告使用者之外，其他任何机构和个人不能成为估价报告的使用者。</w:t>
      </w:r>
    </w:p>
    <w:p>
      <w:pPr>
        <w:pStyle w:val="Normal"/>
        <w:numPr>
          <w:ilvl w:val="0"/>
          <w:numId w:val="5"/>
        </w:numPr>
        <w:spacing w:lineRule="auto" w:line="480"/>
        <w:ind w:left="0" w:firstLine="420"/>
        <w:jc w:val="both"/>
        <w:rPr>
          <w:rFonts w:ascii="Arial" w:hAnsi="Arial" w:cs="Arial"/>
          <w:kern w:val="2"/>
          <w:sz w:val="21"/>
          <w:szCs w:val="21"/>
        </w:rPr>
      </w:pPr>
      <w:r>
        <w:rPr>
          <w:rFonts w:ascii="Arial" w:hAnsi="Arial" w:cs="Arial"/>
          <w:kern w:val="2"/>
          <w:sz w:val="21"/>
          <w:szCs w:val="21"/>
        </w:rPr>
        <w:t>未经本估价机构书面同意，本估价报告的全部或任何一部分均不得向估价委托人、报告使用者、报告审查部门之外的单位和个人提供，也不得以任何形式公开发表。</w:t>
      </w:r>
    </w:p>
    <w:p>
      <w:pPr>
        <w:pStyle w:val="Normal"/>
        <w:numPr>
          <w:ilvl w:val="0"/>
          <w:numId w:val="5"/>
        </w:numPr>
        <w:spacing w:lineRule="auto" w:line="480"/>
        <w:ind w:left="0" w:firstLine="420"/>
        <w:jc w:val="both"/>
        <w:rPr/>
      </w:pPr>
      <w:r>
        <w:rPr>
          <w:rFonts w:ascii="Arial" w:hAnsi="Arial" w:cs="Arial"/>
          <w:kern w:val="2"/>
          <w:sz w:val="21"/>
          <w:szCs w:val="21"/>
        </w:rPr>
        <w:t>估价报告使用者应当正确理解估价结论。估价结论不等同于估价对象可实现价格，估价结论不应当被认为是对估价对象可实现价格的保证。</w:t>
      </w:r>
    </w:p>
    <w:p>
      <w:pPr>
        <w:pStyle w:val="Normal"/>
        <w:numPr>
          <w:ilvl w:val="0"/>
          <w:numId w:val="5"/>
        </w:numPr>
        <w:spacing w:lineRule="auto" w:line="480"/>
        <w:ind w:left="0" w:firstLine="420"/>
        <w:jc w:val="both"/>
        <w:rPr>
          <w:rFonts w:ascii="Arial" w:hAnsi="Arial" w:cs="Arial"/>
          <w:kern w:val="2"/>
          <w:sz w:val="21"/>
          <w:szCs w:val="21"/>
        </w:rPr>
      </w:pP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估价目的是为</w:t>
      </w:r>
      <w:r>
        <w:rPr>
          <w:rFonts w:ascii="Arial" w:hAnsi="Arial" w:cs="Arial"/>
          <w:sz w:val="21"/>
          <w:szCs w:val="21"/>
        </w:rPr>
        <w:t>估价委托人</w:t>
      </w:r>
      <w:r>
        <w:rPr>
          <w:rFonts w:ascii="Arial" w:hAnsi="Arial" w:cs="Arial"/>
          <w:sz w:val="21"/>
          <w:szCs w:val="21"/>
        </w:rPr>
        <w:t>因处置资产需要了解估价对象房地产</w:t>
      </w:r>
      <w:r>
        <w:rPr>
          <w:rFonts w:ascii="Arial" w:hAnsi="Arial" w:cs="Arial"/>
          <w:sz w:val="21"/>
          <w:szCs w:val="21"/>
        </w:rPr>
        <w:t>快速变现价值提供参考依据</w:t>
      </w:r>
      <w:r>
        <w:rPr>
          <w:rFonts w:ascii="Arial" w:hAnsi="Arial" w:cs="Arial"/>
          <w:kern w:val="2"/>
          <w:sz w:val="21"/>
          <w:szCs w:val="21"/>
        </w:rPr>
        <w:t>，不做其他评估目的之用。如果估价对象的评估条件或目的发生变化，需重新进行评估。</w:t>
      </w:r>
    </w:p>
    <w:p>
      <w:pPr>
        <w:pStyle w:val="Normal"/>
        <w:numPr>
          <w:ilvl w:val="0"/>
          <w:numId w:val="5"/>
        </w:numPr>
        <w:spacing w:lineRule="auto" w:line="480"/>
        <w:ind w:left="0" w:firstLine="420"/>
        <w:jc w:val="both"/>
        <w:rPr>
          <w:rFonts w:ascii="Arial" w:hAnsi="Arial" w:cs="Arial"/>
          <w:sz w:val="21"/>
          <w:szCs w:val="21"/>
        </w:rPr>
      </w:pPr>
      <w:r>
        <w:rPr>
          <w:rFonts w:ascii="Arial" w:hAnsi="Arial" w:cs="Arial"/>
          <w:kern w:val="2"/>
          <w:sz w:val="21"/>
          <w:szCs w:val="21"/>
        </w:rPr>
        <w:t>本</w:t>
      </w:r>
      <w:r>
        <w:rPr>
          <w:rFonts w:ascii="Arial" w:hAnsi="Arial" w:cs="Arial"/>
          <w:kern w:val="2"/>
          <w:sz w:val="21"/>
          <w:szCs w:val="21"/>
        </w:rPr>
        <w:t>估价</w:t>
      </w:r>
      <w:r>
        <w:rPr>
          <w:rFonts w:ascii="Arial" w:hAnsi="Arial" w:cs="Arial"/>
          <w:kern w:val="2"/>
          <w:sz w:val="21"/>
          <w:szCs w:val="21"/>
        </w:rPr>
        <w:t>报告估价结果为价值时点下估价对象</w:t>
      </w:r>
      <w:r>
        <w:rPr>
          <w:rFonts w:ascii="Arial" w:hAnsi="Arial" w:cs="Arial"/>
          <w:kern w:val="2"/>
          <w:sz w:val="21"/>
          <w:szCs w:val="21"/>
        </w:rPr>
        <w:t>于本估价报告所列设定条件及假设前提下的</w:t>
      </w:r>
      <w:r>
        <w:rPr>
          <w:rFonts w:ascii="Arial" w:hAnsi="Arial" w:cs="Arial"/>
          <w:kern w:val="2"/>
          <w:sz w:val="21"/>
          <w:szCs w:val="21"/>
        </w:rPr>
        <w:t>价值，如设定条件发生变化，估价结果需要做相应的调整直至重新评估</w:t>
      </w:r>
      <w:r>
        <w:rPr>
          <w:rFonts w:ascii="Arial" w:hAnsi="Arial" w:cs="Arial"/>
          <w:sz w:val="21"/>
          <w:szCs w:val="21"/>
        </w:rPr>
        <w:t>。</w:t>
      </w:r>
    </w:p>
    <w:p>
      <w:pPr>
        <w:pStyle w:val="Normal"/>
        <w:numPr>
          <w:ilvl w:val="0"/>
          <w:numId w:val="5"/>
        </w:numPr>
        <w:spacing w:lineRule="auto" w:line="480"/>
        <w:ind w:left="0" w:firstLine="420"/>
        <w:jc w:val="both"/>
        <w:rPr>
          <w:rFonts w:ascii="Arial" w:hAnsi="Arial" w:cs="Arial"/>
          <w:kern w:val="2"/>
          <w:sz w:val="21"/>
          <w:szCs w:val="21"/>
        </w:rPr>
      </w:pPr>
      <w:r>
        <w:rPr>
          <w:rFonts w:ascii="Arial" w:hAnsi="Arial" w:cs="Arial"/>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。如因资料失实或资料提供人有所隐匿而导致估价结果失真，估价机构不承担相应的责任。</w:t>
      </w:r>
    </w:p>
    <w:p>
      <w:pPr>
        <w:pStyle w:val="Normal"/>
        <w:numPr>
          <w:ilvl w:val="0"/>
          <w:numId w:val="5"/>
        </w:numPr>
        <w:spacing w:lineRule="auto" w:line="480"/>
        <w:ind w:left="0" w:firstLine="420"/>
        <w:jc w:val="both"/>
        <w:rPr/>
      </w:pPr>
      <w:r>
        <w:rPr>
          <w:rFonts w:ascii="Arial" w:hAnsi="Arial" w:cs="Arial"/>
          <w:sz w:val="21"/>
          <w:szCs w:val="21"/>
        </w:rPr>
        <w:t>本估价报告中数据全部采用电算化连续计算得出，由于在报告中计算的数据均按四舍五入取整或保留小数</w:t>
      </w:r>
      <w:r>
        <w:rPr>
          <w:rFonts w:ascii="Arial" w:hAnsi="Arial" w:cs="Arial"/>
          <w:sz w:val="21"/>
          <w:szCs w:val="21"/>
        </w:rPr>
        <w:t>位</w:t>
      </w:r>
      <w:r>
        <w:rPr>
          <w:rFonts w:ascii="Arial" w:hAnsi="Arial" w:cs="Arial"/>
          <w:sz w:val="21"/>
          <w:szCs w:val="21"/>
        </w:rPr>
        <w:t>，故可能出现个别等式左右不完全相等的情况，但不影响计算结果及最终评估结论的准确性。</w:t>
      </w:r>
    </w:p>
    <w:p>
      <w:pPr>
        <w:pStyle w:val="Normal"/>
        <w:numPr>
          <w:ilvl w:val="0"/>
          <w:numId w:val="5"/>
        </w:numPr>
        <w:spacing w:lineRule="auto" w:line="480"/>
        <w:ind w:left="0" w:firstLine="420"/>
        <w:jc w:val="both"/>
        <w:rPr/>
      </w:pPr>
      <w:r>
        <w:rPr>
          <w:rFonts w:ascii="Arial" w:hAnsi="Arial" w:cs="Arial"/>
          <w:sz w:val="21"/>
          <w:szCs w:val="21"/>
        </w:rPr>
        <w:t>本估价报告在估价机构盖章和注册房地产估价师签字或签章的条件下有效。</w:t>
      </w:r>
    </w:p>
    <w:p>
      <w:pPr>
        <w:pStyle w:val="Normal"/>
        <w:numPr>
          <w:ilvl w:val="0"/>
          <w:numId w:val="5"/>
        </w:numPr>
        <w:spacing w:lineRule="auto" w:line="480"/>
        <w:ind w:left="0" w:firstLine="420"/>
        <w:jc w:val="both"/>
        <w:rPr>
          <w:rFonts w:ascii="Arial" w:hAnsi="Arial" w:cs="Arial"/>
          <w:kern w:val="2"/>
          <w:sz w:val="21"/>
          <w:szCs w:val="21"/>
        </w:rPr>
      </w:pPr>
      <w:r>
        <w:rPr>
          <w:rFonts w:ascii="Arial" w:hAnsi="Arial" w:cs="Arial"/>
          <w:kern w:val="2"/>
          <w:sz w:val="21"/>
          <w:szCs w:val="21"/>
        </w:rPr>
        <w:t>本估价报告</w:t>
      </w:r>
      <w:r>
        <w:rPr>
          <w:rFonts w:ascii="Arial" w:hAnsi="Arial" w:cs="Arial"/>
          <w:kern w:val="2"/>
          <w:sz w:val="21"/>
          <w:szCs w:val="21"/>
        </w:rPr>
        <w:t>使用期限</w:t>
      </w:r>
      <w:r>
        <w:rPr>
          <w:rFonts w:ascii="Arial" w:hAnsi="Arial" w:cs="Arial"/>
          <w:kern w:val="2"/>
          <w:sz w:val="21"/>
          <w:szCs w:val="21"/>
        </w:rPr>
        <w:t>自</w:t>
      </w:r>
      <w:r>
        <w:rPr>
          <w:rFonts w:cs="Arial" w:ascii="Arial" w:hAnsi="Arial"/>
          <w:kern w:val="2"/>
          <w:sz w:val="21"/>
          <w:szCs w:val="21"/>
        </w:rPr>
        <w:t>2024</w:t>
      </w:r>
      <w:r>
        <w:rPr>
          <w:rFonts w:ascii="Arial" w:hAnsi="Arial" w:cs="Arial"/>
          <w:kern w:val="2"/>
          <w:sz w:val="21"/>
          <w:szCs w:val="21"/>
        </w:rPr>
        <w:t>年</w:t>
      </w:r>
      <w:r>
        <w:rPr>
          <w:rFonts w:cs="Arial" w:ascii="Arial" w:hAnsi="Arial"/>
          <w:kern w:val="2"/>
          <w:sz w:val="21"/>
          <w:szCs w:val="21"/>
        </w:rPr>
        <w:t>7</w:t>
      </w:r>
      <w:r>
        <w:rPr>
          <w:rFonts w:ascii="Arial" w:hAnsi="Arial" w:cs="Arial"/>
          <w:kern w:val="2"/>
          <w:sz w:val="21"/>
          <w:szCs w:val="21"/>
        </w:rPr>
        <w:t>月</w:t>
      </w:r>
      <w:r>
        <w:rPr>
          <w:rFonts w:cs="Arial" w:ascii="Arial" w:hAnsi="Arial"/>
          <w:kern w:val="2"/>
          <w:sz w:val="21"/>
          <w:szCs w:val="21"/>
        </w:rPr>
        <w:t>25</w:t>
      </w:r>
      <w:r>
        <w:rPr>
          <w:rFonts w:ascii="Arial" w:hAnsi="Arial" w:cs="Arial"/>
          <w:kern w:val="2"/>
          <w:sz w:val="21"/>
          <w:szCs w:val="21"/>
        </w:rPr>
        <w:t>日</w:t>
      </w:r>
      <w:r>
        <w:rPr>
          <w:rFonts w:ascii="Arial" w:hAnsi="Arial" w:cs="Arial"/>
          <w:kern w:val="2"/>
          <w:sz w:val="21"/>
          <w:szCs w:val="21"/>
        </w:rPr>
        <w:t>起</w:t>
      </w:r>
      <w:r>
        <w:rPr>
          <w:rFonts w:ascii="Arial" w:hAnsi="Arial" w:cs="Arial"/>
          <w:kern w:val="2"/>
          <w:sz w:val="21"/>
          <w:szCs w:val="21"/>
        </w:rPr>
        <w:t>计算壹年。</w:t>
      </w:r>
    </w:p>
    <w:p>
      <w:pPr>
        <w:sectPr>
          <w:headerReference w:type="default" r:id="rId16"/>
          <w:footerReference w:type="default" r:id="rId17"/>
          <w:type w:val="nextPage"/>
          <w:pgSz w:w="11906" w:h="16838"/>
          <w:pgMar w:left="1304" w:right="1304" w:header="1134" w:top="1843" w:footer="907" w:bottom="1134" w:gutter="0"/>
          <w:pgNumType w:fmt="decimal"/>
          <w:formProt w:val="false"/>
          <w:textDirection w:val="lrTb"/>
          <w:docGrid w:type="default" w:linePitch="326" w:charSpace="0"/>
        </w:sectPr>
        <w:pStyle w:val="Normal"/>
        <w:numPr>
          <w:ilvl w:val="0"/>
          <w:numId w:val="5"/>
        </w:numPr>
        <w:spacing w:lineRule="auto" w:line="480"/>
        <w:ind w:left="0" w:firstLine="420"/>
        <w:jc w:val="both"/>
        <w:rPr>
          <w:rFonts w:ascii="Arial" w:hAnsi="Arial" w:cs="Arial"/>
          <w:sz w:val="21"/>
          <w:szCs w:val="21"/>
        </w:rPr>
      </w:pPr>
      <w:r>
        <w:rPr>
          <w:rFonts w:ascii="Arial" w:hAnsi="Arial" w:cs="Arial"/>
          <w:kern w:val="2"/>
          <w:sz w:val="21"/>
          <w:szCs w:val="21"/>
        </w:rPr>
        <w:t>本估价报告由北京康正宏基房地产评估有限公司负责解释</w:t>
      </w:r>
      <w:r>
        <w:rPr>
          <w:rFonts w:ascii="Arial" w:hAnsi="Arial" w:cs="Arial"/>
          <w:kern w:val="2"/>
          <w:sz w:val="21"/>
          <w:szCs w:val="21"/>
        </w:rPr>
        <w:t>。</w:t>
      </w:r>
    </w:p>
    <w:p>
      <w:pPr>
        <w:pStyle w:val="1"/>
        <w:spacing w:lineRule="auto" w:line="480"/>
        <w:jc w:val="center"/>
        <w:rPr>
          <w:rFonts w:eastAsia="方正黑体简体;微软雅黑"/>
          <w:b w:val="false"/>
          <w:b w:val="false"/>
          <w:kern w:val="2"/>
          <w:sz w:val="32"/>
          <w:szCs w:val="32"/>
        </w:rPr>
      </w:pPr>
      <w:bookmarkStart w:id="2" w:name="__RefHeading___Toc162425549"/>
      <w:bookmarkEnd w:id="2"/>
      <w:r>
        <w:rPr>
          <w:rFonts w:eastAsia="方正黑体简体;微软雅黑"/>
          <w:b w:val="false"/>
          <w:kern w:val="2"/>
          <w:sz w:val="32"/>
          <w:szCs w:val="32"/>
        </w:rPr>
        <w:t>估价结果报告</w:t>
      </w:r>
    </w:p>
    <w:p>
      <w:pPr>
        <w:pStyle w:val="2"/>
        <w:numPr>
          <w:ilvl w:val="0"/>
          <w:numId w:val="0"/>
        </w:numPr>
        <w:overflowPunct w:val="false"/>
        <w:spacing w:lineRule="auto" w:line="480"/>
        <w:ind w:left="357" w:hanging="357"/>
        <w:jc w:val="both"/>
        <w:textAlignment w:val="auto"/>
        <w:rPr>
          <w:rFonts w:eastAsia="宋体;SimSun"/>
          <w:b w:val="false"/>
          <w:b w:val="false"/>
          <w:kern w:val="2"/>
          <w:sz w:val="21"/>
          <w:szCs w:val="21"/>
        </w:rPr>
      </w:pPr>
      <w:bookmarkStart w:id="3" w:name="__RefHeading___Toc162425550"/>
      <w:bookmarkEnd w:id="3"/>
      <w:r>
        <w:rPr>
          <w:rFonts w:eastAsia="宋体;SimSun"/>
          <w:kern w:val="2"/>
          <w:sz w:val="21"/>
          <w:szCs w:val="21"/>
        </w:rPr>
        <w:t>一、估价委托人</w:t>
      </w:r>
    </w:p>
    <w:p>
      <w:pPr>
        <w:pStyle w:val="Normal"/>
        <w:overflowPunct w:val="false"/>
        <w:spacing w:lineRule="auto" w:line="480"/>
        <w:ind w:firstLine="420"/>
        <w:jc w:val="both"/>
        <w:textAlignment w:val="auto"/>
        <w:rPr/>
      </w:pPr>
      <w:r>
        <w:rPr>
          <w:rFonts w:ascii="Arial" w:hAnsi="Arial" w:cs="Arial"/>
          <w:sz w:val="21"/>
          <w:szCs w:val="21"/>
        </w:rPr>
        <w:t>本次评估估价委托人为</w:t>
      </w:r>
      <w:r>
        <w:rPr>
          <w:rFonts w:ascii="Arial" w:hAnsi="Arial" w:cs="Arial"/>
          <w:sz w:val="21"/>
          <w:szCs w:val="28"/>
        </w:rPr>
        <w:t>中信信诚资产管理有限公司</w:t>
      </w:r>
      <w:r>
        <w:rPr>
          <w:rFonts w:ascii="Arial" w:hAnsi="Arial" w:cs="Arial"/>
          <w:sz w:val="21"/>
          <w:szCs w:val="21"/>
        </w:rPr>
        <w:t>，非估价对象的不动产权利人。不动产权利人</w:t>
      </w:r>
      <w:r>
        <w:rPr>
          <w:rFonts w:ascii="Arial" w:hAnsi="Arial" w:cs="Arial"/>
          <w:sz w:val="21"/>
          <w:szCs w:val="21"/>
        </w:rPr>
        <w:t>为</w:t>
      </w:r>
      <w:r>
        <w:rPr>
          <w:rFonts w:ascii="Arial" w:hAnsi="Arial" w:cs="Arial"/>
          <w:sz w:val="21"/>
          <w:szCs w:val="28"/>
        </w:rPr>
        <w:t>海南省政协干部培训中心、海南金石投资有限公司</w:t>
      </w:r>
      <w:r>
        <w:rPr>
          <w:rFonts w:ascii="Arial" w:hAnsi="Arial" w:cs="Arial"/>
          <w:sz w:val="21"/>
          <w:szCs w:val="21"/>
        </w:rPr>
        <w:t>。</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单位名称：</w:t>
      </w:r>
      <w:r>
        <w:rPr>
          <w:rFonts w:ascii="Arial" w:hAnsi="Arial" w:cs="Arial"/>
          <w:sz w:val="21"/>
          <w:szCs w:val="28"/>
        </w:rPr>
        <w:t>中信信诚资产管理有限公司</w:t>
      </w:r>
      <w:r>
        <w:rPr>
          <w:rFonts w:ascii="Arial" w:hAnsi="Arial" w:cs="Arial" w:eastAsia="Arial"/>
          <w:sz w:val="21"/>
          <w:szCs w:val="21"/>
        </w:rPr>
        <w:t xml:space="preserve"> </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住所：</w:t>
      </w:r>
      <w:r>
        <w:rPr>
          <w:rFonts w:ascii="Arial" w:hAnsi="Arial" w:cs="Arial"/>
          <w:sz w:val="21"/>
          <w:szCs w:val="21"/>
        </w:rPr>
        <w:t>中国（上海）自由贸易试验区北张家浜路</w:t>
      </w:r>
      <w:r>
        <w:rPr>
          <w:rFonts w:cs="Arial" w:ascii="Arial" w:hAnsi="Arial"/>
          <w:sz w:val="21"/>
          <w:szCs w:val="21"/>
        </w:rPr>
        <w:t>128</w:t>
      </w:r>
      <w:r>
        <w:rPr>
          <w:rFonts w:ascii="Arial" w:hAnsi="Arial" w:cs="Arial"/>
          <w:sz w:val="21"/>
          <w:szCs w:val="21"/>
        </w:rPr>
        <w:t>号</w:t>
      </w:r>
      <w:r>
        <w:rPr>
          <w:rFonts w:cs="Arial" w:ascii="Arial" w:hAnsi="Arial"/>
          <w:sz w:val="21"/>
          <w:szCs w:val="21"/>
        </w:rPr>
        <w:t>101-2</w:t>
      </w:r>
      <w:r>
        <w:rPr>
          <w:rFonts w:ascii="Arial" w:hAnsi="Arial" w:cs="Arial"/>
          <w:sz w:val="21"/>
          <w:szCs w:val="21"/>
        </w:rPr>
        <w:t>室</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法定代表人姓名：</w:t>
      </w:r>
      <w:r>
        <w:rPr>
          <w:rFonts w:ascii="Arial" w:hAnsi="Arial" w:cs="Arial"/>
          <w:sz w:val="21"/>
          <w:szCs w:val="21"/>
        </w:rPr>
        <w:t>姜晓彤</w:t>
      </w:r>
      <w:r>
        <w:rPr>
          <w:rFonts w:ascii="Arial" w:hAnsi="Arial" w:cs="Arial" w:eastAsia="Arial"/>
          <w:sz w:val="21"/>
          <w:szCs w:val="21"/>
        </w:rPr>
        <w:t xml:space="preserve"> </w:t>
      </w:r>
    </w:p>
    <w:p>
      <w:pPr>
        <w:pStyle w:val="Normal"/>
        <w:overflowPunct w:val="false"/>
        <w:spacing w:lineRule="auto" w:line="480"/>
        <w:ind w:firstLine="420"/>
        <w:jc w:val="both"/>
        <w:textAlignment w:val="auto"/>
        <w:rPr>
          <w:rFonts w:ascii="Arial" w:hAnsi="Arial" w:cs="Arial"/>
          <w:i/>
          <w:i/>
          <w:sz w:val="21"/>
          <w:szCs w:val="21"/>
        </w:rPr>
      </w:pPr>
      <w:r>
        <w:rPr>
          <w:rFonts w:ascii="Arial" w:hAnsi="Arial" w:cs="Arial"/>
          <w:sz w:val="21"/>
          <w:szCs w:val="21"/>
        </w:rPr>
        <w:t>联系人：</w:t>
      </w:r>
      <w:r>
        <w:rPr>
          <w:rStyle w:val="Lblwname"/>
          <w:rFonts w:ascii="Tahoma" w:hAnsi="Tahoma" w:cs="Tahoma"/>
          <w:sz w:val="21"/>
          <w:szCs w:val="21"/>
        </w:rPr>
        <w:t>宋兴华</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w:t>
      </w:r>
      <w:r>
        <w:rPr>
          <w:rStyle w:val="Lblwtel"/>
          <w:rFonts w:cs="Tahoma" w:ascii="Tahoma" w:hAnsi="Tahoma"/>
          <w:sz w:val="21"/>
          <w:szCs w:val="21"/>
        </w:rPr>
        <w:t>13811607622</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7" w:hanging="357"/>
        <w:jc w:val="both"/>
        <w:textAlignment w:val="auto"/>
        <w:rPr>
          <w:rFonts w:eastAsia="宋体;SimSun"/>
          <w:kern w:val="2"/>
          <w:sz w:val="21"/>
          <w:szCs w:val="21"/>
        </w:rPr>
      </w:pPr>
      <w:bookmarkStart w:id="4" w:name="__RefHeading___Toc162425551"/>
      <w:bookmarkEnd w:id="4"/>
      <w:r>
        <w:rPr>
          <w:rFonts w:eastAsia="宋体;SimSun"/>
          <w:kern w:val="2"/>
          <w:sz w:val="21"/>
          <w:szCs w:val="21"/>
        </w:rPr>
        <w:t>二、房地产估价机构</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受托机构：北京康正宏基房地产评估有限公司</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备案等级</w:t>
      </w:r>
      <w:r>
        <w:rPr>
          <w:rFonts w:ascii="Arial" w:hAnsi="Arial" w:cs="Arial"/>
          <w:sz w:val="21"/>
          <w:szCs w:val="21"/>
        </w:rPr>
        <w:t>：</w:t>
      </w:r>
      <w:r>
        <w:rPr>
          <w:rFonts w:ascii="Arial" w:hAnsi="Arial" w:cs="Arial"/>
          <w:sz w:val="21"/>
          <w:szCs w:val="21"/>
        </w:rPr>
        <w:t>一</w:t>
      </w:r>
      <w:r>
        <w:rPr>
          <w:rFonts w:ascii="Arial" w:hAnsi="Arial" w:cs="Arial"/>
          <w:sz w:val="21"/>
          <w:szCs w:val="21"/>
        </w:rPr>
        <w:t>级</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备案</w:t>
      </w:r>
      <w:r>
        <w:rPr>
          <w:rFonts w:ascii="Arial" w:hAnsi="Arial" w:cs="Arial"/>
          <w:sz w:val="21"/>
          <w:szCs w:val="21"/>
        </w:rPr>
        <w:t>证书</w:t>
      </w:r>
      <w:r>
        <w:rPr>
          <w:rFonts w:ascii="Arial" w:hAnsi="Arial" w:cs="Arial"/>
          <w:sz w:val="21"/>
          <w:szCs w:val="21"/>
        </w:rPr>
        <w:t>编</w:t>
      </w:r>
      <w:r>
        <w:rPr>
          <w:rFonts w:ascii="Arial" w:hAnsi="Arial" w:cs="Arial"/>
          <w:sz w:val="21"/>
          <w:szCs w:val="21"/>
        </w:rPr>
        <w:t>号：建房估</w:t>
      </w:r>
      <w:r>
        <w:rPr>
          <w:rFonts w:ascii="Arial" w:hAnsi="Arial" w:cs="Arial"/>
          <w:sz w:val="21"/>
          <w:szCs w:val="21"/>
        </w:rPr>
        <w:t>备</w:t>
      </w:r>
      <w:r>
        <w:rPr>
          <w:rFonts w:ascii="Arial" w:hAnsi="Arial" w:cs="Arial"/>
          <w:sz w:val="21"/>
          <w:szCs w:val="21"/>
        </w:rPr>
        <w:t>字</w:t>
      </w:r>
      <w:r>
        <w:rPr>
          <w:rFonts w:cs="Arial" w:ascii="Arial" w:hAnsi="Arial"/>
          <w:sz w:val="21"/>
          <w:szCs w:val="21"/>
        </w:rPr>
        <w:t>[2013</w:t>
      </w:r>
      <w:r>
        <w:rPr>
          <w:rFonts w:ascii="Arial" w:hAnsi="Arial" w:cs="Arial"/>
          <w:sz w:val="21"/>
          <w:szCs w:val="21"/>
        </w:rPr>
        <w:t>第</w:t>
      </w:r>
      <w:r>
        <w:rPr>
          <w:rFonts w:cs="Arial" w:ascii="Arial" w:hAnsi="Arial"/>
          <w:sz w:val="21"/>
          <w:szCs w:val="21"/>
        </w:rPr>
        <w:t>]081</w:t>
      </w:r>
      <w:r>
        <w:rPr>
          <w:rFonts w:ascii="Arial" w:hAnsi="Arial" w:cs="Arial"/>
          <w:sz w:val="21"/>
          <w:szCs w:val="21"/>
        </w:rPr>
        <w:t>号</w:t>
      </w:r>
    </w:p>
    <w:p>
      <w:pPr>
        <w:pStyle w:val="Normal"/>
        <w:overflowPunct w:val="false"/>
        <w:spacing w:lineRule="auto" w:line="480"/>
        <w:ind w:firstLine="420"/>
        <w:jc w:val="both"/>
        <w:textAlignment w:val="auto"/>
        <w:rPr/>
      </w:pPr>
      <w:r>
        <w:rPr>
          <w:rFonts w:ascii="Arial" w:hAnsi="Arial" w:cs="Arial"/>
          <w:sz w:val="21"/>
          <w:szCs w:val="21"/>
        </w:rPr>
        <w:t>有效期限：</w:t>
      </w:r>
      <w:r>
        <w:rPr>
          <w:rFonts w:cs="Arial" w:ascii="Arial" w:hAnsi="Arial"/>
          <w:sz w:val="21"/>
          <w:szCs w:val="21"/>
        </w:rPr>
        <w:t>20</w:t>
      </w:r>
      <w:r>
        <w:rPr>
          <w:rFonts w:cs="Arial" w:ascii="Arial" w:hAnsi="Arial"/>
          <w:sz w:val="21"/>
          <w:szCs w:val="21"/>
        </w:rPr>
        <w:t>22</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30</w:t>
      </w:r>
      <w:r>
        <w:rPr>
          <w:rFonts w:ascii="Arial" w:hAnsi="Arial" w:cs="Arial"/>
          <w:sz w:val="21"/>
          <w:szCs w:val="21"/>
        </w:rPr>
        <w:t>日至</w:t>
      </w:r>
      <w:r>
        <w:rPr>
          <w:rFonts w:cs="Arial" w:ascii="Arial" w:hAnsi="Arial"/>
          <w:sz w:val="21"/>
          <w:szCs w:val="21"/>
        </w:rPr>
        <w:t>20</w:t>
      </w:r>
      <w:r>
        <w:rPr>
          <w:rFonts w:cs="Arial" w:ascii="Arial" w:hAnsi="Arial"/>
          <w:sz w:val="21"/>
          <w:szCs w:val="21"/>
        </w:rPr>
        <w:t>25</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29</w:t>
      </w:r>
      <w:r>
        <w:rPr>
          <w:rFonts w:ascii="Arial" w:hAnsi="Arial" w:cs="Arial"/>
          <w:sz w:val="21"/>
          <w:szCs w:val="21"/>
        </w:rPr>
        <w:t>日</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注册地址：北京市丰台区芳城园</w:t>
      </w:r>
      <w:r>
        <w:rPr>
          <w:rFonts w:ascii="Arial" w:hAnsi="Arial" w:cs="Arial"/>
          <w:sz w:val="21"/>
          <w:szCs w:val="21"/>
        </w:rPr>
        <w:t>一</w:t>
      </w:r>
      <w:r>
        <w:rPr>
          <w:rFonts w:ascii="Arial" w:hAnsi="Arial" w:cs="Arial"/>
          <w:sz w:val="21"/>
          <w:szCs w:val="21"/>
        </w:rPr>
        <w:t>区</w:t>
      </w:r>
      <w:r>
        <w:rPr>
          <w:rFonts w:cs="Arial" w:ascii="Arial" w:hAnsi="Arial"/>
          <w:sz w:val="21"/>
          <w:szCs w:val="21"/>
        </w:rPr>
        <w:t>16</w:t>
      </w:r>
      <w:r>
        <w:rPr>
          <w:rFonts w:ascii="Arial" w:hAnsi="Arial" w:cs="Arial"/>
          <w:sz w:val="21"/>
          <w:szCs w:val="21"/>
        </w:rPr>
        <w:t>号楼</w:t>
      </w:r>
      <w:r>
        <w:rPr>
          <w:rFonts w:cs="Arial" w:ascii="Arial" w:hAnsi="Arial"/>
          <w:sz w:val="21"/>
          <w:szCs w:val="21"/>
        </w:rPr>
        <w:t>2</w:t>
      </w:r>
      <w:r>
        <w:rPr>
          <w:rFonts w:ascii="Arial" w:hAnsi="Arial" w:cs="Arial"/>
          <w:sz w:val="21"/>
          <w:szCs w:val="21"/>
        </w:rPr>
        <w:t>层</w:t>
      </w:r>
      <w:r>
        <w:rPr>
          <w:rFonts w:cs="Arial" w:ascii="Arial" w:hAnsi="Arial"/>
          <w:sz w:val="21"/>
          <w:szCs w:val="21"/>
        </w:rPr>
        <w:t>2</w:t>
      </w:r>
      <w:r>
        <w:rPr>
          <w:rFonts w:ascii="Arial" w:hAnsi="Arial" w:cs="Arial"/>
          <w:sz w:val="21"/>
          <w:szCs w:val="21"/>
        </w:rPr>
        <w:t>门配套公建</w:t>
      </w:r>
      <w:r>
        <w:rPr>
          <w:rFonts w:cs="Arial" w:ascii="Arial" w:hAnsi="Arial"/>
          <w:sz w:val="21"/>
          <w:szCs w:val="21"/>
        </w:rPr>
        <w:t>01</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法定代表人：齐宏</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联</w:t>
      </w:r>
      <w:r>
        <w:rPr>
          <w:rFonts w:ascii="Arial" w:hAnsi="Arial" w:cs="Arial" w:eastAsia="Arial"/>
          <w:sz w:val="21"/>
          <w:szCs w:val="21"/>
        </w:rPr>
        <w:t xml:space="preserve"> </w:t>
      </w:r>
      <w:r>
        <w:rPr>
          <w:rFonts w:ascii="Arial" w:hAnsi="Arial" w:cs="Arial"/>
          <w:sz w:val="21"/>
          <w:szCs w:val="21"/>
        </w:rPr>
        <w:t>系</w:t>
      </w:r>
      <w:r>
        <w:rPr>
          <w:rFonts w:ascii="Arial" w:hAnsi="Arial" w:cs="Arial" w:eastAsia="Arial"/>
          <w:sz w:val="21"/>
          <w:szCs w:val="21"/>
        </w:rPr>
        <w:t xml:space="preserve"> </w:t>
      </w:r>
      <w:r>
        <w:rPr>
          <w:rFonts w:ascii="Arial" w:hAnsi="Arial" w:cs="Arial"/>
          <w:sz w:val="21"/>
          <w:szCs w:val="21"/>
        </w:rPr>
        <w:t>人：</w:t>
      </w:r>
      <w:r>
        <w:rPr>
          <w:rFonts w:ascii="Arial" w:hAnsi="Arial" w:cs="Arial"/>
          <w:sz w:val="21"/>
          <w:szCs w:val="21"/>
        </w:rPr>
        <w:t>黄英</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联系电话：</w:t>
      </w:r>
      <w:r>
        <w:rPr>
          <w:rFonts w:cs="Arial" w:ascii="Arial" w:hAnsi="Arial"/>
          <w:sz w:val="21"/>
          <w:szCs w:val="21"/>
        </w:rPr>
        <w:t>010-82253558-</w:t>
      </w:r>
      <w:r>
        <w:rPr>
          <w:rFonts w:cs="Arial" w:ascii="Arial" w:hAnsi="Arial"/>
          <w:sz w:val="21"/>
          <w:szCs w:val="21"/>
        </w:rPr>
        <w:t>124</w:t>
      </w:r>
    </w:p>
    <w:p>
      <w:pPr>
        <w:pStyle w:val="Normal"/>
        <w:overflowPunct w:val="false"/>
        <w:spacing w:lineRule="auto" w:line="480"/>
        <w:ind w:firstLine="420"/>
        <w:jc w:val="both"/>
        <w:textAlignment w:val="auto"/>
        <w:rPr>
          <w:rFonts w:ascii="Arial" w:hAnsi="Arial" w:cs="Arial"/>
          <w:kern w:val="2"/>
          <w:sz w:val="21"/>
          <w:szCs w:val="21"/>
        </w:rPr>
      </w:pPr>
      <w:r>
        <w:rPr>
          <w:rFonts w:cs="Arial" w:ascii="Arial" w:hAnsi="Arial"/>
          <w:kern w:val="2"/>
          <w:sz w:val="21"/>
          <w:szCs w:val="21"/>
        </w:rPr>
      </w:r>
    </w:p>
    <w:p>
      <w:pPr>
        <w:pStyle w:val="2"/>
        <w:numPr>
          <w:ilvl w:val="0"/>
          <w:numId w:val="0"/>
        </w:numPr>
        <w:overflowPunct w:val="false"/>
        <w:spacing w:lineRule="auto" w:line="480"/>
        <w:ind w:left="357" w:hanging="357"/>
        <w:jc w:val="both"/>
        <w:textAlignment w:val="auto"/>
        <w:rPr>
          <w:rFonts w:eastAsia="宋体;SimSun"/>
          <w:kern w:val="2"/>
          <w:sz w:val="21"/>
          <w:szCs w:val="21"/>
        </w:rPr>
      </w:pPr>
      <w:bookmarkStart w:id="5" w:name="__RefHeading___Toc162425552"/>
      <w:bookmarkEnd w:id="5"/>
      <w:r>
        <w:rPr>
          <w:rFonts w:eastAsia="宋体;SimSun"/>
          <w:kern w:val="2"/>
          <w:sz w:val="21"/>
          <w:szCs w:val="21"/>
        </w:rPr>
        <w:t>三、估价目的</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为估价委托人</w:t>
      </w:r>
      <w:r>
        <w:rPr>
          <w:rFonts w:ascii="Arial" w:hAnsi="Arial" w:cs="Arial"/>
          <w:sz w:val="21"/>
          <w:szCs w:val="21"/>
        </w:rPr>
        <w:t>因处置资产需要了解估价对象房地产</w:t>
      </w:r>
      <w:r>
        <w:rPr>
          <w:rFonts w:ascii="Arial" w:hAnsi="Arial" w:cs="Arial"/>
          <w:sz w:val="21"/>
          <w:szCs w:val="21"/>
        </w:rPr>
        <w:t>快速变现价值提供参考依据</w:t>
      </w:r>
      <w:r>
        <w:rPr>
          <w:rFonts w:ascii="Arial" w:hAnsi="Arial" w:cs="Arial"/>
          <w:sz w:val="21"/>
          <w:szCs w:val="21"/>
        </w:rPr>
        <w:t>。</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7" w:hanging="357"/>
        <w:jc w:val="both"/>
        <w:textAlignment w:val="auto"/>
        <w:rPr/>
      </w:pPr>
      <w:bookmarkStart w:id="6" w:name="__RefHeading___Toc162425553"/>
      <w:bookmarkEnd w:id="6"/>
      <w:r>
        <w:rPr>
          <w:rFonts w:eastAsia="宋体;SimSun"/>
          <w:kern w:val="2"/>
          <w:sz w:val="21"/>
          <w:szCs w:val="21"/>
        </w:rPr>
        <w:t>四、</w:t>
      </w:r>
      <w:commentRangeStart w:id="6"/>
      <w:r>
        <w:rPr>
          <w:rFonts w:eastAsia="宋体;SimSun"/>
          <w:kern w:val="2"/>
          <w:sz w:val="21"/>
          <w:szCs w:val="21"/>
        </w:rPr>
        <w:t>估价对象</w:t>
      </w:r>
      <w:commentRangeEnd w:id="6"/>
      <w:r>
        <w:commentReference w:id="6"/>
      </w:r>
      <w:r>
        <w:rPr>
          <w:rFonts w:eastAsia="宋体;SimSun"/>
          <w:kern w:val="2"/>
          <w:sz w:val="21"/>
          <w:szCs w:val="21"/>
        </w:rPr>
      </w:r>
    </w:p>
    <w:p>
      <w:pPr>
        <w:pStyle w:val="Normal"/>
        <w:overflowPunct w:val="false"/>
        <w:spacing w:lineRule="auto" w:line="480"/>
        <w:jc w:val="both"/>
        <w:textAlignment w:val="auto"/>
        <w:rPr>
          <w:rFonts w:ascii="Arial" w:hAnsi="Arial" w:cs="Arial"/>
          <w:b/>
          <w:b/>
          <w:kern w:val="2"/>
          <w:sz w:val="21"/>
          <w:szCs w:val="21"/>
        </w:rPr>
      </w:pPr>
      <w:r>
        <w:rPr>
          <w:rFonts w:ascii="Arial" w:hAnsi="Arial" w:cs="Arial"/>
          <w:b/>
          <w:kern w:val="2"/>
          <w:sz w:val="21"/>
          <w:szCs w:val="21"/>
        </w:rPr>
        <w:t>（一）估价对象范围</w:t>
      </w:r>
    </w:p>
    <w:p>
      <w:pPr>
        <w:pStyle w:val="Normal"/>
        <w:overflowPunct w:val="false"/>
        <w:spacing w:lineRule="auto" w:line="480"/>
        <w:ind w:firstLine="420"/>
        <w:jc w:val="both"/>
        <w:textAlignment w:val="auto"/>
        <w:rPr/>
      </w:pPr>
      <w:r>
        <w:rPr>
          <w:rFonts w:ascii="Arial" w:hAnsi="Arial" w:cs="Arial"/>
          <w:kern w:val="2"/>
          <w:sz w:val="21"/>
          <w:szCs w:val="21"/>
        </w:rPr>
        <w:t>本次评估估价对象为</w:t>
      </w:r>
      <w:r>
        <w:rPr>
          <w:rFonts w:ascii="Arial" w:hAnsi="Arial" w:cs="Arial"/>
          <w:kern w:val="2"/>
          <w:sz w:val="21"/>
          <w:szCs w:val="21"/>
        </w:rPr>
        <w:t>海南省海口市秀英区滨海大道</w:t>
      </w:r>
      <w:r>
        <w:rPr>
          <w:rFonts w:cs="Arial" w:ascii="Arial" w:hAnsi="Arial"/>
          <w:kern w:val="2"/>
          <w:sz w:val="21"/>
          <w:szCs w:val="21"/>
        </w:rPr>
        <w:t>158</w:t>
      </w:r>
      <w:r>
        <w:rPr>
          <w:rFonts w:ascii="Arial" w:hAnsi="Arial" w:cs="Arial"/>
          <w:kern w:val="2"/>
          <w:sz w:val="21"/>
          <w:szCs w:val="21"/>
        </w:rPr>
        <w:t>号琼珠海岸生态度假村暨全国政协（海南）会议培训中心北区项目</w:t>
      </w:r>
      <w:r>
        <w:rPr>
          <w:rFonts w:cs="Arial" w:ascii="Arial" w:hAnsi="Arial"/>
          <w:kern w:val="2"/>
          <w:sz w:val="21"/>
          <w:szCs w:val="21"/>
        </w:rPr>
        <w:t>1</w:t>
      </w:r>
      <w:r>
        <w:rPr>
          <w:rFonts w:ascii="Arial" w:hAnsi="Arial" w:cs="Arial"/>
          <w:kern w:val="2"/>
          <w:sz w:val="21"/>
          <w:szCs w:val="21"/>
        </w:rPr>
        <w:t>号楼等</w:t>
      </w:r>
      <w:r>
        <w:rPr>
          <w:rFonts w:cs="Arial" w:ascii="Arial" w:hAnsi="Arial"/>
          <w:kern w:val="2"/>
          <w:sz w:val="21"/>
          <w:szCs w:val="21"/>
        </w:rPr>
        <w:t>34</w:t>
      </w:r>
      <w:r>
        <w:rPr>
          <w:rFonts w:ascii="Arial" w:hAnsi="Arial" w:cs="Arial"/>
          <w:kern w:val="2"/>
          <w:sz w:val="21"/>
          <w:szCs w:val="21"/>
        </w:rPr>
        <w:t>套产权式酒店（别墅）用房及南区</w:t>
      </w:r>
      <w:r>
        <w:rPr>
          <w:rFonts w:cs="Arial" w:ascii="Arial" w:hAnsi="Arial"/>
          <w:kern w:val="2"/>
          <w:sz w:val="21"/>
          <w:szCs w:val="21"/>
        </w:rPr>
        <w:t>180</w:t>
      </w:r>
      <w:r>
        <w:rPr>
          <w:rFonts w:ascii="Arial" w:hAnsi="Arial" w:cs="Arial"/>
          <w:kern w:val="2"/>
          <w:sz w:val="21"/>
          <w:szCs w:val="21"/>
        </w:rPr>
        <w:t>套产权式酒店客房（公寓）用房房地产</w:t>
      </w:r>
      <w:r>
        <w:rPr>
          <w:rFonts w:ascii="Arial" w:hAnsi="Arial" w:cs="Arial"/>
          <w:kern w:val="2"/>
          <w:sz w:val="21"/>
          <w:szCs w:val="21"/>
        </w:rPr>
        <w:t>。估价对象范围为其</w:t>
      </w:r>
      <w:r>
        <w:rPr>
          <w:rFonts w:ascii="Arial" w:hAnsi="Arial" w:cs="Arial"/>
          <w:sz w:val="21"/>
          <w:szCs w:val="21"/>
        </w:rPr>
        <w:t>房屋所有权及出让国有建设用地使用权</w:t>
      </w:r>
      <w:r>
        <w:rPr>
          <w:rFonts w:ascii="Arial" w:hAnsi="Arial" w:cs="Arial"/>
          <w:color w:val="000000"/>
          <w:sz w:val="21"/>
          <w:szCs w:val="21"/>
        </w:rPr>
        <w:t>，</w:t>
      </w:r>
      <w:r>
        <w:rPr>
          <w:rFonts w:ascii="Arial" w:hAnsi="Arial" w:cs="Arial"/>
          <w:kern w:val="2"/>
          <w:sz w:val="21"/>
          <w:szCs w:val="21"/>
        </w:rPr>
        <w:t>不包含动产、债权债务、特许经营权等其他财产或权益。</w:t>
      </w:r>
    </w:p>
    <w:p>
      <w:pPr>
        <w:pStyle w:val="Normal"/>
        <w:overflowPunct w:val="false"/>
        <w:spacing w:lineRule="auto" w:line="480"/>
        <w:jc w:val="both"/>
        <w:textAlignment w:val="auto"/>
        <w:rPr>
          <w:rFonts w:ascii="Arial" w:hAnsi="Arial" w:cs="Arial"/>
          <w:b/>
          <w:b/>
          <w:kern w:val="2"/>
          <w:sz w:val="21"/>
          <w:szCs w:val="21"/>
        </w:rPr>
      </w:pPr>
      <w:r>
        <w:rPr>
          <w:rFonts w:ascii="Arial" w:hAnsi="Arial" w:cs="Arial"/>
          <w:b/>
          <w:kern w:val="2"/>
          <w:sz w:val="21"/>
          <w:szCs w:val="21"/>
        </w:rPr>
        <w:t>（二）估价对象基本状况</w:t>
      </w:r>
    </w:p>
    <w:p>
      <w:pPr>
        <w:pStyle w:val="Normal"/>
        <w:overflowPunct w:val="false"/>
        <w:spacing w:lineRule="auto" w:line="480"/>
        <w:ind w:firstLine="420"/>
        <w:jc w:val="both"/>
        <w:textAlignment w:val="auto"/>
        <w:rPr>
          <w:rFonts w:ascii="Arial" w:hAnsi="Arial" w:cs="Arial"/>
          <w:kern w:val="2"/>
          <w:sz w:val="21"/>
          <w:szCs w:val="21"/>
        </w:rPr>
      </w:pPr>
      <w:r>
        <w:rPr>
          <w:rFonts w:ascii="Arial" w:hAnsi="Arial" w:cs="Arial"/>
          <w:bCs/>
          <w:sz w:val="21"/>
          <w:szCs w:val="21"/>
        </w:rPr>
        <w:t>估价对象为</w:t>
      </w:r>
      <w:r>
        <w:rPr>
          <w:rFonts w:ascii="Arial" w:hAnsi="Arial" w:cs="Arial"/>
          <w:kern w:val="2"/>
          <w:sz w:val="21"/>
          <w:szCs w:val="21"/>
        </w:rPr>
        <w:t>海南省海口市秀英区滨海大道</w:t>
      </w:r>
      <w:r>
        <w:rPr>
          <w:rFonts w:cs="Arial" w:ascii="Arial" w:hAnsi="Arial"/>
          <w:kern w:val="2"/>
          <w:sz w:val="21"/>
          <w:szCs w:val="21"/>
        </w:rPr>
        <w:t>158</w:t>
      </w:r>
      <w:r>
        <w:rPr>
          <w:rFonts w:ascii="Arial" w:hAnsi="Arial" w:cs="Arial"/>
          <w:kern w:val="2"/>
          <w:sz w:val="21"/>
          <w:szCs w:val="21"/>
        </w:rPr>
        <w:t>号琼珠海岸生态度假村暨全国政协（海南）会议培训中心北区项目</w:t>
      </w:r>
      <w:r>
        <w:rPr>
          <w:rFonts w:cs="Arial" w:ascii="Arial" w:hAnsi="Arial"/>
          <w:kern w:val="2"/>
          <w:sz w:val="21"/>
          <w:szCs w:val="21"/>
        </w:rPr>
        <w:t>1</w:t>
      </w:r>
      <w:r>
        <w:rPr>
          <w:rFonts w:ascii="Arial" w:hAnsi="Arial" w:cs="Arial"/>
          <w:kern w:val="2"/>
          <w:sz w:val="21"/>
          <w:szCs w:val="21"/>
        </w:rPr>
        <w:t>号楼等</w:t>
      </w:r>
      <w:r>
        <w:rPr>
          <w:rFonts w:cs="Arial" w:ascii="Arial" w:hAnsi="Arial"/>
          <w:kern w:val="2"/>
          <w:sz w:val="21"/>
          <w:szCs w:val="21"/>
        </w:rPr>
        <w:t>34</w:t>
      </w:r>
      <w:r>
        <w:rPr>
          <w:rFonts w:ascii="Arial" w:hAnsi="Arial" w:cs="Arial"/>
          <w:kern w:val="2"/>
          <w:sz w:val="21"/>
          <w:szCs w:val="21"/>
        </w:rPr>
        <w:t>套产权式酒店（别墅）用房</w:t>
      </w:r>
      <w:r>
        <w:rPr>
          <w:rFonts w:ascii="Arial" w:hAnsi="Arial" w:cs="Arial"/>
          <w:sz w:val="21"/>
          <w:szCs w:val="21"/>
        </w:rPr>
        <w:t>房地产</w:t>
      </w:r>
      <w:r>
        <w:rPr>
          <w:rFonts w:ascii="Arial" w:hAnsi="Arial" w:cs="Arial"/>
          <w:bCs/>
          <w:sz w:val="21"/>
          <w:szCs w:val="21"/>
        </w:rPr>
        <w:t>，</w:t>
      </w:r>
      <w:r>
        <w:rPr>
          <w:rFonts w:ascii="Arial" w:hAnsi="Arial" w:cs="Arial"/>
          <w:bCs/>
          <w:sz w:val="21"/>
          <w:szCs w:val="21"/>
        </w:rPr>
        <w:t>为</w:t>
      </w:r>
      <w:r>
        <w:rPr>
          <w:rFonts w:ascii="Arial" w:hAnsi="Arial" w:cs="Arial"/>
          <w:bCs/>
          <w:sz w:val="21"/>
          <w:szCs w:val="21"/>
        </w:rPr>
        <w:t>海南省政协干部培训中心、海南金石投资有限公司共同共</w:t>
      </w:r>
      <w:r>
        <w:rPr>
          <w:rFonts w:ascii="Arial" w:hAnsi="Arial" w:cs="Arial"/>
          <w:bCs/>
          <w:sz w:val="21"/>
          <w:szCs w:val="21"/>
        </w:rPr>
        <w:t>有。</w:t>
      </w:r>
      <w:r>
        <w:rPr>
          <w:rFonts w:ascii="Arial" w:hAnsi="Arial" w:cs="Arial"/>
          <w:bCs/>
          <w:sz w:val="21"/>
          <w:szCs w:val="21"/>
        </w:rPr>
        <w:t>属“珈宝别院”项目。</w:t>
      </w:r>
      <w:r>
        <w:rPr>
          <w:rFonts w:ascii="Arial" w:hAnsi="Arial" w:cs="Arial"/>
          <w:sz w:val="21"/>
          <w:szCs w:val="21"/>
        </w:rPr>
        <w:t>估价对象</w:t>
      </w:r>
      <w:r>
        <w:rPr>
          <w:rFonts w:ascii="Arial" w:hAnsi="Arial" w:cs="Arial"/>
          <w:sz w:val="21"/>
          <w:szCs w:val="21"/>
        </w:rPr>
        <w:t>分摊土地面积为</w:t>
      </w:r>
      <w:r>
        <w:rPr>
          <w:rFonts w:cs="Arial" w:ascii="Arial" w:hAnsi="Arial"/>
          <w:sz w:val="21"/>
          <w:szCs w:val="21"/>
        </w:rPr>
        <w:t>20358.14</w:t>
      </w:r>
      <w:r>
        <w:rPr>
          <w:rFonts w:ascii="Arial" w:hAnsi="Arial" w:cs="Arial"/>
          <w:sz w:val="21"/>
          <w:szCs w:val="21"/>
        </w:rPr>
        <w:t>平方米，</w:t>
      </w:r>
      <w:r>
        <w:rPr>
          <w:rFonts w:ascii="Arial" w:hAnsi="Arial" w:cs="Arial"/>
          <w:sz w:val="21"/>
          <w:szCs w:val="21"/>
        </w:rPr>
        <w:t>建筑面积为</w:t>
      </w:r>
      <w:r>
        <w:rPr>
          <w:rFonts w:cs="Arial" w:ascii="Arial" w:hAnsi="Arial"/>
          <w:sz w:val="21"/>
          <w:szCs w:val="21"/>
        </w:rPr>
        <w:t>15260.82</w:t>
      </w:r>
      <w:r>
        <w:rPr>
          <w:rFonts w:ascii="Arial" w:hAnsi="Arial" w:cs="Arial"/>
          <w:sz w:val="21"/>
          <w:szCs w:val="21"/>
        </w:rPr>
        <w:t>平方米，</w:t>
      </w:r>
      <w:r>
        <w:rPr>
          <w:rFonts w:ascii="Arial" w:hAnsi="Arial" w:cs="Arial"/>
          <w:sz w:val="21"/>
          <w:szCs w:val="21"/>
        </w:rPr>
        <w:t>全部为产权式酒店（别墅）用房</w:t>
      </w:r>
      <w:r>
        <w:rPr>
          <w:rFonts w:ascii="Arial" w:hAnsi="Arial" w:cs="Arial"/>
          <w:sz w:val="21"/>
          <w:szCs w:val="21"/>
        </w:rPr>
        <w:t>。</w:t>
      </w:r>
    </w:p>
    <w:p>
      <w:pPr>
        <w:pStyle w:val="Normal"/>
        <w:overflowPunct w:val="false"/>
        <w:spacing w:lineRule="auto" w:line="480"/>
        <w:jc w:val="both"/>
        <w:textAlignment w:val="auto"/>
        <w:rPr>
          <w:rFonts w:ascii="Arial" w:hAnsi="Arial" w:cs="Arial"/>
          <w:b/>
          <w:b/>
          <w:kern w:val="2"/>
          <w:sz w:val="21"/>
          <w:szCs w:val="21"/>
        </w:rPr>
      </w:pPr>
      <w:r>
        <w:rPr>
          <w:rFonts w:ascii="Arial" w:hAnsi="Arial" w:cs="Arial"/>
          <w:b/>
          <w:kern w:val="2"/>
          <w:sz w:val="21"/>
          <w:szCs w:val="21"/>
        </w:rPr>
        <w:t>（三）土地基本状况</w:t>
      </w:r>
    </w:p>
    <w:p>
      <w:pPr>
        <w:pStyle w:val="Normal"/>
        <w:overflowPunct w:val="false"/>
        <w:spacing w:lineRule="auto" w:line="480"/>
        <w:ind w:firstLine="420"/>
        <w:jc w:val="both"/>
        <w:textAlignment w:val="auto"/>
        <w:rPr/>
      </w:pPr>
      <w:r>
        <w:rPr>
          <w:rFonts w:cs="Arial" w:ascii="Arial" w:hAnsi="Arial"/>
          <w:sz w:val="21"/>
          <w:szCs w:val="21"/>
        </w:rPr>
        <w:t>1.</w:t>
      </w:r>
      <w:r>
        <w:rPr>
          <w:rFonts w:cs="Arial" w:ascii="Arial" w:hAnsi="Arial"/>
          <w:sz w:val="21"/>
          <w:szCs w:val="21"/>
        </w:rPr>
        <w:t xml:space="preserve"> </w:t>
      </w:r>
      <w:r>
        <w:rPr>
          <w:rFonts w:ascii="Arial" w:hAnsi="Arial" w:cs="Arial"/>
          <w:sz w:val="21"/>
          <w:szCs w:val="21"/>
        </w:rPr>
        <w:t>根据《国有土地使用权出让合同》</w:t>
      </w:r>
      <w:r>
        <w:rPr>
          <w:rFonts w:cs="Arial" w:ascii="Arial" w:hAnsi="Arial"/>
          <w:sz w:val="21"/>
          <w:szCs w:val="21"/>
        </w:rPr>
        <w:t>[</w:t>
      </w:r>
      <w:r>
        <w:rPr>
          <w:rFonts w:ascii="Arial" w:hAnsi="Arial" w:cs="Arial"/>
          <w:sz w:val="21"/>
          <w:szCs w:val="21"/>
        </w:rPr>
        <w:t>电子监管号：</w:t>
      </w:r>
      <w:r>
        <w:rPr>
          <w:rFonts w:cs="Arial" w:ascii="Arial" w:hAnsi="Arial"/>
          <w:sz w:val="21"/>
          <w:szCs w:val="21"/>
        </w:rPr>
        <w:t>4601002009B00664]</w:t>
      </w:r>
      <w:r>
        <w:rPr>
          <w:rFonts w:ascii="Arial" w:hAnsi="Arial" w:cs="Arial"/>
          <w:sz w:val="21"/>
          <w:szCs w:val="21"/>
        </w:rPr>
        <w:t>，</w:t>
      </w:r>
      <w:r>
        <w:rPr>
          <w:rFonts w:ascii="Arial" w:hAnsi="Arial" w:cs="Arial"/>
          <w:sz w:val="21"/>
          <w:szCs w:val="21"/>
        </w:rPr>
        <w:t>估价对象土地为国有土地，土地所有权归国家所有；</w:t>
      </w:r>
      <w:r>
        <w:rPr>
          <w:rFonts w:ascii="Arial" w:hAnsi="Arial" w:cs="Arial"/>
          <w:bCs/>
          <w:sz w:val="21"/>
          <w:szCs w:val="21"/>
        </w:rPr>
        <w:t>海南省政协干部培训中心、海南金石投资有限公司</w:t>
      </w:r>
      <w:r>
        <w:rPr>
          <w:rFonts w:ascii="Arial" w:hAnsi="Arial" w:cs="Arial"/>
          <w:sz w:val="21"/>
          <w:szCs w:val="21"/>
        </w:rPr>
        <w:t>共同</w:t>
      </w:r>
      <w:r>
        <w:rPr>
          <w:rFonts w:ascii="Arial" w:hAnsi="Arial" w:cs="Arial"/>
          <w:sz w:val="21"/>
          <w:szCs w:val="21"/>
        </w:rPr>
        <w:t>拥有估价对象出让国有建设用地使用权</w:t>
      </w:r>
      <w:r>
        <w:rPr>
          <w:rFonts w:ascii="Arial" w:hAnsi="Arial" w:cs="Arial"/>
          <w:sz w:val="21"/>
          <w:szCs w:val="21"/>
        </w:rPr>
        <w:t>，土地面积合计</w:t>
      </w:r>
      <w:r>
        <w:rPr>
          <w:rFonts w:cs="Arial" w:ascii="Arial" w:hAnsi="Arial"/>
          <w:sz w:val="21"/>
          <w:szCs w:val="21"/>
        </w:rPr>
        <w:t>80634.87</w:t>
      </w:r>
      <w:r>
        <w:rPr>
          <w:rFonts w:ascii="Arial" w:hAnsi="Arial" w:cs="Arial"/>
          <w:sz w:val="21"/>
          <w:szCs w:val="21"/>
        </w:rPr>
        <w:t>平方米。项目宗地的土地权属文件为《国有土地使用证》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及《国有土地使用证》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ascii="Arial" w:hAnsi="Arial" w:cs="Arial"/>
          <w:sz w:val="21"/>
          <w:szCs w:val="21"/>
        </w:rPr>
        <w:t>。其中：海南金石投资有限公司《国有土地使用证》证号为海口市国用（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号，分摊土地面积</w:t>
      </w:r>
      <w:r>
        <w:rPr>
          <w:rFonts w:cs="Arial" w:ascii="Arial" w:hAnsi="Arial"/>
          <w:sz w:val="21"/>
          <w:szCs w:val="21"/>
        </w:rPr>
        <w:t>64507.9</w:t>
      </w:r>
      <w:r>
        <w:rPr>
          <w:rFonts w:ascii="Arial" w:hAnsi="Arial" w:cs="Arial"/>
          <w:sz w:val="21"/>
          <w:szCs w:val="21"/>
        </w:rPr>
        <w:t>平方米；</w:t>
      </w:r>
      <w:r>
        <w:rPr>
          <w:rFonts w:ascii="Arial" w:hAnsi="Arial" w:cs="Arial"/>
          <w:bCs/>
          <w:sz w:val="21"/>
          <w:szCs w:val="21"/>
        </w:rPr>
        <w:t>海南省政协干部培训中心</w:t>
      </w:r>
      <w:r>
        <w:rPr>
          <w:rFonts w:ascii="Arial" w:hAnsi="Arial" w:cs="Arial"/>
          <w:sz w:val="21"/>
          <w:szCs w:val="21"/>
        </w:rPr>
        <w:t>《国有土地使用证》证号为海口市国用（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ascii="Arial" w:hAnsi="Arial" w:cs="Arial"/>
          <w:bCs/>
          <w:sz w:val="21"/>
          <w:szCs w:val="21"/>
        </w:rPr>
        <w:t>，</w:t>
      </w:r>
      <w:r>
        <w:rPr>
          <w:rFonts w:ascii="Arial" w:hAnsi="Arial" w:cs="Arial"/>
          <w:sz w:val="21"/>
          <w:szCs w:val="21"/>
        </w:rPr>
        <w:t>分摊土地面积</w:t>
      </w:r>
      <w:r>
        <w:rPr>
          <w:rFonts w:cs="Arial" w:ascii="Arial" w:hAnsi="Arial"/>
          <w:sz w:val="21"/>
          <w:szCs w:val="21"/>
        </w:rPr>
        <w:t>16126.97</w:t>
      </w:r>
      <w:r>
        <w:rPr>
          <w:rFonts w:ascii="Arial" w:hAnsi="Arial" w:cs="Arial"/>
          <w:sz w:val="21"/>
          <w:szCs w:val="21"/>
        </w:rPr>
        <w:t>平方米。该项目宗地</w:t>
      </w:r>
      <w:r>
        <w:rPr>
          <w:rFonts w:ascii="Arial" w:hAnsi="Arial" w:cs="Arial"/>
          <w:sz w:val="21"/>
          <w:szCs w:val="21"/>
        </w:rPr>
        <w:t>土地用途为</w:t>
      </w:r>
      <w:r>
        <w:rPr>
          <w:rFonts w:ascii="Arial" w:hAnsi="Arial" w:cs="Arial"/>
          <w:sz w:val="21"/>
          <w:szCs w:val="21"/>
        </w:rPr>
        <w:t>住宿餐饮用地</w:t>
      </w:r>
      <w:r>
        <w:rPr>
          <w:rFonts w:ascii="Arial" w:hAnsi="Arial" w:cs="Arial"/>
          <w:sz w:val="21"/>
          <w:szCs w:val="21"/>
        </w:rPr>
        <w:t>，土地使用权终止日期为</w:t>
      </w:r>
      <w:r>
        <w:rPr>
          <w:rFonts w:cs="Arial" w:ascii="Arial" w:hAnsi="Arial"/>
          <w:sz w:val="21"/>
          <w:szCs w:val="21"/>
        </w:rPr>
        <w:t>2049</w:t>
      </w:r>
      <w:r>
        <w:rPr>
          <w:rFonts w:ascii="Arial" w:hAnsi="Arial" w:cs="Arial"/>
          <w:sz w:val="21"/>
          <w:szCs w:val="21"/>
        </w:rPr>
        <w:t>年</w:t>
      </w:r>
      <w:r>
        <w:rPr>
          <w:rFonts w:cs="Arial" w:ascii="Arial" w:hAnsi="Arial"/>
          <w:sz w:val="21"/>
          <w:szCs w:val="21"/>
        </w:rPr>
        <w:t>11</w:t>
      </w:r>
      <w:r>
        <w:rPr>
          <w:rFonts w:ascii="Arial" w:hAnsi="Arial" w:cs="Arial"/>
          <w:sz w:val="21"/>
          <w:szCs w:val="21"/>
        </w:rPr>
        <w:t>月</w:t>
      </w:r>
      <w:r>
        <w:rPr>
          <w:rFonts w:cs="Arial" w:ascii="Arial" w:hAnsi="Arial"/>
          <w:sz w:val="21"/>
          <w:szCs w:val="21"/>
        </w:rPr>
        <w:t>23</w:t>
      </w:r>
      <w:r>
        <w:rPr>
          <w:rFonts w:ascii="Arial" w:hAnsi="Arial" w:cs="Arial"/>
          <w:sz w:val="21"/>
          <w:szCs w:val="21"/>
        </w:rPr>
        <w:t>日。截至价值时点，</w:t>
      </w:r>
      <w:r>
        <w:rPr>
          <w:rFonts w:ascii="Arial" w:hAnsi="Arial" w:cs="Arial"/>
          <w:sz w:val="21"/>
          <w:szCs w:val="21"/>
        </w:rPr>
        <w:t>出让国有建设用地使用权剩余土地使用年限为</w:t>
      </w:r>
      <w:r>
        <w:rPr>
          <w:rFonts w:cs="Arial" w:ascii="Arial" w:hAnsi="Arial"/>
          <w:sz w:val="21"/>
          <w:szCs w:val="21"/>
        </w:rPr>
        <w:t>25.37</w:t>
      </w:r>
      <w:r>
        <w:rPr>
          <w:rFonts w:ascii="Arial" w:hAnsi="Arial" w:cs="Arial"/>
          <w:sz w:val="21"/>
          <w:szCs w:val="21"/>
        </w:rPr>
        <w:t>年。</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t>2.</w:t>
      </w:r>
      <w:r>
        <w:rPr>
          <w:rFonts w:ascii="Arial" w:hAnsi="Arial" w:cs="Arial"/>
          <w:sz w:val="21"/>
          <w:szCs w:val="21"/>
        </w:rPr>
        <w:t>估价对象分摊土地面积为</w:t>
      </w:r>
      <w:r>
        <w:rPr>
          <w:rFonts w:cs="Arial" w:ascii="Arial" w:hAnsi="Arial"/>
          <w:sz w:val="21"/>
          <w:szCs w:val="21"/>
        </w:rPr>
        <w:t>20358.14</w:t>
      </w:r>
      <w:r>
        <w:rPr>
          <w:rFonts w:ascii="Arial" w:hAnsi="Arial" w:cs="Arial"/>
          <w:sz w:val="21"/>
          <w:szCs w:val="21"/>
        </w:rPr>
        <w:t>平方米，</w:t>
      </w:r>
      <w:r>
        <w:rPr>
          <w:rFonts w:ascii="Arial" w:hAnsi="Arial" w:cs="Arial"/>
          <w:sz w:val="21"/>
          <w:szCs w:val="21"/>
        </w:rPr>
        <w:t>地上</w:t>
      </w:r>
      <w:r>
        <w:rPr>
          <w:rFonts w:ascii="Arial" w:hAnsi="Arial" w:cs="Arial"/>
          <w:sz w:val="21"/>
          <w:szCs w:val="21"/>
        </w:rPr>
        <w:t>容积率为</w:t>
      </w:r>
      <w:r>
        <w:rPr>
          <w:rFonts w:cs="Arial" w:ascii="Arial" w:hAnsi="Arial"/>
          <w:sz w:val="21"/>
          <w:szCs w:val="21"/>
        </w:rPr>
        <w:t>0.5</w:t>
      </w:r>
      <w:r>
        <w:rPr>
          <w:rFonts w:ascii="Arial" w:hAnsi="Arial" w:cs="Arial"/>
          <w:sz w:val="21"/>
          <w:szCs w:val="21"/>
        </w:rPr>
        <w:t>。估价对象现状已按规划要求完成开发建设，无特别规划限制条件。</w:t>
      </w:r>
    </w:p>
    <w:p>
      <w:pPr>
        <w:pStyle w:val="Normal"/>
        <w:overflowPunct w:val="false"/>
        <w:spacing w:lineRule="auto" w:line="480"/>
        <w:ind w:firstLine="420"/>
        <w:jc w:val="both"/>
        <w:textAlignment w:val="auto"/>
        <w:rPr/>
      </w:pPr>
      <w:r>
        <w:rPr>
          <w:rFonts w:cs="Arial" w:ascii="Arial" w:hAnsi="Arial"/>
          <w:sz w:val="21"/>
          <w:szCs w:val="21"/>
        </w:rPr>
        <w:t>3.</w:t>
      </w:r>
      <w:r>
        <w:rPr>
          <w:rFonts w:ascii="Arial" w:hAnsi="Arial" w:cs="Arial"/>
          <w:sz w:val="21"/>
          <w:szCs w:val="21"/>
        </w:rPr>
        <w:t>估价对象所属项目用地四至：</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证载四至：</w:t>
      </w:r>
      <w:r>
        <w:rPr>
          <w:rFonts w:ascii="Arial" w:hAnsi="Arial" w:cs="Arial"/>
          <w:sz w:val="21"/>
          <w:szCs w:val="21"/>
        </w:rPr>
        <w:t>东至海南琼珠海岸实业开发有限公司、西至海南宝通实业公司、南至滨海大道、北至琼州海峡</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现状四至：</w:t>
      </w:r>
      <w:commentRangeStart w:id="7"/>
      <w:r>
        <w:rPr>
          <w:rFonts w:ascii="Arial" w:hAnsi="Arial" w:cs="Arial"/>
          <w:sz w:val="21"/>
          <w:szCs w:val="21"/>
        </w:rPr>
        <w:t>现状四至：</w:t>
      </w:r>
      <w:r>
        <w:rPr>
          <w:rFonts w:ascii="Arial" w:hAnsi="Arial" w:cs="Arial"/>
          <w:sz w:val="21"/>
          <w:szCs w:val="21"/>
        </w:rPr>
      </w:r>
      <w:commentRangeEnd w:id="7"/>
      <w:r>
        <w:commentReference w:id="7"/>
      </w:r>
      <w:r>
        <w:rPr>
          <w:rFonts w:ascii="Arial" w:hAnsi="Arial" w:cs="Arial"/>
          <w:sz w:val="21"/>
          <w:szCs w:val="21"/>
        </w:rPr>
        <w:t>东至美锦熙海、西至宝通花园、南至滨海大道、北至琼州海峡</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r>
        <w:br w:type="page"/>
      </w:r>
    </w:p>
    <w:p>
      <w:pPr>
        <w:pStyle w:val="Normal"/>
        <w:overflowPunct w:val="false"/>
        <w:spacing w:lineRule="auto" w:line="480"/>
        <w:ind w:firstLine="420"/>
        <w:jc w:val="both"/>
        <w:textAlignment w:val="auto"/>
        <w:rPr>
          <w:rFonts w:ascii="Arial" w:hAnsi="Arial" w:eastAsia="Arial" w:cs="Arial"/>
          <w:b/>
          <w:b/>
          <w:color w:val="548DD4"/>
          <w:sz w:val="21"/>
          <w:szCs w:val="21"/>
        </w:rPr>
      </w:pPr>
      <w:r>
        <w:rPr>
          <w:rFonts w:ascii="Arial" w:hAnsi="Arial" w:cs="Arial" w:eastAsia="Arial"/>
          <w:b/>
          <w:color w:val="548DD4"/>
          <w:sz w:val="21"/>
          <w:szCs w:val="21"/>
        </w:rPr>
        <w:t xml:space="preserve"> </w:t>
      </w:r>
    </w:p>
    <w:tbl>
      <w:tblPr>
        <w:tblW w:w="9344" w:type="dxa"/>
        <w:jc w:val="center"/>
        <w:tblInd w:w="0" w:type="dxa"/>
        <w:tblCellMar>
          <w:top w:w="0" w:type="dxa"/>
          <w:left w:w="0" w:type="dxa"/>
          <w:bottom w:w="0" w:type="dxa"/>
          <w:right w:w="0" w:type="dxa"/>
        </w:tblCellMar>
      </w:tblPr>
      <w:tblGrid>
        <w:gridCol w:w="285"/>
        <w:gridCol w:w="8647"/>
        <w:gridCol w:w="367"/>
        <w:gridCol w:w="45"/>
      </w:tblGrid>
      <w:tr>
        <w:trPr>
          <w:trHeight w:val="5670" w:hRule="exact"/>
          <w:cantSplit w:val="true"/>
        </w:trPr>
        <w:tc>
          <w:tcPr>
            <w:tcW w:w="285" w:type="dxa"/>
            <w:tcBorders/>
            <w:shd w:fill="auto" w:val="clear"/>
          </w:tcPr>
          <w:p>
            <w:pPr>
              <w:pStyle w:val="Normal"/>
              <w:snapToGrid w:val="false"/>
              <w:rPr>
                <w:lang w:val="zh-CN" w:eastAsia="zh-CN"/>
              </w:rPr>
            </w:pPr>
            <w:r>
              <w:rPr>
                <w:lang w:val="zh-CN" w:eastAsia="zh-CN"/>
              </w:rPr>
              <mc:AlternateContent>
                <mc:Choice Requires="wps">
                  <w:drawing>
                    <wp:anchor behindDoc="0" distT="0" distB="0" distL="114935" distR="114935" simplePos="0" locked="0" layoutInCell="1" allowOverlap="1" relativeHeight="42">
                      <wp:simplePos x="0" y="0"/>
                      <wp:positionH relativeFrom="margin">
                        <wp:posOffset>1050925</wp:posOffset>
                      </wp:positionH>
                      <wp:positionV relativeFrom="paragraph">
                        <wp:posOffset>175260</wp:posOffset>
                      </wp:positionV>
                      <wp:extent cx="1192530" cy="3070860"/>
                      <wp:effectExtent l="0" t="0" r="0" b="0"/>
                      <wp:wrapNone/>
                      <wp:docPr id="11" name="直接连接符 4"/>
                      <a:graphic xmlns:a="http://schemas.openxmlformats.org/drawingml/2006/main">
                        <a:graphicData uri="http://schemas.microsoft.com/office/word/2010/wordprocessingShape">
                          <wps:wsp>
                            <wps:cNvSpPr/>
                            <wps:spPr>
                              <a:xfrm flipH="1">
                                <a:off x="0" y="0"/>
                                <a:ext cx="1191960" cy="3069720"/>
                              </a:xfrm>
                              <a:prstGeom prst="line">
                                <a:avLst/>
                              </a:prstGeom>
                              <a:ln w="28440">
                                <a:solidFill>
                                  <a:srgbClr val="4a7ebb"/>
                                </a:solidFill>
                                <a:miter/>
                              </a:ln>
                            </wps:spPr>
                            <wps:style>
                              <a:lnRef idx="0"/>
                              <a:fillRef idx="0"/>
                              <a:effectRef idx="0"/>
                              <a:fontRef idx="minor"/>
                            </wps:style>
                            <wps:bodyPr/>
                          </wps:wsp>
                        </a:graphicData>
                      </a:graphic>
                    </wp:anchor>
                  </w:drawing>
                </mc:Choice>
                <mc:Fallback>
                  <w:pict>
                    <v:line id="shape_0" from="0.05pt,47.2pt" to="93.85pt,288.85pt" ID="直接连接符 4" stroked="t" style="position:absolute;flip:x;mso-position-horizontal-relative:margin">
                      <v:stroke color="#4a7ebb" weight="28440" joinstyle="miter" endcap="square"/>
                      <v:fill o:detectmouseclick="t" on="false"/>
                    </v:line>
                  </w:pict>
                </mc:Fallback>
              </mc:AlternateContent>
            </w:r>
          </w:p>
        </w:tc>
        <w:tc>
          <w:tcPr>
            <w:tcW w:w="8647" w:type="dxa"/>
            <w:tcBorders/>
            <w:shd w:fill="auto" w:val="clear"/>
          </w:tcPr>
          <w:p>
            <w:pPr>
              <w:pStyle w:val="Normal"/>
              <w:jc w:val="center"/>
              <w:rPr>
                <w:lang w:val="zh-CN" w:eastAsia="zh-CN"/>
              </w:rPr>
            </w:pPr>
            <w:r>
              <w:rPr>
                <w:lang w:val="zh-CN" w:eastAsia="zh-CN"/>
              </w:rPr>
              <w:drawing>
                <wp:inline distT="0" distB="0" distL="0" distR="0">
                  <wp:extent cx="5233670" cy="3601085"/>
                  <wp:effectExtent l="0" t="0" r="0" b="0"/>
                  <wp:docPr id="14"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
                          <pic:cNvPicPr>
                            <a:picLocks noChangeAspect="1" noChangeArrowheads="1"/>
                          </pic:cNvPicPr>
                        </pic:nvPicPr>
                        <pic:blipFill>
                          <a:blip r:embed="rId18"/>
                          <a:srcRect l="-4" t="-7" r="-4" b="-7"/>
                          <a:stretch>
                            <a:fillRect/>
                          </a:stretch>
                        </pic:blipFill>
                        <pic:spPr bwMode="auto">
                          <a:xfrm>
                            <a:off x="0" y="0"/>
                            <a:ext cx="5233670" cy="3601085"/>
                          </a:xfrm>
                          <a:prstGeom prst="rect">
                            <a:avLst/>
                          </a:prstGeom>
                        </pic:spPr>
                      </pic:pic>
                    </a:graphicData>
                  </a:graphic>
                </wp:inline>
              </w:drawing>
              <mc:AlternateContent>
                <mc:Choice Requires="wps">
                  <w:drawing>
                    <wp:anchor behindDoc="0" distT="0" distB="0" distL="114935" distR="114935" simplePos="0" locked="0" layoutInCell="1" allowOverlap="1" relativeHeight="43">
                      <wp:simplePos x="0" y="0"/>
                      <wp:positionH relativeFrom="margin">
                        <wp:posOffset>1862455</wp:posOffset>
                      </wp:positionH>
                      <wp:positionV relativeFrom="paragraph">
                        <wp:posOffset>1572260</wp:posOffset>
                      </wp:positionV>
                      <wp:extent cx="4350385" cy="3070225"/>
                      <wp:effectExtent l="0" t="0" r="0" b="0"/>
                      <wp:wrapNone/>
                      <wp:docPr id="12" name="直接连接符 5"/>
                      <a:graphic xmlns:a="http://schemas.openxmlformats.org/drawingml/2006/main">
                        <a:graphicData uri="http://schemas.microsoft.com/office/word/2010/wordprocessingShape">
                          <wps:wsp>
                            <wps:cNvSpPr/>
                            <wps:spPr>
                              <a:xfrm>
                                <a:off x="0" y="0"/>
                                <a:ext cx="4349880" cy="3069720"/>
                              </a:xfrm>
                              <a:prstGeom prst="line">
                                <a:avLst/>
                              </a:prstGeom>
                              <a:ln w="28440">
                                <a:solidFill>
                                  <a:srgbClr val="4a7ebb"/>
                                </a:solidFill>
                                <a:miter/>
                              </a:ln>
                            </wps:spPr>
                            <wps:style>
                              <a:lnRef idx="0"/>
                              <a:fillRef idx="0"/>
                              <a:effectRef idx="0"/>
                              <a:fontRef idx="minor"/>
                            </wps:style>
                            <wps:bodyPr/>
                          </wps:wsp>
                        </a:graphicData>
                      </a:graphic>
                    </wp:anchor>
                  </w:drawing>
                </mc:Choice>
                <mc:Fallback>
                  <w:pict>
                    <v:line id="shape_0" from="108.3pt,47.2pt" to="450.75pt,288.85pt" ID="直接连接符 5" stroked="t" style="position:absolute;mso-position-horizontal-relative:margin">
                      <v:stroke color="#4a7ebb" weight="28440" joinstyle="miter" endcap="square"/>
                      <v:fill o:detectmouseclick="t" on="false"/>
                    </v:line>
                  </w:pict>
                </mc:Fallback>
              </mc:AlternateContent>
              <mc:AlternateContent>
                <mc:Choice Requires="wps">
                  <w:drawing>
                    <wp:anchor behindDoc="0" distT="0" distB="0" distL="114935" distR="114935" simplePos="0" locked="0" layoutInCell="1" allowOverlap="1" relativeHeight="44">
                      <wp:simplePos x="0" y="0"/>
                      <wp:positionH relativeFrom="margin">
                        <wp:posOffset>1011555</wp:posOffset>
                      </wp:positionH>
                      <wp:positionV relativeFrom="margin">
                        <wp:posOffset>370840</wp:posOffset>
                      </wp:positionV>
                      <wp:extent cx="364490" cy="229235"/>
                      <wp:effectExtent l="0" t="0" r="0" b="0"/>
                      <wp:wrapNone/>
                      <wp:docPr id="13" name=""/>
                      <a:graphic xmlns:a="http://schemas.openxmlformats.org/drawingml/2006/main">
                        <a:graphicData uri="http://schemas.microsoft.com/office/word/2010/wordprocessingShape">
                          <wps:wsp>
                            <wps:cNvSpPr/>
                            <wps:spPr>
                              <a:xfrm>
                                <a:off x="0" y="0"/>
                                <a:ext cx="363960" cy="228600"/>
                              </a:xfrm>
                              <a:prstGeom prst="rect">
                                <a:avLst/>
                              </a:prstGeom>
                              <a:noFill/>
                              <a:ln w="28440">
                                <a:solidFill>
                                  <a:srgbClr val="4f81bd"/>
                                </a:solidFill>
                                <a:miter/>
                              </a:ln>
                            </wps:spPr>
                            <wps:style>
                              <a:lnRef idx="0"/>
                              <a:fillRef idx="0"/>
                              <a:effectRef idx="0"/>
                              <a:fontRef idx="minor"/>
                            </wps:style>
                            <wps:bodyPr/>
                          </wps:wsp>
                        </a:graphicData>
                      </a:graphic>
                    </wp:anchor>
                  </w:drawing>
                </mc:Choice>
                <mc:Fallback>
                  <w:pict>
                    <v:rect id="shape_0" stroked="t" style="position:absolute;margin-left:79.65pt;margin-top:29.2pt;width:28.6pt;height:17.95pt;mso-position-horizontal-relative:margin;mso-position-vertical-relative:margin">
                      <w10:wrap type="none"/>
                      <v:fill o:detectmouseclick="t" on="false"/>
                      <v:stroke color="#4f81bd" weight="28440" joinstyle="miter" endcap="square"/>
                    </v:rect>
                  </w:pict>
                </mc:Fallback>
              </mc:AlternateContent>
            </w:r>
          </w:p>
        </w:tc>
        <w:tc>
          <w:tcPr>
            <w:tcW w:w="367" w:type="dxa"/>
            <w:tcBorders/>
            <w:shd w:fill="auto" w:val="clear"/>
          </w:tcPr>
          <w:p>
            <w:pPr>
              <w:pStyle w:val="Normal"/>
              <w:snapToGrid w:val="false"/>
              <w:rPr>
                <w:lang w:val="zh-CN" w:eastAsia="zh-CN"/>
              </w:rPr>
            </w:pPr>
            <w:r>
              <w:rPr>
                <w:lang w:val="zh-CN" w:eastAsia="zh-CN"/>
              </w:rPr>
            </w:r>
          </w:p>
        </w:tc>
      </w:tr>
      <w:tr>
        <w:trPr>
          <w:trHeight w:val="113" w:hRule="exact"/>
          <w:cantSplit w:val="true"/>
        </w:trPr>
        <w:tc>
          <w:tcPr>
            <w:tcW w:w="285" w:type="dxa"/>
            <w:tcBorders>
              <w:bottom w:val="single" w:sz="18" w:space="0" w:color="4F81BD"/>
            </w:tcBorders>
            <w:shd w:fill="auto" w:val="clear"/>
          </w:tcPr>
          <w:p>
            <w:pPr>
              <w:pStyle w:val="Normal"/>
              <w:snapToGrid w:val="false"/>
              <w:rPr>
                <w:lang w:val="zh-CN" w:eastAsia="zh-CN"/>
              </w:rPr>
            </w:pPr>
            <w:r>
              <w:rPr>
                <w:lang w:val="zh-CN" w:eastAsia="zh-CN"/>
              </w:rPr>
            </w:r>
          </w:p>
        </w:tc>
        <w:tc>
          <w:tcPr>
            <w:tcW w:w="8647" w:type="dxa"/>
            <w:tcBorders>
              <w:bottom w:val="single" w:sz="18" w:space="0" w:color="4F81BD"/>
            </w:tcBorders>
            <w:shd w:fill="auto" w:val="clear"/>
          </w:tcPr>
          <w:p>
            <w:pPr>
              <w:pStyle w:val="Normal"/>
              <w:snapToGrid w:val="false"/>
              <w:rPr>
                <w:lang w:val="zh-CN" w:eastAsia="zh-CN"/>
              </w:rPr>
            </w:pPr>
            <w:r>
              <w:rPr>
                <w:lang w:val="zh-CN" w:eastAsia="zh-CN"/>
              </w:rPr>
            </w:r>
          </w:p>
        </w:tc>
        <w:tc>
          <w:tcPr>
            <w:tcW w:w="367" w:type="dxa"/>
            <w:tcBorders>
              <w:bottom w:val="single" w:sz="18" w:space="0" w:color="4F81BD"/>
            </w:tcBorders>
            <w:shd w:fill="auto" w:val="clear"/>
          </w:tcPr>
          <w:p>
            <w:pPr>
              <w:pStyle w:val="Normal"/>
              <w:snapToGrid w:val="false"/>
              <w:rPr>
                <w:lang w:val="zh-CN" w:eastAsia="zh-CN"/>
              </w:rPr>
            </w:pPr>
            <w:r>
              <w:rPr>
                <w:lang w:val="zh-CN" w:eastAsia="zh-CN"/>
              </w:rPr>
            </w:r>
          </w:p>
        </w:tc>
      </w:tr>
      <w:tr>
        <w:trPr>
          <w:trHeight w:val="5670" w:hRule="exact"/>
          <w:cantSplit w:val="true"/>
        </w:trPr>
        <w:tc>
          <w:tcPr>
            <w:tcW w:w="9344" w:type="dxa"/>
            <w:gridSpan w:val="3"/>
            <w:tcBorders>
              <w:top w:val="single" w:sz="18" w:space="0" w:color="4F81BD"/>
              <w:left w:val="single" w:sz="18" w:space="0" w:color="4F81BD"/>
              <w:bottom w:val="single" w:sz="18" w:space="0" w:color="4F81BD"/>
              <w:right w:val="single" w:sz="18" w:space="0" w:color="4F81BD"/>
            </w:tcBorders>
            <w:shd w:fill="auto" w:val="clear"/>
          </w:tcPr>
          <w:p>
            <w:pPr>
              <w:pStyle w:val="Normal"/>
              <w:rPr/>
            </w:pPr>
            <w:r>
              <w:rPr>
                <w:lang w:val="zh-CN" w:eastAsia="zh-CN"/>
              </w:rPr>
              <w:drawing>
                <wp:inline distT="0" distB="0" distL="0" distR="0">
                  <wp:extent cx="5876290" cy="3201670"/>
                  <wp:effectExtent l="0" t="0" r="0" b="0"/>
                  <wp:docPr id="17" name="图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像1" descr=""/>
                          <pic:cNvPicPr>
                            <a:picLocks noChangeAspect="1" noChangeArrowheads="1"/>
                          </pic:cNvPicPr>
                        </pic:nvPicPr>
                        <pic:blipFill>
                          <a:blip r:embed="rId19"/>
                          <a:srcRect l="-4" t="-7" r="-4" b="-7"/>
                          <a:stretch>
                            <a:fillRect/>
                          </a:stretch>
                        </pic:blipFill>
                        <pic:spPr bwMode="auto">
                          <a:xfrm>
                            <a:off x="0" y="0"/>
                            <a:ext cx="5876290" cy="3201670"/>
                          </a:xfrm>
                          <a:prstGeom prst="rect">
                            <a:avLst/>
                          </a:prstGeom>
                        </pic:spPr>
                      </pic:pic>
                    </a:graphicData>
                  </a:graphic>
                </wp:inline>
              </w:drawing>
              <mc:AlternateContent>
                <mc:Choice Requires="wps">
                  <w:drawing>
                    <wp:anchor behindDoc="0" distT="0" distB="0" distL="114935" distR="114935" simplePos="0" locked="0" layoutInCell="1" allowOverlap="1" relativeHeight="41">
                      <wp:simplePos x="0" y="0"/>
                      <wp:positionH relativeFrom="margin">
                        <wp:posOffset>2735580</wp:posOffset>
                      </wp:positionH>
                      <wp:positionV relativeFrom="paragraph">
                        <wp:posOffset>581025</wp:posOffset>
                      </wp:positionV>
                      <wp:extent cx="915035" cy="290195"/>
                      <wp:effectExtent l="0" t="0" r="0" b="0"/>
                      <wp:wrapNone/>
                      <wp:docPr id="15" name="线形标注 1 6"/>
                      <a:graphic xmlns:a="http://schemas.openxmlformats.org/drawingml/2006/main">
                        <a:graphicData uri="http://schemas.microsoft.com/office/word/2010/wordprocessingShape">
                          <wps:wsp>
                            <wps:cNvSpPr/>
                            <wps:spPr>
                              <a:xfrm>
                                <a:off x="0" y="0"/>
                                <a:ext cx="914400" cy="289440"/>
                              </a:xfrm>
                              <a:prstGeom prst="borderCallout1">
                                <a:avLst>
                                  <a:gd name="adj1" fmla="val 18750"/>
                                  <a:gd name="adj2" fmla="val -8333"/>
                                  <a:gd name="adj3" fmla="val 113425"/>
                                  <a:gd name="adj4" fmla="val -38425"/>
                                </a:avLst>
                              </a:prstGeom>
                              <a:solidFill>
                                <a:srgbClr val="4f81bd"/>
                              </a:solidFill>
                              <a:ln w="25560">
                                <a:solidFill>
                                  <a:srgbClr val="385d8a"/>
                                </a:solidFill>
                                <a:miter/>
                              </a:ln>
                            </wps:spPr>
                            <wps:style>
                              <a:lnRef idx="0"/>
                              <a:fillRef idx="0"/>
                              <a:effectRef idx="0"/>
                              <a:fontRef idx="minor"/>
                            </wps:style>
                            <wps:txbx>
                              <w:txbxContent>
                                <w:p>
                                  <w:pPr>
                                    <w:overflowPunct w:val="false"/>
                                    <w:bidi w:val="0"/>
                                    <w:spacing w:lineRule="exact" w:line="240"/>
                                    <w:jc w:val="center"/>
                                    <w:rPr/>
                                  </w:pPr>
                                  <w:r>
                                    <w:rPr>
                                      <w:kern w:val="2"/>
                                      <w:sz w:val="24"/>
                                      <w:szCs w:val="20"/>
                                      <w:b/>
                                      <w:rFonts w:ascii="Times New Roman" w:hAnsi="Times New Roman" w:eastAsia="宋体;SimSun" w:cs="Times New Roman"/>
                                      <w:color w:val="FFFFFF"/>
                                      <w:lang w:val="en-US" w:eastAsia="zh-CN" w:bidi="ar-SA"/>
                                    </w:rPr>
                                    <w:t>估价对象</w:t>
                                  </w:r>
                                </w:p>
                              </w:txbxContent>
                            </wps:txbx>
                            <wps:bodyPr anchor="ctr">
                              <a:noAutofit/>
                            </wps:bodyPr>
                          </wps:wsp>
                        </a:graphicData>
                      </a:graphic>
                    </wp:anchor>
                  </w:drawing>
                </mc:Choice>
                <mc:Fallback>
                  <w:pict>
                    <v:shapetype id="shapetype_180" coordsize="21600,21600" o:spt="180" adj="-8280,24300,-1800,4050" path="m,l21600,l21600,21600l,21600xem@1@0l@3@2nfe">
                      <v:stroke joinstyle="miter"/>
                      <v:formulas>
                        <v:f eqn="val #3"/>
                        <v:f eqn="val #2"/>
                        <v:f eqn="val #1"/>
                        <v:f eqn="val #0"/>
                      </v:formulas>
                      <v:path gradientshapeok="t" o:connecttype="rect" textboxrect="0,0,21600,21600"/>
                      <v:handles>
                        <v:h position="@1,@0"/>
                        <v:h position="@3,@2"/>
                      </v:handles>
                    </v:shapetype>
                    <v:shape id="shape_0" ID="线形标注 1 6" fillcolor="#4f81bd" stroked="t" style="position:absolute;margin-left:215.4pt;margin-top:45.75pt;width:71.95pt;height:22.75pt;mso-position-horizontal-relative:margin" type="shapetype_180">
                      <v:textbox>
                        <w:txbxContent>
                          <w:p>
                            <w:pPr>
                              <w:overflowPunct w:val="false"/>
                              <w:bidi w:val="0"/>
                              <w:spacing w:lineRule="exact" w:line="240"/>
                              <w:jc w:val="center"/>
                              <w:rPr/>
                            </w:pPr>
                            <w:r>
                              <w:rPr>
                                <w:kern w:val="2"/>
                                <w:sz w:val="24"/>
                                <w:szCs w:val="20"/>
                                <w:b/>
                                <w:rFonts w:ascii="Times New Roman" w:hAnsi="Times New Roman" w:eastAsia="宋体;SimSun" w:cs="Times New Roman"/>
                                <w:color w:val="FFFFFF"/>
                                <w:lang w:val="en-US" w:eastAsia="zh-CN" w:bidi="ar-SA"/>
                              </w:rPr>
                              <w:t>估价对象</w:t>
                            </w:r>
                          </w:p>
                        </w:txbxContent>
                      </v:textbox>
                      <w10:wrap type="square"/>
                      <v:fill o:detectmouseclick="t" type="solid" color2="#b07e42"/>
                      <v:stroke color="#385d8a" weight="25560" joinstyle="miter" endcap="square"/>
                    </v:shape>
                  </w:pict>
                </mc:Fallback>
              </mc:AlternateContent>
              <mc:AlternateContent>
                <mc:Choice Requires="wps">
                  <w:drawing>
                    <wp:anchor behindDoc="0" distT="0" distB="0" distL="114935" distR="114935" simplePos="0" locked="0" layoutInCell="1" allowOverlap="1" relativeHeight="45">
                      <wp:simplePos x="0" y="0"/>
                      <wp:positionH relativeFrom="margin">
                        <wp:posOffset>1967865</wp:posOffset>
                      </wp:positionH>
                      <wp:positionV relativeFrom="margin">
                        <wp:posOffset>514350</wp:posOffset>
                      </wp:positionV>
                      <wp:extent cx="400685" cy="1128395"/>
                      <wp:effectExtent l="0" t="0" r="0" b="0"/>
                      <wp:wrapNone/>
                      <wp:docPr id="16" name=""/>
                      <a:graphic xmlns:a="http://schemas.openxmlformats.org/drawingml/2006/main">
                        <a:graphicData uri="http://schemas.microsoft.com/office/word/2010/wordprocessingShape">
                          <wps:wsp>
                            <wps:cNvSpPr/>
                            <wps:spPr>
                              <a:xfrm>
                                <a:off x="0" y="0"/>
                                <a:ext cx="399960" cy="1127880"/>
                              </a:xfrm>
                              <a:prstGeom prst="rect">
                                <a:avLst/>
                              </a:prstGeom>
                              <a:noFill/>
                              <a:ln w="38160">
                                <a:solidFill>
                                  <a:srgbClr val="2f5496"/>
                                </a:solidFill>
                                <a:miter/>
                              </a:ln>
                              <a:effectLst>
                                <a:outerShdw dist="25630" dir="3633274">
                                  <a:srgbClr val="1f3763">
                                    <a:alpha val="50000"/>
                                  </a:srgbClr>
                                </a:outerShdw>
                              </a:effectLst>
                            </wps:spPr>
                            <wps:style>
                              <a:lnRef idx="0"/>
                              <a:fillRef idx="0"/>
                              <a:effectRef idx="0"/>
                              <a:fontRef idx="minor"/>
                            </wps:style>
                            <wps:bodyPr/>
                          </wps:wsp>
                        </a:graphicData>
                      </a:graphic>
                    </wp:anchor>
                  </w:drawing>
                </mc:Choice>
                <mc:Fallback>
                  <w:pict>
                    <v:rect id="shape_0" stroked="t" style="position:absolute;margin-left:154.95pt;margin-top:40.5pt;width:31.45pt;height:88.75pt;mso-position-horizontal-relative:margin;mso-position-vertical-relative:margin">
                      <w10:wrap type="none"/>
                      <v:fill o:detectmouseclick="t" on="false"/>
                      <v:stroke color="#2f5496" weight="38160" joinstyle="miter" endcap="square"/>
                      <v:shadow on="t" obscured="f" color="#1f3763"/>
                    </v:rect>
                  </w:pict>
                </mc:Fallback>
              </mc:AlternateContent>
            </w:r>
          </w:p>
        </w:tc>
      </w:tr>
    </w:tbl>
    <w:p>
      <w:pPr>
        <w:pStyle w:val="Normal"/>
        <w:overflowPunct w:val="false"/>
        <w:spacing w:lineRule="exact" w:line="240"/>
        <w:ind w:firstLine="420"/>
        <w:jc w:val="both"/>
        <w:textAlignment w:val="auto"/>
        <w:rPr>
          <w:rFonts w:ascii="Arial" w:hAnsi="Arial" w:cs="Arial"/>
          <w:i/>
          <w:i/>
          <w:sz w:val="21"/>
          <w:szCs w:val="21"/>
        </w:rPr>
      </w:pPr>
      <w:r>
        <w:rPr>
          <w:rFonts w:cs="Arial" w:ascii="Arial" w:hAnsi="Arial"/>
          <w:i/>
          <w:sz w:val="21"/>
          <w:szCs w:val="21"/>
        </w:rPr>
      </w:r>
    </w:p>
    <w:p>
      <w:pPr>
        <w:pStyle w:val="Normal"/>
        <w:overflowPunct w:val="false"/>
        <w:spacing w:lineRule="auto" w:line="480"/>
        <w:ind w:firstLine="420"/>
        <w:jc w:val="both"/>
        <w:textAlignment w:val="auto"/>
        <w:rPr>
          <w:rFonts w:ascii="Arial" w:hAnsi="Arial" w:cs="Arial"/>
          <w:bCs/>
          <w:sz w:val="21"/>
          <w:szCs w:val="21"/>
        </w:rPr>
      </w:pPr>
      <w:r>
        <w:rPr>
          <w:rFonts w:ascii="Arial" w:hAnsi="Arial" w:cs="Arial"/>
          <w:bCs/>
          <w:sz w:val="21"/>
          <w:szCs w:val="21"/>
        </w:rPr>
        <w:t>估价对象位于海南省海口市秀英区，临近琼州海峡，紧临海南环岛旅游公路，距离</w:t>
      </w:r>
      <w:commentRangeStart w:id="8"/>
      <w:r>
        <w:rPr>
          <w:rFonts w:ascii="Arial" w:hAnsi="Arial" w:cs="Arial"/>
          <w:bCs/>
          <w:sz w:val="21"/>
          <w:szCs w:val="21"/>
        </w:rPr>
        <w:t>海口站</w:t>
      </w:r>
      <w:r>
        <w:rPr>
          <w:rFonts w:ascii="Arial" w:hAnsi="Arial" w:cs="Arial"/>
          <w:bCs/>
          <w:sz w:val="21"/>
          <w:szCs w:val="21"/>
        </w:rPr>
      </w:r>
      <w:commentRangeEnd w:id="8"/>
      <w:r>
        <w:commentReference w:id="8"/>
      </w:r>
      <w:r>
        <w:rPr>
          <w:rFonts w:ascii="Arial" w:hAnsi="Arial" w:cs="Arial"/>
          <w:bCs/>
          <w:sz w:val="21"/>
          <w:szCs w:val="21"/>
        </w:rPr>
        <w:t>约</w:t>
      </w:r>
      <w:r>
        <w:rPr>
          <w:rFonts w:cs="Arial" w:ascii="Arial" w:hAnsi="Arial"/>
          <w:bCs/>
          <w:sz w:val="21"/>
          <w:szCs w:val="21"/>
        </w:rPr>
        <w:t>4</w:t>
      </w:r>
      <w:commentRangeStart w:id="9"/>
      <w:r>
        <w:rPr>
          <w:rFonts w:ascii="Arial" w:hAnsi="Arial" w:cs="Arial"/>
          <w:bCs/>
          <w:sz w:val="21"/>
          <w:szCs w:val="21"/>
        </w:rPr>
        <w:t>看</w:t>
      </w:r>
      <w:r>
        <w:rPr>
          <w:rFonts w:ascii="Arial" w:hAnsi="Arial" w:cs="Arial"/>
          <w:bCs/>
          <w:sz w:val="21"/>
          <w:szCs w:val="21"/>
        </w:rPr>
      </w:r>
      <w:commentRangeEnd w:id="9"/>
      <w:r>
        <w:commentReference w:id="9"/>
      </w:r>
      <w:r>
        <w:rPr>
          <w:rFonts w:cs="Arial" w:ascii="Arial" w:hAnsi="Arial"/>
          <w:bCs/>
          <w:sz w:val="21"/>
          <w:szCs w:val="21"/>
        </w:rPr>
        <w:t>km</w:t>
      </w:r>
      <w:r>
        <w:rPr>
          <w:rFonts w:ascii="Arial" w:hAnsi="Arial" w:cs="Arial"/>
          <w:bCs/>
          <w:sz w:val="21"/>
          <w:szCs w:val="21"/>
        </w:rPr>
        <w:t>，距离海口新海港客运综合枢纽站约</w:t>
      </w:r>
      <w:r>
        <w:rPr>
          <w:rFonts w:cs="Arial" w:ascii="Arial" w:hAnsi="Arial"/>
          <w:bCs/>
          <w:sz w:val="21"/>
          <w:szCs w:val="21"/>
        </w:rPr>
        <w:t>2.7km</w:t>
      </w:r>
      <w:r>
        <w:rPr>
          <w:rFonts w:ascii="Arial" w:hAnsi="Arial" w:cs="Arial"/>
          <w:bCs/>
          <w:sz w:val="21"/>
          <w:szCs w:val="21"/>
        </w:rPr>
        <w:t>，距离海口美兰机场约</w:t>
      </w:r>
      <w:r>
        <w:rPr>
          <w:rFonts w:cs="Arial" w:ascii="Arial" w:hAnsi="Arial"/>
          <w:bCs/>
          <w:sz w:val="21"/>
          <w:szCs w:val="21"/>
        </w:rPr>
        <w:t>32.5km</w:t>
      </w:r>
      <w:r>
        <w:rPr>
          <w:rFonts w:ascii="Arial" w:hAnsi="Arial" w:cs="Arial"/>
          <w:bCs/>
          <w:sz w:val="21"/>
          <w:szCs w:val="21"/>
        </w:rPr>
        <w:t>。</w:t>
      </w:r>
    </w:p>
    <w:p>
      <w:pPr>
        <w:pStyle w:val="Normal"/>
        <w:overflowPunct w:val="false"/>
        <w:spacing w:lineRule="auto" w:line="480"/>
        <w:ind w:firstLine="420"/>
        <w:jc w:val="both"/>
        <w:textAlignment w:val="auto"/>
        <w:rPr/>
      </w:pPr>
      <w:r>
        <w:rPr>
          <w:rFonts w:cs="Arial" w:ascii="Arial" w:hAnsi="Arial"/>
          <w:sz w:val="21"/>
          <w:szCs w:val="21"/>
        </w:rPr>
        <w:t>4.</w:t>
      </w:r>
      <w:r>
        <w:rPr>
          <w:rFonts w:ascii="Arial" w:hAnsi="Arial" w:cs="Arial"/>
          <w:sz w:val="21"/>
          <w:szCs w:val="21"/>
        </w:rPr>
        <w:t>估价对象所属项目用地呈规则形状，场地地势较平坦。</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t>5.</w:t>
      </w:r>
      <w:r>
        <w:rPr>
          <w:rFonts w:ascii="Arial" w:hAnsi="Arial" w:cs="Arial"/>
          <w:sz w:val="21"/>
          <w:szCs w:val="21"/>
        </w:rPr>
        <w:t>基础设施状况：</w:t>
      </w:r>
    </w:p>
    <w:p>
      <w:pPr>
        <w:pStyle w:val="Normal"/>
        <w:overflowPunct w:val="false"/>
        <w:spacing w:lineRule="auto" w:line="480"/>
        <w:ind w:firstLine="420"/>
        <w:jc w:val="both"/>
        <w:textAlignment w:val="auto"/>
        <w:rPr/>
      </w:pPr>
      <w:r>
        <w:rPr>
          <w:rFonts w:ascii="Arial" w:hAnsi="Arial" w:cs="Arial"/>
          <w:sz w:val="21"/>
          <w:szCs w:val="21"/>
        </w:rPr>
        <w:t>估价对象现状市政基础设施完备，达</w:t>
      </w:r>
      <w:r>
        <w:rPr>
          <w:rFonts w:ascii="Arial" w:hAnsi="Arial" w:cs="Arial"/>
          <w:sz w:val="21"/>
          <w:szCs w:val="21"/>
        </w:rPr>
        <w:t>“六</w:t>
      </w:r>
      <w:r>
        <w:rPr>
          <w:rFonts w:ascii="Arial" w:hAnsi="Arial" w:cs="Arial"/>
          <w:sz w:val="21"/>
          <w:szCs w:val="21"/>
        </w:rPr>
        <w:t>通</w:t>
      </w:r>
      <w:r>
        <w:rPr>
          <w:rFonts w:ascii="Arial" w:hAnsi="Arial" w:cs="Arial"/>
          <w:sz w:val="21"/>
          <w:szCs w:val="21"/>
        </w:rPr>
        <w:t>”</w:t>
      </w:r>
      <w:r>
        <w:rPr>
          <w:rFonts w:ascii="Arial" w:hAnsi="Arial" w:cs="Arial"/>
          <w:sz w:val="21"/>
          <w:szCs w:val="21"/>
        </w:rPr>
        <w:t>（即通路、通电、通讯、通上水、通下水、通燃气）。</w:t>
      </w:r>
    </w:p>
    <w:p>
      <w:pPr>
        <w:pStyle w:val="Normal"/>
        <w:overflowPunct w:val="false"/>
        <w:spacing w:lineRule="auto" w:line="480"/>
        <w:jc w:val="both"/>
        <w:textAlignment w:val="auto"/>
        <w:rPr>
          <w:rFonts w:ascii="Arial" w:hAnsi="Arial" w:cs="Arial"/>
          <w:b/>
          <w:b/>
          <w:kern w:val="2"/>
          <w:sz w:val="21"/>
          <w:szCs w:val="21"/>
        </w:rPr>
      </w:pPr>
      <w:r>
        <w:rPr>
          <w:rFonts w:ascii="Arial" w:hAnsi="Arial" w:cs="Arial"/>
          <w:b/>
          <w:kern w:val="2"/>
          <w:sz w:val="21"/>
          <w:szCs w:val="21"/>
        </w:rPr>
        <w:t>（四）建筑物基本状况</w:t>
      </w:r>
    </w:p>
    <w:p>
      <w:pPr>
        <w:pStyle w:val="Normal"/>
        <w:overflowPunct w:val="false"/>
        <w:spacing w:lineRule="auto" w:line="480"/>
        <w:ind w:firstLine="420"/>
        <w:jc w:val="both"/>
        <w:textAlignment w:val="auto"/>
        <w:rPr/>
      </w:pPr>
      <w:r>
        <w:rPr>
          <w:rFonts w:ascii="Arial" w:hAnsi="Arial" w:cs="Arial"/>
          <w:sz w:val="21"/>
          <w:szCs w:val="21"/>
        </w:rPr>
        <w:t>估价对象</w:t>
      </w:r>
      <w:r>
        <w:rPr>
          <w:rFonts w:ascii="Arial" w:hAnsi="Arial" w:cs="Arial"/>
          <w:kern w:val="2"/>
          <w:sz w:val="21"/>
          <w:szCs w:val="21"/>
        </w:rPr>
        <w:t>属海南省政协干部培训中心及海南金石投资有限公司合作开发建设的“金石海岸”</w:t>
      </w:r>
      <w:r>
        <w:rPr>
          <w:rFonts w:ascii="Arial" w:hAnsi="Arial" w:cs="Arial" w:eastAsia="Arial"/>
          <w:kern w:val="2"/>
          <w:sz w:val="21"/>
          <w:szCs w:val="21"/>
        </w:rPr>
        <w:t xml:space="preserve"> </w:t>
      </w:r>
      <w:r>
        <w:rPr>
          <w:rFonts w:ascii="Arial" w:hAnsi="Arial" w:cs="Arial"/>
          <w:kern w:val="2"/>
          <w:sz w:val="21"/>
          <w:szCs w:val="21"/>
        </w:rPr>
        <w:t>商业项目</w:t>
      </w:r>
      <w:r>
        <w:rPr>
          <w:rFonts w:ascii="Arial" w:hAnsi="Arial" w:cs="Arial"/>
          <w:sz w:val="21"/>
          <w:szCs w:val="21"/>
        </w:rPr>
        <w:t>。该项目分为北区和南区，总用地面积</w:t>
      </w:r>
      <w:r>
        <w:rPr>
          <w:rFonts w:cs="Arial" w:ascii="Arial" w:hAnsi="Arial"/>
          <w:sz w:val="21"/>
          <w:szCs w:val="21"/>
        </w:rPr>
        <w:t>80634.87</w:t>
      </w:r>
      <w:r>
        <w:rPr>
          <w:rFonts w:ascii="Arial" w:hAnsi="Arial" w:cs="Arial"/>
          <w:sz w:val="21"/>
          <w:szCs w:val="21"/>
        </w:rPr>
        <w:t>平方米，总建筑面积为</w:t>
      </w:r>
      <w:r>
        <w:rPr>
          <w:rFonts w:cs="Arial" w:ascii="Arial" w:hAnsi="Arial"/>
          <w:sz w:val="21"/>
          <w:szCs w:val="21"/>
        </w:rPr>
        <w:t>65031.89</w:t>
      </w:r>
      <w:r>
        <w:rPr>
          <w:rFonts w:ascii="Arial" w:hAnsi="Arial" w:cs="Arial"/>
          <w:sz w:val="21"/>
          <w:szCs w:val="21"/>
        </w:rPr>
        <w:t>平方米。其中：</w:t>
      </w:r>
    </w:p>
    <w:p>
      <w:pPr>
        <w:pStyle w:val="Normal"/>
        <w:overflowPunct w:val="false"/>
        <w:spacing w:lineRule="auto" w:line="480"/>
        <w:ind w:firstLine="420"/>
        <w:jc w:val="both"/>
        <w:textAlignment w:val="auto"/>
        <w:rPr/>
      </w:pPr>
      <w:r>
        <w:rPr>
          <w:rFonts w:ascii="Arial" w:hAnsi="Arial" w:cs="Arial"/>
          <w:sz w:val="21"/>
          <w:szCs w:val="21"/>
        </w:rPr>
        <w:t>北区用地面积</w:t>
      </w:r>
      <w:r>
        <w:rPr>
          <w:rFonts w:cs="Arial" w:ascii="Arial" w:hAnsi="Arial"/>
          <w:sz w:val="21"/>
          <w:szCs w:val="21"/>
        </w:rPr>
        <w:t>64507.9</w:t>
      </w:r>
      <w:r>
        <w:rPr>
          <w:rFonts w:ascii="Arial" w:hAnsi="Arial" w:cs="Arial"/>
          <w:sz w:val="21"/>
          <w:szCs w:val="21"/>
        </w:rPr>
        <w:t>平方米，建筑面积</w:t>
      </w:r>
      <w:r>
        <w:rPr>
          <w:rFonts w:cs="Arial" w:ascii="Arial" w:hAnsi="Arial"/>
          <w:sz w:val="21"/>
          <w:szCs w:val="21"/>
        </w:rPr>
        <w:t>25601.87</w:t>
      </w:r>
      <w:r>
        <w:rPr>
          <w:rFonts w:ascii="Arial" w:hAnsi="Arial" w:cs="Arial"/>
          <w:sz w:val="21"/>
          <w:szCs w:val="21"/>
        </w:rPr>
        <w:t>平方米。北区建有</w:t>
      </w:r>
      <w:r>
        <w:rPr>
          <w:rFonts w:cs="Arial" w:ascii="Arial" w:hAnsi="Arial"/>
          <w:sz w:val="21"/>
          <w:szCs w:val="21"/>
        </w:rPr>
        <w:t>44</w:t>
      </w:r>
      <w:r>
        <w:rPr>
          <w:rFonts w:ascii="Arial" w:hAnsi="Arial" w:cs="Arial"/>
          <w:sz w:val="21"/>
          <w:szCs w:val="21"/>
        </w:rPr>
        <w:t>栋独栋产权式酒店（别墅）和一栋会所（现做销售中心使用），均为</w:t>
      </w:r>
      <w:r>
        <w:rPr>
          <w:rFonts w:cs="Arial" w:ascii="Arial" w:hAnsi="Arial"/>
          <w:sz w:val="21"/>
          <w:szCs w:val="21"/>
        </w:rPr>
        <w:t>4</w:t>
      </w:r>
      <w:r>
        <w:rPr>
          <w:rFonts w:ascii="Arial" w:hAnsi="Arial" w:cs="Arial"/>
          <w:sz w:val="21"/>
          <w:szCs w:val="21"/>
        </w:rPr>
        <w:t>层（地上</w:t>
      </w:r>
      <w:r>
        <w:rPr>
          <w:rFonts w:cs="Arial" w:ascii="Arial" w:hAnsi="Arial"/>
          <w:sz w:val="21"/>
          <w:szCs w:val="21"/>
        </w:rPr>
        <w:t>3</w:t>
      </w:r>
      <w:r>
        <w:rPr>
          <w:rFonts w:ascii="Arial" w:hAnsi="Arial" w:cs="Arial"/>
          <w:sz w:val="21"/>
          <w:szCs w:val="21"/>
        </w:rPr>
        <w:t>层、地下</w:t>
      </w:r>
      <w:r>
        <w:rPr>
          <w:rFonts w:cs="Arial" w:ascii="Arial" w:hAnsi="Arial"/>
          <w:sz w:val="21"/>
          <w:szCs w:val="21"/>
        </w:rPr>
        <w:t>1</w:t>
      </w:r>
      <w:r>
        <w:rPr>
          <w:rFonts w:ascii="Arial" w:hAnsi="Arial" w:cs="Arial"/>
          <w:sz w:val="21"/>
          <w:szCs w:val="21"/>
        </w:rPr>
        <w:t>层）建筑，钢混结构，分</w:t>
      </w:r>
      <w:r>
        <w:rPr>
          <w:rFonts w:cs="Arial" w:ascii="Arial" w:hAnsi="Arial"/>
          <w:sz w:val="21"/>
          <w:szCs w:val="21"/>
        </w:rPr>
        <w:t>5</w:t>
      </w:r>
      <w:r>
        <w:rPr>
          <w:rFonts w:ascii="Arial" w:hAnsi="Arial" w:cs="Arial"/>
          <w:sz w:val="21"/>
          <w:szCs w:val="21"/>
        </w:rPr>
        <w:t>种户型，单套建筑面积在</w:t>
      </w:r>
      <w:r>
        <w:rPr>
          <w:rFonts w:cs="Arial" w:ascii="Arial" w:hAnsi="Arial"/>
          <w:sz w:val="21"/>
          <w:szCs w:val="21"/>
        </w:rPr>
        <w:t>361.31-1247.38</w:t>
      </w:r>
      <w:r>
        <w:rPr>
          <w:rFonts w:ascii="Arial" w:hAnsi="Arial" w:cs="Arial"/>
          <w:sz w:val="21"/>
          <w:szCs w:val="21"/>
        </w:rPr>
        <w:t>平方米。北区于</w:t>
      </w:r>
      <w:r>
        <w:rPr>
          <w:rFonts w:cs="Arial" w:ascii="Arial" w:hAnsi="Arial"/>
          <w:sz w:val="21"/>
          <w:szCs w:val="21"/>
        </w:rPr>
        <w:t>2015</w:t>
      </w:r>
      <w:r>
        <w:rPr>
          <w:rFonts w:ascii="Arial" w:hAnsi="Arial" w:cs="Arial"/>
          <w:sz w:val="21"/>
          <w:szCs w:val="21"/>
        </w:rPr>
        <w:t>年开工建设，</w:t>
      </w:r>
      <w:r>
        <w:rPr>
          <w:rFonts w:cs="Arial" w:ascii="Arial" w:hAnsi="Arial"/>
          <w:sz w:val="21"/>
          <w:szCs w:val="21"/>
        </w:rPr>
        <w:t>2018</w:t>
      </w:r>
      <w:r>
        <w:rPr>
          <w:rFonts w:ascii="Arial" w:hAnsi="Arial" w:cs="Arial"/>
          <w:sz w:val="21"/>
          <w:szCs w:val="21"/>
        </w:rPr>
        <w:t>年完成竣工验收备案，内部毛坯交付。</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南区用地面积</w:t>
      </w:r>
      <w:r>
        <w:rPr>
          <w:rFonts w:cs="Arial" w:ascii="Arial" w:hAnsi="Arial"/>
          <w:sz w:val="21"/>
          <w:szCs w:val="21"/>
        </w:rPr>
        <w:t>16126.97</w:t>
      </w:r>
      <w:r>
        <w:rPr>
          <w:rFonts w:ascii="Arial" w:hAnsi="Arial" w:cs="Arial"/>
          <w:sz w:val="21"/>
          <w:szCs w:val="21"/>
        </w:rPr>
        <w:t>平方米，建筑面积</w:t>
      </w:r>
      <w:r>
        <w:rPr>
          <w:rFonts w:cs="Arial" w:ascii="Arial" w:hAnsi="Arial"/>
          <w:sz w:val="21"/>
          <w:szCs w:val="21"/>
        </w:rPr>
        <w:t>39430.02</w:t>
      </w:r>
      <w:r>
        <w:rPr>
          <w:rFonts w:ascii="Arial" w:hAnsi="Arial" w:cs="Arial"/>
          <w:sz w:val="21"/>
          <w:szCs w:val="21"/>
        </w:rPr>
        <w:t>平方米。南区建有两栋</w:t>
      </w:r>
      <w:r>
        <w:rPr>
          <w:rFonts w:cs="Arial" w:ascii="Arial" w:hAnsi="Arial"/>
          <w:sz w:val="21"/>
          <w:szCs w:val="21"/>
        </w:rPr>
        <w:t>12</w:t>
      </w:r>
      <w:r>
        <w:rPr>
          <w:rFonts w:ascii="Arial" w:hAnsi="Arial" w:cs="Arial"/>
          <w:sz w:val="21"/>
          <w:szCs w:val="21"/>
        </w:rPr>
        <w:t>层塔楼产权式酒店客房（公寓）和一栋三层的政协会议培训中心，钢混结构。南区于</w:t>
      </w:r>
      <w:r>
        <w:rPr>
          <w:rFonts w:cs="Arial" w:ascii="Arial" w:hAnsi="Arial"/>
          <w:sz w:val="21"/>
          <w:szCs w:val="21"/>
        </w:rPr>
        <w:t>2013</w:t>
      </w:r>
      <w:r>
        <w:rPr>
          <w:rFonts w:ascii="Arial" w:hAnsi="Arial" w:cs="Arial"/>
          <w:sz w:val="21"/>
          <w:szCs w:val="21"/>
        </w:rPr>
        <w:t>年开工建设，</w:t>
      </w:r>
      <w:r>
        <w:rPr>
          <w:rFonts w:cs="Arial" w:ascii="Arial" w:hAnsi="Arial"/>
          <w:sz w:val="21"/>
          <w:szCs w:val="21"/>
        </w:rPr>
        <w:t>2019</w:t>
      </w:r>
      <w:r>
        <w:rPr>
          <w:rFonts w:ascii="Arial" w:hAnsi="Arial" w:cs="Arial"/>
          <w:sz w:val="21"/>
          <w:szCs w:val="21"/>
        </w:rPr>
        <w:t>年完成竣工验收备案。其中：产权式酒店客房（公寓）公共部分为精装修，户内毛坯交付。</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本次估价对象为该项目部分房地产，即</w:t>
      </w:r>
      <w:r>
        <w:rPr>
          <w:rFonts w:ascii="Arial" w:hAnsi="Arial" w:cs="Arial"/>
          <w:kern w:val="2"/>
          <w:sz w:val="21"/>
          <w:szCs w:val="21"/>
        </w:rPr>
        <w:t>海南省海口市秀英区滨海大道</w:t>
      </w:r>
      <w:r>
        <w:rPr>
          <w:rFonts w:cs="Arial" w:ascii="Arial" w:hAnsi="Arial"/>
          <w:kern w:val="2"/>
          <w:sz w:val="21"/>
          <w:szCs w:val="21"/>
        </w:rPr>
        <w:t>158</w:t>
      </w:r>
      <w:r>
        <w:rPr>
          <w:rFonts w:ascii="Arial" w:hAnsi="Arial" w:cs="Arial"/>
          <w:kern w:val="2"/>
          <w:sz w:val="21"/>
          <w:szCs w:val="21"/>
        </w:rPr>
        <w:t>号琼珠海岸生态度假村暨全国政协（海南）会议培训中心北区项目</w:t>
      </w:r>
      <w:r>
        <w:rPr>
          <w:rFonts w:cs="Arial" w:ascii="Arial" w:hAnsi="Arial"/>
          <w:kern w:val="2"/>
          <w:sz w:val="21"/>
          <w:szCs w:val="21"/>
        </w:rPr>
        <w:t>1</w:t>
      </w:r>
      <w:r>
        <w:rPr>
          <w:rFonts w:ascii="Arial" w:hAnsi="Arial" w:cs="Arial"/>
          <w:kern w:val="2"/>
          <w:sz w:val="21"/>
          <w:szCs w:val="21"/>
        </w:rPr>
        <w:t>号楼等</w:t>
      </w:r>
      <w:r>
        <w:rPr>
          <w:rFonts w:cs="Arial" w:ascii="Arial" w:hAnsi="Arial"/>
          <w:kern w:val="2"/>
          <w:sz w:val="21"/>
          <w:szCs w:val="21"/>
        </w:rPr>
        <w:t>34</w:t>
      </w:r>
      <w:r>
        <w:rPr>
          <w:rFonts w:ascii="Arial" w:hAnsi="Arial" w:cs="Arial"/>
          <w:kern w:val="2"/>
          <w:sz w:val="21"/>
          <w:szCs w:val="21"/>
        </w:rPr>
        <w:t>套产权式酒店（别墅）用房房地产</w:t>
      </w:r>
      <w:r>
        <w:rPr>
          <w:rFonts w:ascii="Arial" w:hAnsi="Arial" w:cs="Arial"/>
          <w:sz w:val="21"/>
          <w:szCs w:val="21"/>
        </w:rPr>
        <w:t>。</w:t>
      </w:r>
    </w:p>
    <w:p>
      <w:pPr>
        <w:pStyle w:val="Normal"/>
        <w:overflowPunct w:val="false"/>
        <w:spacing w:lineRule="auto" w:line="480"/>
        <w:ind w:left="29" w:firstLine="420"/>
        <w:jc w:val="both"/>
        <w:textAlignment w:val="auto"/>
        <w:rPr>
          <w:rFonts w:ascii="Arial" w:hAnsi="Arial" w:cs="Arial"/>
          <w:sz w:val="21"/>
          <w:szCs w:val="21"/>
        </w:rPr>
      </w:pPr>
      <w:r>
        <w:rPr>
          <w:rFonts w:ascii="Arial" w:hAnsi="Arial" w:cs="Arial"/>
          <w:sz w:val="21"/>
          <w:szCs w:val="21"/>
        </w:rPr>
        <w:t>根据评估专业人员</w:t>
      </w:r>
      <w:commentRangeStart w:id="10"/>
      <w:r>
        <w:rPr>
          <w:rFonts w:ascii="Arial" w:hAnsi="Arial" w:cs="Arial"/>
          <w:sz w:val="21"/>
          <w:szCs w:val="21"/>
        </w:rPr>
        <w:t>实地查勘</w:t>
      </w:r>
      <w:r>
        <w:rPr>
          <w:rFonts w:ascii="Arial" w:hAnsi="Arial" w:cs="Arial"/>
          <w:sz w:val="21"/>
          <w:szCs w:val="21"/>
        </w:rPr>
      </w:r>
      <w:commentRangeEnd w:id="10"/>
      <w:r>
        <w:commentReference w:id="10"/>
      </w:r>
      <w:r>
        <w:rPr>
          <w:rFonts w:ascii="Arial" w:hAnsi="Arial" w:cs="Arial"/>
          <w:sz w:val="21"/>
          <w:szCs w:val="21"/>
        </w:rPr>
        <w:t>及估价委托人的介绍，估价对象</w:t>
      </w:r>
      <w:r>
        <w:rPr>
          <w:rFonts w:cs="Arial" w:ascii="Arial" w:hAnsi="Arial"/>
          <w:sz w:val="21"/>
          <w:szCs w:val="21"/>
        </w:rPr>
        <w:t>18</w:t>
      </w:r>
      <w:r>
        <w:rPr>
          <w:rFonts w:ascii="Arial" w:hAnsi="Arial" w:cs="Arial"/>
          <w:sz w:val="21"/>
          <w:szCs w:val="21"/>
        </w:rPr>
        <w:t>号楼周边道路有拆除，</w:t>
      </w:r>
      <w:r>
        <w:rPr>
          <w:rFonts w:cs="Arial" w:ascii="Arial" w:hAnsi="Arial"/>
          <w:sz w:val="21"/>
          <w:szCs w:val="21"/>
        </w:rPr>
        <w:t>14</w:t>
      </w:r>
      <w:r>
        <w:rPr>
          <w:rFonts w:ascii="Arial" w:hAnsi="Arial" w:cs="Arial"/>
          <w:sz w:val="21"/>
          <w:szCs w:val="21"/>
        </w:rPr>
        <w:t>、</w:t>
      </w:r>
      <w:r>
        <w:rPr>
          <w:rFonts w:cs="Arial" w:ascii="Arial" w:hAnsi="Arial"/>
          <w:sz w:val="21"/>
          <w:szCs w:val="21"/>
        </w:rPr>
        <w:t>24</w:t>
      </w:r>
      <w:r>
        <w:rPr>
          <w:rFonts w:ascii="Arial" w:hAnsi="Arial" w:cs="Arial"/>
          <w:sz w:val="21"/>
          <w:szCs w:val="21"/>
        </w:rPr>
        <w:t>、</w:t>
      </w:r>
      <w:r>
        <w:rPr>
          <w:rFonts w:cs="Arial" w:ascii="Arial" w:hAnsi="Arial"/>
          <w:sz w:val="21"/>
          <w:szCs w:val="21"/>
        </w:rPr>
        <w:t>30</w:t>
      </w:r>
      <w:r>
        <w:rPr>
          <w:rFonts w:ascii="Arial" w:hAnsi="Arial" w:cs="Arial"/>
          <w:sz w:val="21"/>
          <w:szCs w:val="21"/>
        </w:rPr>
        <w:t>、</w:t>
      </w:r>
      <w:r>
        <w:rPr>
          <w:rFonts w:cs="Arial" w:ascii="Arial" w:hAnsi="Arial"/>
          <w:sz w:val="21"/>
          <w:szCs w:val="21"/>
        </w:rPr>
        <w:t>39</w:t>
      </w:r>
      <w:r>
        <w:rPr>
          <w:rFonts w:ascii="Arial" w:hAnsi="Arial" w:cs="Arial"/>
          <w:sz w:val="21"/>
          <w:szCs w:val="21"/>
        </w:rPr>
        <w:t>、</w:t>
      </w:r>
      <w:r>
        <w:rPr>
          <w:rFonts w:cs="Arial" w:ascii="Arial" w:hAnsi="Arial"/>
          <w:sz w:val="21"/>
          <w:szCs w:val="21"/>
        </w:rPr>
        <w:t>40</w:t>
      </w:r>
      <w:r>
        <w:rPr>
          <w:rFonts w:ascii="Arial" w:hAnsi="Arial" w:cs="Arial"/>
          <w:sz w:val="21"/>
          <w:szCs w:val="21"/>
        </w:rPr>
        <w:t>号楼正在装修，</w:t>
      </w:r>
      <w:r>
        <w:rPr>
          <w:rFonts w:cs="Arial" w:ascii="Arial" w:hAnsi="Arial"/>
          <w:sz w:val="21"/>
          <w:szCs w:val="21"/>
        </w:rPr>
        <w:t>13</w:t>
      </w:r>
      <w:r>
        <w:rPr>
          <w:rFonts w:ascii="Arial" w:hAnsi="Arial" w:cs="Arial"/>
          <w:sz w:val="21"/>
          <w:szCs w:val="21"/>
        </w:rPr>
        <w:t>、</w:t>
      </w:r>
      <w:r>
        <w:rPr>
          <w:rFonts w:cs="Arial" w:ascii="Arial" w:hAnsi="Arial"/>
          <w:sz w:val="21"/>
          <w:szCs w:val="21"/>
        </w:rPr>
        <w:t>23</w:t>
      </w:r>
      <w:r>
        <w:rPr>
          <w:rFonts w:ascii="Arial" w:hAnsi="Arial" w:cs="Arial"/>
          <w:sz w:val="21"/>
          <w:szCs w:val="21"/>
        </w:rPr>
        <w:t>、</w:t>
      </w:r>
      <w:r>
        <w:rPr>
          <w:rFonts w:cs="Arial" w:ascii="Arial" w:hAnsi="Arial"/>
          <w:sz w:val="21"/>
          <w:szCs w:val="21"/>
        </w:rPr>
        <w:t>25</w:t>
      </w:r>
      <w:r>
        <w:rPr>
          <w:rFonts w:ascii="Arial" w:hAnsi="Arial" w:cs="Arial"/>
          <w:sz w:val="21"/>
          <w:szCs w:val="21"/>
        </w:rPr>
        <w:t>、</w:t>
      </w:r>
      <w:r>
        <w:rPr>
          <w:rFonts w:cs="Arial" w:ascii="Arial" w:hAnsi="Arial"/>
          <w:sz w:val="21"/>
          <w:szCs w:val="21"/>
        </w:rPr>
        <w:t>41</w:t>
      </w:r>
      <w:r>
        <w:rPr>
          <w:rFonts w:ascii="Arial" w:hAnsi="Arial" w:cs="Arial"/>
          <w:sz w:val="21"/>
          <w:szCs w:val="21"/>
        </w:rPr>
        <w:t>、</w:t>
      </w:r>
      <w:r>
        <w:rPr>
          <w:rFonts w:cs="Arial" w:ascii="Arial" w:hAnsi="Arial"/>
          <w:sz w:val="21"/>
          <w:szCs w:val="21"/>
        </w:rPr>
        <w:t>42</w:t>
      </w:r>
      <w:r>
        <w:rPr>
          <w:rFonts w:ascii="Arial" w:hAnsi="Arial" w:cs="Arial"/>
          <w:sz w:val="21"/>
          <w:szCs w:val="21"/>
        </w:rPr>
        <w:t>、</w:t>
      </w:r>
      <w:r>
        <w:rPr>
          <w:rFonts w:cs="Arial" w:ascii="Arial" w:hAnsi="Arial"/>
          <w:sz w:val="21"/>
          <w:szCs w:val="21"/>
        </w:rPr>
        <w:t>44</w:t>
      </w:r>
      <w:r>
        <w:rPr>
          <w:rFonts w:ascii="Arial" w:hAnsi="Arial" w:cs="Arial"/>
          <w:sz w:val="21"/>
          <w:szCs w:val="21"/>
        </w:rPr>
        <w:t>、</w:t>
      </w:r>
      <w:r>
        <w:rPr>
          <w:rFonts w:cs="Arial" w:ascii="Arial" w:hAnsi="Arial"/>
          <w:sz w:val="21"/>
          <w:szCs w:val="21"/>
        </w:rPr>
        <w:t>45</w:t>
      </w:r>
      <w:r>
        <w:rPr>
          <w:rFonts w:ascii="Arial" w:hAnsi="Arial" w:cs="Arial"/>
          <w:sz w:val="21"/>
          <w:szCs w:val="21"/>
        </w:rPr>
        <w:t>号楼有居住痕迹，其他房屋均为空置，装修情况为毛坯，</w:t>
      </w:r>
      <w:commentRangeStart w:id="11"/>
      <w:r>
        <w:rPr>
          <w:rFonts w:ascii="Arial" w:hAnsi="Arial" w:cs="Arial"/>
          <w:sz w:val="21"/>
          <w:szCs w:val="21"/>
        </w:rPr>
        <w:t>整体房屋维护情况较差</w:t>
      </w:r>
      <w:r>
        <w:rPr>
          <w:rFonts w:ascii="Arial" w:hAnsi="Arial" w:cs="Arial"/>
          <w:sz w:val="21"/>
          <w:szCs w:val="21"/>
        </w:rPr>
      </w:r>
      <w:commentRangeEnd w:id="11"/>
      <w:r>
        <w:commentReference w:id="11"/>
      </w:r>
      <w:r>
        <w:rPr>
          <w:rFonts w:ascii="Arial" w:hAnsi="Arial" w:cs="Arial"/>
          <w:sz w:val="21"/>
          <w:szCs w:val="21"/>
        </w:rPr>
        <w:t>。</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7" w:hanging="357"/>
        <w:jc w:val="both"/>
        <w:textAlignment w:val="auto"/>
        <w:rPr>
          <w:rFonts w:eastAsia="宋体;SimSun"/>
          <w:kern w:val="2"/>
          <w:sz w:val="21"/>
          <w:szCs w:val="21"/>
        </w:rPr>
      </w:pPr>
      <w:bookmarkStart w:id="7" w:name="__RefHeading___Toc162425554"/>
      <w:bookmarkEnd w:id="7"/>
      <w:r>
        <w:rPr>
          <w:rFonts w:eastAsia="宋体;SimSun"/>
          <w:kern w:val="2"/>
          <w:sz w:val="21"/>
          <w:szCs w:val="21"/>
        </w:rPr>
        <w:t>五、价值时点</w:t>
      </w:r>
    </w:p>
    <w:p>
      <w:pPr>
        <w:pStyle w:val="Style23"/>
        <w:overflowPunct w:val="false"/>
        <w:spacing w:lineRule="auto" w:line="480"/>
        <w:ind w:firstLine="420"/>
        <w:textAlignment w:val="auto"/>
        <w:rPr/>
      </w:pPr>
      <w:r>
        <w:rPr>
          <w:rFonts w:eastAsia="宋体;SimSun" w:cs="Arial" w:ascii="Arial" w:hAnsi="Arial"/>
          <w:b w:val="false"/>
          <w:bCs/>
          <w:sz w:val="21"/>
          <w:szCs w:val="21"/>
        </w:rPr>
        <w:t>20</w:t>
      </w:r>
      <w:r>
        <w:rPr>
          <w:rFonts w:eastAsia="宋体;SimSun" w:cs="Arial" w:ascii="Arial" w:hAnsi="Arial"/>
          <w:b w:val="false"/>
          <w:bCs/>
          <w:sz w:val="21"/>
          <w:szCs w:val="21"/>
        </w:rPr>
        <w:t>24</w:t>
      </w:r>
      <w:r>
        <w:rPr>
          <w:rFonts w:ascii="Arial" w:hAnsi="Arial" w:cs="Arial" w:eastAsia="宋体;SimSun"/>
          <w:b w:val="false"/>
          <w:bCs/>
          <w:sz w:val="21"/>
          <w:szCs w:val="21"/>
        </w:rPr>
        <w:t>年</w:t>
      </w:r>
      <w:r>
        <w:rPr>
          <w:rFonts w:eastAsia="宋体;SimSun" w:cs="Arial" w:ascii="Arial" w:hAnsi="Arial"/>
          <w:b w:val="false"/>
          <w:bCs/>
          <w:sz w:val="21"/>
          <w:szCs w:val="21"/>
        </w:rPr>
        <w:t>7</w:t>
      </w:r>
      <w:r>
        <w:rPr>
          <w:rFonts w:ascii="Arial" w:hAnsi="Arial" w:cs="Arial" w:eastAsia="宋体;SimSun"/>
          <w:b w:val="false"/>
          <w:bCs/>
          <w:sz w:val="21"/>
          <w:szCs w:val="21"/>
        </w:rPr>
        <w:t>月</w:t>
      </w:r>
      <w:r>
        <w:rPr>
          <w:rFonts w:eastAsia="宋体;SimSun" w:cs="Arial" w:ascii="Arial" w:hAnsi="Arial"/>
          <w:b w:val="false"/>
          <w:bCs/>
          <w:sz w:val="21"/>
          <w:szCs w:val="21"/>
        </w:rPr>
        <w:t>15</w:t>
      </w:r>
      <w:r>
        <w:rPr>
          <w:rFonts w:ascii="Arial" w:hAnsi="Arial" w:cs="Arial" w:eastAsia="宋体;SimSun"/>
          <w:b w:val="false"/>
          <w:bCs/>
          <w:sz w:val="21"/>
          <w:szCs w:val="21"/>
        </w:rPr>
        <w:t>日（评估专业人员实地查勘之日）</w:t>
      </w:r>
    </w:p>
    <w:p>
      <w:pPr>
        <w:pStyle w:val="Normal"/>
        <w:overflowPunct w:val="false"/>
        <w:spacing w:lineRule="auto" w:line="480"/>
        <w:ind w:firstLine="420"/>
        <w:jc w:val="both"/>
        <w:textAlignment w:val="auto"/>
        <w:rPr>
          <w:rFonts w:ascii="Arial" w:hAnsi="Arial" w:eastAsia="宋体;SimSun" w:cs="Arial"/>
          <w:b/>
          <w:b/>
          <w:bCs/>
          <w:sz w:val="21"/>
          <w:szCs w:val="21"/>
        </w:rPr>
      </w:pPr>
      <w:r>
        <w:rPr>
          <w:rFonts w:eastAsia="宋体;SimSun" w:cs="Arial" w:ascii="Arial" w:hAnsi="Arial"/>
          <w:b/>
          <w:bCs/>
          <w:sz w:val="21"/>
          <w:szCs w:val="21"/>
        </w:rPr>
      </w:r>
    </w:p>
    <w:p>
      <w:pPr>
        <w:pStyle w:val="2"/>
        <w:numPr>
          <w:ilvl w:val="0"/>
          <w:numId w:val="0"/>
        </w:numPr>
        <w:overflowPunct w:val="false"/>
        <w:spacing w:lineRule="auto" w:line="480"/>
        <w:ind w:left="357" w:hanging="357"/>
        <w:jc w:val="both"/>
        <w:textAlignment w:val="auto"/>
        <w:rPr>
          <w:rFonts w:eastAsia="宋体;SimSun"/>
          <w:kern w:val="2"/>
          <w:sz w:val="21"/>
          <w:szCs w:val="21"/>
        </w:rPr>
      </w:pPr>
      <w:bookmarkStart w:id="8" w:name="__RefHeading___Toc162425555"/>
      <w:bookmarkEnd w:id="8"/>
      <w:r>
        <w:rPr>
          <w:rFonts w:eastAsia="宋体;SimSun"/>
          <w:kern w:val="2"/>
          <w:sz w:val="21"/>
          <w:szCs w:val="21"/>
        </w:rPr>
        <w:t>六、价值类型</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本次估价的“快速变现价值”是指估价对象在没有充足的时间进行营销情况下的价值，按照房地产市场价值的七折计算。其中“</w:t>
      </w:r>
      <w:r>
        <w:rPr>
          <w:rFonts w:ascii="Arial" w:hAnsi="Arial" w:cs="Arial"/>
          <w:sz w:val="21"/>
          <w:szCs w:val="21"/>
        </w:rPr>
        <w:t>房地产价值</w:t>
      </w:r>
      <w:r>
        <w:rPr>
          <w:rFonts w:ascii="Arial" w:hAnsi="Arial" w:cs="Arial"/>
          <w:sz w:val="21"/>
          <w:szCs w:val="21"/>
        </w:rPr>
        <w:t>”</w:t>
      </w:r>
      <w:r>
        <w:rPr>
          <w:rFonts w:ascii="Arial" w:hAnsi="Arial" w:cs="Arial"/>
          <w:sz w:val="21"/>
          <w:szCs w:val="21"/>
        </w:rPr>
        <w:t>是指在正常市场情况下，在价值时点</w:t>
      </w:r>
      <w:r>
        <w:rPr>
          <w:rFonts w:cs="Arial" w:ascii="Arial" w:hAnsi="Arial"/>
          <w:sz w:val="21"/>
          <w:szCs w:val="21"/>
        </w:rPr>
        <w:t>2024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15</w:t>
      </w:r>
      <w:r>
        <w:rPr>
          <w:rFonts w:ascii="Arial" w:hAnsi="Arial" w:cs="Arial"/>
          <w:sz w:val="21"/>
          <w:szCs w:val="21"/>
        </w:rPr>
        <w:t>日，估价对象用途为</w:t>
      </w:r>
      <w:r>
        <w:rPr>
          <w:rFonts w:ascii="Arial" w:hAnsi="Arial" w:cs="Arial"/>
          <w:sz w:val="21"/>
          <w:szCs w:val="21"/>
        </w:rPr>
        <w:t>产权式酒店（别墅）</w:t>
      </w:r>
      <w:r>
        <w:rPr>
          <w:rFonts w:ascii="Arial" w:hAnsi="Arial" w:cs="Arial"/>
          <w:sz w:val="21"/>
          <w:szCs w:val="21"/>
        </w:rPr>
        <w:t>，</w:t>
      </w:r>
      <w:r>
        <w:rPr>
          <w:rFonts w:ascii="Arial" w:hAnsi="Arial" w:cs="Arial"/>
          <w:bCs/>
          <w:sz w:val="21"/>
          <w:szCs w:val="21"/>
        </w:rPr>
        <w:t>土地取得方式为出让</w:t>
      </w:r>
      <w:r>
        <w:rPr>
          <w:rFonts w:ascii="Arial" w:hAnsi="Arial" w:cs="Arial"/>
          <w:bCs/>
          <w:sz w:val="21"/>
          <w:szCs w:val="21"/>
        </w:rPr>
        <w:t>，</w:t>
      </w:r>
      <w:r>
        <w:rPr>
          <w:rFonts w:ascii="Arial" w:hAnsi="Arial" w:cs="Arial"/>
          <w:bCs/>
          <w:sz w:val="21"/>
          <w:szCs w:val="21"/>
        </w:rPr>
        <w:t>出让</w:t>
      </w:r>
      <w:r>
        <w:rPr>
          <w:rFonts w:ascii="Arial" w:hAnsi="Arial" w:cs="Arial"/>
          <w:sz w:val="21"/>
          <w:szCs w:val="21"/>
        </w:rPr>
        <w:t>国有建设用地使用权剩余土地使用年限为</w:t>
      </w:r>
      <w:r>
        <w:rPr>
          <w:rFonts w:cs="Arial" w:ascii="Arial" w:hAnsi="Arial"/>
          <w:sz w:val="21"/>
          <w:szCs w:val="21"/>
        </w:rPr>
        <w:t>25.37</w:t>
      </w:r>
      <w:r>
        <w:rPr>
          <w:rFonts w:ascii="Arial" w:hAnsi="Arial" w:cs="Arial"/>
          <w:sz w:val="21"/>
          <w:szCs w:val="21"/>
        </w:rPr>
        <w:t>年的房地产市场价值。</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7" w:hanging="357"/>
        <w:jc w:val="both"/>
        <w:textAlignment w:val="auto"/>
        <w:rPr>
          <w:rFonts w:eastAsia="宋体;SimSun"/>
          <w:kern w:val="2"/>
          <w:sz w:val="21"/>
          <w:szCs w:val="21"/>
        </w:rPr>
      </w:pPr>
      <w:bookmarkStart w:id="9" w:name="__RefHeading___Toc162425556"/>
      <w:bookmarkEnd w:id="9"/>
      <w:r>
        <w:rPr>
          <w:rFonts w:eastAsia="宋体;SimSun"/>
          <w:kern w:val="2"/>
          <w:sz w:val="21"/>
          <w:szCs w:val="21"/>
        </w:rPr>
        <w:t>七、估价原则</w:t>
      </w:r>
    </w:p>
    <w:p>
      <w:pPr>
        <w:pStyle w:val="Normal"/>
        <w:overflowPunct w:val="false"/>
        <w:spacing w:lineRule="auto" w:line="480"/>
        <w:jc w:val="both"/>
        <w:textAlignment w:val="auto"/>
        <w:rPr>
          <w:rFonts w:ascii="Arial" w:hAnsi="Arial" w:cs="Arial"/>
          <w:sz w:val="21"/>
          <w:szCs w:val="21"/>
        </w:rPr>
      </w:pPr>
      <w:r>
        <w:rPr>
          <w:rFonts w:ascii="Arial" w:hAnsi="Arial" w:cs="Arial"/>
          <w:sz w:val="21"/>
          <w:szCs w:val="21"/>
        </w:rPr>
        <w:t>我们在本次估价时遵循了以下原则：</w:t>
      </w:r>
    </w:p>
    <w:p>
      <w:pPr>
        <w:pStyle w:val="Normal"/>
        <w:overflowPunct w:val="false"/>
        <w:spacing w:lineRule="auto" w:line="480"/>
        <w:jc w:val="both"/>
        <w:textAlignment w:val="auto"/>
        <w:rPr/>
      </w:pPr>
      <w:r>
        <w:rPr>
          <w:rFonts w:ascii="Arial" w:hAnsi="Arial" w:cs="Arial"/>
          <w:b/>
          <w:sz w:val="21"/>
          <w:szCs w:val="21"/>
        </w:rPr>
        <w:t>（一）独立、客观、公正原则</w:t>
      </w:r>
    </w:p>
    <w:p>
      <w:pPr>
        <w:pStyle w:val="Normal"/>
        <w:overflowPunct w:val="false"/>
        <w:spacing w:lineRule="auto" w:line="480"/>
        <w:ind w:firstLine="420"/>
        <w:jc w:val="both"/>
        <w:textAlignment w:val="auto"/>
        <w:rPr/>
      </w:pPr>
      <w:r>
        <w:rPr>
          <w:rFonts w:ascii="Arial" w:hAnsi="Arial" w:cs="Arial"/>
          <w:sz w:val="21"/>
          <w:szCs w:val="21"/>
        </w:rPr>
        <w:t>独立、客观、公正原则要求</w:t>
      </w:r>
      <w:r>
        <w:rPr>
          <w:rFonts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pPr>
        <w:pStyle w:val="Normal"/>
        <w:overflowPunct w:val="false"/>
        <w:spacing w:lineRule="auto" w:line="480"/>
        <w:jc w:val="both"/>
        <w:textAlignment w:val="auto"/>
        <w:rPr/>
      </w:pPr>
      <w:r>
        <w:rPr>
          <w:rFonts w:ascii="Arial" w:hAnsi="Arial" w:cs="Arial"/>
          <w:b/>
          <w:sz w:val="21"/>
          <w:szCs w:val="21"/>
        </w:rPr>
        <w:t>（二）合法原则</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pPr>
        <w:pStyle w:val="Normal"/>
        <w:overflowPunct w:val="false"/>
        <w:spacing w:lineRule="auto" w:line="480"/>
        <w:ind w:firstLine="420"/>
        <w:jc w:val="both"/>
        <w:textAlignment w:val="auto"/>
        <w:rPr/>
      </w:pPr>
      <w:r>
        <w:rPr>
          <w:rFonts w:ascii="Arial" w:hAnsi="Arial" w:cs="Arial"/>
          <w:sz w:val="21"/>
          <w:szCs w:val="21"/>
        </w:rPr>
        <w:t>估价对象在价值时点具有合法的产权且用途合法。估价对象已取得《国有土地使用证》</w:t>
      </w:r>
      <w:r>
        <w:rPr>
          <w:rFonts w:ascii="Arial" w:hAnsi="Arial" w:cs="Arial"/>
          <w:sz w:val="21"/>
          <w:szCs w:val="21"/>
        </w:rPr>
        <w:t>、</w:t>
      </w:r>
      <w:r>
        <w:rPr>
          <w:rFonts w:ascii="Arial" w:hAnsi="Arial" w:cs="Arial"/>
          <w:sz w:val="21"/>
          <w:szCs w:val="21"/>
        </w:rPr>
        <w:t>《不动产权证书》。估价对象在价值时点交易或处分方式是合法的。</w:t>
      </w:r>
    </w:p>
    <w:p>
      <w:pPr>
        <w:pStyle w:val="Normal"/>
        <w:overflowPunct w:val="false"/>
        <w:spacing w:lineRule="auto" w:line="480"/>
        <w:jc w:val="both"/>
        <w:textAlignment w:val="auto"/>
        <w:rPr/>
      </w:pPr>
      <w:r>
        <w:rPr>
          <w:rFonts w:ascii="Arial" w:hAnsi="Arial" w:cs="Arial"/>
          <w:b/>
          <w:sz w:val="21"/>
          <w:szCs w:val="21"/>
        </w:rPr>
        <w:t>（三）最高最佳利用原则</w:t>
      </w:r>
    </w:p>
    <w:p>
      <w:pPr>
        <w:pStyle w:val="Normal"/>
        <w:overflowPunct w:val="false"/>
        <w:spacing w:lineRule="auto" w:line="480"/>
        <w:ind w:firstLine="420"/>
        <w:jc w:val="both"/>
        <w:textAlignment w:val="auto"/>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已取得《国有土地使用证》</w:t>
      </w:r>
      <w:r>
        <w:rPr>
          <w:rFonts w:ascii="Arial" w:hAnsi="Arial" w:cs="Arial"/>
          <w:sz w:val="21"/>
          <w:szCs w:val="21"/>
        </w:rPr>
        <w:t>、</w:t>
      </w:r>
      <w:r>
        <w:rPr>
          <w:rFonts w:ascii="Arial" w:hAnsi="Arial" w:cs="Arial"/>
          <w:sz w:val="21"/>
          <w:szCs w:val="21"/>
        </w:rPr>
        <w:t>《不动产权证书》，用途为</w:t>
      </w:r>
      <w:r>
        <w:rPr>
          <w:rFonts w:ascii="Arial" w:hAnsi="Arial" w:cs="Arial"/>
          <w:sz w:val="21"/>
          <w:szCs w:val="21"/>
        </w:rPr>
        <w:t>产权式酒店（别墅）</w:t>
      </w:r>
      <w:r>
        <w:rPr>
          <w:rFonts w:ascii="Arial" w:hAnsi="Arial" w:cs="Arial"/>
          <w:sz w:val="21"/>
          <w:szCs w:val="21"/>
        </w:rPr>
        <w:t>，符合最高最佳利用原则。</w:t>
      </w:r>
    </w:p>
    <w:p>
      <w:pPr>
        <w:pStyle w:val="Normal"/>
        <w:overflowPunct w:val="false"/>
        <w:spacing w:lineRule="auto" w:line="480"/>
        <w:jc w:val="both"/>
        <w:textAlignment w:val="auto"/>
        <w:rPr/>
      </w:pPr>
      <w:r>
        <w:rPr>
          <w:rFonts w:ascii="Arial" w:hAnsi="Arial" w:cs="Arial"/>
          <w:b/>
          <w:sz w:val="21"/>
          <w:szCs w:val="21"/>
        </w:rPr>
        <w:t>（四）替代原则</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pPr>
        <w:pStyle w:val="Normal"/>
        <w:overflowPunct w:val="false"/>
        <w:spacing w:lineRule="auto" w:line="480"/>
        <w:ind w:firstLine="420"/>
        <w:jc w:val="both"/>
        <w:textAlignment w:val="auto"/>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pPr>
        <w:pStyle w:val="Normal"/>
        <w:overflowPunct w:val="false"/>
        <w:spacing w:lineRule="auto" w:line="480"/>
        <w:jc w:val="both"/>
        <w:textAlignment w:val="auto"/>
        <w:rPr/>
      </w:pPr>
      <w:r>
        <w:rPr>
          <w:rFonts w:ascii="Arial" w:hAnsi="Arial" w:cs="Arial"/>
          <w:b/>
          <w:sz w:val="21"/>
          <w:szCs w:val="21"/>
        </w:rPr>
        <w:t>（五）价值时点原则</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pPr>
        <w:pStyle w:val="Normal"/>
        <w:overflowPunct w:val="false"/>
        <w:spacing w:lineRule="auto" w:line="480"/>
        <w:ind w:firstLine="420"/>
        <w:jc w:val="both"/>
        <w:textAlignment w:val="auto"/>
        <w:rPr>
          <w:rFonts w:ascii="Arial" w:hAnsi="Arial" w:cs="Arial"/>
          <w:b/>
          <w:b/>
          <w:kern w:val="2"/>
          <w:sz w:val="21"/>
          <w:szCs w:val="21"/>
        </w:rPr>
      </w:pPr>
      <w:r>
        <w:rPr>
          <w:rFonts w:cs="Arial" w:ascii="Arial" w:hAnsi="Arial"/>
          <w:b/>
          <w:kern w:val="2"/>
          <w:sz w:val="21"/>
          <w:szCs w:val="21"/>
        </w:rPr>
      </w:r>
    </w:p>
    <w:p>
      <w:pPr>
        <w:pStyle w:val="2"/>
        <w:numPr>
          <w:ilvl w:val="0"/>
          <w:numId w:val="0"/>
        </w:numPr>
        <w:overflowPunct w:val="false"/>
        <w:spacing w:lineRule="auto" w:line="480"/>
        <w:ind w:left="357" w:hanging="357"/>
        <w:jc w:val="both"/>
        <w:textAlignment w:val="auto"/>
        <w:rPr>
          <w:rFonts w:eastAsia="宋体;SimSun"/>
          <w:kern w:val="2"/>
          <w:sz w:val="21"/>
          <w:szCs w:val="21"/>
        </w:rPr>
      </w:pPr>
      <w:bookmarkStart w:id="10" w:name="__RefHeading___Toc162425557"/>
      <w:bookmarkEnd w:id="10"/>
      <w:r>
        <w:rPr>
          <w:rFonts w:eastAsia="宋体;SimSun"/>
          <w:kern w:val="2"/>
          <w:sz w:val="21"/>
          <w:szCs w:val="21"/>
        </w:rPr>
        <w:t>八、估价依据</w:t>
      </w:r>
    </w:p>
    <w:p>
      <w:pPr>
        <w:pStyle w:val="Normal"/>
        <w:overflowPunct w:val="false"/>
        <w:spacing w:lineRule="auto" w:line="480"/>
        <w:jc w:val="both"/>
        <w:textAlignment w:val="auto"/>
        <w:rPr>
          <w:rFonts w:ascii="Arial" w:hAnsi="Arial" w:cs="Arial"/>
          <w:b/>
          <w:b/>
          <w:sz w:val="21"/>
          <w:szCs w:val="21"/>
        </w:rPr>
      </w:pPr>
      <w:r>
        <w:rPr>
          <w:rFonts w:ascii="Arial" w:hAnsi="Arial" w:cs="Arial"/>
          <w:b/>
          <w:sz w:val="21"/>
          <w:szCs w:val="21"/>
        </w:rPr>
        <w:t>（一）有关的法律、法规及技术标准文件</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《中华人民共和国土地管理法》（</w:t>
      </w:r>
      <w:r>
        <w:rPr>
          <w:rFonts w:cs="Arial" w:ascii="Arial" w:hAnsi="Arial"/>
          <w:sz w:val="21"/>
          <w:szCs w:val="21"/>
        </w:rPr>
        <w:t>1986</w:t>
      </w:r>
      <w:r>
        <w:rPr>
          <w:rFonts w:ascii="Arial" w:hAnsi="Arial" w:cs="Arial"/>
          <w:sz w:val="21"/>
          <w:szCs w:val="21"/>
        </w:rPr>
        <w:t>年</w:t>
      </w:r>
      <w:r>
        <w:rPr>
          <w:rFonts w:cs="Arial" w:ascii="Arial" w:hAnsi="Arial"/>
          <w:sz w:val="21"/>
          <w:szCs w:val="21"/>
        </w:rPr>
        <w:t>6</w:t>
      </w:r>
      <w:r>
        <w:rPr>
          <w:rFonts w:ascii="Arial" w:hAnsi="Arial" w:cs="Arial"/>
          <w:sz w:val="21"/>
          <w:szCs w:val="21"/>
        </w:rPr>
        <w:t>月</w:t>
      </w:r>
      <w:r>
        <w:rPr>
          <w:rFonts w:cs="Arial" w:ascii="Arial" w:hAnsi="Arial"/>
          <w:sz w:val="21"/>
          <w:szCs w:val="21"/>
        </w:rPr>
        <w:t>25</w:t>
      </w:r>
      <w:r>
        <w:rPr>
          <w:rFonts w:ascii="Arial" w:hAnsi="Arial" w:cs="Arial"/>
          <w:sz w:val="21"/>
          <w:szCs w:val="21"/>
        </w:rPr>
        <w:t>日第六届全国人民代表大会常务委员会第十六次会议通过，中华人民共和国主席令第</w:t>
      </w:r>
      <w:r>
        <w:rPr>
          <w:rFonts w:cs="Arial" w:ascii="Arial" w:hAnsi="Arial"/>
          <w:sz w:val="21"/>
          <w:szCs w:val="21"/>
        </w:rPr>
        <w:t>41</w:t>
      </w:r>
      <w:r>
        <w:rPr>
          <w:rFonts w:ascii="Arial" w:hAnsi="Arial" w:cs="Arial"/>
          <w:sz w:val="21"/>
          <w:szCs w:val="21"/>
        </w:rPr>
        <w:t>号公布，</w:t>
      </w:r>
      <w:r>
        <w:rPr>
          <w:rFonts w:cs="Arial" w:ascii="Arial" w:hAnsi="Arial"/>
          <w:sz w:val="21"/>
          <w:szCs w:val="21"/>
        </w:rPr>
        <w:t>1987</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r>
        <w:rPr>
          <w:rFonts w:cs="Arial" w:ascii="Arial" w:hAnsi="Arial"/>
          <w:sz w:val="21"/>
          <w:szCs w:val="21"/>
        </w:rPr>
        <w:t>1988</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29</w:t>
      </w:r>
      <w:r>
        <w:rPr>
          <w:rFonts w:ascii="Arial" w:hAnsi="Arial" w:cs="Arial"/>
          <w:sz w:val="21"/>
          <w:szCs w:val="21"/>
        </w:rPr>
        <w:t>日第七届全国人民代表大会常务委员会第五次会议第一次修正通过，自</w:t>
      </w:r>
      <w:r>
        <w:rPr>
          <w:rFonts w:cs="Arial" w:ascii="Arial" w:hAnsi="Arial"/>
          <w:sz w:val="21"/>
          <w:szCs w:val="21"/>
        </w:rPr>
        <w:t>1988</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29</w:t>
      </w:r>
      <w:r>
        <w:rPr>
          <w:rFonts w:ascii="Arial" w:hAnsi="Arial" w:cs="Arial"/>
          <w:sz w:val="21"/>
          <w:szCs w:val="21"/>
        </w:rPr>
        <w:t>日起施行；</w:t>
      </w:r>
      <w:r>
        <w:rPr>
          <w:rFonts w:cs="Arial" w:ascii="Arial" w:hAnsi="Arial"/>
          <w:sz w:val="21"/>
          <w:szCs w:val="21"/>
        </w:rPr>
        <w:t>1998</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29</w:t>
      </w:r>
      <w:r>
        <w:rPr>
          <w:rFonts w:ascii="Arial" w:hAnsi="Arial" w:cs="Arial"/>
          <w:sz w:val="21"/>
          <w:szCs w:val="21"/>
        </w:rPr>
        <w:t>日第九届全国人民代表大会常务委员会第四次会议修订通过，中华人民共和国主席令第</w:t>
      </w:r>
      <w:r>
        <w:rPr>
          <w:rFonts w:cs="Arial" w:ascii="Arial" w:hAnsi="Arial"/>
          <w:sz w:val="21"/>
          <w:szCs w:val="21"/>
        </w:rPr>
        <w:t>8</w:t>
      </w:r>
      <w:r>
        <w:rPr>
          <w:rFonts w:ascii="Arial" w:hAnsi="Arial" w:cs="Arial"/>
          <w:sz w:val="21"/>
          <w:szCs w:val="21"/>
        </w:rPr>
        <w:t>号公布，自</w:t>
      </w:r>
      <w:r>
        <w:rPr>
          <w:rFonts w:cs="Arial" w:ascii="Arial" w:hAnsi="Arial"/>
          <w:sz w:val="21"/>
          <w:szCs w:val="21"/>
        </w:rPr>
        <w:t>1999</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r>
        <w:rPr>
          <w:rFonts w:cs="Arial" w:ascii="Arial" w:hAnsi="Arial"/>
          <w:sz w:val="21"/>
          <w:szCs w:val="21"/>
        </w:rPr>
        <w:t>2004</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28</w:t>
      </w:r>
      <w:r>
        <w:rPr>
          <w:rFonts w:ascii="Arial" w:hAnsi="Arial" w:cs="Arial"/>
          <w:sz w:val="21"/>
          <w:szCs w:val="21"/>
        </w:rPr>
        <w:t>日第十届全国人民代表大会常务委员会第十一次会议第二次修正通过，中华人民共和国主席令第</w:t>
      </w:r>
      <w:r>
        <w:rPr>
          <w:rFonts w:cs="Arial" w:ascii="Arial" w:hAnsi="Arial"/>
          <w:sz w:val="21"/>
          <w:szCs w:val="21"/>
        </w:rPr>
        <w:t>28</w:t>
      </w:r>
      <w:r>
        <w:rPr>
          <w:rFonts w:ascii="Arial" w:hAnsi="Arial" w:cs="Arial"/>
          <w:sz w:val="21"/>
          <w:szCs w:val="21"/>
        </w:rPr>
        <w:t>号公布，自公布起日起施行；</w:t>
      </w:r>
      <w:r>
        <w:rPr>
          <w:rFonts w:cs="Arial" w:ascii="Arial" w:hAnsi="Arial"/>
          <w:sz w:val="21"/>
          <w:szCs w:val="21"/>
        </w:rPr>
        <w:t>2019</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26</w:t>
      </w:r>
      <w:r>
        <w:rPr>
          <w:rFonts w:ascii="Arial" w:hAnsi="Arial" w:cs="Arial"/>
          <w:sz w:val="21"/>
          <w:szCs w:val="21"/>
        </w:rPr>
        <w:t>日第十三届全国人民代表大会常务委员会第十二次会议第三次修正通过，自</w:t>
      </w:r>
      <w:r>
        <w:rPr>
          <w:rFonts w:cs="Arial" w:ascii="Arial" w:hAnsi="Arial"/>
          <w:sz w:val="21"/>
          <w:szCs w:val="21"/>
        </w:rPr>
        <w:t>2020</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《中华人民共和国城市房地产管理法》（</w:t>
      </w:r>
      <w:r>
        <w:rPr>
          <w:rFonts w:cs="Arial" w:ascii="Arial" w:hAnsi="Arial"/>
          <w:sz w:val="21"/>
          <w:szCs w:val="21"/>
        </w:rPr>
        <w:t>1994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5</w:t>
      </w:r>
      <w:r>
        <w:rPr>
          <w:rFonts w:ascii="Arial" w:hAnsi="Arial" w:cs="Arial"/>
          <w:sz w:val="21"/>
          <w:szCs w:val="21"/>
        </w:rPr>
        <w:t>日第八届全国人民代表大会常务委员会第八次会议通过，中华人民共和国主席令第</w:t>
      </w:r>
      <w:r>
        <w:rPr>
          <w:rFonts w:cs="Arial" w:ascii="Arial" w:hAnsi="Arial"/>
          <w:sz w:val="21"/>
          <w:szCs w:val="21"/>
        </w:rPr>
        <w:t>29</w:t>
      </w:r>
      <w:r>
        <w:rPr>
          <w:rFonts w:ascii="Arial" w:hAnsi="Arial" w:cs="Arial"/>
          <w:sz w:val="21"/>
          <w:szCs w:val="21"/>
        </w:rPr>
        <w:t>号公布，自</w:t>
      </w:r>
      <w:r>
        <w:rPr>
          <w:rFonts w:cs="Arial" w:ascii="Arial" w:hAnsi="Arial"/>
          <w:sz w:val="21"/>
          <w:szCs w:val="21"/>
        </w:rPr>
        <w:t>1995</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r>
        <w:rPr>
          <w:rFonts w:cs="Arial" w:ascii="Arial" w:hAnsi="Arial"/>
          <w:sz w:val="21"/>
          <w:szCs w:val="21"/>
        </w:rPr>
        <w:t>2007</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30</w:t>
      </w:r>
      <w:r>
        <w:rPr>
          <w:rFonts w:ascii="Arial" w:hAnsi="Arial" w:cs="Arial"/>
          <w:sz w:val="21"/>
          <w:szCs w:val="21"/>
        </w:rPr>
        <w:t>日第十届全国人民代表大会常务委员会第二十九次会议通过第一次修正通过，中华人民共和国主席令第</w:t>
      </w:r>
      <w:r>
        <w:rPr>
          <w:rFonts w:cs="Arial" w:ascii="Arial" w:hAnsi="Arial"/>
          <w:sz w:val="21"/>
          <w:szCs w:val="21"/>
        </w:rPr>
        <w:t>72</w:t>
      </w:r>
      <w:r>
        <w:rPr>
          <w:rFonts w:ascii="Arial" w:hAnsi="Arial" w:cs="Arial"/>
          <w:sz w:val="21"/>
          <w:szCs w:val="21"/>
        </w:rPr>
        <w:t>号公布，自公布之日起施行；</w:t>
      </w:r>
      <w:r>
        <w:rPr>
          <w:rFonts w:cs="Arial" w:ascii="Arial" w:hAnsi="Arial"/>
          <w:sz w:val="21"/>
          <w:szCs w:val="21"/>
        </w:rPr>
        <w:t>2009</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27</w:t>
      </w:r>
      <w:r>
        <w:rPr>
          <w:rFonts w:ascii="Arial" w:hAnsi="Arial" w:cs="Arial"/>
          <w:sz w:val="21"/>
          <w:szCs w:val="21"/>
        </w:rPr>
        <w:t>日第十一届全国人民代表大会常务委员会第十次会议第二次修正通过，中华人民共和国主席令第</w:t>
      </w:r>
      <w:r>
        <w:rPr>
          <w:rFonts w:cs="Arial" w:ascii="Arial" w:hAnsi="Arial"/>
          <w:sz w:val="21"/>
          <w:szCs w:val="21"/>
        </w:rPr>
        <w:t>18</w:t>
      </w:r>
      <w:r>
        <w:rPr>
          <w:rFonts w:ascii="Arial" w:hAnsi="Arial" w:cs="Arial"/>
          <w:sz w:val="21"/>
          <w:szCs w:val="21"/>
        </w:rPr>
        <w:t>号公布，自公布之日起施行；</w:t>
      </w:r>
      <w:r>
        <w:rPr>
          <w:rFonts w:cs="Arial" w:ascii="Arial" w:hAnsi="Arial"/>
          <w:sz w:val="21"/>
          <w:szCs w:val="21"/>
        </w:rPr>
        <w:t>2019</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26</w:t>
      </w:r>
      <w:r>
        <w:rPr>
          <w:rFonts w:ascii="Arial" w:hAnsi="Arial" w:cs="Arial"/>
          <w:sz w:val="21"/>
          <w:szCs w:val="21"/>
        </w:rPr>
        <w:t>日第十三届全国人大常委会第十二次会议通过第三次修正，自</w:t>
      </w:r>
      <w:r>
        <w:rPr>
          <w:rFonts w:cs="Arial" w:ascii="Arial" w:hAnsi="Arial"/>
          <w:sz w:val="21"/>
          <w:szCs w:val="21"/>
        </w:rPr>
        <w:t>2020</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numPr>
          <w:ilvl w:val="0"/>
          <w:numId w:val="11"/>
        </w:numPr>
        <w:overflowPunct w:val="false"/>
        <w:spacing w:lineRule="auto" w:line="480"/>
        <w:ind w:left="0" w:firstLine="420"/>
        <w:jc w:val="both"/>
        <w:textAlignment w:val="auto"/>
        <w:rPr/>
      </w:pPr>
      <w:r>
        <w:rPr>
          <w:rFonts w:ascii="Arial" w:hAnsi="Arial" w:cs="Arial"/>
          <w:sz w:val="21"/>
          <w:szCs w:val="21"/>
        </w:rPr>
        <w:t>《中华人民共和国城乡规划法》（</w:t>
      </w:r>
      <w:r>
        <w:rPr>
          <w:rFonts w:cs="Arial" w:ascii="Arial" w:hAnsi="Arial"/>
          <w:sz w:val="21"/>
          <w:szCs w:val="21"/>
        </w:rPr>
        <w:t xml:space="preserve">2007 </w:t>
      </w:r>
      <w:r>
        <w:rPr>
          <w:rFonts w:ascii="Arial" w:hAnsi="Arial" w:cs="Arial"/>
          <w:sz w:val="21"/>
          <w:szCs w:val="21"/>
        </w:rPr>
        <w:t>年</w:t>
      </w:r>
      <w:r>
        <w:rPr>
          <w:rFonts w:ascii="Arial" w:hAnsi="Arial" w:cs="Arial" w:eastAsia="Arial"/>
          <w:sz w:val="21"/>
          <w:szCs w:val="21"/>
        </w:rPr>
        <w:t xml:space="preserve"> </w:t>
      </w:r>
      <w:r>
        <w:rPr>
          <w:rFonts w:cs="Arial" w:ascii="Arial" w:hAnsi="Arial"/>
          <w:sz w:val="21"/>
          <w:szCs w:val="21"/>
        </w:rPr>
        <w:t xml:space="preserve">10 </w:t>
      </w:r>
      <w:r>
        <w:rPr>
          <w:rFonts w:ascii="Arial" w:hAnsi="Arial" w:cs="Arial"/>
          <w:sz w:val="21"/>
          <w:szCs w:val="21"/>
        </w:rPr>
        <w:t>月</w:t>
      </w:r>
      <w:r>
        <w:rPr>
          <w:rFonts w:ascii="Arial" w:hAnsi="Arial" w:cs="Arial" w:eastAsia="Arial"/>
          <w:sz w:val="21"/>
          <w:szCs w:val="21"/>
        </w:rPr>
        <w:t xml:space="preserve"> </w:t>
      </w:r>
      <w:r>
        <w:rPr>
          <w:rFonts w:cs="Arial" w:ascii="Arial" w:hAnsi="Arial"/>
          <w:sz w:val="21"/>
          <w:szCs w:val="21"/>
        </w:rPr>
        <w:t xml:space="preserve">28 </w:t>
      </w:r>
      <w:r>
        <w:rPr>
          <w:rFonts w:ascii="Arial" w:hAnsi="Arial" w:cs="Arial"/>
          <w:sz w:val="21"/>
          <w:szCs w:val="21"/>
        </w:rPr>
        <w:t>日第十届全国人民代表大会常务委员会第三十次会议通过，中华人民共和国主席令第</w:t>
      </w:r>
      <w:r>
        <w:rPr>
          <w:rFonts w:cs="Arial" w:ascii="Arial" w:hAnsi="Arial"/>
          <w:sz w:val="21"/>
          <w:szCs w:val="21"/>
        </w:rPr>
        <w:t>74</w:t>
      </w:r>
      <w:r>
        <w:rPr>
          <w:rFonts w:ascii="Arial" w:hAnsi="Arial" w:cs="Arial"/>
          <w:sz w:val="21"/>
          <w:szCs w:val="21"/>
        </w:rPr>
        <w:t>号，自公布之日起施行；根据</w:t>
      </w:r>
      <w:r>
        <w:rPr>
          <w:rFonts w:ascii="Arial" w:hAnsi="Arial" w:cs="Arial" w:eastAsia="Arial"/>
          <w:sz w:val="21"/>
          <w:szCs w:val="21"/>
        </w:rPr>
        <w:t xml:space="preserve"> </w:t>
      </w:r>
      <w:r>
        <w:rPr>
          <w:rFonts w:cs="Arial" w:ascii="Arial" w:hAnsi="Arial"/>
          <w:sz w:val="21"/>
          <w:szCs w:val="21"/>
        </w:rPr>
        <w:t xml:space="preserve">2015 </w:t>
      </w:r>
      <w:r>
        <w:rPr>
          <w:rFonts w:ascii="Arial" w:hAnsi="Arial" w:cs="Arial"/>
          <w:sz w:val="21"/>
          <w:szCs w:val="21"/>
        </w:rPr>
        <w:t>年</w:t>
      </w:r>
      <w:r>
        <w:rPr>
          <w:rFonts w:ascii="Arial" w:hAnsi="Arial" w:cs="Arial" w:eastAsia="Arial"/>
          <w:sz w:val="21"/>
          <w:szCs w:val="21"/>
        </w:rPr>
        <w:t xml:space="preserve"> </w:t>
      </w:r>
      <w:r>
        <w:rPr>
          <w:rFonts w:cs="Arial" w:ascii="Arial" w:hAnsi="Arial"/>
          <w:sz w:val="21"/>
          <w:szCs w:val="21"/>
        </w:rPr>
        <w:t xml:space="preserve">4 </w:t>
      </w:r>
      <w:r>
        <w:rPr>
          <w:rFonts w:ascii="Arial" w:hAnsi="Arial" w:cs="Arial"/>
          <w:sz w:val="21"/>
          <w:szCs w:val="21"/>
        </w:rPr>
        <w:t>月</w:t>
      </w:r>
      <w:r>
        <w:rPr>
          <w:rFonts w:ascii="Arial" w:hAnsi="Arial" w:cs="Arial" w:eastAsia="Arial"/>
          <w:sz w:val="21"/>
          <w:szCs w:val="21"/>
        </w:rPr>
        <w:t xml:space="preserve"> </w:t>
      </w:r>
      <w:r>
        <w:rPr>
          <w:rFonts w:cs="Arial" w:ascii="Arial" w:hAnsi="Arial"/>
          <w:sz w:val="21"/>
          <w:szCs w:val="21"/>
        </w:rPr>
        <w:t xml:space="preserve">24 </w:t>
      </w:r>
      <w:r>
        <w:rPr>
          <w:rFonts w:ascii="Arial" w:hAnsi="Arial" w:cs="Arial"/>
          <w:sz w:val="21"/>
          <w:szCs w:val="21"/>
        </w:rPr>
        <w:t>日第十二届全国人民代表大会常务委员会第十四次会议通过第一次修正，中华人民共和国主席令第</w:t>
      </w:r>
      <w:r>
        <w:rPr>
          <w:rFonts w:cs="Arial" w:ascii="Arial" w:hAnsi="Arial"/>
          <w:sz w:val="21"/>
          <w:szCs w:val="21"/>
        </w:rPr>
        <w:t>23</w:t>
      </w:r>
      <w:r>
        <w:rPr>
          <w:rFonts w:ascii="Arial" w:hAnsi="Arial" w:cs="Arial"/>
          <w:sz w:val="21"/>
          <w:szCs w:val="21"/>
        </w:rPr>
        <w:t>号公布，自公布之日起施行；根据</w:t>
      </w:r>
      <w:r>
        <w:rPr>
          <w:rFonts w:cs="Arial" w:ascii="Arial" w:hAnsi="Arial"/>
          <w:sz w:val="21"/>
          <w:szCs w:val="21"/>
        </w:rPr>
        <w:t>2019</w:t>
      </w:r>
      <w:r>
        <w:rPr>
          <w:rFonts w:ascii="Arial" w:hAnsi="Arial" w:cs="Arial"/>
          <w:sz w:val="21"/>
          <w:szCs w:val="21"/>
        </w:rPr>
        <w:t>年</w:t>
      </w:r>
      <w:r>
        <w:rPr>
          <w:rFonts w:cs="Arial" w:ascii="Arial" w:hAnsi="Arial"/>
          <w:sz w:val="21"/>
          <w:szCs w:val="21"/>
        </w:rPr>
        <w:t>4</w:t>
      </w:r>
      <w:r>
        <w:rPr>
          <w:rFonts w:ascii="Arial" w:hAnsi="Arial" w:cs="Arial"/>
          <w:sz w:val="21"/>
          <w:szCs w:val="21"/>
        </w:rPr>
        <w:t>月</w:t>
      </w:r>
      <w:r>
        <w:rPr>
          <w:rFonts w:cs="Arial" w:ascii="Arial" w:hAnsi="Arial"/>
          <w:sz w:val="21"/>
          <w:szCs w:val="21"/>
        </w:rPr>
        <w:t>23</w:t>
      </w:r>
      <w:r>
        <w:rPr>
          <w:rFonts w:ascii="Arial" w:hAnsi="Arial" w:cs="Arial"/>
          <w:sz w:val="21"/>
          <w:szCs w:val="21"/>
        </w:rPr>
        <w:t>日第十三届全国人民代表大会常务委员会第十次会议通过第二次修正，自公布之日起施行）</w:t>
      </w:r>
    </w:p>
    <w:p>
      <w:pPr>
        <w:pStyle w:val="Normal"/>
        <w:numPr>
          <w:ilvl w:val="0"/>
          <w:numId w:val="11"/>
        </w:numPr>
        <w:overflowPunct w:val="false"/>
        <w:spacing w:lineRule="auto" w:line="480"/>
        <w:ind w:left="0" w:firstLine="420"/>
        <w:jc w:val="both"/>
        <w:textAlignment w:val="auto"/>
        <w:rPr>
          <w:rFonts w:ascii="Arial" w:hAnsi="Arial" w:cs="Arial"/>
          <w:sz w:val="21"/>
          <w:szCs w:val="21"/>
        </w:rPr>
      </w:pPr>
      <w:bookmarkStart w:id="11" w:name="OLE_LINK4"/>
      <w:bookmarkStart w:id="12" w:name="OLE_LINK3"/>
      <w:r>
        <w:rPr>
          <w:rFonts w:ascii="Arial" w:hAnsi="Arial" w:cs="Arial"/>
          <w:sz w:val="21"/>
          <w:szCs w:val="21"/>
        </w:rPr>
        <w:t>《不动产登记暂行条例》（</w:t>
      </w:r>
      <w:r>
        <w:rPr>
          <w:rFonts w:cs="Arial" w:ascii="Arial" w:hAnsi="Arial"/>
          <w:sz w:val="21"/>
          <w:szCs w:val="21"/>
        </w:rPr>
        <w:t>2014</w:t>
      </w:r>
      <w:r>
        <w:rPr>
          <w:rFonts w:ascii="Arial" w:hAnsi="Arial" w:cs="Arial"/>
          <w:sz w:val="21"/>
          <w:szCs w:val="21"/>
        </w:rPr>
        <w:t>年</w:t>
      </w:r>
      <w:r>
        <w:rPr>
          <w:rFonts w:cs="Arial" w:ascii="Arial" w:hAnsi="Arial"/>
          <w:sz w:val="21"/>
          <w:szCs w:val="21"/>
        </w:rPr>
        <w:t>11</w:t>
      </w:r>
      <w:r>
        <w:rPr>
          <w:rFonts w:ascii="Arial" w:hAnsi="Arial" w:cs="Arial"/>
          <w:sz w:val="21"/>
          <w:szCs w:val="21"/>
        </w:rPr>
        <w:t>月</w:t>
      </w:r>
      <w:r>
        <w:rPr>
          <w:rFonts w:cs="Arial" w:ascii="Arial" w:hAnsi="Arial"/>
          <w:sz w:val="21"/>
          <w:szCs w:val="21"/>
        </w:rPr>
        <w:t>24</w:t>
      </w:r>
      <w:r>
        <w:rPr>
          <w:rFonts w:ascii="Arial" w:hAnsi="Arial" w:cs="Arial"/>
          <w:sz w:val="21"/>
          <w:szCs w:val="21"/>
        </w:rPr>
        <w:t>日中华人民共和国国务院令第</w:t>
      </w:r>
      <w:r>
        <w:rPr>
          <w:rFonts w:cs="Arial" w:ascii="Arial" w:hAnsi="Arial"/>
          <w:sz w:val="21"/>
          <w:szCs w:val="21"/>
        </w:rPr>
        <w:t>656</w:t>
      </w:r>
      <w:r>
        <w:rPr>
          <w:rFonts w:ascii="Arial" w:hAnsi="Arial" w:cs="Arial"/>
          <w:sz w:val="21"/>
          <w:szCs w:val="21"/>
        </w:rPr>
        <w:t>号公布，自</w:t>
      </w:r>
      <w:r>
        <w:rPr>
          <w:rFonts w:cs="Arial" w:ascii="Arial" w:hAnsi="Arial"/>
          <w:sz w:val="21"/>
          <w:szCs w:val="21"/>
        </w:rPr>
        <w:t>2015</w:t>
      </w:r>
      <w:r>
        <w:rPr>
          <w:rFonts w:ascii="Arial" w:hAnsi="Arial" w:cs="Arial"/>
          <w:sz w:val="21"/>
          <w:szCs w:val="21"/>
        </w:rPr>
        <w:t>年</w:t>
      </w:r>
      <w:r>
        <w:rPr>
          <w:rFonts w:cs="Arial" w:ascii="Arial" w:hAnsi="Arial"/>
          <w:sz w:val="21"/>
          <w:szCs w:val="21"/>
        </w:rPr>
        <w:t>3</w:t>
      </w:r>
      <w:r>
        <w:rPr>
          <w:rFonts w:ascii="Arial" w:hAnsi="Arial" w:cs="Arial"/>
          <w:sz w:val="21"/>
          <w:szCs w:val="21"/>
        </w:rPr>
        <w:t>月</w:t>
      </w:r>
      <w:r>
        <w:rPr>
          <w:rFonts w:cs="Arial" w:ascii="Arial" w:hAnsi="Arial"/>
          <w:sz w:val="21"/>
          <w:szCs w:val="21"/>
        </w:rPr>
        <w:t>1</w:t>
      </w:r>
      <w:r>
        <w:rPr>
          <w:rFonts w:ascii="Arial" w:hAnsi="Arial" w:cs="Arial"/>
          <w:sz w:val="21"/>
          <w:szCs w:val="21"/>
        </w:rPr>
        <w:t>日起施行；根据</w:t>
      </w:r>
      <w:r>
        <w:rPr>
          <w:rFonts w:cs="Arial" w:ascii="Arial" w:hAnsi="Arial"/>
          <w:sz w:val="21"/>
          <w:szCs w:val="21"/>
        </w:rPr>
        <w:t>2019</w:t>
      </w:r>
      <w:r>
        <w:rPr>
          <w:rFonts w:ascii="Arial" w:hAnsi="Arial" w:cs="Arial"/>
          <w:sz w:val="21"/>
          <w:szCs w:val="21"/>
        </w:rPr>
        <w:t>年</w:t>
      </w:r>
      <w:r>
        <w:rPr>
          <w:rFonts w:cs="Arial" w:ascii="Arial" w:hAnsi="Arial"/>
          <w:sz w:val="21"/>
          <w:szCs w:val="21"/>
        </w:rPr>
        <w:t>3</w:t>
      </w:r>
      <w:r>
        <w:rPr>
          <w:rFonts w:ascii="Arial" w:hAnsi="Arial" w:cs="Arial"/>
          <w:sz w:val="21"/>
          <w:szCs w:val="21"/>
        </w:rPr>
        <w:t>月</w:t>
      </w:r>
      <w:r>
        <w:rPr>
          <w:rFonts w:cs="Arial" w:ascii="Arial" w:hAnsi="Arial"/>
          <w:sz w:val="21"/>
          <w:szCs w:val="21"/>
        </w:rPr>
        <w:t>24</w:t>
      </w:r>
      <w:r>
        <w:rPr>
          <w:rFonts w:ascii="Arial" w:hAnsi="Arial" w:cs="Arial"/>
          <w:sz w:val="21"/>
          <w:szCs w:val="21"/>
        </w:rPr>
        <w:t>日中华人民共和国国务院令第</w:t>
      </w:r>
      <w:r>
        <w:rPr>
          <w:rFonts w:cs="Arial" w:ascii="Arial" w:hAnsi="Arial"/>
          <w:sz w:val="21"/>
          <w:szCs w:val="21"/>
        </w:rPr>
        <w:t>710</w:t>
      </w:r>
      <w:r>
        <w:rPr>
          <w:rFonts w:ascii="Arial" w:hAnsi="Arial" w:cs="Arial"/>
          <w:sz w:val="21"/>
          <w:szCs w:val="21"/>
        </w:rPr>
        <w:t>号公布的《国务院关于修改部分行政法规的决定》修订，自公布之日起施行）</w:t>
      </w:r>
      <w:bookmarkEnd w:id="11"/>
      <w:bookmarkEnd w:id="12"/>
    </w:p>
    <w:p>
      <w:pPr>
        <w:pStyle w:val="Normal"/>
        <w:numPr>
          <w:ilvl w:val="0"/>
          <w:numId w:val="11"/>
        </w:numPr>
        <w:overflowPunct w:val="false"/>
        <w:spacing w:lineRule="auto" w:line="480"/>
        <w:ind w:left="0" w:firstLine="420"/>
        <w:jc w:val="both"/>
        <w:textAlignment w:val="auto"/>
        <w:rPr>
          <w:rFonts w:ascii="Arial" w:hAnsi="Arial" w:cs="Arial"/>
          <w:sz w:val="21"/>
          <w:szCs w:val="21"/>
        </w:rPr>
      </w:pPr>
      <w:bookmarkStart w:id="13" w:name="OLE_LINK6"/>
      <w:bookmarkStart w:id="14" w:name="OLE_LINK5"/>
      <w:r>
        <w:rPr>
          <w:rFonts w:ascii="Arial" w:hAnsi="Arial" w:cs="Arial"/>
          <w:sz w:val="21"/>
          <w:szCs w:val="21"/>
        </w:rPr>
        <w:t>《不动产登记暂行条例实施细则》（</w:t>
      </w:r>
      <w:r>
        <w:rPr>
          <w:rFonts w:cs="Arial" w:ascii="Arial" w:hAnsi="Arial"/>
          <w:sz w:val="21"/>
          <w:szCs w:val="21"/>
        </w:rPr>
        <w:t>2015</w:t>
      </w:r>
      <w:r>
        <w:rPr>
          <w:rFonts w:ascii="Arial" w:hAnsi="Arial" w:cs="Arial"/>
          <w:sz w:val="21"/>
          <w:szCs w:val="21"/>
        </w:rPr>
        <w:t>年</w:t>
      </w:r>
      <w:r>
        <w:rPr>
          <w:rFonts w:cs="Arial" w:ascii="Arial" w:hAnsi="Arial"/>
          <w:sz w:val="21"/>
          <w:szCs w:val="21"/>
        </w:rPr>
        <w:t>6</w:t>
      </w:r>
      <w:r>
        <w:rPr>
          <w:rFonts w:ascii="Arial" w:hAnsi="Arial" w:cs="Arial"/>
          <w:sz w:val="21"/>
          <w:szCs w:val="21"/>
        </w:rPr>
        <w:t>月</w:t>
      </w:r>
      <w:r>
        <w:rPr>
          <w:rFonts w:cs="Arial" w:ascii="Arial" w:hAnsi="Arial"/>
          <w:sz w:val="21"/>
          <w:szCs w:val="21"/>
        </w:rPr>
        <w:t>29</w:t>
      </w:r>
      <w:r>
        <w:rPr>
          <w:rFonts w:ascii="Arial" w:hAnsi="Arial" w:cs="Arial"/>
          <w:sz w:val="21"/>
          <w:szCs w:val="21"/>
        </w:rPr>
        <w:t>日国土资源部第</w:t>
      </w:r>
      <w:r>
        <w:rPr>
          <w:rFonts w:cs="Arial" w:ascii="Arial" w:hAnsi="Arial"/>
          <w:sz w:val="21"/>
          <w:szCs w:val="21"/>
        </w:rPr>
        <w:t>3</w:t>
      </w:r>
      <w:r>
        <w:rPr>
          <w:rFonts w:ascii="Arial" w:hAnsi="Arial" w:cs="Arial"/>
          <w:sz w:val="21"/>
          <w:szCs w:val="21"/>
        </w:rPr>
        <w:t>次部务会议通过，自</w:t>
      </w:r>
      <w:r>
        <w:rPr>
          <w:rFonts w:cs="Arial" w:ascii="Arial" w:hAnsi="Arial"/>
          <w:sz w:val="21"/>
          <w:szCs w:val="21"/>
        </w:rPr>
        <w:t>2016</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日起施行；根据</w:t>
      </w:r>
      <w:r>
        <w:rPr>
          <w:rFonts w:cs="Arial" w:ascii="Arial" w:hAnsi="Arial"/>
          <w:sz w:val="21"/>
          <w:szCs w:val="21"/>
        </w:rPr>
        <w:t>2019</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16</w:t>
      </w:r>
      <w:r>
        <w:rPr>
          <w:rFonts w:ascii="Arial" w:hAnsi="Arial" w:cs="Arial"/>
          <w:sz w:val="21"/>
          <w:szCs w:val="21"/>
        </w:rPr>
        <w:t>日自然资源部第</w:t>
      </w:r>
      <w:r>
        <w:rPr>
          <w:rFonts w:cs="Arial" w:ascii="Arial" w:hAnsi="Arial"/>
          <w:sz w:val="21"/>
          <w:szCs w:val="21"/>
        </w:rPr>
        <w:t>2</w:t>
      </w:r>
      <w:r>
        <w:rPr>
          <w:rFonts w:ascii="Arial" w:hAnsi="Arial" w:cs="Arial"/>
          <w:sz w:val="21"/>
          <w:szCs w:val="21"/>
        </w:rPr>
        <w:t>次部务会议审议通过《自然资源部关于第一批废止和修改的部门规章的决定》</w:t>
      </w:r>
      <w:r>
        <w:rPr>
          <w:rFonts w:cs="Arial" w:ascii="Arial" w:hAnsi="Arial"/>
          <w:sz w:val="21"/>
          <w:szCs w:val="21"/>
        </w:rPr>
        <w:t>[</w:t>
      </w:r>
      <w:r>
        <w:rPr>
          <w:rFonts w:ascii="Arial" w:hAnsi="Arial" w:cs="Arial"/>
          <w:sz w:val="21"/>
          <w:szCs w:val="21"/>
        </w:rPr>
        <w:t>中华人民共和国自然资源部令第</w:t>
      </w:r>
      <w:r>
        <w:rPr>
          <w:rFonts w:cs="Arial" w:ascii="Arial" w:hAnsi="Arial"/>
          <w:sz w:val="21"/>
          <w:szCs w:val="21"/>
        </w:rPr>
        <w:t>5</w:t>
      </w:r>
      <w:r>
        <w:rPr>
          <w:rFonts w:ascii="Arial" w:hAnsi="Arial" w:cs="Arial"/>
          <w:sz w:val="21"/>
          <w:szCs w:val="21"/>
        </w:rPr>
        <w:t>号</w:t>
      </w:r>
      <w:r>
        <w:rPr>
          <w:rFonts w:cs="Arial" w:ascii="Arial" w:hAnsi="Arial"/>
          <w:sz w:val="21"/>
          <w:szCs w:val="21"/>
        </w:rPr>
        <w:t>]</w:t>
      </w:r>
      <w:r>
        <w:rPr>
          <w:rFonts w:ascii="Arial" w:hAnsi="Arial" w:cs="Arial"/>
          <w:sz w:val="21"/>
          <w:szCs w:val="21"/>
        </w:rPr>
        <w:t>修订，自公布之日起施行）</w:t>
      </w:r>
      <w:bookmarkEnd w:id="13"/>
      <w:bookmarkEnd w:id="14"/>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《中华人民共和国资产评估法》（</w:t>
      </w:r>
      <w:r>
        <w:rPr>
          <w:rFonts w:cs="Arial" w:ascii="Arial" w:hAnsi="Arial"/>
          <w:sz w:val="21"/>
          <w:szCs w:val="21"/>
        </w:rPr>
        <w:t>2016</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2</w:t>
      </w:r>
      <w:r>
        <w:rPr>
          <w:rFonts w:ascii="Arial" w:hAnsi="Arial" w:cs="Arial"/>
          <w:sz w:val="21"/>
          <w:szCs w:val="21"/>
        </w:rPr>
        <w:t>日第十二届全国人民代表大会常务委员会第二十一次会议通过，</w:t>
      </w:r>
      <w:r>
        <w:rPr>
          <w:rFonts w:cs="Arial" w:ascii="Arial" w:hAnsi="Arial"/>
          <w:sz w:val="21"/>
          <w:szCs w:val="21"/>
        </w:rPr>
        <w:t>2016</w:t>
      </w:r>
      <w:r>
        <w:rPr>
          <w:rFonts w:ascii="Arial" w:hAnsi="Arial" w:cs="Arial"/>
          <w:sz w:val="21"/>
          <w:szCs w:val="21"/>
        </w:rPr>
        <w:t>年</w:t>
      </w:r>
      <w:r>
        <w:rPr>
          <w:rFonts w:cs="Arial" w:ascii="Arial" w:hAnsi="Arial"/>
          <w:sz w:val="21"/>
          <w:szCs w:val="21"/>
        </w:rPr>
        <w:t>3</w:t>
      </w:r>
      <w:r>
        <w:rPr>
          <w:rFonts w:ascii="Arial" w:hAnsi="Arial" w:cs="Arial"/>
          <w:sz w:val="21"/>
          <w:szCs w:val="21"/>
        </w:rPr>
        <w:t>月</w:t>
      </w:r>
      <w:r>
        <w:rPr>
          <w:rFonts w:cs="Arial" w:ascii="Arial" w:hAnsi="Arial"/>
          <w:sz w:val="21"/>
          <w:szCs w:val="21"/>
        </w:rPr>
        <w:t>16</w:t>
      </w:r>
      <w:r>
        <w:rPr>
          <w:rFonts w:ascii="Arial" w:hAnsi="Arial" w:cs="Arial"/>
          <w:sz w:val="21"/>
          <w:szCs w:val="21"/>
        </w:rPr>
        <w:t>日中华人民共和国主席令第</w:t>
      </w:r>
      <w:r>
        <w:rPr>
          <w:rFonts w:cs="Arial" w:ascii="Arial" w:hAnsi="Arial"/>
          <w:sz w:val="21"/>
          <w:szCs w:val="21"/>
        </w:rPr>
        <w:t>46</w:t>
      </w:r>
      <w:r>
        <w:rPr>
          <w:rFonts w:ascii="Arial" w:hAnsi="Arial" w:cs="Arial"/>
          <w:sz w:val="21"/>
          <w:szCs w:val="21"/>
        </w:rPr>
        <w:t>号公布，自</w:t>
      </w:r>
      <w:r>
        <w:rPr>
          <w:rFonts w:cs="Arial" w:ascii="Arial" w:hAnsi="Arial"/>
          <w:sz w:val="21"/>
          <w:szCs w:val="21"/>
        </w:rPr>
        <w:t>2016</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《中华人民共和国民法典》（</w:t>
      </w:r>
      <w:r>
        <w:rPr>
          <w:rFonts w:cs="Arial" w:ascii="Arial" w:hAnsi="Arial"/>
          <w:sz w:val="21"/>
          <w:szCs w:val="21"/>
        </w:rPr>
        <w:t>2020</w:t>
      </w:r>
      <w:r>
        <w:rPr>
          <w:rFonts w:ascii="Arial" w:hAnsi="Arial" w:cs="Arial"/>
          <w:sz w:val="21"/>
          <w:szCs w:val="21"/>
        </w:rPr>
        <w:t>年</w:t>
      </w:r>
      <w:r>
        <w:rPr>
          <w:rFonts w:cs="Arial" w:ascii="Arial" w:hAnsi="Arial"/>
          <w:sz w:val="21"/>
          <w:szCs w:val="21"/>
        </w:rPr>
        <w:t>5</w:t>
      </w:r>
      <w:r>
        <w:rPr>
          <w:rFonts w:ascii="Arial" w:hAnsi="Arial" w:cs="Arial"/>
          <w:sz w:val="21"/>
          <w:szCs w:val="21"/>
        </w:rPr>
        <w:t>月</w:t>
      </w:r>
      <w:r>
        <w:rPr>
          <w:rFonts w:cs="Arial" w:ascii="Arial" w:hAnsi="Arial"/>
          <w:sz w:val="21"/>
          <w:szCs w:val="21"/>
        </w:rPr>
        <w:t>28</w:t>
      </w:r>
      <w:r>
        <w:rPr>
          <w:rFonts w:ascii="Arial" w:hAnsi="Arial" w:cs="Arial"/>
          <w:sz w:val="21"/>
          <w:szCs w:val="21"/>
        </w:rPr>
        <w:t>日第十三届全国人大三次会议表决通过，自</w:t>
      </w:r>
      <w:r>
        <w:rPr>
          <w:rFonts w:cs="Arial" w:ascii="Arial" w:hAnsi="Arial"/>
          <w:sz w:val="21"/>
          <w:szCs w:val="21"/>
        </w:rPr>
        <w:t>2021</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《中华人民共和国城镇国有土地使用权出让和转让暂行条例》（</w:t>
      </w:r>
      <w:r>
        <w:rPr>
          <w:rFonts w:cs="Arial" w:ascii="Arial" w:hAnsi="Arial"/>
          <w:sz w:val="21"/>
          <w:szCs w:val="21"/>
        </w:rPr>
        <w:t>1990</w:t>
      </w:r>
      <w:r>
        <w:rPr>
          <w:rFonts w:ascii="Arial" w:hAnsi="Arial" w:cs="Arial"/>
          <w:sz w:val="21"/>
          <w:szCs w:val="21"/>
        </w:rPr>
        <w:t>年</w:t>
      </w:r>
      <w:r>
        <w:rPr>
          <w:rFonts w:cs="Arial" w:ascii="Arial" w:hAnsi="Arial"/>
          <w:sz w:val="21"/>
          <w:szCs w:val="21"/>
        </w:rPr>
        <w:t>5</w:t>
      </w:r>
      <w:r>
        <w:rPr>
          <w:rFonts w:ascii="Arial" w:hAnsi="Arial" w:cs="Arial"/>
          <w:sz w:val="21"/>
          <w:szCs w:val="21"/>
        </w:rPr>
        <w:t>月</w:t>
      </w:r>
      <w:r>
        <w:rPr>
          <w:rFonts w:cs="Arial" w:ascii="Arial" w:hAnsi="Arial"/>
          <w:sz w:val="21"/>
          <w:szCs w:val="21"/>
        </w:rPr>
        <w:t>19</w:t>
      </w:r>
      <w:r>
        <w:rPr>
          <w:rFonts w:ascii="Arial" w:hAnsi="Arial" w:cs="Arial"/>
          <w:sz w:val="21"/>
          <w:szCs w:val="21"/>
        </w:rPr>
        <w:t>日中华人民共和国国务院令第</w:t>
      </w:r>
      <w:r>
        <w:rPr>
          <w:rFonts w:cs="Arial" w:ascii="Arial" w:hAnsi="Arial"/>
          <w:sz w:val="21"/>
          <w:szCs w:val="21"/>
        </w:rPr>
        <w:t>55</w:t>
      </w:r>
      <w:r>
        <w:rPr>
          <w:rFonts w:ascii="Arial" w:hAnsi="Arial" w:cs="Arial"/>
          <w:sz w:val="21"/>
          <w:szCs w:val="21"/>
        </w:rPr>
        <w:t>号发布，自发布之日起施行；根据</w:t>
      </w:r>
      <w:r>
        <w:rPr>
          <w:rFonts w:cs="Arial" w:ascii="Arial" w:hAnsi="Arial"/>
          <w:sz w:val="21"/>
          <w:szCs w:val="21"/>
        </w:rPr>
        <w:t>2020</w:t>
      </w:r>
      <w:r>
        <w:rPr>
          <w:rFonts w:ascii="Arial" w:hAnsi="Arial" w:cs="Arial"/>
          <w:sz w:val="21"/>
          <w:szCs w:val="21"/>
        </w:rPr>
        <w:t>年</w:t>
      </w:r>
      <w:r>
        <w:rPr>
          <w:rFonts w:cs="Arial" w:ascii="Arial" w:hAnsi="Arial"/>
          <w:sz w:val="21"/>
          <w:szCs w:val="21"/>
        </w:rPr>
        <w:t>11</w:t>
      </w:r>
      <w:r>
        <w:rPr>
          <w:rFonts w:ascii="Arial" w:hAnsi="Arial" w:cs="Arial"/>
          <w:sz w:val="21"/>
          <w:szCs w:val="21"/>
        </w:rPr>
        <w:t>月</w:t>
      </w:r>
      <w:r>
        <w:rPr>
          <w:rFonts w:cs="Arial" w:ascii="Arial" w:hAnsi="Arial"/>
          <w:sz w:val="21"/>
          <w:szCs w:val="21"/>
        </w:rPr>
        <w:t>29</w:t>
      </w:r>
      <w:r>
        <w:rPr>
          <w:rFonts w:ascii="Arial" w:hAnsi="Arial" w:cs="Arial"/>
          <w:sz w:val="21"/>
          <w:szCs w:val="21"/>
        </w:rPr>
        <w:t>日中华人民共和国国务院令第</w:t>
      </w:r>
      <w:r>
        <w:rPr>
          <w:rFonts w:cs="Arial" w:ascii="Arial" w:hAnsi="Arial"/>
          <w:sz w:val="21"/>
          <w:szCs w:val="21"/>
        </w:rPr>
        <w:t>732</w:t>
      </w:r>
      <w:r>
        <w:rPr>
          <w:rFonts w:ascii="Arial" w:hAnsi="Arial" w:cs="Arial"/>
          <w:sz w:val="21"/>
          <w:szCs w:val="21"/>
        </w:rPr>
        <w:t>号公布的《国务院关于修改和废止部分行政法规的决定》修订，自公布之日起施行）</w:t>
      </w:r>
    </w:p>
    <w:p>
      <w:pPr>
        <w:pStyle w:val="Normal"/>
        <w:numPr>
          <w:ilvl w:val="0"/>
          <w:numId w:val="11"/>
        </w:numPr>
        <w:overflowPunct w:val="false"/>
        <w:spacing w:lineRule="auto" w:line="480"/>
        <w:ind w:left="0" w:firstLine="420"/>
        <w:jc w:val="both"/>
        <w:textAlignment w:val="auto"/>
        <w:rPr/>
      </w:pPr>
      <w:r>
        <w:rPr>
          <w:rFonts w:ascii="Arial" w:hAnsi="Arial" w:cs="Arial"/>
          <w:sz w:val="21"/>
          <w:szCs w:val="21"/>
        </w:rPr>
        <w:t>《中华人民共和国土地管理法实施条例》（</w:t>
      </w:r>
      <w:r>
        <w:rPr>
          <w:rFonts w:cs="Arial" w:ascii="Arial" w:hAnsi="Arial"/>
          <w:sz w:val="21"/>
          <w:szCs w:val="21"/>
        </w:rPr>
        <w:t>1998</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24</w:t>
      </w:r>
      <w:r>
        <w:rPr>
          <w:rFonts w:ascii="Arial" w:hAnsi="Arial" w:cs="Arial"/>
          <w:sz w:val="21"/>
          <w:szCs w:val="21"/>
        </w:rPr>
        <w:t>日国务院第</w:t>
      </w:r>
      <w:r>
        <w:rPr>
          <w:rFonts w:cs="Arial" w:ascii="Arial" w:hAnsi="Arial"/>
          <w:sz w:val="21"/>
          <w:szCs w:val="21"/>
        </w:rPr>
        <w:t>12</w:t>
      </w:r>
      <w:r>
        <w:rPr>
          <w:rFonts w:ascii="Arial" w:hAnsi="Arial" w:cs="Arial"/>
          <w:sz w:val="21"/>
          <w:szCs w:val="21"/>
        </w:rPr>
        <w:t>次常务会议通过</w:t>
      </w:r>
      <w:r>
        <w:rPr>
          <w:rFonts w:ascii="Arial" w:hAnsi="Arial" w:cs="Arial" w:eastAsia="Arial"/>
          <w:sz w:val="21"/>
          <w:szCs w:val="21"/>
        </w:rPr>
        <w:t xml:space="preserve"> </w:t>
      </w:r>
      <w:r>
        <w:rPr>
          <w:rFonts w:ascii="Arial" w:hAnsi="Arial" w:cs="Arial"/>
          <w:sz w:val="21"/>
          <w:szCs w:val="21"/>
        </w:rPr>
        <w:t>，</w:t>
      </w:r>
      <w:r>
        <w:rPr>
          <w:rFonts w:cs="Arial" w:ascii="Arial" w:hAnsi="Arial"/>
          <w:sz w:val="21"/>
          <w:szCs w:val="21"/>
        </w:rPr>
        <w:t>1998</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27</w:t>
      </w:r>
      <w:r>
        <w:rPr>
          <w:rFonts w:ascii="Arial" w:hAnsi="Arial" w:cs="Arial"/>
          <w:sz w:val="21"/>
          <w:szCs w:val="21"/>
        </w:rPr>
        <w:t>日中华人民共和国国务院令第</w:t>
      </w:r>
      <w:r>
        <w:rPr>
          <w:rFonts w:cs="Arial" w:ascii="Arial" w:hAnsi="Arial"/>
          <w:sz w:val="21"/>
          <w:szCs w:val="21"/>
        </w:rPr>
        <w:t>256</w:t>
      </w:r>
      <w:r>
        <w:rPr>
          <w:rFonts w:ascii="Arial" w:hAnsi="Arial" w:cs="Arial"/>
          <w:sz w:val="21"/>
          <w:szCs w:val="21"/>
        </w:rPr>
        <w:t>号发布，自</w:t>
      </w:r>
      <w:r>
        <w:rPr>
          <w:rFonts w:cs="Arial" w:ascii="Arial" w:hAnsi="Arial"/>
          <w:sz w:val="21"/>
          <w:szCs w:val="21"/>
        </w:rPr>
        <w:t>1999</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r>
        <w:rPr>
          <w:rFonts w:cs="Arial" w:ascii="Arial" w:hAnsi="Arial"/>
          <w:sz w:val="21"/>
          <w:szCs w:val="21"/>
        </w:rPr>
        <w:t>2010</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29</w:t>
      </w:r>
      <w:r>
        <w:rPr>
          <w:rFonts w:ascii="Arial" w:hAnsi="Arial" w:cs="Arial"/>
          <w:sz w:val="21"/>
          <w:szCs w:val="21"/>
        </w:rPr>
        <w:t>日国务院第</w:t>
      </w:r>
      <w:r>
        <w:rPr>
          <w:rFonts w:cs="Arial" w:ascii="Arial" w:hAnsi="Arial"/>
          <w:sz w:val="21"/>
          <w:szCs w:val="21"/>
        </w:rPr>
        <w:t>138</w:t>
      </w:r>
      <w:r>
        <w:rPr>
          <w:rFonts w:ascii="Arial" w:hAnsi="Arial" w:cs="Arial"/>
          <w:sz w:val="21"/>
          <w:szCs w:val="21"/>
        </w:rPr>
        <w:t>次常务会议第一次修正通过，</w:t>
      </w:r>
      <w:r>
        <w:rPr>
          <w:rFonts w:cs="Arial" w:ascii="Arial" w:hAnsi="Arial"/>
          <w:sz w:val="21"/>
          <w:szCs w:val="21"/>
        </w:rPr>
        <w:t>2011</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8</w:t>
      </w:r>
      <w:r>
        <w:rPr>
          <w:rFonts w:ascii="Arial" w:hAnsi="Arial" w:cs="Arial"/>
          <w:sz w:val="21"/>
          <w:szCs w:val="21"/>
        </w:rPr>
        <w:t>日中华人民共和国国务院令第</w:t>
      </w:r>
      <w:r>
        <w:rPr>
          <w:rFonts w:cs="Arial" w:ascii="Arial" w:hAnsi="Arial"/>
          <w:sz w:val="21"/>
          <w:szCs w:val="21"/>
        </w:rPr>
        <w:t>588</w:t>
      </w:r>
      <w:r>
        <w:rPr>
          <w:rFonts w:ascii="Arial" w:hAnsi="Arial" w:cs="Arial"/>
          <w:sz w:val="21"/>
          <w:szCs w:val="21"/>
        </w:rPr>
        <w:t>号发布，自发布之日起施行；</w:t>
      </w:r>
      <w:r>
        <w:rPr>
          <w:rFonts w:cs="Arial" w:ascii="Arial" w:hAnsi="Arial"/>
          <w:sz w:val="21"/>
          <w:szCs w:val="21"/>
        </w:rPr>
        <w:t>2014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9</w:t>
      </w:r>
      <w:r>
        <w:rPr>
          <w:rFonts w:ascii="Arial" w:hAnsi="Arial" w:cs="Arial"/>
          <w:sz w:val="21"/>
          <w:szCs w:val="21"/>
        </w:rPr>
        <w:t>日国务院第</w:t>
      </w:r>
      <w:r>
        <w:rPr>
          <w:rFonts w:cs="Arial" w:ascii="Arial" w:hAnsi="Arial"/>
          <w:sz w:val="21"/>
          <w:szCs w:val="21"/>
        </w:rPr>
        <w:t>54</w:t>
      </w:r>
      <w:r>
        <w:rPr>
          <w:rFonts w:ascii="Arial" w:hAnsi="Arial" w:cs="Arial"/>
          <w:sz w:val="21"/>
          <w:szCs w:val="21"/>
        </w:rPr>
        <w:t>次常务会议第二次修正通过，</w:t>
      </w:r>
      <w:r>
        <w:rPr>
          <w:rFonts w:cs="Arial" w:ascii="Arial" w:hAnsi="Arial"/>
          <w:sz w:val="21"/>
          <w:szCs w:val="21"/>
        </w:rPr>
        <w:t>2014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29</w:t>
      </w:r>
      <w:r>
        <w:rPr>
          <w:rFonts w:ascii="Arial" w:hAnsi="Arial" w:cs="Arial"/>
          <w:sz w:val="21"/>
          <w:szCs w:val="21"/>
        </w:rPr>
        <w:t>日中华人民共和国国务院令第</w:t>
      </w:r>
      <w:r>
        <w:rPr>
          <w:rFonts w:cs="Arial" w:ascii="Arial" w:hAnsi="Arial"/>
          <w:sz w:val="21"/>
          <w:szCs w:val="21"/>
        </w:rPr>
        <w:t>653</w:t>
      </w:r>
      <w:r>
        <w:rPr>
          <w:rFonts w:ascii="Arial" w:hAnsi="Arial" w:cs="Arial"/>
          <w:sz w:val="21"/>
          <w:szCs w:val="21"/>
        </w:rPr>
        <w:t>号公布，自公布之日起施行；</w:t>
      </w:r>
      <w:r>
        <w:rPr>
          <w:rFonts w:cs="Arial" w:ascii="Arial" w:hAnsi="Arial"/>
          <w:sz w:val="21"/>
          <w:szCs w:val="21"/>
        </w:rPr>
        <w:t>2021</w:t>
      </w:r>
      <w:r>
        <w:rPr>
          <w:rFonts w:ascii="Arial" w:hAnsi="Arial" w:cs="Arial"/>
          <w:sz w:val="21"/>
          <w:szCs w:val="21"/>
        </w:rPr>
        <w:t>年</w:t>
      </w:r>
      <w:r>
        <w:rPr>
          <w:rFonts w:cs="Arial" w:ascii="Arial" w:hAnsi="Arial"/>
          <w:sz w:val="21"/>
          <w:szCs w:val="21"/>
        </w:rPr>
        <w:t>4</w:t>
      </w:r>
      <w:r>
        <w:rPr>
          <w:rFonts w:ascii="Arial" w:hAnsi="Arial" w:cs="Arial"/>
          <w:sz w:val="21"/>
          <w:szCs w:val="21"/>
        </w:rPr>
        <w:t>月</w:t>
      </w:r>
      <w:r>
        <w:rPr>
          <w:rFonts w:cs="Arial" w:ascii="Arial" w:hAnsi="Arial"/>
          <w:sz w:val="21"/>
          <w:szCs w:val="21"/>
        </w:rPr>
        <w:t>21</w:t>
      </w:r>
      <w:r>
        <w:rPr>
          <w:rFonts w:ascii="Arial" w:hAnsi="Arial" w:cs="Arial"/>
          <w:sz w:val="21"/>
          <w:szCs w:val="21"/>
        </w:rPr>
        <w:t>日国务院第</w:t>
      </w:r>
      <w:r>
        <w:rPr>
          <w:rFonts w:cs="Arial" w:ascii="Arial" w:hAnsi="Arial"/>
          <w:sz w:val="21"/>
          <w:szCs w:val="21"/>
        </w:rPr>
        <w:t>132</w:t>
      </w:r>
      <w:r>
        <w:rPr>
          <w:rFonts w:ascii="Arial" w:hAnsi="Arial" w:cs="Arial"/>
          <w:sz w:val="21"/>
          <w:szCs w:val="21"/>
        </w:rPr>
        <w:t>次会议第三次修订通过，</w:t>
      </w:r>
      <w:r>
        <w:rPr>
          <w:rFonts w:cs="Arial" w:ascii="Arial" w:hAnsi="Arial"/>
          <w:sz w:val="21"/>
          <w:szCs w:val="21"/>
        </w:rPr>
        <w:t>2021</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2</w:t>
      </w:r>
      <w:r>
        <w:rPr>
          <w:rFonts w:ascii="Arial" w:hAnsi="Arial" w:cs="Arial"/>
          <w:sz w:val="21"/>
          <w:szCs w:val="21"/>
        </w:rPr>
        <w:t>日中华人民共和国国务院令第</w:t>
      </w:r>
      <w:r>
        <w:rPr>
          <w:rFonts w:cs="Arial" w:ascii="Arial" w:hAnsi="Arial"/>
          <w:sz w:val="21"/>
          <w:szCs w:val="21"/>
        </w:rPr>
        <w:t>743</w:t>
      </w:r>
      <w:r>
        <w:rPr>
          <w:rFonts w:ascii="Arial" w:hAnsi="Arial" w:cs="Arial"/>
          <w:sz w:val="21"/>
          <w:szCs w:val="21"/>
        </w:rPr>
        <w:t>号公布，自</w:t>
      </w:r>
      <w:r>
        <w:rPr>
          <w:rFonts w:cs="Arial" w:ascii="Arial" w:hAnsi="Arial"/>
          <w:sz w:val="21"/>
          <w:szCs w:val="21"/>
        </w:rPr>
        <w:t>2021</w:t>
      </w:r>
      <w:r>
        <w:rPr>
          <w:rFonts w:ascii="Arial" w:hAnsi="Arial" w:cs="Arial"/>
          <w:sz w:val="21"/>
          <w:szCs w:val="21"/>
        </w:rPr>
        <w:t>年</w:t>
      </w:r>
      <w:r>
        <w:rPr>
          <w:rFonts w:cs="Arial" w:ascii="Arial" w:hAnsi="Arial"/>
          <w:sz w:val="21"/>
          <w:szCs w:val="21"/>
        </w:rPr>
        <w:t>9</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numPr>
          <w:ilvl w:val="0"/>
          <w:numId w:val="11"/>
        </w:numPr>
        <w:overflowPunct w:val="false"/>
        <w:spacing w:lineRule="auto" w:line="480"/>
        <w:ind w:left="0" w:firstLine="420"/>
        <w:jc w:val="both"/>
        <w:textAlignment w:val="auto"/>
        <w:rPr/>
      </w:pPr>
      <w:r>
        <w:rPr>
          <w:rFonts w:ascii="Arial" w:hAnsi="Arial" w:cs="Arial"/>
          <w:sz w:val="21"/>
          <w:szCs w:val="21"/>
        </w:rPr>
        <w:t>《中华人民共和国契税法》（</w:t>
      </w:r>
      <w:r>
        <w:rPr>
          <w:rFonts w:cs="Arial" w:ascii="Arial" w:hAnsi="Arial"/>
          <w:sz w:val="21"/>
          <w:szCs w:val="21"/>
        </w:rPr>
        <w:t>2020</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11</w:t>
      </w:r>
      <w:r>
        <w:rPr>
          <w:rFonts w:ascii="Arial" w:hAnsi="Arial" w:cs="Arial"/>
          <w:sz w:val="21"/>
          <w:szCs w:val="21"/>
        </w:rPr>
        <w:t>日第十三届全国人民代表大会常务委员会第二十一次会议通过）</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《中华人民共和国印花税法》（</w:t>
      </w:r>
      <w:r>
        <w:rPr>
          <w:rFonts w:cs="Arial" w:ascii="Arial" w:hAnsi="Arial"/>
          <w:sz w:val="21"/>
          <w:szCs w:val="21"/>
        </w:rPr>
        <w:t>2021</w:t>
      </w:r>
      <w:r>
        <w:rPr>
          <w:rFonts w:ascii="Arial" w:hAnsi="Arial" w:cs="Arial"/>
          <w:sz w:val="21"/>
          <w:szCs w:val="21"/>
        </w:rPr>
        <w:t>年</w:t>
      </w:r>
      <w:r>
        <w:rPr>
          <w:rFonts w:cs="Arial" w:ascii="Arial" w:hAnsi="Arial"/>
          <w:sz w:val="21"/>
          <w:szCs w:val="21"/>
        </w:rPr>
        <w:t>6</w:t>
      </w:r>
      <w:r>
        <w:rPr>
          <w:rFonts w:ascii="Arial" w:hAnsi="Arial" w:cs="Arial"/>
          <w:sz w:val="21"/>
          <w:szCs w:val="21"/>
        </w:rPr>
        <w:t>月</w:t>
      </w:r>
      <w:r>
        <w:rPr>
          <w:rFonts w:cs="Arial" w:ascii="Arial" w:hAnsi="Arial"/>
          <w:sz w:val="21"/>
          <w:szCs w:val="21"/>
        </w:rPr>
        <w:t>10</w:t>
      </w:r>
      <w:r>
        <w:rPr>
          <w:rFonts w:ascii="Arial" w:hAnsi="Arial" w:cs="Arial"/>
          <w:sz w:val="21"/>
          <w:szCs w:val="21"/>
        </w:rPr>
        <w:t>日第十三届全国人民代表大会常务委员会第二十九次会议通过）</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《关于印花税若干政策的通知》（财税</w:t>
      </w:r>
      <w:r>
        <w:rPr>
          <w:rFonts w:cs="Arial" w:ascii="Arial" w:hAnsi="Arial"/>
          <w:sz w:val="21"/>
          <w:szCs w:val="21"/>
        </w:rPr>
        <w:t>[2006]162</w:t>
      </w:r>
      <w:r>
        <w:rPr>
          <w:rFonts w:ascii="Arial" w:hAnsi="Arial" w:cs="Arial"/>
          <w:sz w:val="21"/>
          <w:szCs w:val="21"/>
        </w:rPr>
        <w:t>号）</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《关于全面推开营业税改征增值税试点的通知》（财税〔</w:t>
      </w:r>
      <w:r>
        <w:rPr>
          <w:rFonts w:cs="Arial" w:ascii="Arial" w:hAnsi="Arial"/>
          <w:sz w:val="21"/>
          <w:szCs w:val="21"/>
        </w:rPr>
        <w:t>2016</w:t>
      </w:r>
      <w:r>
        <w:rPr>
          <w:rFonts w:ascii="Arial" w:hAnsi="Arial" w:cs="Arial"/>
          <w:sz w:val="21"/>
          <w:szCs w:val="21"/>
        </w:rPr>
        <w:t>〕</w:t>
      </w:r>
      <w:r>
        <w:rPr>
          <w:rFonts w:cs="Arial" w:ascii="Arial" w:hAnsi="Arial"/>
          <w:sz w:val="21"/>
          <w:szCs w:val="21"/>
        </w:rPr>
        <w:t>36</w:t>
      </w:r>
      <w:r>
        <w:rPr>
          <w:rFonts w:ascii="Arial" w:hAnsi="Arial" w:cs="Arial"/>
          <w:sz w:val="21"/>
          <w:szCs w:val="21"/>
        </w:rPr>
        <w:t>号）</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《中华人民共和国城市维护建设税法》（</w:t>
      </w:r>
      <w:r>
        <w:rPr>
          <w:rFonts w:cs="Arial" w:ascii="Arial" w:hAnsi="Arial"/>
          <w:sz w:val="21"/>
          <w:szCs w:val="21"/>
        </w:rPr>
        <w:t>2020</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11</w:t>
      </w:r>
      <w:r>
        <w:rPr>
          <w:rFonts w:ascii="Arial" w:hAnsi="Arial" w:cs="Arial"/>
          <w:sz w:val="21"/>
          <w:szCs w:val="21"/>
        </w:rPr>
        <w:t>日第十三届全国人民代表大会常务委员会第二十一次会议通过）</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《征收教育费附加的暂行规定》（国务院令〔</w:t>
      </w:r>
      <w:r>
        <w:rPr>
          <w:rFonts w:cs="Arial" w:ascii="Arial" w:hAnsi="Arial"/>
          <w:sz w:val="21"/>
          <w:szCs w:val="21"/>
        </w:rPr>
        <w:t>2005</w:t>
      </w:r>
      <w:r>
        <w:rPr>
          <w:rFonts w:ascii="Arial" w:hAnsi="Arial" w:cs="Arial"/>
          <w:sz w:val="21"/>
          <w:szCs w:val="21"/>
        </w:rPr>
        <w:t>〕</w:t>
      </w:r>
      <w:r>
        <w:rPr>
          <w:rFonts w:cs="Arial" w:ascii="Arial" w:hAnsi="Arial"/>
          <w:sz w:val="21"/>
          <w:szCs w:val="21"/>
        </w:rPr>
        <w:t>448</w:t>
      </w:r>
      <w:r>
        <w:rPr>
          <w:rFonts w:ascii="Arial" w:hAnsi="Arial" w:cs="Arial"/>
          <w:sz w:val="21"/>
          <w:szCs w:val="21"/>
        </w:rPr>
        <w:t>号）</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《财政部关于统一地方教育附加政策有关问题的通知》（财综〔</w:t>
      </w:r>
      <w:r>
        <w:rPr>
          <w:rFonts w:cs="Arial" w:ascii="Arial" w:hAnsi="Arial"/>
          <w:sz w:val="21"/>
          <w:szCs w:val="21"/>
        </w:rPr>
        <w:t>2010</w:t>
      </w:r>
      <w:r>
        <w:rPr>
          <w:rFonts w:ascii="Arial" w:hAnsi="Arial" w:cs="Arial"/>
          <w:sz w:val="21"/>
          <w:szCs w:val="21"/>
        </w:rPr>
        <w:t>〕</w:t>
      </w:r>
      <w:r>
        <w:rPr>
          <w:rFonts w:cs="Arial" w:ascii="Arial" w:hAnsi="Arial"/>
          <w:sz w:val="21"/>
          <w:szCs w:val="21"/>
        </w:rPr>
        <w:t>98</w:t>
      </w:r>
      <w:r>
        <w:rPr>
          <w:rFonts w:ascii="Arial" w:hAnsi="Arial" w:cs="Arial"/>
          <w:sz w:val="21"/>
          <w:szCs w:val="21"/>
        </w:rPr>
        <w:t>号）</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《中华人民共和国房产税暂行条例》</w:t>
      </w:r>
      <w:r>
        <w:rPr>
          <w:rFonts w:cs="Arial" w:ascii="Arial" w:hAnsi="Arial"/>
          <w:sz w:val="21"/>
          <w:szCs w:val="21"/>
        </w:rPr>
        <w:t>[1986</w:t>
      </w:r>
      <w:r>
        <w:rPr>
          <w:rFonts w:ascii="Arial" w:hAnsi="Arial" w:cs="Arial"/>
          <w:sz w:val="21"/>
          <w:szCs w:val="21"/>
        </w:rPr>
        <w:t>年</w:t>
      </w:r>
      <w:r>
        <w:rPr>
          <w:rFonts w:cs="Arial" w:ascii="Arial" w:hAnsi="Arial"/>
          <w:sz w:val="21"/>
          <w:szCs w:val="21"/>
        </w:rPr>
        <w:t>9</w:t>
      </w:r>
      <w:r>
        <w:rPr>
          <w:rFonts w:ascii="Arial" w:hAnsi="Arial" w:cs="Arial"/>
          <w:sz w:val="21"/>
          <w:szCs w:val="21"/>
        </w:rPr>
        <w:t>月</w:t>
      </w:r>
      <w:r>
        <w:rPr>
          <w:rFonts w:cs="Arial" w:ascii="Arial" w:hAnsi="Arial"/>
          <w:sz w:val="21"/>
          <w:szCs w:val="21"/>
        </w:rPr>
        <w:t>15</w:t>
      </w:r>
      <w:r>
        <w:rPr>
          <w:rFonts w:ascii="Arial" w:hAnsi="Arial" w:cs="Arial"/>
          <w:sz w:val="21"/>
          <w:szCs w:val="21"/>
        </w:rPr>
        <w:t>日国务院发布，根据</w:t>
      </w:r>
      <w:r>
        <w:rPr>
          <w:rFonts w:cs="Arial" w:ascii="Arial" w:hAnsi="Arial"/>
          <w:sz w:val="21"/>
          <w:szCs w:val="21"/>
        </w:rPr>
        <w:t>2011</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8</w:t>
      </w:r>
      <w:r>
        <w:rPr>
          <w:rFonts w:ascii="Arial" w:hAnsi="Arial" w:cs="Arial"/>
          <w:sz w:val="21"/>
          <w:szCs w:val="21"/>
        </w:rPr>
        <w:t>日《国务院关于废止和修改部分行政法规的决定》修订</w:t>
      </w:r>
      <w:r>
        <w:rPr>
          <w:rFonts w:cs="Arial" w:ascii="Arial" w:hAnsi="Arial"/>
          <w:sz w:val="21"/>
          <w:szCs w:val="21"/>
        </w:rPr>
        <w:t>]</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《中华人民共和国城镇土地使用税暂行条例》</w:t>
      </w:r>
      <w:r>
        <w:rPr>
          <w:rFonts w:cs="Arial" w:ascii="Arial" w:hAnsi="Arial"/>
          <w:sz w:val="21"/>
          <w:szCs w:val="21"/>
        </w:rPr>
        <w:t>[</w:t>
      </w:r>
      <w:r>
        <w:rPr>
          <w:rFonts w:ascii="Arial" w:hAnsi="Arial" w:cs="Arial"/>
          <w:sz w:val="21"/>
          <w:szCs w:val="21"/>
        </w:rPr>
        <w:t>国令第〔</w:t>
      </w:r>
      <w:r>
        <w:rPr>
          <w:rFonts w:cs="Arial" w:ascii="Arial" w:hAnsi="Arial"/>
          <w:sz w:val="21"/>
          <w:szCs w:val="21"/>
        </w:rPr>
        <w:t>1988</w:t>
      </w:r>
      <w:r>
        <w:rPr>
          <w:rFonts w:ascii="Arial" w:hAnsi="Arial" w:cs="Arial"/>
          <w:sz w:val="21"/>
          <w:szCs w:val="21"/>
        </w:rPr>
        <w:t>〕</w:t>
      </w:r>
      <w:r>
        <w:rPr>
          <w:rFonts w:cs="Arial" w:ascii="Arial" w:hAnsi="Arial"/>
          <w:sz w:val="21"/>
          <w:szCs w:val="21"/>
        </w:rPr>
        <w:t>17</w:t>
      </w:r>
      <w:r>
        <w:rPr>
          <w:rFonts w:ascii="Arial" w:hAnsi="Arial" w:cs="Arial"/>
          <w:sz w:val="21"/>
          <w:szCs w:val="21"/>
        </w:rPr>
        <w:t>号，</w:t>
      </w:r>
      <w:r>
        <w:rPr>
          <w:rFonts w:cs="Arial" w:ascii="Arial" w:hAnsi="Arial"/>
          <w:sz w:val="21"/>
          <w:szCs w:val="21"/>
        </w:rPr>
        <w:t>2011</w:t>
      </w:r>
      <w:r>
        <w:rPr>
          <w:rFonts w:ascii="Arial" w:hAnsi="Arial" w:cs="Arial"/>
          <w:sz w:val="21"/>
          <w:szCs w:val="21"/>
        </w:rPr>
        <w:t>年修订</w:t>
      </w:r>
      <w:r>
        <w:rPr>
          <w:rFonts w:cs="Arial" w:ascii="Arial" w:hAnsi="Arial"/>
          <w:sz w:val="21"/>
          <w:szCs w:val="21"/>
        </w:rPr>
        <w:t>]</w:t>
      </w:r>
    </w:p>
    <w:p>
      <w:pPr>
        <w:pStyle w:val="Normal"/>
        <w:numPr>
          <w:ilvl w:val="0"/>
          <w:numId w:val="11"/>
        </w:numPr>
        <w:overflowPunct w:val="false"/>
        <w:spacing w:lineRule="auto" w:line="480"/>
        <w:ind w:left="0" w:firstLine="420"/>
        <w:jc w:val="both"/>
        <w:textAlignment w:val="auto"/>
        <w:rPr>
          <w:rFonts w:ascii="Arial" w:hAnsi="Arial" w:cs="Arial"/>
          <w:sz w:val="21"/>
          <w:szCs w:val="21"/>
        </w:rPr>
      </w:pPr>
      <w:bookmarkStart w:id="15" w:name="OLE_LINK8"/>
      <w:bookmarkStart w:id="16" w:name="OLE_LINK7"/>
      <w:bookmarkEnd w:id="15"/>
      <w:bookmarkEnd w:id="16"/>
      <w:r>
        <w:rPr>
          <w:rFonts w:ascii="Arial" w:hAnsi="Arial" w:cs="Arial"/>
          <w:sz w:val="21"/>
          <w:szCs w:val="21"/>
        </w:rPr>
        <w:t>《土地利用现状分类》</w:t>
      </w:r>
      <w:r>
        <w:rPr>
          <w:rFonts w:cs="Arial" w:ascii="Arial" w:hAnsi="Arial"/>
          <w:sz w:val="21"/>
          <w:szCs w:val="21"/>
        </w:rPr>
        <w:t>[GB/T 21010</w:t>
      </w:r>
      <w:r>
        <w:rPr>
          <w:rFonts w:cs="宋体;SimSun" w:ascii="宋体;SimSun" w:hAnsi="宋体;SimSun"/>
          <w:sz w:val="21"/>
          <w:szCs w:val="21"/>
        </w:rPr>
        <w:t>—</w:t>
      </w:r>
      <w:r>
        <w:rPr>
          <w:rFonts w:cs="Arial" w:ascii="Arial" w:hAnsi="Arial"/>
          <w:sz w:val="21"/>
          <w:szCs w:val="21"/>
        </w:rPr>
        <w:t>2017]</w:t>
      </w:r>
    </w:p>
    <w:p>
      <w:pPr>
        <w:pStyle w:val="Normal"/>
        <w:numPr>
          <w:ilvl w:val="0"/>
          <w:numId w:val="11"/>
        </w:numPr>
        <w:overflowPunct w:val="false"/>
        <w:spacing w:lineRule="auto" w:line="480"/>
        <w:ind w:left="0" w:firstLine="420"/>
        <w:jc w:val="both"/>
        <w:textAlignment w:val="auto"/>
        <w:rPr>
          <w:rFonts w:ascii="Arial" w:hAnsi="Arial" w:cs="Arial"/>
          <w:sz w:val="21"/>
          <w:szCs w:val="21"/>
        </w:rPr>
      </w:pPr>
      <w:bookmarkStart w:id="17" w:name="OLE_LINK8"/>
      <w:bookmarkStart w:id="18" w:name="OLE_LINK7"/>
      <w:bookmarkEnd w:id="17"/>
      <w:bookmarkEnd w:id="18"/>
      <w:r>
        <w:rPr>
          <w:rFonts w:ascii="Arial" w:hAnsi="Arial" w:cs="Arial"/>
          <w:sz w:val="21"/>
          <w:szCs w:val="21"/>
        </w:rPr>
        <w:t>《自然资源部关于印发《国土空间调查、规划、用途管制用地用海分类指南》的通知》</w:t>
      </w:r>
      <w:r>
        <w:rPr>
          <w:rFonts w:cs="Arial" w:ascii="Arial" w:hAnsi="Arial"/>
          <w:sz w:val="21"/>
          <w:szCs w:val="21"/>
        </w:rPr>
        <w:t>[</w:t>
      </w:r>
      <w:r>
        <w:rPr>
          <w:rFonts w:ascii="Arial" w:hAnsi="Arial" w:cs="Arial"/>
          <w:sz w:val="21"/>
          <w:szCs w:val="21"/>
        </w:rPr>
        <w:t>自然资发〔</w:t>
      </w:r>
      <w:r>
        <w:rPr>
          <w:rFonts w:cs="Arial" w:ascii="Arial" w:hAnsi="Arial"/>
          <w:sz w:val="21"/>
          <w:szCs w:val="21"/>
        </w:rPr>
        <w:t>2023</w:t>
      </w:r>
      <w:r>
        <w:rPr>
          <w:rFonts w:ascii="Arial" w:hAnsi="Arial" w:cs="Arial"/>
          <w:sz w:val="21"/>
          <w:szCs w:val="21"/>
        </w:rPr>
        <w:t>〕</w:t>
      </w:r>
      <w:r>
        <w:rPr>
          <w:rFonts w:cs="Arial" w:ascii="Arial" w:hAnsi="Arial"/>
          <w:sz w:val="21"/>
          <w:szCs w:val="21"/>
        </w:rPr>
        <w:t>234</w:t>
      </w:r>
      <w:r>
        <w:rPr>
          <w:rFonts w:ascii="Arial" w:hAnsi="Arial" w:cs="Arial"/>
          <w:sz w:val="21"/>
          <w:szCs w:val="21"/>
        </w:rPr>
        <w:t>号</w:t>
      </w:r>
      <w:r>
        <w:rPr>
          <w:rFonts w:cs="Arial" w:ascii="Arial" w:hAnsi="Arial"/>
          <w:sz w:val="21"/>
          <w:szCs w:val="21"/>
        </w:rPr>
        <w:t>]</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《北京市国土空间调查、规划、用途管制用地分类指南（试行）》</w:t>
      </w:r>
    </w:p>
    <w:p>
      <w:pPr>
        <w:pStyle w:val="Normal"/>
        <w:numPr>
          <w:ilvl w:val="0"/>
          <w:numId w:val="11"/>
        </w:numPr>
        <w:overflowPunct w:val="false"/>
        <w:spacing w:lineRule="auto" w:line="480"/>
        <w:ind w:left="0" w:firstLine="420"/>
        <w:jc w:val="both"/>
        <w:textAlignment w:val="auto"/>
        <w:rPr/>
      </w:pPr>
      <w:r>
        <w:rPr>
          <w:rFonts w:ascii="Arial" w:hAnsi="Arial" w:cs="Arial"/>
          <w:sz w:val="21"/>
          <w:szCs w:val="21"/>
        </w:rPr>
        <w:t>《房地产估价规范》</w:t>
      </w:r>
      <w:r>
        <w:rPr>
          <w:rFonts w:cs="Arial" w:ascii="Arial" w:hAnsi="Arial"/>
          <w:sz w:val="21"/>
          <w:szCs w:val="21"/>
        </w:rPr>
        <w:t>[GB/T 50291-2015]</w:t>
      </w:r>
    </w:p>
    <w:p>
      <w:pPr>
        <w:pStyle w:val="Normal"/>
        <w:numPr>
          <w:ilvl w:val="0"/>
          <w:numId w:val="11"/>
        </w:numPr>
        <w:overflowPunct w:val="false"/>
        <w:spacing w:lineRule="auto" w:line="480"/>
        <w:ind w:left="0" w:firstLine="420"/>
        <w:jc w:val="both"/>
        <w:textAlignment w:val="auto"/>
        <w:rPr/>
      </w:pPr>
      <w:r>
        <w:rPr>
          <w:rFonts w:ascii="Arial" w:hAnsi="Arial" w:cs="Arial"/>
          <w:sz w:val="21"/>
          <w:szCs w:val="21"/>
        </w:rPr>
        <w:t>《房地产估价基本术语标准》</w:t>
      </w:r>
      <w:r>
        <w:rPr>
          <w:rFonts w:cs="Arial" w:ascii="Arial" w:hAnsi="Arial"/>
          <w:sz w:val="21"/>
          <w:szCs w:val="21"/>
        </w:rPr>
        <w:t>[GB/T 50899-2013]</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《海南省财政厅关于调整城市基础设施配套费征收标准的通知》</w:t>
      </w:r>
      <w:r>
        <w:rPr>
          <w:rFonts w:cs="Arial" w:ascii="Arial" w:hAnsi="Arial"/>
          <w:sz w:val="21"/>
          <w:szCs w:val="21"/>
        </w:rPr>
        <w:t>[</w:t>
      </w:r>
      <w:r>
        <w:rPr>
          <w:rFonts w:ascii="Arial" w:hAnsi="Arial" w:cs="Arial"/>
          <w:sz w:val="21"/>
          <w:szCs w:val="21"/>
        </w:rPr>
        <w:t>琼财税（</w:t>
      </w:r>
      <w:r>
        <w:rPr>
          <w:rFonts w:cs="Arial" w:ascii="Arial" w:hAnsi="Arial"/>
          <w:sz w:val="21"/>
          <w:szCs w:val="21"/>
        </w:rPr>
        <w:t>2020</w:t>
      </w:r>
      <w:r>
        <w:rPr>
          <w:rFonts w:ascii="Arial" w:hAnsi="Arial" w:cs="Arial"/>
          <w:sz w:val="21"/>
          <w:szCs w:val="21"/>
        </w:rPr>
        <w:t>）</w:t>
      </w:r>
      <w:r>
        <w:rPr>
          <w:rFonts w:cs="Arial" w:ascii="Arial" w:hAnsi="Arial"/>
          <w:sz w:val="21"/>
          <w:szCs w:val="21"/>
        </w:rPr>
        <w:t>1112</w:t>
      </w:r>
      <w:r>
        <w:rPr>
          <w:rFonts w:ascii="Arial" w:hAnsi="Arial" w:cs="Arial"/>
          <w:sz w:val="21"/>
          <w:szCs w:val="21"/>
        </w:rPr>
        <w:t>号</w:t>
      </w:r>
      <w:r>
        <w:rPr>
          <w:rFonts w:cs="Arial" w:ascii="Arial" w:hAnsi="Arial"/>
          <w:sz w:val="21"/>
          <w:szCs w:val="21"/>
        </w:rPr>
        <w:t>]</w:t>
      </w:r>
    </w:p>
    <w:p>
      <w:pPr>
        <w:pStyle w:val="Normal"/>
        <w:numPr>
          <w:ilvl w:val="0"/>
          <w:numId w:val="11"/>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《国家税务总局海口市税务局关于公开征求调整海口市城镇土地使用税应税土地等级范围意见的公告》</w:t>
      </w:r>
    </w:p>
    <w:p>
      <w:pPr>
        <w:pStyle w:val="Normal"/>
        <w:overflowPunct w:val="false"/>
        <w:spacing w:lineRule="auto" w:line="480"/>
        <w:jc w:val="both"/>
        <w:textAlignment w:val="auto"/>
        <w:rPr/>
      </w:pPr>
      <w:r>
        <w:rPr>
          <w:rFonts w:ascii="Arial" w:hAnsi="Arial" w:cs="Arial"/>
          <w:b/>
          <w:sz w:val="21"/>
          <w:szCs w:val="21"/>
        </w:rPr>
        <w:t>（二）估价委托人提供的资料</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《估价委托书》</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《国有土地使用权出让合同》</w:t>
      </w:r>
      <w:r>
        <w:rPr>
          <w:rFonts w:cs="Arial" w:ascii="Arial" w:hAnsi="Arial"/>
          <w:sz w:val="21"/>
          <w:szCs w:val="21"/>
        </w:rPr>
        <w:t>[</w:t>
      </w:r>
      <w:r>
        <w:rPr>
          <w:rFonts w:ascii="Arial" w:hAnsi="Arial" w:cs="Arial"/>
          <w:sz w:val="21"/>
          <w:szCs w:val="21"/>
        </w:rPr>
        <w:t>电子监管号：</w:t>
      </w:r>
      <w:r>
        <w:rPr>
          <w:rFonts w:cs="Arial" w:ascii="Arial" w:hAnsi="Arial"/>
          <w:sz w:val="21"/>
          <w:szCs w:val="21"/>
        </w:rPr>
        <w:t>4601002009B00664]</w:t>
      </w:r>
      <w:r>
        <w:rPr>
          <w:rFonts w:ascii="Arial" w:hAnsi="Arial" w:cs="Arial"/>
          <w:sz w:val="21"/>
          <w:szCs w:val="21"/>
        </w:rPr>
        <w:t>复印件</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7"/>
        </w:numPr>
        <w:overflowPunct w:val="false"/>
        <w:spacing w:lineRule="auto" w:line="480"/>
        <w:ind w:left="0" w:firstLine="420"/>
        <w:jc w:val="both"/>
        <w:textAlignment w:val="auto"/>
        <w:rPr/>
      </w:pPr>
      <w:r>
        <w:rPr>
          <w:rFonts w:ascii="Arial" w:hAnsi="Arial" w:cs="Arial"/>
          <w:sz w:val="21"/>
          <w:szCs w:val="21"/>
        </w:rPr>
        <w:t>《土地他项权证》</w:t>
      </w:r>
      <w:r>
        <w:rPr>
          <w:rFonts w:ascii="Arial" w:hAnsi="Arial" w:cs="Arial" w:eastAsia="Arial"/>
          <w:sz w:val="21"/>
          <w:szCs w:val="21"/>
        </w:rPr>
        <w:t xml:space="preserve"> </w:t>
      </w:r>
      <w:r>
        <w:rPr>
          <w:rFonts w:cs="Arial" w:ascii="Arial" w:hAnsi="Arial"/>
          <w:sz w:val="21"/>
          <w:szCs w:val="21"/>
        </w:rPr>
        <w:t>[</w:t>
      </w:r>
      <w:r>
        <w:rPr>
          <w:rFonts w:ascii="Arial" w:hAnsi="Arial" w:cs="Arial"/>
          <w:sz w:val="21"/>
          <w:szCs w:val="21"/>
        </w:rPr>
        <w:t>海口市他项（</w:t>
      </w:r>
      <w:r>
        <w:rPr>
          <w:rFonts w:cs="Arial" w:ascii="Arial" w:hAnsi="Arial"/>
          <w:sz w:val="21"/>
          <w:szCs w:val="21"/>
        </w:rPr>
        <w:t>2015</w:t>
      </w:r>
      <w:r>
        <w:rPr>
          <w:rFonts w:ascii="Arial" w:hAnsi="Arial" w:cs="Arial"/>
          <w:sz w:val="21"/>
          <w:szCs w:val="21"/>
        </w:rPr>
        <w:t>）第</w:t>
      </w:r>
      <w:r>
        <w:rPr>
          <w:rFonts w:cs="Arial" w:ascii="Arial" w:hAnsi="Arial"/>
          <w:sz w:val="21"/>
          <w:szCs w:val="21"/>
        </w:rPr>
        <w:t>0343</w:t>
      </w:r>
      <w:r>
        <w:rPr>
          <w:rFonts w:ascii="Arial" w:hAnsi="Arial" w:cs="Arial"/>
          <w:sz w:val="21"/>
          <w:szCs w:val="21"/>
        </w:rPr>
        <w:t>号、海口市房建海房字第</w:t>
      </w:r>
      <w:r>
        <w:rPr>
          <w:rFonts w:cs="Arial" w:ascii="Arial" w:hAnsi="Arial"/>
          <w:sz w:val="21"/>
          <w:szCs w:val="21"/>
        </w:rPr>
        <w:t>T087275</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7"/>
        </w:numPr>
        <w:overflowPunct w:val="false"/>
        <w:spacing w:lineRule="auto" w:line="480"/>
        <w:ind w:left="0" w:firstLine="420"/>
        <w:jc w:val="both"/>
        <w:textAlignment w:val="auto"/>
        <w:rPr/>
      </w:pPr>
      <w:r>
        <w:rPr>
          <w:rFonts w:ascii="Arial" w:hAnsi="Arial" w:cs="Arial"/>
          <w:sz w:val="21"/>
          <w:szCs w:val="21"/>
        </w:rPr>
        <w:t>《建设工程规划许可证》</w:t>
      </w:r>
      <w:r>
        <w:rPr>
          <w:rFonts w:cs="Arial" w:ascii="Arial" w:hAnsi="Arial"/>
          <w:sz w:val="21"/>
          <w:szCs w:val="21"/>
        </w:rPr>
        <w:t>[</w:t>
      </w:r>
      <w:r>
        <w:rPr>
          <w:rFonts w:ascii="Arial" w:hAnsi="Arial" w:cs="Arial"/>
          <w:sz w:val="21"/>
          <w:szCs w:val="21"/>
        </w:rPr>
        <w:t>建字第</w:t>
      </w:r>
      <w:r>
        <w:rPr>
          <w:rFonts w:cs="Arial" w:ascii="Arial" w:hAnsi="Arial"/>
          <w:sz w:val="21"/>
          <w:szCs w:val="21"/>
        </w:rPr>
        <w:t>460100201300002</w:t>
      </w:r>
      <w:r>
        <w:rPr>
          <w:rFonts w:ascii="Arial" w:hAnsi="Arial" w:cs="Arial"/>
          <w:sz w:val="21"/>
          <w:szCs w:val="21"/>
        </w:rPr>
        <w:t>、</w:t>
      </w:r>
      <w:r>
        <w:rPr>
          <w:rFonts w:cs="Arial" w:ascii="Arial" w:hAnsi="Arial"/>
          <w:sz w:val="21"/>
          <w:szCs w:val="21"/>
        </w:rPr>
        <w:t>460100201400161</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《建筑工程施工许可证》</w:t>
      </w:r>
      <w:r>
        <w:rPr>
          <w:rFonts w:cs="Arial" w:ascii="Arial" w:hAnsi="Arial"/>
          <w:sz w:val="21"/>
          <w:szCs w:val="21"/>
        </w:rPr>
        <w:t>[</w:t>
      </w:r>
      <w:r>
        <w:rPr>
          <w:rFonts w:ascii="Arial" w:hAnsi="Arial" w:cs="Arial"/>
          <w:sz w:val="21"/>
          <w:szCs w:val="21"/>
        </w:rPr>
        <w:t>编号</w:t>
      </w:r>
      <w:r>
        <w:rPr>
          <w:rFonts w:cs="Arial" w:ascii="Arial" w:hAnsi="Arial"/>
          <w:sz w:val="21"/>
          <w:szCs w:val="21"/>
        </w:rPr>
        <w:t>460100201303110101</w:t>
      </w:r>
      <w:r>
        <w:rPr>
          <w:rFonts w:ascii="Arial" w:hAnsi="Arial" w:cs="Arial"/>
          <w:sz w:val="21"/>
          <w:szCs w:val="21"/>
        </w:rPr>
        <w:t>、</w:t>
      </w:r>
      <w:r>
        <w:rPr>
          <w:rFonts w:cs="Arial" w:ascii="Arial" w:hAnsi="Arial"/>
          <w:sz w:val="21"/>
          <w:szCs w:val="21"/>
        </w:rPr>
        <w:t xml:space="preserve">460100201506120101] </w:t>
      </w:r>
      <w:r>
        <w:rPr>
          <w:rFonts w:ascii="Arial" w:hAnsi="Arial" w:cs="Arial"/>
          <w:sz w:val="21"/>
          <w:szCs w:val="21"/>
        </w:rPr>
        <w:t>复印件</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《海口市商品房预售许可证》</w:t>
      </w:r>
      <w:r>
        <w:rPr>
          <w:rFonts w:cs="Arial" w:ascii="Arial" w:hAnsi="Arial"/>
          <w:sz w:val="21"/>
          <w:szCs w:val="21"/>
        </w:rPr>
        <w:t>[</w:t>
      </w:r>
      <w:r>
        <w:rPr>
          <w:rFonts w:ascii="Arial" w:hAnsi="Arial" w:cs="Arial"/>
          <w:sz w:val="21"/>
          <w:szCs w:val="21"/>
        </w:rPr>
        <w:t>（</w:t>
      </w:r>
      <w:r>
        <w:rPr>
          <w:rFonts w:cs="Arial" w:ascii="Arial" w:hAnsi="Arial"/>
          <w:sz w:val="21"/>
          <w:szCs w:val="21"/>
        </w:rPr>
        <w:t>2014</w:t>
      </w:r>
      <w:r>
        <w:rPr>
          <w:rFonts w:ascii="Arial" w:hAnsi="Arial" w:cs="Arial"/>
          <w:sz w:val="21"/>
          <w:szCs w:val="21"/>
        </w:rPr>
        <w:t>）海房预字</w:t>
      </w:r>
      <w:r>
        <w:rPr>
          <w:rFonts w:cs="Arial" w:ascii="Arial" w:hAnsi="Arial"/>
          <w:sz w:val="21"/>
          <w:szCs w:val="21"/>
        </w:rPr>
        <w:t>0016</w:t>
      </w:r>
      <w:r>
        <w:rPr>
          <w:rFonts w:ascii="Arial" w:hAnsi="Arial" w:cs="Arial"/>
          <w:sz w:val="21"/>
          <w:szCs w:val="21"/>
        </w:rPr>
        <w:t>号、（</w:t>
      </w:r>
      <w:r>
        <w:rPr>
          <w:rFonts w:cs="Arial" w:ascii="Arial" w:hAnsi="Arial"/>
          <w:sz w:val="21"/>
          <w:szCs w:val="21"/>
        </w:rPr>
        <w:t>2015</w:t>
      </w:r>
      <w:r>
        <w:rPr>
          <w:rFonts w:ascii="Arial" w:hAnsi="Arial" w:cs="Arial"/>
          <w:sz w:val="21"/>
          <w:szCs w:val="21"/>
        </w:rPr>
        <w:t>）海房预字</w:t>
      </w:r>
      <w:r>
        <w:rPr>
          <w:rFonts w:cs="Arial" w:ascii="Arial" w:hAnsi="Arial"/>
          <w:sz w:val="21"/>
          <w:szCs w:val="21"/>
        </w:rPr>
        <w:t>0112</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《海口市建设工程竣工验收备案表》复印件</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《海口市房屋建筑面积竣工测绘报告》</w:t>
      </w:r>
      <w:r>
        <w:rPr>
          <w:rFonts w:cs="Arial" w:ascii="Arial" w:hAnsi="Arial"/>
          <w:sz w:val="21"/>
          <w:szCs w:val="21"/>
        </w:rPr>
        <w:t>[</w:t>
      </w:r>
      <w:r>
        <w:rPr>
          <w:rFonts w:ascii="Arial" w:hAnsi="Arial" w:cs="Arial"/>
          <w:sz w:val="21"/>
          <w:szCs w:val="21"/>
        </w:rPr>
        <w:t>报告编号：</w:t>
      </w:r>
      <w:r>
        <w:rPr>
          <w:rFonts w:cs="Arial" w:ascii="Arial" w:hAnsi="Arial"/>
          <w:sz w:val="21"/>
          <w:szCs w:val="21"/>
        </w:rPr>
        <w:t>SW</w:t>
      </w:r>
      <w:r>
        <w:rPr>
          <w:rFonts w:ascii="Arial" w:hAnsi="Arial" w:cs="Arial"/>
          <w:sz w:val="21"/>
          <w:szCs w:val="21"/>
        </w:rPr>
        <w:t>测第</w:t>
      </w:r>
      <w:r>
        <w:rPr>
          <w:rFonts w:cs="Arial" w:ascii="Arial" w:hAnsi="Arial"/>
          <w:sz w:val="21"/>
          <w:szCs w:val="21"/>
        </w:rPr>
        <w:t>20130019</w:t>
      </w:r>
      <w:r>
        <w:rPr>
          <w:rFonts w:ascii="Arial" w:hAnsi="Arial" w:cs="Arial"/>
          <w:sz w:val="21"/>
          <w:szCs w:val="21"/>
        </w:rPr>
        <w:t>、</w:t>
      </w:r>
      <w:r>
        <w:rPr>
          <w:rFonts w:cs="Arial" w:ascii="Arial" w:hAnsi="Arial"/>
          <w:sz w:val="21"/>
          <w:szCs w:val="21"/>
        </w:rPr>
        <w:t>SW</w:t>
      </w:r>
      <w:r>
        <w:rPr>
          <w:rFonts w:ascii="Arial" w:hAnsi="Arial" w:cs="Arial"/>
          <w:sz w:val="21"/>
          <w:szCs w:val="21"/>
        </w:rPr>
        <w:t>测第</w:t>
      </w:r>
      <w:r>
        <w:rPr>
          <w:rFonts w:cs="Arial" w:ascii="Arial" w:hAnsi="Arial"/>
          <w:sz w:val="21"/>
          <w:szCs w:val="21"/>
        </w:rPr>
        <w:t>20130020]</w:t>
      </w:r>
      <w:r>
        <w:rPr>
          <w:rFonts w:ascii="Arial" w:hAnsi="Arial" w:cs="Arial"/>
          <w:sz w:val="21"/>
          <w:szCs w:val="21"/>
        </w:rPr>
        <w:t>复印件</w:t>
      </w:r>
    </w:p>
    <w:p>
      <w:pPr>
        <w:pStyle w:val="Normal"/>
        <w:numPr>
          <w:ilvl w:val="0"/>
          <w:numId w:val="7"/>
        </w:numPr>
        <w:overflowPunct w:val="false"/>
        <w:spacing w:lineRule="auto" w:line="480"/>
        <w:ind w:left="0" w:firstLine="420"/>
        <w:jc w:val="both"/>
        <w:textAlignment w:val="auto"/>
        <w:rPr/>
      </w:pP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本复印件</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《评估范围清单明细》</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《项目合作协议书》复印件</w:t>
      </w:r>
    </w:p>
    <w:p>
      <w:pPr>
        <w:pStyle w:val="Normal"/>
        <w:numPr>
          <w:ilvl w:val="0"/>
          <w:numId w:val="7"/>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估价委托人《营业执照（副本）》复印件</w:t>
      </w:r>
    </w:p>
    <w:p>
      <w:pPr>
        <w:pStyle w:val="Normal"/>
        <w:overflowPunct w:val="false"/>
        <w:spacing w:lineRule="auto" w:line="480"/>
        <w:jc w:val="both"/>
        <w:textAlignment w:val="auto"/>
        <w:rPr>
          <w:rFonts w:ascii="Arial" w:hAnsi="Arial" w:cs="Arial"/>
          <w:b/>
          <w:b/>
          <w:sz w:val="21"/>
          <w:szCs w:val="21"/>
        </w:rPr>
      </w:pPr>
      <w:r>
        <w:rPr>
          <w:rFonts w:ascii="Arial" w:hAnsi="Arial" w:cs="Arial"/>
          <w:b/>
          <w:color w:val="000000"/>
          <w:sz w:val="21"/>
          <w:szCs w:val="21"/>
        </w:rPr>
        <w:t>（</w:t>
      </w:r>
      <w:r>
        <w:rPr>
          <w:rFonts w:ascii="Arial" w:hAnsi="Arial" w:cs="Arial"/>
          <w:b/>
          <w:color w:val="000000"/>
          <w:sz w:val="21"/>
          <w:szCs w:val="21"/>
        </w:rPr>
        <w:t>三</w:t>
      </w:r>
      <w:r>
        <w:rPr>
          <w:rFonts w:ascii="Arial" w:hAnsi="Arial" w:cs="Arial"/>
          <w:b/>
          <w:color w:val="000000"/>
          <w:sz w:val="21"/>
          <w:szCs w:val="21"/>
        </w:rPr>
        <w:t>）</w:t>
      </w:r>
      <w:r>
        <w:rPr>
          <w:rFonts w:ascii="Arial" w:hAnsi="Arial" w:cs="Arial"/>
          <w:b/>
          <w:sz w:val="21"/>
          <w:szCs w:val="21"/>
        </w:rPr>
        <w:t>房地产估价机构及注册房地产估价师掌握和收集的估价所需资料</w:t>
      </w:r>
    </w:p>
    <w:p>
      <w:pPr>
        <w:pStyle w:val="Normal"/>
        <w:numPr>
          <w:ilvl w:val="3"/>
          <w:numId w:val="8"/>
        </w:numPr>
        <w:overflowPunct w:val="false"/>
        <w:spacing w:lineRule="auto" w:line="480"/>
        <w:ind w:left="0" w:firstLine="420"/>
        <w:jc w:val="both"/>
        <w:textAlignment w:val="auto"/>
        <w:rPr/>
      </w:pPr>
      <w:r>
        <w:rPr>
          <w:rFonts w:ascii="Arial" w:hAnsi="Arial" w:cs="Arial"/>
          <w:sz w:val="21"/>
          <w:szCs w:val="21"/>
        </w:rPr>
        <w:t>评估专业人员实地查勘估价对象的摄影和记录资料</w:t>
      </w:r>
    </w:p>
    <w:p>
      <w:pPr>
        <w:pStyle w:val="Normal"/>
        <w:numPr>
          <w:ilvl w:val="3"/>
          <w:numId w:val="8"/>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评估专业人员现场调查的估价对象所在区域公服设施、基础设施、交通、环境条件等摄影和记录资料</w:t>
      </w:r>
    </w:p>
    <w:p>
      <w:pPr>
        <w:pStyle w:val="Normal"/>
        <w:numPr>
          <w:ilvl w:val="3"/>
          <w:numId w:val="8"/>
        </w:numPr>
        <w:overflowPunct w:val="false"/>
        <w:spacing w:lineRule="auto" w:line="480"/>
        <w:ind w:left="0" w:firstLine="420"/>
        <w:jc w:val="both"/>
        <w:textAlignment w:val="auto"/>
        <w:rPr/>
      </w:pPr>
      <w:r>
        <w:rPr>
          <w:rFonts w:ascii="Arial" w:hAnsi="Arial" w:cs="Arial"/>
          <w:sz w:val="21"/>
          <w:szCs w:val="21"/>
        </w:rPr>
        <w:t>估价对象及同类房地产的开发、交易、收益、成本等资料</w:t>
      </w:r>
    </w:p>
    <w:p>
      <w:pPr>
        <w:pStyle w:val="Normal"/>
        <w:numPr>
          <w:ilvl w:val="3"/>
          <w:numId w:val="8"/>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区域社会经济统计数据、规划发展、产业政策等资料</w:t>
      </w:r>
    </w:p>
    <w:p>
      <w:pPr>
        <w:pStyle w:val="Normal"/>
        <w:numPr>
          <w:ilvl w:val="3"/>
          <w:numId w:val="8"/>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区域城市资源、土地利用、不动产制度、金融及税收政策等资料</w:t>
      </w:r>
    </w:p>
    <w:p>
      <w:pPr>
        <w:pStyle w:val="Normal"/>
        <w:numPr>
          <w:ilvl w:val="3"/>
          <w:numId w:val="8"/>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城市地价指数、房屋建安造价数据等资料</w:t>
      </w:r>
    </w:p>
    <w:p>
      <w:pPr>
        <w:pStyle w:val="Normal"/>
        <w:numPr>
          <w:ilvl w:val="3"/>
          <w:numId w:val="8"/>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人民银行公布的资金存、贷款利率</w:t>
      </w:r>
    </w:p>
    <w:p>
      <w:pPr>
        <w:pStyle w:val="Normal"/>
        <w:numPr>
          <w:ilvl w:val="3"/>
          <w:numId w:val="8"/>
        </w:numPr>
        <w:overflowPunct w:val="false"/>
        <w:spacing w:lineRule="auto" w:line="480"/>
        <w:ind w:left="0" w:firstLine="420"/>
        <w:jc w:val="both"/>
        <w:textAlignment w:val="auto"/>
        <w:rPr>
          <w:rFonts w:ascii="Arial" w:hAnsi="Arial" w:cs="Arial"/>
          <w:sz w:val="21"/>
          <w:szCs w:val="21"/>
        </w:rPr>
      </w:pPr>
      <w:r>
        <w:rPr>
          <w:rFonts w:ascii="Arial" w:hAnsi="Arial" w:cs="Arial"/>
          <w:sz w:val="21"/>
          <w:szCs w:val="21"/>
        </w:rPr>
        <w:t>房地产估价机构及评估专业人员掌握的其他相关信息资料</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7" w:hanging="357"/>
        <w:jc w:val="both"/>
        <w:textAlignment w:val="auto"/>
        <w:rPr/>
      </w:pPr>
      <w:bookmarkStart w:id="19" w:name="__RefHeading___Toc162425558"/>
      <w:bookmarkEnd w:id="19"/>
      <w:r>
        <w:rPr>
          <w:rFonts w:eastAsia="宋体;SimSun"/>
          <w:kern w:val="2"/>
          <w:sz w:val="21"/>
          <w:szCs w:val="21"/>
        </w:rPr>
        <w:t>九、估价方法</w:t>
      </w:r>
    </w:p>
    <w:p>
      <w:pPr>
        <w:pStyle w:val="Normal1"/>
        <w:overflowPunct w:val="false"/>
        <w:autoSpaceDE w:val="false"/>
        <w:spacing w:lineRule="auto" w:line="480"/>
        <w:ind w:right="140" w:firstLine="420"/>
        <w:jc w:val="both"/>
        <w:textAlignment w:val="auto"/>
        <w:rPr>
          <w:rFonts w:ascii="Arial" w:hAnsi="Arial" w:cs="Arial"/>
          <w:sz w:val="21"/>
          <w:szCs w:val="21"/>
        </w:rPr>
      </w:pPr>
      <w:r>
        <w:rPr>
          <w:rFonts w:ascii="Arial" w:hAnsi="Arial" w:cs="Arial"/>
          <w:sz w:val="21"/>
          <w:szCs w:val="21"/>
        </w:rPr>
        <w:t>本次评估是为估价委托人</w:t>
      </w:r>
      <w:r>
        <w:rPr>
          <w:rFonts w:ascii="Arial" w:hAnsi="Arial" w:cs="Arial"/>
          <w:sz w:val="21"/>
          <w:szCs w:val="21"/>
        </w:rPr>
        <w:t>因处置资产需要了解估价对象房地产</w:t>
      </w:r>
      <w:r>
        <w:rPr>
          <w:rFonts w:ascii="Arial" w:hAnsi="Arial" w:cs="Arial"/>
          <w:sz w:val="21"/>
          <w:szCs w:val="21"/>
        </w:rPr>
        <w:t>快速变现价值提供参考依据，因此我们在认真分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w:t>
      </w:r>
      <w:r>
        <w:rPr>
          <w:rFonts w:ascii="Arial" w:hAnsi="Arial" w:cs="Arial"/>
          <w:sz w:val="21"/>
          <w:szCs w:val="21"/>
        </w:rPr>
        <w:t>结合本次评估估价目的，按照</w:t>
      </w:r>
      <w:r>
        <w:rPr>
          <w:rFonts w:ascii="Arial" w:hAnsi="Arial" w:cs="Arial"/>
          <w:sz w:val="21"/>
          <w:szCs w:val="21"/>
        </w:rPr>
        <w:t>《房地产估价规范》</w:t>
      </w:r>
      <w:r>
        <w:rPr>
          <w:rFonts w:ascii="Arial" w:hAnsi="Arial" w:cs="Arial"/>
          <w:sz w:val="21"/>
          <w:szCs w:val="21"/>
        </w:rPr>
        <w:t>（</w:t>
      </w:r>
      <w:r>
        <w:rPr>
          <w:rFonts w:cs="Arial" w:ascii="Arial" w:hAnsi="Arial"/>
          <w:sz w:val="21"/>
          <w:szCs w:val="21"/>
        </w:rPr>
        <w:t>GB/T</w:t>
      </w:r>
      <w:r>
        <w:rPr>
          <w:rFonts w:cs="Arial" w:ascii="Arial" w:hAnsi="Arial"/>
          <w:sz w:val="21"/>
          <w:szCs w:val="21"/>
        </w:rPr>
        <w:t xml:space="preserve"> </w:t>
      </w:r>
      <w:r>
        <w:rPr>
          <w:rFonts w:cs="Arial" w:ascii="Arial" w:hAnsi="Arial"/>
          <w:sz w:val="21"/>
          <w:szCs w:val="21"/>
        </w:rPr>
        <w:t>50291-2015</w:t>
      </w:r>
      <w:r>
        <w:rPr>
          <w:rFonts w:ascii="Arial" w:hAnsi="Arial" w:cs="Arial"/>
          <w:sz w:val="21"/>
          <w:szCs w:val="21"/>
        </w:rPr>
        <w:t>）</w:t>
      </w:r>
      <w:r>
        <w:rPr>
          <w:rFonts w:ascii="Arial" w:hAnsi="Arial" w:cs="Arial"/>
          <w:sz w:val="21"/>
          <w:szCs w:val="21"/>
        </w:rPr>
        <w:t>的</w:t>
      </w:r>
      <w:r>
        <w:rPr>
          <w:rFonts w:ascii="Arial" w:hAnsi="Arial" w:cs="Arial"/>
          <w:sz w:val="21"/>
          <w:szCs w:val="21"/>
        </w:rPr>
        <w:t>要求</w:t>
      </w:r>
      <w:r>
        <w:rPr>
          <w:rFonts w:ascii="Arial" w:hAnsi="Arial" w:cs="Arial"/>
          <w:sz w:val="21"/>
          <w:szCs w:val="21"/>
        </w:rPr>
        <w:t>，</w:t>
      </w:r>
      <w:r>
        <w:rPr>
          <w:rFonts w:ascii="Arial" w:hAnsi="Arial" w:cs="Arial"/>
          <w:sz w:val="21"/>
          <w:szCs w:val="21"/>
        </w:rPr>
        <w:t>本次评估</w:t>
      </w:r>
      <w:r>
        <w:rPr>
          <w:rFonts w:ascii="Arial" w:hAnsi="Arial" w:cs="Arial"/>
          <w:sz w:val="21"/>
          <w:szCs w:val="21"/>
        </w:rPr>
        <w:t>选用</w:t>
      </w:r>
      <w:r>
        <w:rPr>
          <w:rFonts w:ascii="Arial" w:hAnsi="Arial" w:cs="Arial"/>
          <w:sz w:val="21"/>
          <w:szCs w:val="21"/>
        </w:rPr>
        <w:t>比较法和收益法</w:t>
      </w:r>
      <w:r>
        <w:rPr>
          <w:rFonts w:ascii="Arial" w:hAnsi="Arial" w:cs="Arial"/>
          <w:sz w:val="21"/>
          <w:szCs w:val="21"/>
        </w:rPr>
        <w:t>进行估价</w:t>
      </w:r>
      <w:r>
        <w:rPr>
          <w:rFonts w:ascii="Arial" w:hAnsi="Arial" w:cs="Arial"/>
          <w:sz w:val="21"/>
          <w:szCs w:val="21"/>
        </w:rPr>
        <w:t>，</w:t>
      </w:r>
      <w:r>
        <w:rPr>
          <w:rFonts w:ascii="Arial" w:hAnsi="Arial" w:cs="Arial"/>
          <w:sz w:val="21"/>
          <w:szCs w:val="21"/>
        </w:rPr>
        <w:t>估价方法简述如下：</w:t>
      </w:r>
    </w:p>
    <w:p>
      <w:pPr>
        <w:pStyle w:val="Normal1"/>
        <w:overflowPunct w:val="false"/>
        <w:autoSpaceDE w:val="false"/>
        <w:spacing w:lineRule="auto" w:line="480"/>
        <w:ind w:right="6" w:firstLine="420"/>
        <w:jc w:val="both"/>
        <w:textAlignment w:val="auto"/>
        <w:rPr>
          <w:rFonts w:ascii="Arial" w:hAnsi="Arial" w:cs="Arial"/>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pPr>
        <w:pStyle w:val="Normal"/>
        <w:overflowPunct w:val="false"/>
        <w:spacing w:lineRule="auto" w:line="480"/>
        <w:ind w:firstLine="420"/>
        <w:jc w:val="both"/>
        <w:textAlignment w:val="auto"/>
        <w:rPr>
          <w:rFonts w:ascii="Arial" w:hAnsi="Arial" w:cs="Arial"/>
          <w:b/>
          <w:b/>
          <w:kern w:val="2"/>
          <w:sz w:val="21"/>
          <w:szCs w:val="21"/>
        </w:rPr>
      </w:pPr>
      <w:r>
        <w:rPr>
          <w:rFonts w:cs="Arial" w:ascii="Arial" w:hAnsi="Arial"/>
          <w:b/>
          <w:kern w:val="2"/>
          <w:sz w:val="21"/>
          <w:szCs w:val="21"/>
        </w:rPr>
      </w:r>
    </w:p>
    <w:p>
      <w:pPr>
        <w:pStyle w:val="2"/>
        <w:numPr>
          <w:ilvl w:val="0"/>
          <w:numId w:val="0"/>
        </w:numPr>
        <w:overflowPunct w:val="false"/>
        <w:spacing w:lineRule="auto" w:line="480"/>
        <w:ind w:left="357" w:hanging="357"/>
        <w:jc w:val="both"/>
        <w:textAlignment w:val="auto"/>
        <w:rPr/>
      </w:pPr>
      <w:bookmarkStart w:id="20" w:name="__RefHeading___Toc162425559"/>
      <w:bookmarkEnd w:id="20"/>
      <w:r>
        <w:rPr>
          <w:rFonts w:eastAsia="宋体;SimSun"/>
          <w:kern w:val="2"/>
          <w:sz w:val="21"/>
          <w:szCs w:val="21"/>
        </w:rPr>
        <w:t>十、估价结果</w:t>
      </w:r>
    </w:p>
    <w:p>
      <w:pPr>
        <w:pStyle w:val="Normal"/>
        <w:overflowPunct w:val="false"/>
        <w:spacing w:lineRule="auto" w:line="480"/>
        <w:ind w:firstLine="420"/>
        <w:jc w:val="both"/>
        <w:textAlignment w:val="auto"/>
        <w:rPr/>
      </w:pPr>
      <w:r>
        <w:rPr>
          <w:rFonts w:ascii="Arial" w:hAnsi="Arial" w:cs="Arial"/>
          <w:sz w:val="21"/>
          <w:szCs w:val="21"/>
        </w:rPr>
        <w:t>评估专业人员根据估价的目的，按照估价的程序，采用科学的估价方法，在认真分析现有资料的基础上，结合本次评估的要求，通过仔细测算和认真分析各种影响房地产价格的因素，确定估价对象在价值时点的</w:t>
      </w:r>
      <w:r>
        <w:rPr>
          <w:rFonts w:ascii="Arial" w:hAnsi="Arial" w:cs="Arial"/>
          <w:color w:val="000000"/>
          <w:sz w:val="21"/>
          <w:szCs w:val="21"/>
        </w:rPr>
        <w:t>房地产评估价值，详见估价结果一览表（币种</w:t>
      </w:r>
      <w:r>
        <w:rPr>
          <w:rFonts w:ascii="Arial" w:hAnsi="Arial" w:cs="Arial"/>
          <w:color w:val="000000"/>
          <w:sz w:val="21"/>
          <w:szCs w:val="21"/>
        </w:rPr>
        <w:t>：</w:t>
      </w:r>
      <w:r>
        <w:rPr>
          <w:rFonts w:ascii="Arial" w:hAnsi="Arial" w:cs="Arial"/>
          <w:color w:val="000000"/>
          <w:sz w:val="21"/>
          <w:szCs w:val="21"/>
        </w:rPr>
        <w:t>人</w:t>
      </w:r>
      <w:r>
        <w:rPr>
          <w:rFonts w:ascii="Arial" w:hAnsi="Arial" w:cs="Arial"/>
          <w:sz w:val="21"/>
          <w:szCs w:val="21"/>
        </w:rPr>
        <w:t>民币）。</w:t>
      </w:r>
    </w:p>
    <w:p>
      <w:pPr>
        <w:pStyle w:val="Normal"/>
        <w:spacing w:lineRule="auto" w:line="240"/>
        <w:jc w:val="center"/>
        <w:rPr>
          <w:rFonts w:ascii="Arial" w:hAnsi="Arial" w:eastAsia="方正黑体简体;微软雅黑" w:cs="Arial"/>
        </w:rPr>
      </w:pPr>
      <w:r>
        <w:rPr>
          <w:rFonts w:ascii="Arial" w:hAnsi="Arial" w:cs="Arial" w:eastAsia="方正黑体简体;微软雅黑"/>
        </w:rPr>
        <w:t>估价结果一览表</w:t>
      </w:r>
    </w:p>
    <w:tbl>
      <w:tblPr>
        <w:tblW w:w="9304" w:type="dxa"/>
        <w:jc w:val="center"/>
        <w:tblInd w:w="0" w:type="dxa"/>
        <w:tblCellMar>
          <w:top w:w="57" w:type="dxa"/>
          <w:left w:w="57" w:type="dxa"/>
          <w:bottom w:w="57" w:type="dxa"/>
          <w:right w:w="57" w:type="dxa"/>
        </w:tblCellMar>
      </w:tblPr>
      <w:tblGrid>
        <w:gridCol w:w="1843"/>
        <w:gridCol w:w="2553"/>
        <w:gridCol w:w="1275"/>
        <w:gridCol w:w="1843"/>
        <w:gridCol w:w="1790"/>
      </w:tblGrid>
      <w:tr>
        <w:trPr>
          <w:cantSplit w:val="true"/>
        </w:trPr>
        <w:tc>
          <w:tcPr>
            <w:tcW w:w="5671" w:type="dxa"/>
            <w:gridSpan w:val="3"/>
            <w:vMerge w:val="restart"/>
            <w:tcBorders>
              <w:top w:val="thickThinSmallGap" w:sz="12" w:space="0" w:color="404040"/>
              <w:left w:val="dotted" w:sz="2" w:space="0" w:color="404040"/>
              <w:bottom w:val="dotted" w:sz="2" w:space="0" w:color="404040"/>
            </w:tcBorders>
            <w:shd w:fill="auto" w:val="clear"/>
            <w:vAlign w:val="center"/>
          </w:tcPr>
          <w:p>
            <w:pPr>
              <w:pStyle w:val="Normal"/>
              <w:widowControl/>
              <w:spacing w:lineRule="exact" w:line="240"/>
              <w:ind w:firstLine="2806"/>
              <w:jc w:val="right"/>
              <w:rPr>
                <w:rFonts w:ascii="Arial" w:hAnsi="Arial" w:eastAsia="华文细黑" w:cs="宋体;SimSun"/>
                <w:sz w:val="18"/>
                <w:szCs w:val="18"/>
              </w:rPr>
            </w:pPr>
            <w:r>
              <w:rPr>
                <w:rFonts w:ascii="Arial" w:hAnsi="Arial" w:cs="宋体;SimSun" w:eastAsia="华文细黑"/>
                <w:sz w:val="18"/>
                <w:szCs w:val="18"/>
              </w:rPr>
              <w:t>估价方法及结果</w:t>
            </w:r>
          </w:p>
          <w:p>
            <w:pPr>
              <w:pStyle w:val="Normal"/>
              <w:spacing w:lineRule="exact" w:line="240"/>
              <w:jc w:val="both"/>
              <w:rPr>
                <w:rFonts w:ascii="Arial" w:hAnsi="Arial" w:cs="Arial"/>
                <w:b/>
                <w:b/>
                <w:bCs/>
                <w:sz w:val="21"/>
                <w:szCs w:val="21"/>
              </w:rPr>
            </w:pPr>
            <w:r>
              <w:rPr>
                <w:rFonts w:ascii="Arial" w:hAnsi="Arial" w:cs="宋体;SimSun" w:eastAsia="华文细黑"/>
                <w:sz w:val="18"/>
                <w:szCs w:val="18"/>
              </w:rPr>
              <w:t>估价对象及结果</w:t>
            </w:r>
          </w:p>
        </w:tc>
        <w:tc>
          <w:tcPr>
            <w:tcW w:w="3633" w:type="dxa"/>
            <w:gridSpan w:val="2"/>
            <w:tcBorders>
              <w:top w:val="thickThinSmallGap" w:sz="1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测算结果</w:t>
            </w:r>
          </w:p>
        </w:tc>
      </w:tr>
      <w:tr>
        <w:trPr>
          <w:cantSplit w:val="true"/>
        </w:trPr>
        <w:tc>
          <w:tcPr>
            <w:tcW w:w="5671" w:type="dxa"/>
            <w:gridSpan w:val="3"/>
            <w:vMerge w:val="continue"/>
            <w:tcBorders>
              <w:top w:val="thickThinSmallGap" w:sz="1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Arial"/>
                <w:b/>
                <w:b/>
                <w:bCs/>
                <w:sz w:val="21"/>
                <w:szCs w:val="21"/>
              </w:rPr>
            </w:pPr>
            <w:r>
              <w:rPr>
                <w:rFonts w:eastAsia="华文细黑" w:cs="Arial" w:ascii="Arial" w:hAnsi="Arial"/>
                <w:b/>
                <w:bCs/>
                <w:sz w:val="21"/>
                <w:szCs w:val="21"/>
              </w:rPr>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比较法</w:t>
            </w:r>
          </w:p>
        </w:tc>
        <w:tc>
          <w:tcPr>
            <w:tcW w:w="1790" w:type="dxa"/>
            <w:tcBorders>
              <w:top w:val="dotted" w:sz="4" w:space="0" w:color="000000"/>
              <w:left w:val="dotted" w:sz="2" w:space="0" w:color="404040"/>
              <w:bottom w:val="dotted" w:sz="2" w:space="0" w:color="404040"/>
              <w:right w:val="dotted" w:sz="2" w:space="0" w:color="404040"/>
            </w:tcBorders>
            <w:shd w:fill="auto" w:val="clear"/>
            <w:vAlign w:val="center"/>
          </w:tcPr>
          <w:p>
            <w:pPr>
              <w:pStyle w:val="Normal"/>
              <w:spacing w:lineRule="exact" w:line="240"/>
              <w:jc w:val="both"/>
              <w:rPr>
                <w:rFonts w:ascii="Arial" w:hAnsi="Arial" w:eastAsia="华文细黑" w:cs="宋体;SimSun"/>
                <w:sz w:val="18"/>
                <w:szCs w:val="18"/>
              </w:rPr>
            </w:pPr>
            <w:r>
              <w:rPr>
                <w:rFonts w:ascii="Arial" w:hAnsi="Arial" w:cs="宋体;SimSun" w:eastAsia="华文细黑"/>
                <w:sz w:val="18"/>
                <w:szCs w:val="18"/>
              </w:rPr>
              <w:t>收益法</w:t>
            </w:r>
          </w:p>
        </w:tc>
      </w:tr>
      <w:tr>
        <w:trPr>
          <w:trHeight w:val="340" w:hRule="exact"/>
          <w:cantSplit w:val="true"/>
        </w:trPr>
        <w:tc>
          <w:tcPr>
            <w:tcW w:w="4396" w:type="dxa"/>
            <w:gridSpan w:val="2"/>
            <w:vMerge w:val="restart"/>
            <w:tcBorders>
              <w:top w:val="dotted" w:sz="2" w:space="0" w:color="404040"/>
              <w:left w:val="dotted" w:sz="2" w:space="0" w:color="404040"/>
              <w:bottom w:val="dotted" w:sz="2" w:space="0" w:color="404040"/>
            </w:tcBorders>
            <w:shd w:fill="auto" w:val="clear"/>
            <w:vAlign w:val="center"/>
          </w:tcPr>
          <w:p>
            <w:pPr>
              <w:pStyle w:val="Normal"/>
              <w:spacing w:lineRule="exact" w:line="240"/>
              <w:jc w:val="both"/>
              <w:rPr>
                <w:rFonts w:ascii="Arial" w:hAnsi="Arial" w:eastAsia="华文细黑" w:cs="宋体;SimSun"/>
                <w:sz w:val="18"/>
                <w:szCs w:val="18"/>
              </w:rPr>
            </w:pPr>
            <w:r>
              <w:rPr>
                <w:rFonts w:ascii="Arial" w:hAnsi="Arial" w:cs="宋体;SimSun" w:eastAsia="华文细黑"/>
                <w:sz w:val="18"/>
                <w:szCs w:val="18"/>
              </w:rPr>
              <w:t>海南省海口市秀英区滨海大道</w:t>
            </w:r>
            <w:r>
              <w:rPr>
                <w:rFonts w:eastAsia="华文细黑" w:cs="宋体;SimSun" w:ascii="Arial" w:hAnsi="Arial"/>
                <w:sz w:val="18"/>
                <w:szCs w:val="18"/>
              </w:rPr>
              <w:t>158</w:t>
            </w:r>
            <w:r>
              <w:rPr>
                <w:rFonts w:ascii="Arial" w:hAnsi="Arial" w:cs="宋体;SimSun" w:eastAsia="华文细黑"/>
                <w:sz w:val="18"/>
                <w:szCs w:val="18"/>
              </w:rPr>
              <w:t>号琼珠海岸生态度假村暨全国政协（海南）会议培训中心北区项目</w:t>
            </w:r>
            <w:r>
              <w:rPr>
                <w:rFonts w:eastAsia="华文细黑" w:cs="宋体;SimSun" w:ascii="Arial" w:hAnsi="Arial"/>
                <w:sz w:val="18"/>
                <w:szCs w:val="18"/>
              </w:rPr>
              <w:t>1</w:t>
            </w:r>
            <w:r>
              <w:rPr>
                <w:rFonts w:ascii="Arial" w:hAnsi="Arial" w:cs="宋体;SimSun" w:eastAsia="华文细黑"/>
                <w:sz w:val="18"/>
                <w:szCs w:val="18"/>
              </w:rPr>
              <w:t>号楼等</w:t>
            </w:r>
            <w:r>
              <w:rPr>
                <w:rFonts w:eastAsia="华文细黑" w:cs="宋体;SimSun" w:ascii="Arial" w:hAnsi="Arial"/>
                <w:sz w:val="18"/>
                <w:szCs w:val="18"/>
              </w:rPr>
              <w:t>34</w:t>
            </w:r>
            <w:r>
              <w:rPr>
                <w:rFonts w:ascii="Arial" w:hAnsi="Arial" w:cs="宋体;SimSun" w:eastAsia="华文细黑"/>
                <w:sz w:val="18"/>
                <w:szCs w:val="18"/>
              </w:rPr>
              <w:t>套产权式酒店（别墅）用房房地产</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54867</w:t>
            </w:r>
          </w:p>
        </w:tc>
        <w:tc>
          <w:tcPr>
            <w:tcW w:w="1790" w:type="dxa"/>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17878</w:t>
            </w:r>
          </w:p>
        </w:tc>
      </w:tr>
      <w:tr>
        <w:trPr>
          <w:trHeight w:val="340" w:hRule="exact"/>
          <w:cantSplit w:val="true"/>
        </w:trPr>
        <w:tc>
          <w:tcPr>
            <w:tcW w:w="4396" w:type="dxa"/>
            <w:gridSpan w:val="2"/>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sz w:val="18"/>
                <w:szCs w:val="18"/>
              </w:rPr>
            </w:pPr>
            <w:r>
              <w:rPr>
                <w:rFonts w:eastAsia="华文细黑" w:cs="宋体;SimSun" w:ascii="Arial" w:hAnsi="Arial"/>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35953</w:t>
            </w:r>
          </w:p>
        </w:tc>
        <w:tc>
          <w:tcPr>
            <w:tcW w:w="1790" w:type="dxa"/>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11715</w:t>
            </w:r>
          </w:p>
        </w:tc>
      </w:tr>
      <w:tr>
        <w:trPr>
          <w:cantSplit w:val="true"/>
        </w:trPr>
        <w:tc>
          <w:tcPr>
            <w:tcW w:w="184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评估价值</w:t>
            </w:r>
          </w:p>
        </w:tc>
        <w:tc>
          <w:tcPr>
            <w:tcW w:w="255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房地产价值</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40071</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大写金额</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肆亿零柒拾壹万元整</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26257</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快速变现价值</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28050</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大写金额</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贰亿捌仟零伍拾万</w:t>
            </w:r>
            <w:r>
              <w:rPr>
                <w:rFonts w:ascii="Arial" w:hAnsi="Arial" w:cs="宋体;SimSun" w:eastAsia="华文细黑"/>
                <w:sz w:val="18"/>
                <w:szCs w:val="18"/>
              </w:rPr>
              <w:t>元整</w:t>
            </w:r>
          </w:p>
        </w:tc>
      </w:tr>
      <w:tr>
        <w:trPr>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thickThinSmallGap" w:sz="1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3633" w:type="dxa"/>
            <w:gridSpan w:val="2"/>
            <w:tcBorders>
              <w:top w:val="dotted" w:sz="2" w:space="0" w:color="404040"/>
              <w:left w:val="dotted" w:sz="2" w:space="0" w:color="404040"/>
              <w:bottom w:val="thickThinSmallGap" w:sz="1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18380</w:t>
            </w:r>
          </w:p>
        </w:tc>
      </w:tr>
    </w:tbl>
    <w:p>
      <w:pPr>
        <w:pStyle w:val="Normal"/>
        <w:spacing w:lineRule="auto" w:line="360"/>
        <w:rPr>
          <w:rFonts w:ascii="Arial" w:hAnsi="Arial" w:eastAsia="华文细黑" w:cs="Arial"/>
          <w:sz w:val="18"/>
        </w:rPr>
      </w:pPr>
      <w:r>
        <w:rPr>
          <w:rFonts w:ascii="Arial" w:hAnsi="Arial" w:cs="Arial" w:eastAsia="华文细黑"/>
          <w:sz w:val="18"/>
        </w:rPr>
        <w:t>单位：万元、元</w:t>
      </w:r>
      <w:r>
        <w:rPr>
          <w:rFonts w:eastAsia="华文细黑" w:cs="Arial" w:ascii="Arial" w:hAnsi="Arial"/>
          <w:sz w:val="18"/>
        </w:rPr>
        <w:t>/</w:t>
      </w:r>
      <w:r>
        <w:rPr>
          <w:rFonts w:ascii="Arial" w:hAnsi="Arial" w:cs="Arial" w:eastAsia="华文细黑"/>
          <w:sz w:val="18"/>
        </w:rPr>
        <w:t>平方米（币种：人民币）</w:t>
      </w:r>
    </w:p>
    <w:p>
      <w:pPr>
        <w:pStyle w:val="Normal"/>
        <w:spacing w:lineRule="auto" w:line="360"/>
        <w:rPr>
          <w:rFonts w:ascii="Arial" w:hAnsi="Arial" w:eastAsia="华文细黑" w:cs="Arial"/>
          <w:sz w:val="18"/>
        </w:rPr>
      </w:pPr>
      <w:r>
        <w:rPr>
          <w:rFonts w:eastAsia="华文细黑" w:cs="Arial" w:ascii="Arial" w:hAnsi="Arial"/>
          <w:sz w:val="18"/>
        </w:rPr>
      </w:r>
    </w:p>
    <w:p>
      <w:pPr>
        <w:pStyle w:val="Normal"/>
        <w:spacing w:lineRule="auto" w:line="240"/>
        <w:jc w:val="center"/>
        <w:rPr>
          <w:rFonts w:ascii="Arial" w:hAnsi="Arial" w:eastAsia="方正黑体简体;微软雅黑" w:cs="Arial"/>
          <w:sz w:val="18"/>
          <w:szCs w:val="24"/>
        </w:rPr>
      </w:pPr>
      <w:r>
        <w:rPr>
          <w:rFonts w:eastAsia="方正黑体简体;微软雅黑" w:cs="Arial" w:ascii="Arial" w:hAnsi="Arial"/>
          <w:sz w:val="18"/>
          <w:szCs w:val="24"/>
        </w:rPr>
      </w:r>
    </w:p>
    <w:p>
      <w:pPr>
        <w:pStyle w:val="2"/>
        <w:numPr>
          <w:ilvl w:val="0"/>
          <w:numId w:val="0"/>
        </w:numPr>
        <w:overflowPunct w:val="false"/>
        <w:spacing w:lineRule="auto" w:line="480"/>
        <w:ind w:left="0" w:hanging="0"/>
        <w:jc w:val="both"/>
        <w:textAlignment w:val="auto"/>
        <w:rPr>
          <w:rFonts w:eastAsia="宋体;SimSun"/>
          <w:kern w:val="2"/>
          <w:sz w:val="21"/>
          <w:szCs w:val="21"/>
        </w:rPr>
      </w:pPr>
      <w:bookmarkStart w:id="21" w:name="__RefHeading___Toc162425560"/>
      <w:bookmarkEnd w:id="21"/>
      <w:r>
        <w:rPr>
          <w:rFonts w:eastAsia="宋体;SimSun"/>
          <w:kern w:val="2"/>
          <w:sz w:val="21"/>
          <w:szCs w:val="21"/>
        </w:rPr>
        <w:t>十一、参与本次估价工作的</w:t>
      </w:r>
      <w:r>
        <w:rPr>
          <w:rFonts w:eastAsia="宋体;SimSun"/>
          <w:kern w:val="2"/>
          <w:sz w:val="21"/>
          <w:szCs w:val="21"/>
        </w:rPr>
        <w:t>评估专业</w:t>
      </w:r>
      <w:r>
        <w:rPr>
          <w:rFonts w:eastAsia="宋体;SimSun"/>
          <w:kern w:val="2"/>
          <w:sz w:val="21"/>
          <w:szCs w:val="21"/>
        </w:rPr>
        <w:t>人员</w:t>
      </w:r>
    </w:p>
    <w:tbl>
      <w:tblPr>
        <w:tblW w:w="9304" w:type="dxa"/>
        <w:jc w:val="center"/>
        <w:tblInd w:w="0" w:type="dxa"/>
        <w:tblCellMar>
          <w:top w:w="57" w:type="dxa"/>
          <w:left w:w="57" w:type="dxa"/>
          <w:bottom w:w="57" w:type="dxa"/>
          <w:right w:w="57" w:type="dxa"/>
        </w:tblCellMar>
      </w:tblPr>
      <w:tblGrid>
        <w:gridCol w:w="1746"/>
        <w:gridCol w:w="2197"/>
        <w:gridCol w:w="2774"/>
        <w:gridCol w:w="2587"/>
      </w:tblGrid>
      <w:tr>
        <w:trPr>
          <w:trHeight w:val="454" w:hRule="exact"/>
          <w:cantSplit w:val="true"/>
        </w:trPr>
        <w:tc>
          <w:tcPr>
            <w:tcW w:w="9304" w:type="dxa"/>
            <w:gridSpan w:val="4"/>
            <w:tcBorders>
              <w:top w:val="single" w:sz="2" w:space="0" w:color="000000"/>
              <w:left w:val="single" w:sz="2" w:space="0" w:color="000000"/>
              <w:bottom w:val="single" w:sz="2" w:space="0" w:color="000000"/>
              <w:right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b/>
                <w:b/>
                <w:color w:val="000000"/>
                <w:sz w:val="21"/>
                <w:szCs w:val="21"/>
              </w:rPr>
            </w:pPr>
            <w:r>
              <w:rPr>
                <w:rFonts w:ascii="Arial" w:hAnsi="Arial" w:cs="Arial"/>
                <w:b/>
                <w:kern w:val="2"/>
                <w:sz w:val="21"/>
                <w:szCs w:val="21"/>
              </w:rPr>
              <w:t>注册房地产估价师</w:t>
            </w:r>
          </w:p>
        </w:tc>
      </w:tr>
      <w:tr>
        <w:trPr>
          <w:trHeight w:val="454" w:hRule="exact"/>
          <w:cantSplit w:val="true"/>
        </w:trPr>
        <w:tc>
          <w:tcPr>
            <w:tcW w:w="1746"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姓名</w:t>
            </w:r>
          </w:p>
        </w:tc>
        <w:tc>
          <w:tcPr>
            <w:tcW w:w="2197"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000000"/>
              <w:left w:val="single" w:sz="2" w:space="0" w:color="000000"/>
              <w:bottom w:val="single" w:sz="2" w:space="0" w:color="000000"/>
              <w:right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签名日期</w:t>
            </w:r>
          </w:p>
        </w:tc>
      </w:tr>
      <w:tr>
        <w:trPr>
          <w:trHeight w:val="1134" w:hRule="exact"/>
          <w:cantSplit w:val="true"/>
        </w:trPr>
        <w:tc>
          <w:tcPr>
            <w:tcW w:w="1746"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高</w:t>
            </w:r>
            <w:r>
              <w:rPr>
                <w:rFonts w:ascii="Arial" w:hAnsi="Arial" w:cs="Arial" w:eastAsia="Arial"/>
                <w:color w:val="000000"/>
                <w:sz w:val="21"/>
                <w:szCs w:val="21"/>
              </w:rPr>
              <w:t xml:space="preserve">  </w:t>
            </w:r>
            <w:r>
              <w:rPr>
                <w:rFonts w:ascii="Arial" w:hAnsi="Arial" w:cs="Arial"/>
                <w:color w:val="000000"/>
                <w:sz w:val="21"/>
                <w:szCs w:val="21"/>
              </w:rPr>
              <w:t>鹏</w:t>
            </w:r>
          </w:p>
        </w:tc>
        <w:tc>
          <w:tcPr>
            <w:tcW w:w="2197"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cs="Arial" w:ascii="Arial" w:hAnsi="Arial"/>
                <w:color w:val="000000"/>
                <w:sz w:val="21"/>
                <w:szCs w:val="21"/>
              </w:rPr>
              <w:t>1120140024</w:t>
            </w:r>
          </w:p>
        </w:tc>
        <w:tc>
          <w:tcPr>
            <w:tcW w:w="2774"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napToGrid w:val="false"/>
              <w:spacing w:lineRule="exact" w:line="240"/>
              <w:rPr>
                <w:rFonts w:ascii="Arial" w:hAnsi="Arial" w:cs="Arial"/>
                <w:color w:val="000000"/>
                <w:sz w:val="21"/>
                <w:szCs w:val="21"/>
              </w:rPr>
            </w:pPr>
            <w:r>
              <w:rPr>
                <w:rFonts w:cs="Arial" w:ascii="Arial" w:hAnsi="Arial"/>
                <w:color w:val="000000"/>
                <w:sz w:val="21"/>
                <w:szCs w:val="21"/>
              </w:rPr>
            </w:r>
          </w:p>
        </w:tc>
        <w:tc>
          <w:tcPr>
            <w:tcW w:w="2587" w:type="dxa"/>
            <w:tcBorders>
              <w:top w:val="single" w:sz="2" w:space="0" w:color="000000"/>
              <w:left w:val="single" w:sz="2" w:space="0" w:color="000000"/>
              <w:bottom w:val="single" w:sz="2" w:space="0" w:color="000000"/>
              <w:right w:val="single" w:sz="2" w:space="0" w:color="000000"/>
            </w:tcBorders>
            <w:shd w:fill="auto" w:val="clear"/>
            <w:vAlign w:val="center"/>
          </w:tcPr>
          <w:p>
            <w:pPr>
              <w:pStyle w:val="Normal"/>
              <w:tabs>
                <w:tab w:val="clear" w:pos="709"/>
                <w:tab w:val="left" w:pos="5160" w:leader="none"/>
              </w:tabs>
              <w:overflowPunct w:val="false"/>
              <w:spacing w:lineRule="exact" w:line="240"/>
              <w:ind w:firstLine="420"/>
              <w:jc w:val="right"/>
              <w:rPr/>
            </w:pPr>
            <w:r>
              <w:rPr>
                <w:rFonts w:ascii="Arial" w:hAnsi="Arial" w:cs="Arial"/>
                <w:color w:val="000000"/>
                <w:sz w:val="21"/>
                <w:szCs w:val="21"/>
              </w:rPr>
              <w:t>年</w:t>
            </w:r>
            <w:r>
              <w:rPr>
                <w:rFonts w:ascii="Arial" w:hAnsi="Arial" w:cs="Arial" w:eastAsia="Arial"/>
                <w:color w:val="000000"/>
                <w:sz w:val="21"/>
                <w:szCs w:val="21"/>
              </w:rPr>
              <w:t xml:space="preserve">    </w:t>
            </w:r>
            <w:r>
              <w:rPr>
                <w:rFonts w:ascii="Arial" w:hAnsi="Arial" w:cs="Arial"/>
                <w:color w:val="000000"/>
                <w:sz w:val="21"/>
                <w:szCs w:val="21"/>
              </w:rPr>
              <w:t>月</w:t>
            </w:r>
            <w:r>
              <w:rPr>
                <w:rFonts w:ascii="Arial" w:hAnsi="Arial" w:cs="Arial" w:eastAsia="Arial"/>
                <w:color w:val="000000"/>
                <w:sz w:val="21"/>
                <w:szCs w:val="21"/>
              </w:rPr>
              <w:t xml:space="preserve">    </w:t>
            </w:r>
            <w:r>
              <w:rPr>
                <w:rFonts w:ascii="Arial" w:hAnsi="Arial" w:cs="Arial"/>
                <w:color w:val="000000"/>
                <w:sz w:val="21"/>
                <w:szCs w:val="21"/>
              </w:rPr>
              <w:t>日</w:t>
            </w:r>
          </w:p>
        </w:tc>
      </w:tr>
      <w:tr>
        <w:trPr>
          <w:trHeight w:val="1134" w:hRule="exact"/>
          <w:cantSplit w:val="true"/>
        </w:trPr>
        <w:tc>
          <w:tcPr>
            <w:tcW w:w="1746"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cs="Arial" w:ascii="Arial" w:hAnsi="Arial"/>
                <w:color w:val="000000"/>
                <w:sz w:val="21"/>
                <w:szCs w:val="21"/>
              </w:rPr>
              <w:t>1119980019</w:t>
            </w:r>
          </w:p>
        </w:tc>
        <w:tc>
          <w:tcPr>
            <w:tcW w:w="2774"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napToGrid w:val="false"/>
              <w:spacing w:lineRule="exact" w:line="240"/>
              <w:rPr>
                <w:rFonts w:ascii="Arial" w:hAnsi="Arial" w:cs="Arial"/>
                <w:color w:val="000000"/>
                <w:sz w:val="21"/>
                <w:szCs w:val="21"/>
              </w:rPr>
            </w:pPr>
            <w:r>
              <w:rPr>
                <w:rFonts w:cs="Arial" w:ascii="Arial" w:hAnsi="Arial"/>
                <w:color w:val="000000"/>
                <w:sz w:val="21"/>
                <w:szCs w:val="21"/>
              </w:rPr>
            </w:r>
          </w:p>
        </w:tc>
        <w:tc>
          <w:tcPr>
            <w:tcW w:w="2587" w:type="dxa"/>
            <w:tcBorders>
              <w:top w:val="single" w:sz="2" w:space="0" w:color="000000"/>
              <w:left w:val="single" w:sz="2" w:space="0" w:color="000000"/>
              <w:bottom w:val="single" w:sz="2" w:space="0" w:color="000000"/>
              <w:right w:val="single" w:sz="2" w:space="0" w:color="000000"/>
            </w:tcBorders>
            <w:shd w:fill="auto" w:val="clear"/>
            <w:vAlign w:val="center"/>
          </w:tcPr>
          <w:p>
            <w:pPr>
              <w:pStyle w:val="Normal"/>
              <w:tabs>
                <w:tab w:val="clear" w:pos="709"/>
                <w:tab w:val="left" w:pos="5160" w:leader="none"/>
              </w:tabs>
              <w:overflowPunct w:val="false"/>
              <w:spacing w:lineRule="exact" w:line="240"/>
              <w:ind w:firstLine="420"/>
              <w:jc w:val="right"/>
              <w:rPr/>
            </w:pPr>
            <w:r>
              <w:rPr>
                <w:rFonts w:ascii="Arial" w:hAnsi="Arial" w:cs="Arial"/>
                <w:color w:val="000000"/>
                <w:sz w:val="21"/>
                <w:szCs w:val="21"/>
              </w:rPr>
              <w:t>年</w:t>
            </w:r>
            <w:r>
              <w:rPr>
                <w:rFonts w:ascii="Arial" w:hAnsi="Arial" w:cs="Arial" w:eastAsia="Arial"/>
                <w:color w:val="000000"/>
                <w:sz w:val="21"/>
                <w:szCs w:val="21"/>
              </w:rPr>
              <w:t xml:space="preserve">    </w:t>
            </w:r>
            <w:r>
              <w:rPr>
                <w:rFonts w:ascii="Arial" w:hAnsi="Arial" w:cs="Arial"/>
                <w:color w:val="000000"/>
                <w:sz w:val="21"/>
                <w:szCs w:val="21"/>
              </w:rPr>
              <w:t>月</w:t>
            </w:r>
            <w:r>
              <w:rPr>
                <w:rFonts w:ascii="Arial" w:hAnsi="Arial" w:cs="Arial" w:eastAsia="Arial"/>
                <w:color w:val="000000"/>
                <w:sz w:val="21"/>
                <w:szCs w:val="21"/>
              </w:rPr>
              <w:t xml:space="preserve">    </w:t>
            </w:r>
            <w:r>
              <w:rPr>
                <w:rFonts w:ascii="Arial" w:hAnsi="Arial" w:cs="Arial"/>
                <w:color w:val="000000"/>
                <w:sz w:val="21"/>
                <w:szCs w:val="21"/>
              </w:rPr>
              <w:t>日</w:t>
            </w:r>
          </w:p>
        </w:tc>
      </w:tr>
      <w:tr>
        <w:trPr>
          <w:trHeight w:val="454" w:hRule="exact"/>
          <w:cantSplit w:val="true"/>
        </w:trPr>
        <w:tc>
          <w:tcPr>
            <w:tcW w:w="9304" w:type="dxa"/>
            <w:gridSpan w:val="4"/>
            <w:tcBorders>
              <w:top w:val="single" w:sz="2" w:space="0" w:color="000000"/>
              <w:left w:val="single" w:sz="2" w:space="0" w:color="000000"/>
              <w:bottom w:val="single" w:sz="2" w:space="0" w:color="000000"/>
              <w:right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b/>
                <w:b/>
                <w:color w:val="000000"/>
                <w:kern w:val="2"/>
                <w:sz w:val="21"/>
                <w:szCs w:val="21"/>
              </w:rPr>
            </w:pPr>
            <w:r>
              <w:rPr>
                <w:rFonts w:ascii="Arial" w:hAnsi="Arial" w:cs="Arial"/>
                <w:b/>
                <w:color w:val="000000"/>
                <w:kern w:val="2"/>
                <w:sz w:val="21"/>
                <w:szCs w:val="21"/>
              </w:rPr>
              <w:t>其他评估专业</w:t>
            </w:r>
            <w:r>
              <w:rPr>
                <w:rFonts w:ascii="Arial" w:hAnsi="Arial" w:cs="Arial"/>
                <w:b/>
                <w:color w:val="000000"/>
                <w:kern w:val="2"/>
                <w:sz w:val="21"/>
                <w:szCs w:val="21"/>
              </w:rPr>
              <w:t>人员</w:t>
            </w:r>
            <w:r>
              <w:rPr>
                <w:rFonts w:ascii="Arial" w:hAnsi="Arial" w:cs="Arial" w:eastAsia="Arial"/>
                <w:b/>
                <w:color w:val="000000"/>
                <w:kern w:val="2"/>
                <w:sz w:val="21"/>
                <w:szCs w:val="21"/>
              </w:rPr>
              <w:t xml:space="preserve"> </w:t>
            </w:r>
          </w:p>
        </w:tc>
      </w:tr>
      <w:tr>
        <w:trPr>
          <w:trHeight w:val="454" w:hRule="exact"/>
          <w:cantSplit w:val="true"/>
        </w:trPr>
        <w:tc>
          <w:tcPr>
            <w:tcW w:w="1746"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姓名</w:t>
            </w:r>
          </w:p>
        </w:tc>
        <w:tc>
          <w:tcPr>
            <w:tcW w:w="2197"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000000"/>
              <w:left w:val="single" w:sz="2" w:space="0" w:color="000000"/>
              <w:bottom w:val="single" w:sz="2" w:space="0" w:color="000000"/>
              <w:right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签名日期</w:t>
            </w:r>
          </w:p>
        </w:tc>
      </w:tr>
      <w:tr>
        <w:trPr>
          <w:trHeight w:val="1134" w:hRule="exact"/>
          <w:cantSplit w:val="true"/>
        </w:trPr>
        <w:tc>
          <w:tcPr>
            <w:tcW w:w="1746"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Arial" w:hAnsi="Arial" w:cs="Arial"/>
                <w:color w:val="000000"/>
                <w:sz w:val="21"/>
                <w:szCs w:val="21"/>
              </w:rPr>
              <w:t>黄</w:t>
            </w:r>
            <w:r>
              <w:rPr>
                <w:rFonts w:ascii="Arial" w:hAnsi="Arial" w:cs="Arial" w:eastAsia="Arial"/>
                <w:color w:val="000000"/>
                <w:sz w:val="21"/>
                <w:szCs w:val="21"/>
              </w:rPr>
              <w:t xml:space="preserve">  </w:t>
            </w:r>
            <w:r>
              <w:rPr>
                <w:rFonts w:ascii="Arial" w:hAnsi="Arial" w:cs="Arial"/>
                <w:color w:val="000000"/>
                <w:sz w:val="21"/>
                <w:szCs w:val="21"/>
              </w:rPr>
              <w:t>英</w:t>
            </w:r>
          </w:p>
        </w:tc>
        <w:tc>
          <w:tcPr>
            <w:tcW w:w="2197"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pacing w:lineRule="exact" w:line="240"/>
              <w:rPr>
                <w:rFonts w:ascii="Arial" w:hAnsi="Arial" w:cs="Arial"/>
                <w:color w:val="000000"/>
                <w:sz w:val="21"/>
                <w:szCs w:val="21"/>
              </w:rPr>
            </w:pPr>
            <w:r>
              <w:rPr>
                <w:rFonts w:ascii="宋体;SimSun" w:hAnsi="宋体;SimSun" w:cs="宋体;SimSun"/>
                <w:color w:val="000000"/>
                <w:sz w:val="21"/>
                <w:szCs w:val="21"/>
              </w:rPr>
              <w:t>——</w:t>
            </w:r>
          </w:p>
        </w:tc>
        <w:tc>
          <w:tcPr>
            <w:tcW w:w="2774" w:type="dxa"/>
            <w:tcBorders>
              <w:top w:val="single" w:sz="2" w:space="0" w:color="000000"/>
              <w:left w:val="single" w:sz="2" w:space="0" w:color="000000"/>
              <w:bottom w:val="single" w:sz="2" w:space="0" w:color="000000"/>
            </w:tcBorders>
            <w:shd w:fill="auto" w:val="clear"/>
            <w:vAlign w:val="center"/>
          </w:tcPr>
          <w:p>
            <w:pPr>
              <w:pStyle w:val="Normal"/>
              <w:tabs>
                <w:tab w:val="clear" w:pos="709"/>
                <w:tab w:val="left" w:pos="5160" w:leader="none"/>
              </w:tabs>
              <w:overflowPunct w:val="false"/>
              <w:snapToGrid w:val="false"/>
              <w:spacing w:lineRule="exact" w:line="240"/>
              <w:rPr>
                <w:rFonts w:ascii="Arial" w:hAnsi="Arial" w:cs="Arial"/>
                <w:color w:val="000000"/>
                <w:sz w:val="21"/>
                <w:szCs w:val="21"/>
              </w:rPr>
            </w:pPr>
            <w:r>
              <w:rPr>
                <w:rFonts w:cs="Arial" w:ascii="Arial" w:hAnsi="Arial"/>
                <w:color w:val="000000"/>
                <w:sz w:val="21"/>
                <w:szCs w:val="21"/>
              </w:rPr>
            </w:r>
          </w:p>
        </w:tc>
        <w:tc>
          <w:tcPr>
            <w:tcW w:w="2587" w:type="dxa"/>
            <w:tcBorders>
              <w:top w:val="single" w:sz="2" w:space="0" w:color="000000"/>
              <w:left w:val="single" w:sz="2" w:space="0" w:color="000000"/>
              <w:bottom w:val="single" w:sz="2" w:space="0" w:color="000000"/>
              <w:right w:val="single" w:sz="2" w:space="0" w:color="000000"/>
            </w:tcBorders>
            <w:shd w:fill="auto" w:val="clear"/>
            <w:vAlign w:val="center"/>
          </w:tcPr>
          <w:p>
            <w:pPr>
              <w:pStyle w:val="Normal"/>
              <w:tabs>
                <w:tab w:val="clear" w:pos="709"/>
                <w:tab w:val="left" w:pos="5160" w:leader="none"/>
              </w:tabs>
              <w:overflowPunct w:val="false"/>
              <w:spacing w:lineRule="exact" w:line="240"/>
              <w:ind w:firstLine="420"/>
              <w:jc w:val="right"/>
              <w:rPr/>
            </w:pPr>
            <w:r>
              <w:rPr>
                <w:rFonts w:ascii="Arial" w:hAnsi="Arial" w:cs="Arial"/>
                <w:color w:val="000000"/>
                <w:sz w:val="21"/>
                <w:szCs w:val="21"/>
              </w:rPr>
              <w:t>年</w:t>
            </w:r>
            <w:r>
              <w:rPr>
                <w:rFonts w:ascii="Arial" w:hAnsi="Arial" w:cs="Arial" w:eastAsia="Arial"/>
                <w:color w:val="000000"/>
                <w:sz w:val="21"/>
                <w:szCs w:val="21"/>
              </w:rPr>
              <w:t xml:space="preserve">    </w:t>
            </w:r>
            <w:r>
              <w:rPr>
                <w:rFonts w:ascii="Arial" w:hAnsi="Arial" w:cs="Arial"/>
                <w:color w:val="000000"/>
                <w:sz w:val="21"/>
                <w:szCs w:val="21"/>
              </w:rPr>
              <w:t>月</w:t>
            </w:r>
            <w:r>
              <w:rPr>
                <w:rFonts w:ascii="Arial" w:hAnsi="Arial" w:cs="Arial" w:eastAsia="Arial"/>
                <w:color w:val="000000"/>
                <w:sz w:val="21"/>
                <w:szCs w:val="21"/>
              </w:rPr>
              <w:t xml:space="preserve">    </w:t>
            </w:r>
            <w:r>
              <w:rPr>
                <w:rFonts w:ascii="Arial" w:hAnsi="Arial" w:cs="Arial"/>
                <w:color w:val="000000"/>
                <w:sz w:val="21"/>
                <w:szCs w:val="21"/>
              </w:rPr>
              <w:t>日</w:t>
            </w:r>
          </w:p>
        </w:tc>
      </w:tr>
    </w:tbl>
    <w:p>
      <w:pPr>
        <w:pStyle w:val="Normal"/>
        <w:overflowPunct w:val="false"/>
        <w:spacing w:lineRule="auto" w:line="480"/>
        <w:jc w:val="both"/>
        <w:textAlignment w:val="auto"/>
        <w:rPr>
          <w:rFonts w:ascii="Arial" w:hAnsi="Arial" w:cs="Arial"/>
          <w:kern w:val="2"/>
          <w:sz w:val="21"/>
          <w:szCs w:val="21"/>
        </w:rPr>
      </w:pPr>
      <w:r>
        <w:rPr>
          <w:rFonts w:cs="Arial" w:ascii="Arial" w:hAnsi="Arial"/>
          <w:kern w:val="2"/>
          <w:sz w:val="21"/>
          <w:szCs w:val="21"/>
        </w:rPr>
      </w:r>
    </w:p>
    <w:p>
      <w:pPr>
        <w:pStyle w:val="2"/>
        <w:numPr>
          <w:ilvl w:val="0"/>
          <w:numId w:val="0"/>
        </w:numPr>
        <w:overflowPunct w:val="false"/>
        <w:spacing w:lineRule="auto" w:line="480"/>
        <w:ind w:left="0" w:hanging="0"/>
        <w:jc w:val="both"/>
        <w:textAlignment w:val="auto"/>
        <w:rPr/>
      </w:pPr>
      <w:bookmarkStart w:id="22" w:name="__RefHeading___Toc162425561"/>
      <w:bookmarkEnd w:id="22"/>
      <w:r>
        <w:rPr>
          <w:rFonts w:eastAsia="宋体;SimSun"/>
          <w:kern w:val="2"/>
          <w:sz w:val="21"/>
          <w:szCs w:val="21"/>
        </w:rPr>
        <w:t>十二、实地查勘期</w:t>
      </w:r>
    </w:p>
    <w:p>
      <w:pPr>
        <w:pStyle w:val="Normal"/>
        <w:overflowPunct w:val="false"/>
        <w:spacing w:lineRule="auto" w:line="480"/>
        <w:ind w:firstLine="420"/>
        <w:jc w:val="both"/>
        <w:textAlignment w:val="auto"/>
        <w:rPr/>
      </w:pPr>
      <w:r>
        <w:rPr>
          <w:rFonts w:cs="Arial" w:ascii="Arial" w:hAnsi="Arial"/>
          <w:sz w:val="21"/>
          <w:szCs w:val="21"/>
        </w:rPr>
        <w:t>20</w:t>
      </w:r>
      <w:r>
        <w:rPr>
          <w:rFonts w:cs="Arial" w:ascii="Arial" w:hAnsi="Arial"/>
          <w:sz w:val="21"/>
          <w:szCs w:val="21"/>
        </w:rPr>
        <w:t>24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15</w:t>
      </w:r>
      <w:r>
        <w:rPr>
          <w:rFonts w:ascii="Arial" w:hAnsi="Arial" w:cs="Arial"/>
          <w:sz w:val="21"/>
          <w:szCs w:val="21"/>
        </w:rPr>
        <w:t>日</w:t>
      </w:r>
    </w:p>
    <w:p>
      <w:pPr>
        <w:pStyle w:val="Normal"/>
        <w:overflowPunct w:val="false"/>
        <w:spacing w:lineRule="auto" w:line="480"/>
        <w:jc w:val="both"/>
        <w:textAlignment w:val="auto"/>
        <w:rPr>
          <w:rFonts w:ascii="Arial" w:hAnsi="Arial" w:cs="Arial"/>
          <w:kern w:val="2"/>
          <w:sz w:val="21"/>
          <w:szCs w:val="21"/>
        </w:rPr>
      </w:pPr>
      <w:r>
        <w:rPr>
          <w:rFonts w:cs="Arial" w:ascii="Arial" w:hAnsi="Arial"/>
          <w:kern w:val="2"/>
          <w:sz w:val="21"/>
          <w:szCs w:val="21"/>
        </w:rPr>
      </w:r>
    </w:p>
    <w:p>
      <w:pPr>
        <w:pStyle w:val="2"/>
        <w:numPr>
          <w:ilvl w:val="0"/>
          <w:numId w:val="0"/>
        </w:numPr>
        <w:overflowPunct w:val="false"/>
        <w:spacing w:lineRule="auto" w:line="480"/>
        <w:ind w:left="0" w:hanging="0"/>
        <w:jc w:val="both"/>
        <w:textAlignment w:val="auto"/>
        <w:rPr>
          <w:rFonts w:eastAsia="宋体;SimSun"/>
          <w:kern w:val="2"/>
          <w:sz w:val="21"/>
          <w:szCs w:val="21"/>
        </w:rPr>
      </w:pPr>
      <w:bookmarkStart w:id="23" w:name="__RefHeading___Toc162425562"/>
      <w:r>
        <w:rPr>
          <w:rFonts w:eastAsia="宋体;SimSun"/>
          <w:kern w:val="2"/>
          <w:sz w:val="21"/>
          <w:szCs w:val="21"/>
        </w:rPr>
        <w:t>十三、估价作业期</w:t>
      </w:r>
      <w:bookmarkEnd w:id="23"/>
      <w:r>
        <w:rPr>
          <w:rFonts w:eastAsia="Arial"/>
          <w:kern w:val="2"/>
          <w:sz w:val="21"/>
          <w:szCs w:val="21"/>
        </w:rPr>
        <w:t xml:space="preserve">  </w:t>
      </w:r>
    </w:p>
    <w:p>
      <w:pPr>
        <w:sectPr>
          <w:headerReference w:type="default" r:id="rId20"/>
          <w:footerReference w:type="default" r:id="rId21"/>
          <w:type w:val="nextPage"/>
          <w:pgSz w:w="11906" w:h="16838"/>
          <w:pgMar w:left="1304" w:right="1304" w:header="1134" w:top="1843" w:footer="907" w:bottom="1134" w:gutter="0"/>
          <w:pgNumType w:fmt="decimal"/>
          <w:formProt w:val="false"/>
          <w:textDirection w:val="lrTb"/>
          <w:docGrid w:type="default" w:linePitch="326" w:charSpace="0"/>
        </w:sectPr>
        <w:pStyle w:val="Normal"/>
        <w:overflowPunct w:val="false"/>
        <w:spacing w:lineRule="auto" w:line="480"/>
        <w:ind w:firstLine="420"/>
        <w:jc w:val="both"/>
        <w:textAlignment w:val="auto"/>
        <w:rPr/>
      </w:pPr>
      <w:r>
        <w:rPr>
          <w:rFonts w:cs="Arial" w:ascii="Arial" w:hAnsi="Arial"/>
          <w:sz w:val="21"/>
          <w:szCs w:val="21"/>
        </w:rPr>
        <w:t>20</w:t>
      </w:r>
      <w:r>
        <w:rPr>
          <w:rFonts w:cs="Arial" w:ascii="Arial" w:hAnsi="Arial"/>
          <w:sz w:val="21"/>
          <w:szCs w:val="21"/>
        </w:rPr>
        <w:t>24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15</w:t>
      </w:r>
      <w:r>
        <w:rPr>
          <w:rFonts w:ascii="Arial" w:hAnsi="Arial" w:cs="Arial"/>
          <w:sz w:val="21"/>
          <w:szCs w:val="21"/>
        </w:rPr>
        <w:t>日至</w:t>
      </w:r>
      <w:r>
        <w:rPr>
          <w:rFonts w:cs="Arial" w:ascii="Arial" w:hAnsi="Arial"/>
          <w:sz w:val="21"/>
          <w:szCs w:val="21"/>
        </w:rPr>
        <w:t>20</w:t>
      </w:r>
      <w:r>
        <w:rPr>
          <w:rFonts w:cs="Arial" w:ascii="Arial" w:hAnsi="Arial"/>
          <w:sz w:val="21"/>
          <w:szCs w:val="21"/>
        </w:rPr>
        <w:t>24</w:t>
      </w:r>
      <w:r>
        <w:rPr>
          <w:rFonts w:ascii="Arial" w:hAnsi="Arial" w:cs="Arial"/>
          <w:sz w:val="21"/>
          <w:szCs w:val="21"/>
        </w:rPr>
        <w:t>年</w:t>
      </w:r>
      <w:commentRangeStart w:id="12"/>
      <w:r>
        <w:rPr>
          <w:rFonts w:cs="Arial" w:ascii="Arial" w:hAnsi="Arial"/>
          <w:sz w:val="21"/>
          <w:szCs w:val="21"/>
        </w:rPr>
        <w:t>7</w:t>
      </w:r>
      <w:r>
        <w:rPr>
          <w:rFonts w:ascii="Arial" w:hAnsi="Arial" w:cs="Arial"/>
          <w:sz w:val="21"/>
          <w:szCs w:val="21"/>
        </w:rPr>
        <w:t>月</w:t>
      </w:r>
      <w:r>
        <w:rPr>
          <w:rFonts w:cs="Arial" w:ascii="Arial" w:hAnsi="Arial"/>
          <w:sz w:val="21"/>
          <w:szCs w:val="21"/>
        </w:rPr>
        <w:t>25</w:t>
      </w:r>
      <w:r>
        <w:rPr>
          <w:rFonts w:ascii="Arial" w:hAnsi="Arial" w:cs="Arial"/>
          <w:sz w:val="21"/>
          <w:szCs w:val="21"/>
        </w:rPr>
        <w:t>日</w:t>
      </w:r>
      <w:commentRangeEnd w:id="12"/>
      <w:r>
        <w:commentReference w:id="12"/>
      </w:r>
      <w:r>
        <w:rPr>
          <w:rFonts w:ascii="Arial" w:hAnsi="Arial" w:cs="Arial"/>
          <w:sz w:val="21"/>
          <w:szCs w:val="21"/>
        </w:rPr>
      </w:r>
    </w:p>
    <w:p>
      <w:pPr>
        <w:pStyle w:val="1"/>
        <w:spacing w:lineRule="auto" w:line="480"/>
        <w:jc w:val="center"/>
        <w:rPr>
          <w:rFonts w:eastAsia="方正黑体简体;微软雅黑"/>
          <w:b w:val="false"/>
          <w:b w:val="false"/>
          <w:kern w:val="2"/>
          <w:sz w:val="32"/>
          <w:szCs w:val="32"/>
        </w:rPr>
      </w:pPr>
      <w:bookmarkStart w:id="24" w:name="__RefHeading___Toc162425563"/>
      <w:bookmarkEnd w:id="24"/>
      <w:r>
        <w:rPr>
          <w:rFonts w:eastAsia="方正黑体简体;微软雅黑"/>
          <w:b w:val="false"/>
          <w:kern w:val="2"/>
          <w:sz w:val="32"/>
          <w:szCs w:val="32"/>
        </w:rPr>
        <w:t>估价技术报告</w:t>
      </w:r>
    </w:p>
    <w:p>
      <w:pPr>
        <w:pStyle w:val="2"/>
        <w:numPr>
          <w:ilvl w:val="0"/>
          <w:numId w:val="0"/>
        </w:numPr>
        <w:spacing w:lineRule="auto" w:line="480"/>
        <w:ind w:left="357" w:hanging="357"/>
        <w:jc w:val="both"/>
        <w:rPr>
          <w:rFonts w:eastAsia="宋体;SimSun"/>
          <w:kern w:val="2"/>
          <w:sz w:val="21"/>
          <w:szCs w:val="21"/>
        </w:rPr>
      </w:pPr>
      <w:bookmarkStart w:id="25" w:name="__RefHeading___Toc162425564"/>
      <w:bookmarkEnd w:id="25"/>
      <w:r>
        <w:rPr>
          <w:rFonts w:eastAsia="宋体;SimSun"/>
          <w:kern w:val="2"/>
          <w:sz w:val="21"/>
          <w:szCs w:val="21"/>
        </w:rPr>
        <w:t>一、估价对象描述与分析</w:t>
      </w:r>
    </w:p>
    <w:p>
      <w:pPr>
        <w:pStyle w:val="2"/>
        <w:numPr>
          <w:ilvl w:val="0"/>
          <w:numId w:val="0"/>
        </w:numPr>
        <w:spacing w:lineRule="auto" w:line="480"/>
        <w:ind w:left="359" w:hanging="359"/>
        <w:jc w:val="both"/>
        <w:rPr/>
      </w:pPr>
      <w:bookmarkStart w:id="26" w:name="__RefHeading___Toc162425565"/>
      <w:bookmarkEnd w:id="26"/>
      <w:r>
        <w:rPr>
          <w:rFonts w:eastAsia="宋体;SimSun"/>
          <w:kern w:val="2"/>
          <w:sz w:val="21"/>
          <w:szCs w:val="21"/>
        </w:rPr>
        <w:t>（一）实物状况分析</w:t>
      </w:r>
    </w:p>
    <w:p>
      <w:pPr>
        <w:pStyle w:val="Normal"/>
        <w:spacing w:lineRule="auto" w:line="480"/>
        <w:ind w:firstLine="420"/>
        <w:jc w:val="both"/>
        <w:rPr/>
      </w:pPr>
      <w:r>
        <w:rPr>
          <w:rFonts w:cs="Arial" w:ascii="Arial" w:hAnsi="Arial"/>
          <w:sz w:val="21"/>
          <w:szCs w:val="21"/>
        </w:rPr>
        <w:t>1.</w:t>
      </w:r>
      <w:r>
        <w:rPr>
          <w:rFonts w:ascii="Arial" w:hAnsi="Arial" w:cs="Arial"/>
          <w:sz w:val="21"/>
          <w:szCs w:val="21"/>
        </w:rPr>
        <w:t>土地实物状况</w:t>
      </w:r>
    </w:p>
    <w:p>
      <w:pPr>
        <w:pStyle w:val="Normal"/>
        <w:spacing w:lineRule="auto" w:line="480"/>
        <w:ind w:firstLine="420"/>
        <w:jc w:val="both"/>
        <w:rPr>
          <w:rFonts w:ascii="Arial" w:hAnsi="Arial" w:cs="Arial"/>
          <w:color w:val="E36C0A"/>
          <w:sz w:val="21"/>
          <w:szCs w:val="21"/>
        </w:rPr>
      </w:pPr>
      <w:r>
        <w:rPr>
          <w:rFonts w:ascii="Arial" w:hAnsi="Arial" w:cs="Arial"/>
          <w:sz w:val="21"/>
          <w:szCs w:val="21"/>
        </w:rPr>
        <w:t>（</w:t>
      </w:r>
      <w:r>
        <w:rPr>
          <w:rFonts w:cs="Arial" w:ascii="Arial" w:hAnsi="Arial"/>
          <w:sz w:val="21"/>
          <w:szCs w:val="21"/>
        </w:rPr>
        <w:t>1</w:t>
      </w:r>
      <w:r>
        <w:rPr>
          <w:rFonts w:ascii="Arial" w:hAnsi="Arial" w:cs="Arial"/>
          <w:sz w:val="21"/>
          <w:szCs w:val="21"/>
        </w:rPr>
        <w:t>）</w:t>
      </w:r>
      <w:r>
        <w:rPr>
          <w:rFonts w:ascii="Arial" w:hAnsi="Arial" w:cs="Arial"/>
          <w:sz w:val="21"/>
          <w:szCs w:val="21"/>
        </w:rPr>
        <w:t>土地面积：根据</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w:t>
      </w:r>
      <w:r>
        <w:rPr>
          <w:rFonts w:ascii="Arial" w:hAnsi="Arial" w:cs="Arial"/>
          <w:sz w:val="21"/>
          <w:szCs w:val="21"/>
        </w:rPr>
        <w:t>估价对象所属项目土地面积为</w:t>
      </w:r>
      <w:r>
        <w:rPr>
          <w:rFonts w:cs="Arial" w:ascii="Arial" w:hAnsi="Arial"/>
          <w:sz w:val="21"/>
          <w:szCs w:val="21"/>
        </w:rPr>
        <w:t>80634.87</w:t>
      </w:r>
      <w:r>
        <w:rPr>
          <w:rFonts w:ascii="Arial" w:hAnsi="Arial" w:cs="Arial"/>
          <w:sz w:val="21"/>
          <w:szCs w:val="21"/>
        </w:rPr>
        <w:t>平方米，</w:t>
      </w:r>
      <w:r>
        <w:rPr>
          <w:rFonts w:ascii="Arial" w:hAnsi="Arial" w:cs="Arial"/>
          <w:sz w:val="21"/>
          <w:szCs w:val="21"/>
        </w:rPr>
        <w:t>本次评估</w:t>
      </w:r>
      <w:r>
        <w:rPr>
          <w:rFonts w:ascii="Arial" w:hAnsi="Arial" w:cs="Arial"/>
          <w:sz w:val="21"/>
          <w:szCs w:val="21"/>
        </w:rPr>
        <w:t>估价对象分摊土地面积为</w:t>
      </w:r>
      <w:r>
        <w:rPr>
          <w:rFonts w:cs="Arial" w:ascii="Arial" w:hAnsi="Arial"/>
          <w:sz w:val="21"/>
          <w:szCs w:val="21"/>
        </w:rPr>
        <w:t>20358.14</w:t>
      </w:r>
      <w:r>
        <w:rPr>
          <w:rFonts w:ascii="Arial" w:hAnsi="Arial" w:cs="Arial"/>
          <w:sz w:val="21"/>
          <w:szCs w:val="21"/>
        </w:rPr>
        <w:t>平方米</w:t>
      </w:r>
      <w:r>
        <w:rPr>
          <w:rFonts w:ascii="Arial" w:hAnsi="Arial" w:cs="Arial"/>
          <w:color w:val="E36C0A"/>
          <w:sz w:val="21"/>
          <w:szCs w:val="21"/>
        </w:rPr>
        <w:t>。</w:t>
      </w:r>
    </w:p>
    <w:p>
      <w:pPr>
        <w:pStyle w:val="Normal"/>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2</w:t>
      </w:r>
      <w:r>
        <w:rPr>
          <w:rFonts w:ascii="Arial" w:hAnsi="Arial" w:cs="Arial"/>
          <w:sz w:val="21"/>
          <w:szCs w:val="21"/>
        </w:rPr>
        <w:t>）</w:t>
      </w:r>
      <w:r>
        <w:rPr>
          <w:rFonts w:ascii="Arial" w:hAnsi="Arial" w:cs="Arial"/>
          <w:sz w:val="21"/>
          <w:szCs w:val="21"/>
        </w:rPr>
        <w:t>土地利用状况：</w:t>
      </w:r>
      <w:r>
        <w:rPr>
          <w:rFonts w:ascii="Arial" w:hAnsi="Arial" w:cs="Arial"/>
          <w:sz w:val="21"/>
          <w:szCs w:val="21"/>
        </w:rPr>
        <w:t>估价对象属“珈宝别院”项目，项目</w:t>
      </w:r>
      <w:r>
        <w:rPr>
          <w:rFonts w:ascii="Arial" w:hAnsi="Arial" w:cs="Arial"/>
          <w:sz w:val="21"/>
          <w:szCs w:val="21"/>
        </w:rPr>
        <w:t>现状已完成开发建设。项目用地呈规则形状，场地地势较平坦，水文状况良好，工程地质条件良好，无不良地质现象。估价对象</w:t>
      </w:r>
      <w:r>
        <w:rPr>
          <w:rFonts w:ascii="Arial" w:hAnsi="Arial" w:cs="Arial"/>
          <w:sz w:val="21"/>
          <w:szCs w:val="21"/>
        </w:rPr>
        <w:t>地上</w:t>
      </w:r>
      <w:r>
        <w:rPr>
          <w:rFonts w:ascii="Arial" w:hAnsi="Arial" w:cs="Arial"/>
          <w:sz w:val="21"/>
          <w:szCs w:val="21"/>
        </w:rPr>
        <w:t>容积率为</w:t>
      </w:r>
      <w:r>
        <w:rPr>
          <w:rFonts w:cs="Arial" w:ascii="Arial" w:hAnsi="Arial"/>
          <w:sz w:val="21"/>
          <w:szCs w:val="21"/>
        </w:rPr>
        <w:t>0.5</w:t>
      </w:r>
      <w:r>
        <w:rPr>
          <w:rFonts w:ascii="Arial" w:hAnsi="Arial" w:cs="Arial"/>
          <w:sz w:val="21"/>
          <w:szCs w:val="21"/>
        </w:rPr>
        <w:t>。综上，该</w:t>
      </w:r>
      <w:r>
        <w:rPr>
          <w:rFonts w:ascii="Arial" w:hAnsi="Arial" w:cs="Arial"/>
          <w:sz w:val="21"/>
          <w:szCs w:val="21"/>
        </w:rPr>
        <w:t>项目</w:t>
      </w:r>
      <w:r>
        <w:rPr>
          <w:rFonts w:ascii="Arial" w:hAnsi="Arial" w:cs="Arial"/>
          <w:sz w:val="21"/>
          <w:szCs w:val="21"/>
        </w:rPr>
        <w:t>土地利用程度较好。</w:t>
      </w:r>
    </w:p>
    <w:p>
      <w:pPr>
        <w:pStyle w:val="Normal"/>
        <w:spacing w:lineRule="auto" w:line="480"/>
        <w:ind w:firstLine="420"/>
        <w:jc w:val="both"/>
        <w:rPr/>
      </w:pPr>
      <w:r>
        <w:rPr>
          <w:rFonts w:ascii="Arial" w:hAnsi="Arial" w:cs="Arial"/>
          <w:sz w:val="21"/>
          <w:szCs w:val="21"/>
        </w:rPr>
        <w:t>（</w:t>
      </w:r>
      <w:r>
        <w:rPr>
          <w:rFonts w:cs="Arial" w:ascii="Arial" w:hAnsi="Arial"/>
          <w:sz w:val="21"/>
          <w:szCs w:val="21"/>
        </w:rPr>
        <w:t>3</w:t>
      </w:r>
      <w:r>
        <w:rPr>
          <w:rFonts w:ascii="Arial" w:hAnsi="Arial" w:cs="Arial"/>
          <w:sz w:val="21"/>
          <w:szCs w:val="21"/>
        </w:rPr>
        <w:t>）</w:t>
      </w:r>
      <w:r>
        <w:rPr>
          <w:rFonts w:ascii="Arial" w:hAnsi="Arial" w:cs="Arial"/>
          <w:sz w:val="21"/>
          <w:szCs w:val="21"/>
        </w:rPr>
        <w:t>土地开发程度：估价对象现状市政基础设施达</w:t>
      </w:r>
      <w:r>
        <w:rPr>
          <w:rFonts w:ascii="Arial" w:hAnsi="Arial" w:cs="Arial"/>
          <w:sz w:val="21"/>
          <w:szCs w:val="21"/>
        </w:rPr>
        <w:t>“六</w:t>
      </w:r>
      <w:r>
        <w:rPr>
          <w:rFonts w:ascii="Arial" w:hAnsi="Arial" w:cs="Arial"/>
          <w:sz w:val="21"/>
          <w:szCs w:val="21"/>
        </w:rPr>
        <w:t>通</w:t>
      </w:r>
      <w:r>
        <w:rPr>
          <w:rFonts w:ascii="Arial" w:hAnsi="Arial" w:cs="Arial"/>
          <w:sz w:val="21"/>
          <w:szCs w:val="21"/>
        </w:rPr>
        <w:t>”</w:t>
      </w:r>
      <w:r>
        <w:rPr>
          <w:rFonts w:ascii="Arial" w:hAnsi="Arial" w:cs="Arial"/>
          <w:sz w:val="21"/>
          <w:szCs w:val="21"/>
        </w:rPr>
        <w:t>（即通路、通电、通讯、通上水、通下水、通燃气），保障程度较高。</w:t>
      </w:r>
    </w:p>
    <w:p>
      <w:pPr>
        <w:pStyle w:val="Normal"/>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建筑物实物状况</w:t>
      </w:r>
    </w:p>
    <w:p>
      <w:pPr>
        <w:pStyle w:val="Normal"/>
        <w:overflowPunct w:val="false"/>
        <w:spacing w:lineRule="auto" w:line="480"/>
        <w:ind w:firstLine="420"/>
        <w:jc w:val="both"/>
        <w:textAlignment w:val="auto"/>
        <w:rPr/>
      </w:pPr>
      <w:r>
        <w:rPr>
          <w:rFonts w:ascii="Arial" w:hAnsi="Arial" w:cs="Arial"/>
          <w:sz w:val="21"/>
          <w:szCs w:val="21"/>
        </w:rPr>
        <w:t>估价对象</w:t>
      </w:r>
      <w:r>
        <w:rPr>
          <w:rFonts w:ascii="Arial" w:hAnsi="Arial" w:cs="Arial"/>
          <w:kern w:val="2"/>
          <w:sz w:val="21"/>
          <w:szCs w:val="21"/>
        </w:rPr>
        <w:t>属海南省政协干部培训中心及海南金石投资有限公司合作开发建设的“金石海岸”</w:t>
      </w:r>
      <w:r>
        <w:rPr>
          <w:rFonts w:ascii="Arial" w:hAnsi="Arial" w:cs="Arial" w:eastAsia="Arial"/>
          <w:kern w:val="2"/>
          <w:sz w:val="21"/>
          <w:szCs w:val="21"/>
        </w:rPr>
        <w:t xml:space="preserve"> </w:t>
      </w:r>
      <w:r>
        <w:rPr>
          <w:rFonts w:ascii="Arial" w:hAnsi="Arial" w:cs="Arial"/>
          <w:kern w:val="2"/>
          <w:sz w:val="21"/>
          <w:szCs w:val="21"/>
        </w:rPr>
        <w:t>商业项目</w:t>
      </w:r>
      <w:r>
        <w:rPr>
          <w:rFonts w:ascii="Arial" w:hAnsi="Arial" w:cs="Arial"/>
          <w:sz w:val="21"/>
          <w:szCs w:val="21"/>
        </w:rPr>
        <w:t>。该项目分为北区和南区，总用地面积</w:t>
      </w:r>
      <w:r>
        <w:rPr>
          <w:rFonts w:cs="Arial" w:ascii="Arial" w:hAnsi="Arial"/>
          <w:sz w:val="21"/>
          <w:szCs w:val="21"/>
        </w:rPr>
        <w:t>80634.87</w:t>
      </w:r>
      <w:r>
        <w:rPr>
          <w:rFonts w:ascii="Arial" w:hAnsi="Arial" w:cs="Arial"/>
          <w:sz w:val="21"/>
          <w:szCs w:val="21"/>
        </w:rPr>
        <w:t>平方米，总建筑面积为</w:t>
      </w:r>
      <w:r>
        <w:rPr>
          <w:rFonts w:cs="Arial" w:ascii="Arial" w:hAnsi="Arial"/>
          <w:sz w:val="21"/>
          <w:szCs w:val="21"/>
        </w:rPr>
        <w:t>65031.89</w:t>
      </w:r>
      <w:r>
        <w:rPr>
          <w:rFonts w:ascii="Arial" w:hAnsi="Arial" w:cs="Arial"/>
          <w:sz w:val="21"/>
          <w:szCs w:val="21"/>
        </w:rPr>
        <w:t>平方米。其中：</w:t>
      </w:r>
    </w:p>
    <w:p>
      <w:pPr>
        <w:pStyle w:val="Normal"/>
        <w:overflowPunct w:val="false"/>
        <w:spacing w:lineRule="auto" w:line="480"/>
        <w:ind w:firstLine="420"/>
        <w:jc w:val="both"/>
        <w:textAlignment w:val="auto"/>
        <w:rPr/>
      </w:pPr>
      <w:r>
        <w:rPr>
          <w:rFonts w:ascii="Arial" w:hAnsi="Arial" w:cs="Arial"/>
          <w:sz w:val="21"/>
          <w:szCs w:val="21"/>
        </w:rPr>
        <w:t>北区用地面积</w:t>
      </w:r>
      <w:r>
        <w:rPr>
          <w:rFonts w:cs="Arial" w:ascii="Arial" w:hAnsi="Arial"/>
          <w:sz w:val="21"/>
          <w:szCs w:val="21"/>
        </w:rPr>
        <w:t>64507.9</w:t>
      </w:r>
      <w:r>
        <w:rPr>
          <w:rFonts w:ascii="Arial" w:hAnsi="Arial" w:cs="Arial"/>
          <w:sz w:val="21"/>
          <w:szCs w:val="21"/>
        </w:rPr>
        <w:t>平方米，建筑面积</w:t>
      </w:r>
      <w:r>
        <w:rPr>
          <w:rFonts w:cs="Arial" w:ascii="Arial" w:hAnsi="Arial"/>
          <w:sz w:val="21"/>
          <w:szCs w:val="21"/>
        </w:rPr>
        <w:t>25601.87</w:t>
      </w:r>
      <w:r>
        <w:rPr>
          <w:rFonts w:ascii="Arial" w:hAnsi="Arial" w:cs="Arial"/>
          <w:sz w:val="21"/>
          <w:szCs w:val="21"/>
        </w:rPr>
        <w:t>平方米。北区建有</w:t>
      </w:r>
      <w:r>
        <w:rPr>
          <w:rFonts w:cs="Arial" w:ascii="Arial" w:hAnsi="Arial"/>
          <w:sz w:val="21"/>
          <w:szCs w:val="21"/>
        </w:rPr>
        <w:t>44</w:t>
      </w:r>
      <w:r>
        <w:rPr>
          <w:rFonts w:ascii="Arial" w:hAnsi="Arial" w:cs="Arial"/>
          <w:sz w:val="21"/>
          <w:szCs w:val="21"/>
        </w:rPr>
        <w:t>栋独栋产权式酒店（别墅）和一栋会所（现做销售中心使用），均为</w:t>
      </w:r>
      <w:r>
        <w:rPr>
          <w:rFonts w:cs="Arial" w:ascii="Arial" w:hAnsi="Arial"/>
          <w:sz w:val="21"/>
          <w:szCs w:val="21"/>
        </w:rPr>
        <w:t>4</w:t>
      </w:r>
      <w:r>
        <w:rPr>
          <w:rFonts w:ascii="Arial" w:hAnsi="Arial" w:cs="Arial"/>
          <w:sz w:val="21"/>
          <w:szCs w:val="21"/>
        </w:rPr>
        <w:t>层（地上</w:t>
      </w:r>
      <w:r>
        <w:rPr>
          <w:rFonts w:cs="Arial" w:ascii="Arial" w:hAnsi="Arial"/>
          <w:sz w:val="21"/>
          <w:szCs w:val="21"/>
        </w:rPr>
        <w:t>3</w:t>
      </w:r>
      <w:r>
        <w:rPr>
          <w:rFonts w:ascii="Arial" w:hAnsi="Arial" w:cs="Arial"/>
          <w:sz w:val="21"/>
          <w:szCs w:val="21"/>
        </w:rPr>
        <w:t>层、地下</w:t>
      </w:r>
      <w:r>
        <w:rPr>
          <w:rFonts w:cs="Arial" w:ascii="Arial" w:hAnsi="Arial"/>
          <w:sz w:val="21"/>
          <w:szCs w:val="21"/>
        </w:rPr>
        <w:t>1</w:t>
      </w:r>
      <w:r>
        <w:rPr>
          <w:rFonts w:ascii="Arial" w:hAnsi="Arial" w:cs="Arial"/>
          <w:sz w:val="21"/>
          <w:szCs w:val="21"/>
        </w:rPr>
        <w:t>层）建筑，钢混结构，分</w:t>
      </w:r>
      <w:r>
        <w:rPr>
          <w:rFonts w:cs="Arial" w:ascii="Arial" w:hAnsi="Arial"/>
          <w:sz w:val="21"/>
          <w:szCs w:val="21"/>
        </w:rPr>
        <w:t>5</w:t>
      </w:r>
      <w:r>
        <w:rPr>
          <w:rFonts w:ascii="Arial" w:hAnsi="Arial" w:cs="Arial"/>
          <w:sz w:val="21"/>
          <w:szCs w:val="21"/>
        </w:rPr>
        <w:t>种户型，单套建筑面积在</w:t>
      </w:r>
      <w:r>
        <w:rPr>
          <w:rFonts w:cs="Arial" w:ascii="Arial" w:hAnsi="Arial"/>
          <w:sz w:val="21"/>
          <w:szCs w:val="21"/>
        </w:rPr>
        <w:t>361.31-1247.38</w:t>
      </w:r>
      <w:r>
        <w:rPr>
          <w:rFonts w:ascii="Arial" w:hAnsi="Arial" w:cs="Arial"/>
          <w:sz w:val="21"/>
          <w:szCs w:val="21"/>
        </w:rPr>
        <w:t>平方米。北区于</w:t>
      </w:r>
      <w:r>
        <w:rPr>
          <w:rFonts w:cs="Arial" w:ascii="Arial" w:hAnsi="Arial"/>
          <w:sz w:val="21"/>
          <w:szCs w:val="21"/>
        </w:rPr>
        <w:t>2015</w:t>
      </w:r>
      <w:r>
        <w:rPr>
          <w:rFonts w:ascii="Arial" w:hAnsi="Arial" w:cs="Arial"/>
          <w:sz w:val="21"/>
          <w:szCs w:val="21"/>
        </w:rPr>
        <w:t>年开工建设，</w:t>
      </w:r>
      <w:r>
        <w:rPr>
          <w:rFonts w:cs="Arial" w:ascii="Arial" w:hAnsi="Arial"/>
          <w:sz w:val="21"/>
          <w:szCs w:val="21"/>
        </w:rPr>
        <w:t>2018</w:t>
      </w:r>
      <w:r>
        <w:rPr>
          <w:rFonts w:ascii="Arial" w:hAnsi="Arial" w:cs="Arial"/>
          <w:sz w:val="21"/>
          <w:szCs w:val="21"/>
        </w:rPr>
        <w:t>年完成竣工验收备案，内部毛坯交付。</w:t>
      </w:r>
    </w:p>
    <w:p>
      <w:pPr>
        <w:pStyle w:val="Normal"/>
        <w:overflowPunct w:val="false"/>
        <w:spacing w:lineRule="auto" w:line="480"/>
        <w:ind w:left="29" w:firstLine="420"/>
        <w:jc w:val="both"/>
        <w:textAlignment w:val="auto"/>
        <w:rPr>
          <w:rFonts w:ascii="Arial" w:hAnsi="Arial" w:cs="Arial"/>
          <w:sz w:val="21"/>
          <w:szCs w:val="21"/>
        </w:rPr>
      </w:pPr>
      <w:r>
        <w:rPr>
          <w:rFonts w:ascii="Arial" w:hAnsi="Arial" w:cs="Arial"/>
          <w:sz w:val="21"/>
          <w:szCs w:val="21"/>
        </w:rPr>
        <w:t>南区用地面积</w:t>
      </w:r>
      <w:r>
        <w:rPr>
          <w:rFonts w:cs="Arial" w:ascii="Arial" w:hAnsi="Arial"/>
          <w:sz w:val="21"/>
          <w:szCs w:val="21"/>
        </w:rPr>
        <w:t>16126.97</w:t>
      </w:r>
      <w:r>
        <w:rPr>
          <w:rFonts w:ascii="Arial" w:hAnsi="Arial" w:cs="Arial"/>
          <w:sz w:val="21"/>
          <w:szCs w:val="21"/>
        </w:rPr>
        <w:t>平方米，建筑面积</w:t>
      </w:r>
      <w:r>
        <w:rPr>
          <w:rFonts w:cs="Arial" w:ascii="Arial" w:hAnsi="Arial"/>
          <w:sz w:val="21"/>
          <w:szCs w:val="21"/>
        </w:rPr>
        <w:t>39430.02</w:t>
      </w:r>
      <w:r>
        <w:rPr>
          <w:rFonts w:ascii="Arial" w:hAnsi="Arial" w:cs="Arial"/>
          <w:sz w:val="21"/>
          <w:szCs w:val="21"/>
        </w:rPr>
        <w:t>平方米。南区建有两栋</w:t>
      </w:r>
      <w:r>
        <w:rPr>
          <w:rFonts w:cs="Arial" w:ascii="Arial" w:hAnsi="Arial"/>
          <w:sz w:val="21"/>
          <w:szCs w:val="21"/>
        </w:rPr>
        <w:t>12</w:t>
      </w:r>
      <w:r>
        <w:rPr>
          <w:rFonts w:ascii="Arial" w:hAnsi="Arial" w:cs="Arial"/>
          <w:sz w:val="21"/>
          <w:szCs w:val="21"/>
        </w:rPr>
        <w:t>层塔楼产权式酒店客房（公寓）和一栋三层的政协会议培训中心，钢混结构。南区于</w:t>
      </w:r>
      <w:r>
        <w:rPr>
          <w:rFonts w:cs="Arial" w:ascii="Arial" w:hAnsi="Arial"/>
          <w:sz w:val="21"/>
          <w:szCs w:val="21"/>
        </w:rPr>
        <w:t>2013</w:t>
      </w:r>
      <w:r>
        <w:rPr>
          <w:rFonts w:ascii="Arial" w:hAnsi="Arial" w:cs="Arial"/>
          <w:sz w:val="21"/>
          <w:szCs w:val="21"/>
        </w:rPr>
        <w:t>年开工建设，</w:t>
      </w:r>
      <w:r>
        <w:rPr>
          <w:rFonts w:cs="Arial" w:ascii="Arial" w:hAnsi="Arial"/>
          <w:sz w:val="21"/>
          <w:szCs w:val="21"/>
        </w:rPr>
        <w:t>2019</w:t>
      </w:r>
      <w:r>
        <w:rPr>
          <w:rFonts w:ascii="Arial" w:hAnsi="Arial" w:cs="Arial"/>
          <w:sz w:val="21"/>
          <w:szCs w:val="21"/>
        </w:rPr>
        <w:t>年完成竣工验收备案。其中：产权式酒店客房（公寓）公共部分为精装修，户内毛坯交付。</w:t>
      </w:r>
    </w:p>
    <w:p>
      <w:pPr>
        <w:pStyle w:val="Normal"/>
        <w:overflowPunct w:val="false"/>
        <w:spacing w:lineRule="auto" w:line="480"/>
        <w:ind w:left="29" w:firstLine="420"/>
        <w:jc w:val="both"/>
        <w:textAlignment w:val="auto"/>
        <w:rPr/>
      </w:pPr>
      <w:r>
        <w:rPr>
          <w:rFonts w:ascii="Arial" w:hAnsi="Arial" w:cs="Arial"/>
          <w:sz w:val="21"/>
          <w:szCs w:val="21"/>
        </w:rPr>
        <w:t>根据评估专业人员实地查勘及估价委托人的介绍，估价对象</w:t>
      </w:r>
      <w:r>
        <w:rPr>
          <w:rFonts w:cs="Arial" w:ascii="Arial" w:hAnsi="Arial"/>
          <w:sz w:val="21"/>
          <w:szCs w:val="21"/>
        </w:rPr>
        <w:t>18</w:t>
      </w:r>
      <w:r>
        <w:rPr>
          <w:rFonts w:ascii="Arial" w:hAnsi="Arial" w:cs="Arial"/>
          <w:sz w:val="21"/>
          <w:szCs w:val="21"/>
        </w:rPr>
        <w:t>号楼周边道路有拆除，</w:t>
      </w:r>
      <w:r>
        <w:rPr>
          <w:rFonts w:cs="Arial" w:ascii="Arial" w:hAnsi="Arial"/>
          <w:sz w:val="21"/>
          <w:szCs w:val="21"/>
        </w:rPr>
        <w:t>14</w:t>
      </w:r>
      <w:r>
        <w:rPr>
          <w:rFonts w:ascii="Arial" w:hAnsi="Arial" w:cs="Arial"/>
          <w:sz w:val="21"/>
          <w:szCs w:val="21"/>
        </w:rPr>
        <w:t>、</w:t>
      </w:r>
      <w:r>
        <w:rPr>
          <w:rFonts w:cs="Arial" w:ascii="Arial" w:hAnsi="Arial"/>
          <w:sz w:val="21"/>
          <w:szCs w:val="21"/>
        </w:rPr>
        <w:t>24</w:t>
      </w:r>
      <w:r>
        <w:rPr>
          <w:rFonts w:ascii="Arial" w:hAnsi="Arial" w:cs="Arial"/>
          <w:sz w:val="21"/>
          <w:szCs w:val="21"/>
        </w:rPr>
        <w:t>、</w:t>
      </w:r>
      <w:r>
        <w:rPr>
          <w:rFonts w:cs="Arial" w:ascii="Arial" w:hAnsi="Arial"/>
          <w:sz w:val="21"/>
          <w:szCs w:val="21"/>
        </w:rPr>
        <w:t>30</w:t>
      </w:r>
      <w:r>
        <w:rPr>
          <w:rFonts w:ascii="Arial" w:hAnsi="Arial" w:cs="Arial"/>
          <w:sz w:val="21"/>
          <w:szCs w:val="21"/>
        </w:rPr>
        <w:t>、</w:t>
      </w:r>
      <w:r>
        <w:rPr>
          <w:rFonts w:cs="Arial" w:ascii="Arial" w:hAnsi="Arial"/>
          <w:sz w:val="21"/>
          <w:szCs w:val="21"/>
        </w:rPr>
        <w:t>39</w:t>
      </w:r>
      <w:r>
        <w:rPr>
          <w:rFonts w:ascii="Arial" w:hAnsi="Arial" w:cs="Arial"/>
          <w:sz w:val="21"/>
          <w:szCs w:val="21"/>
        </w:rPr>
        <w:t>、</w:t>
      </w:r>
      <w:r>
        <w:rPr>
          <w:rFonts w:cs="Arial" w:ascii="Arial" w:hAnsi="Arial"/>
          <w:sz w:val="21"/>
          <w:szCs w:val="21"/>
        </w:rPr>
        <w:t>40</w:t>
      </w:r>
      <w:r>
        <w:rPr>
          <w:rFonts w:ascii="Arial" w:hAnsi="Arial" w:cs="Arial"/>
          <w:sz w:val="21"/>
          <w:szCs w:val="21"/>
        </w:rPr>
        <w:t>号楼正在装修，</w:t>
      </w:r>
      <w:r>
        <w:rPr>
          <w:rFonts w:cs="Arial" w:ascii="Arial" w:hAnsi="Arial"/>
          <w:sz w:val="21"/>
          <w:szCs w:val="21"/>
        </w:rPr>
        <w:t>13</w:t>
      </w:r>
      <w:r>
        <w:rPr>
          <w:rFonts w:ascii="Arial" w:hAnsi="Arial" w:cs="Arial"/>
          <w:sz w:val="21"/>
          <w:szCs w:val="21"/>
        </w:rPr>
        <w:t>、</w:t>
      </w:r>
      <w:r>
        <w:rPr>
          <w:rFonts w:cs="Arial" w:ascii="Arial" w:hAnsi="Arial"/>
          <w:sz w:val="21"/>
          <w:szCs w:val="21"/>
        </w:rPr>
        <w:t>23</w:t>
      </w:r>
      <w:r>
        <w:rPr>
          <w:rFonts w:ascii="Arial" w:hAnsi="Arial" w:cs="Arial"/>
          <w:sz w:val="21"/>
          <w:szCs w:val="21"/>
        </w:rPr>
        <w:t>、</w:t>
      </w:r>
      <w:r>
        <w:rPr>
          <w:rFonts w:cs="Arial" w:ascii="Arial" w:hAnsi="Arial"/>
          <w:sz w:val="21"/>
          <w:szCs w:val="21"/>
        </w:rPr>
        <w:t>25</w:t>
      </w:r>
      <w:r>
        <w:rPr>
          <w:rFonts w:ascii="Arial" w:hAnsi="Arial" w:cs="Arial"/>
          <w:sz w:val="21"/>
          <w:szCs w:val="21"/>
        </w:rPr>
        <w:t>、</w:t>
      </w:r>
      <w:r>
        <w:rPr>
          <w:rFonts w:cs="Arial" w:ascii="Arial" w:hAnsi="Arial"/>
          <w:sz w:val="21"/>
          <w:szCs w:val="21"/>
        </w:rPr>
        <w:t>41</w:t>
      </w:r>
      <w:r>
        <w:rPr>
          <w:rFonts w:ascii="Arial" w:hAnsi="Arial" w:cs="Arial"/>
          <w:sz w:val="21"/>
          <w:szCs w:val="21"/>
        </w:rPr>
        <w:t>、</w:t>
      </w:r>
      <w:r>
        <w:rPr>
          <w:rFonts w:cs="Arial" w:ascii="Arial" w:hAnsi="Arial"/>
          <w:sz w:val="21"/>
          <w:szCs w:val="21"/>
        </w:rPr>
        <w:t>42</w:t>
      </w:r>
      <w:r>
        <w:rPr>
          <w:rFonts w:ascii="Arial" w:hAnsi="Arial" w:cs="Arial"/>
          <w:sz w:val="21"/>
          <w:szCs w:val="21"/>
        </w:rPr>
        <w:t>、</w:t>
      </w:r>
      <w:r>
        <w:rPr>
          <w:rFonts w:cs="Arial" w:ascii="Arial" w:hAnsi="Arial"/>
          <w:sz w:val="21"/>
          <w:szCs w:val="21"/>
        </w:rPr>
        <w:t>44</w:t>
      </w:r>
      <w:r>
        <w:rPr>
          <w:rFonts w:ascii="Arial" w:hAnsi="Arial" w:cs="Arial"/>
          <w:sz w:val="21"/>
          <w:szCs w:val="21"/>
        </w:rPr>
        <w:t>、</w:t>
      </w:r>
      <w:r>
        <w:rPr>
          <w:rFonts w:cs="Arial" w:ascii="Arial" w:hAnsi="Arial"/>
          <w:sz w:val="21"/>
          <w:szCs w:val="21"/>
        </w:rPr>
        <w:t>45</w:t>
      </w:r>
      <w:r>
        <w:rPr>
          <w:rFonts w:ascii="Arial" w:hAnsi="Arial" w:cs="Arial"/>
          <w:sz w:val="21"/>
          <w:szCs w:val="21"/>
        </w:rPr>
        <w:t>号楼有居住痕迹，其他房屋均为空置，装修情况为毛坯，整体房屋维护情况较差。</w:t>
      </w:r>
    </w:p>
    <w:p>
      <w:pPr>
        <w:pStyle w:val="Normal"/>
        <w:overflowPunct w:val="false"/>
        <w:spacing w:lineRule="auto" w:line="480"/>
        <w:ind w:firstLine="420"/>
        <w:jc w:val="both"/>
        <w:textAlignment w:val="auto"/>
        <w:rPr>
          <w:rFonts w:ascii="Arial" w:hAnsi="Arial" w:cs="Arial"/>
          <w:sz w:val="21"/>
          <w:szCs w:val="21"/>
        </w:rPr>
      </w:pPr>
      <w:r>
        <w:rPr>
          <w:rFonts w:cs="Arial" w:ascii="Arial" w:hAnsi="Arial"/>
          <w:sz w:val="21"/>
          <w:szCs w:val="21"/>
        </w:rPr>
      </w:r>
    </w:p>
    <w:p>
      <w:pPr>
        <w:pStyle w:val="Normal"/>
        <w:spacing w:lineRule="auto" w:line="480"/>
        <w:ind w:firstLine="420"/>
        <w:jc w:val="both"/>
        <w:rPr/>
      </w:pPr>
      <w:r>
        <w:rPr>
          <w:rFonts w:ascii="Arial" w:hAnsi="Arial" w:cs="Arial"/>
          <w:color w:val="000000"/>
          <w:sz w:val="21"/>
          <w:szCs w:val="21"/>
        </w:rPr>
        <w:t>根据评估专业人员实地查勘，</w:t>
      </w:r>
      <w:r>
        <w:rPr>
          <w:rFonts w:ascii="Arial" w:hAnsi="Arial" w:cs="Arial"/>
          <w:sz w:val="21"/>
          <w:szCs w:val="21"/>
        </w:rPr>
        <w:t>估价对象</w:t>
      </w:r>
      <w:r>
        <w:rPr>
          <w:rFonts w:cs="Arial" w:ascii="Arial" w:hAnsi="Arial"/>
          <w:sz w:val="21"/>
          <w:szCs w:val="21"/>
        </w:rPr>
        <w:t>18</w:t>
      </w:r>
      <w:r>
        <w:rPr>
          <w:rFonts w:ascii="Arial" w:hAnsi="Arial" w:cs="Arial"/>
          <w:sz w:val="21"/>
          <w:szCs w:val="21"/>
        </w:rPr>
        <w:t>号楼周边道路有拆除，</w:t>
      </w:r>
      <w:r>
        <w:rPr>
          <w:rFonts w:cs="Arial" w:ascii="Arial" w:hAnsi="Arial"/>
          <w:sz w:val="21"/>
          <w:szCs w:val="21"/>
        </w:rPr>
        <w:t>14</w:t>
      </w:r>
      <w:r>
        <w:rPr>
          <w:rFonts w:ascii="Arial" w:hAnsi="Arial" w:cs="Arial"/>
          <w:sz w:val="21"/>
          <w:szCs w:val="21"/>
        </w:rPr>
        <w:t>、</w:t>
      </w:r>
      <w:r>
        <w:rPr>
          <w:rFonts w:cs="Arial" w:ascii="Arial" w:hAnsi="Arial"/>
          <w:sz w:val="21"/>
          <w:szCs w:val="21"/>
        </w:rPr>
        <w:t>24</w:t>
      </w:r>
      <w:r>
        <w:rPr>
          <w:rFonts w:ascii="Arial" w:hAnsi="Arial" w:cs="Arial"/>
          <w:sz w:val="21"/>
          <w:szCs w:val="21"/>
        </w:rPr>
        <w:t>、</w:t>
      </w:r>
      <w:r>
        <w:rPr>
          <w:rFonts w:cs="Arial" w:ascii="Arial" w:hAnsi="Arial"/>
          <w:sz w:val="21"/>
          <w:szCs w:val="21"/>
        </w:rPr>
        <w:t>30</w:t>
      </w:r>
      <w:r>
        <w:rPr>
          <w:rFonts w:ascii="Arial" w:hAnsi="Arial" w:cs="Arial"/>
          <w:sz w:val="21"/>
          <w:szCs w:val="21"/>
        </w:rPr>
        <w:t>、</w:t>
      </w:r>
      <w:r>
        <w:rPr>
          <w:rFonts w:cs="Arial" w:ascii="Arial" w:hAnsi="Arial"/>
          <w:sz w:val="21"/>
          <w:szCs w:val="21"/>
        </w:rPr>
        <w:t>39</w:t>
      </w:r>
      <w:r>
        <w:rPr>
          <w:rFonts w:ascii="Arial" w:hAnsi="Arial" w:cs="Arial"/>
          <w:sz w:val="21"/>
          <w:szCs w:val="21"/>
        </w:rPr>
        <w:t>、</w:t>
      </w:r>
      <w:r>
        <w:rPr>
          <w:rFonts w:cs="Arial" w:ascii="Arial" w:hAnsi="Arial"/>
          <w:sz w:val="21"/>
          <w:szCs w:val="21"/>
        </w:rPr>
        <w:t>40</w:t>
      </w:r>
      <w:r>
        <w:rPr>
          <w:rFonts w:ascii="Arial" w:hAnsi="Arial" w:cs="Arial"/>
          <w:sz w:val="21"/>
          <w:szCs w:val="21"/>
        </w:rPr>
        <w:t>号楼正在装修，</w:t>
      </w:r>
      <w:r>
        <w:rPr>
          <w:rFonts w:cs="Arial" w:ascii="Arial" w:hAnsi="Arial"/>
          <w:sz w:val="21"/>
          <w:szCs w:val="21"/>
        </w:rPr>
        <w:t>13</w:t>
      </w:r>
      <w:r>
        <w:rPr>
          <w:rFonts w:ascii="Arial" w:hAnsi="Arial" w:cs="Arial"/>
          <w:sz w:val="21"/>
          <w:szCs w:val="21"/>
        </w:rPr>
        <w:t>、</w:t>
      </w:r>
      <w:r>
        <w:rPr>
          <w:rFonts w:cs="Arial" w:ascii="Arial" w:hAnsi="Arial"/>
          <w:sz w:val="21"/>
          <w:szCs w:val="21"/>
        </w:rPr>
        <w:t>23</w:t>
      </w:r>
      <w:r>
        <w:rPr>
          <w:rFonts w:ascii="Arial" w:hAnsi="Arial" w:cs="Arial"/>
          <w:sz w:val="21"/>
          <w:szCs w:val="21"/>
        </w:rPr>
        <w:t>、</w:t>
      </w:r>
      <w:r>
        <w:rPr>
          <w:rFonts w:cs="Arial" w:ascii="Arial" w:hAnsi="Arial"/>
          <w:sz w:val="21"/>
          <w:szCs w:val="21"/>
        </w:rPr>
        <w:t>25</w:t>
      </w:r>
      <w:r>
        <w:rPr>
          <w:rFonts w:ascii="Arial" w:hAnsi="Arial" w:cs="Arial"/>
          <w:sz w:val="21"/>
          <w:szCs w:val="21"/>
        </w:rPr>
        <w:t>、</w:t>
      </w:r>
      <w:r>
        <w:rPr>
          <w:rFonts w:cs="Arial" w:ascii="Arial" w:hAnsi="Arial"/>
          <w:sz w:val="21"/>
          <w:szCs w:val="21"/>
        </w:rPr>
        <w:t>41</w:t>
      </w:r>
      <w:r>
        <w:rPr>
          <w:rFonts w:ascii="Arial" w:hAnsi="Arial" w:cs="Arial"/>
          <w:sz w:val="21"/>
          <w:szCs w:val="21"/>
        </w:rPr>
        <w:t>、</w:t>
      </w:r>
      <w:r>
        <w:rPr>
          <w:rFonts w:cs="Arial" w:ascii="Arial" w:hAnsi="Arial"/>
          <w:sz w:val="21"/>
          <w:szCs w:val="21"/>
        </w:rPr>
        <w:t>42</w:t>
      </w:r>
      <w:r>
        <w:rPr>
          <w:rFonts w:ascii="Arial" w:hAnsi="Arial" w:cs="Arial"/>
          <w:sz w:val="21"/>
          <w:szCs w:val="21"/>
        </w:rPr>
        <w:t>、</w:t>
      </w:r>
      <w:r>
        <w:rPr>
          <w:rFonts w:cs="Arial" w:ascii="Arial" w:hAnsi="Arial"/>
          <w:sz w:val="21"/>
          <w:szCs w:val="21"/>
        </w:rPr>
        <w:t>44</w:t>
      </w:r>
      <w:r>
        <w:rPr>
          <w:rFonts w:ascii="Arial" w:hAnsi="Arial" w:cs="Arial"/>
          <w:sz w:val="21"/>
          <w:szCs w:val="21"/>
        </w:rPr>
        <w:t>、</w:t>
      </w:r>
      <w:r>
        <w:rPr>
          <w:rFonts w:cs="Arial" w:ascii="Arial" w:hAnsi="Arial"/>
          <w:sz w:val="21"/>
          <w:szCs w:val="21"/>
        </w:rPr>
        <w:t>45</w:t>
      </w:r>
      <w:r>
        <w:rPr>
          <w:rFonts w:ascii="Arial" w:hAnsi="Arial" w:cs="Arial"/>
          <w:sz w:val="21"/>
          <w:szCs w:val="21"/>
        </w:rPr>
        <w:t>号楼有居住痕迹，其他房屋均为空置，装修情况为毛坯，整体房屋维护情况较差。结合估价对象的建成年代、建筑结构，</w:t>
      </w:r>
      <w:commentRangeStart w:id="13"/>
      <w:r>
        <w:rPr>
          <w:rFonts w:ascii="Arial" w:hAnsi="Arial" w:cs="Arial"/>
          <w:sz w:val="21"/>
          <w:szCs w:val="21"/>
        </w:rPr>
        <w:t>采用直线折旧法计算估价对象成新率：</w:t>
      </w:r>
    </w:p>
    <w:p>
      <w:pPr>
        <w:pStyle w:val="Normal"/>
        <w:spacing w:lineRule="auto" w:line="480"/>
        <w:ind w:firstLine="420"/>
        <w:jc w:val="both"/>
        <w:rPr/>
      </w:pPr>
      <w:r>
        <w:rPr>
          <w:rFonts w:ascii="Arial" w:hAnsi="Arial" w:cs="Arial"/>
          <w:sz w:val="21"/>
          <w:szCs w:val="21"/>
        </w:rPr>
        <w:t>成新率＝</w:t>
      </w:r>
      <w:r>
        <w:rPr>
          <w:rFonts w:cs="Arial" w:ascii="Arial" w:hAnsi="Arial"/>
          <w:sz w:val="21"/>
          <w:szCs w:val="21"/>
        </w:rPr>
        <w:t>1-</w:t>
      </w:r>
      <w:r>
        <w:rPr>
          <w:rFonts w:ascii="Arial" w:hAnsi="Arial" w:cs="Arial"/>
          <w:sz w:val="21"/>
          <w:szCs w:val="21"/>
        </w:rPr>
        <w:t>（</w:t>
      </w:r>
      <w:r>
        <w:rPr>
          <w:rFonts w:cs="Arial" w:ascii="Arial" w:hAnsi="Arial"/>
          <w:sz w:val="21"/>
          <w:szCs w:val="21"/>
        </w:rPr>
        <w:t>1-</w:t>
      </w:r>
      <w:r>
        <w:rPr>
          <w:rFonts w:ascii="Arial" w:hAnsi="Arial" w:cs="Arial"/>
          <w:sz w:val="21"/>
          <w:szCs w:val="21"/>
        </w:rPr>
        <w:t>残值率）</w:t>
      </w:r>
      <w:r>
        <w:rPr>
          <w:rFonts w:cs="Arial" w:ascii="Arial" w:hAnsi="Arial"/>
          <w:sz w:val="21"/>
          <w:szCs w:val="21"/>
        </w:rPr>
        <w:t>×</w:t>
      </w:r>
      <w:r>
        <w:rPr>
          <w:rFonts w:ascii="Arial" w:hAnsi="Arial" w:cs="Arial"/>
          <w:sz w:val="21"/>
          <w:szCs w:val="21"/>
        </w:rPr>
        <w:t>已经使用年限</w:t>
      </w:r>
      <w:r>
        <w:rPr>
          <w:rFonts w:cs="Arial" w:ascii="Arial" w:hAnsi="Arial"/>
          <w:sz w:val="21"/>
          <w:szCs w:val="21"/>
        </w:rPr>
        <w:t>÷</w:t>
      </w:r>
      <w:r>
        <w:rPr>
          <w:rFonts w:ascii="Arial" w:hAnsi="Arial" w:cs="Arial"/>
          <w:sz w:val="21"/>
          <w:szCs w:val="21"/>
        </w:rPr>
        <w:t>经济耐用年限＝</w:t>
      </w:r>
      <w:r>
        <w:rPr>
          <w:rFonts w:cs="Arial" w:ascii="Arial" w:hAnsi="Arial"/>
          <w:sz w:val="21"/>
          <w:szCs w:val="21"/>
        </w:rPr>
        <w:t>1-</w:t>
      </w:r>
      <w:r>
        <w:rPr>
          <w:rFonts w:ascii="Arial" w:hAnsi="Arial" w:cs="Arial"/>
          <w:sz w:val="21"/>
          <w:szCs w:val="21"/>
        </w:rPr>
        <w:t>（</w:t>
      </w:r>
      <w:r>
        <w:rPr>
          <w:rFonts w:cs="Arial" w:ascii="Arial" w:hAnsi="Arial"/>
          <w:sz w:val="21"/>
          <w:szCs w:val="21"/>
        </w:rPr>
        <w:t>1-</w:t>
      </w:r>
      <w:r>
        <w:rPr>
          <w:rFonts w:cs="Arial" w:ascii="Arial" w:hAnsi="Arial"/>
          <w:sz w:val="21"/>
          <w:szCs w:val="21"/>
        </w:rPr>
        <w:t>0</w:t>
      </w:r>
      <w:r>
        <w:rPr>
          <w:rFonts w:cs="Arial" w:ascii="Arial" w:hAnsi="Arial"/>
          <w:sz w:val="21"/>
          <w:szCs w:val="21"/>
        </w:rPr>
        <w:t>%</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2024-2018</w:t>
      </w:r>
      <w:r>
        <w:rPr>
          <w:rFonts w:ascii="Arial" w:hAnsi="Arial" w:cs="Arial"/>
          <w:sz w:val="21"/>
          <w:szCs w:val="21"/>
        </w:rPr>
        <w:t>）</w:t>
      </w:r>
      <w:r>
        <w:rPr>
          <w:rFonts w:cs="Arial" w:ascii="Arial" w:hAnsi="Arial"/>
          <w:sz w:val="21"/>
          <w:szCs w:val="21"/>
        </w:rPr>
        <w:t>÷</w:t>
      </w:r>
      <w:r>
        <w:rPr>
          <w:rFonts w:cs="Arial" w:ascii="Arial" w:hAnsi="Arial"/>
          <w:sz w:val="21"/>
          <w:szCs w:val="21"/>
        </w:rPr>
        <w:t>60</w:t>
      </w:r>
      <w:r>
        <w:rPr>
          <w:rFonts w:ascii="Arial" w:hAnsi="Arial" w:cs="Arial"/>
          <w:sz w:val="21"/>
          <w:szCs w:val="21"/>
        </w:rPr>
        <w:t>＝</w:t>
      </w:r>
      <w:r>
        <w:rPr>
          <w:rFonts w:cs="Arial" w:ascii="Arial" w:hAnsi="Arial"/>
          <w:sz w:val="21"/>
          <w:szCs w:val="21"/>
        </w:rPr>
        <w:t>90</w:t>
      </w:r>
      <w:r>
        <w:rPr>
          <w:rFonts w:cs="Arial" w:ascii="Arial" w:hAnsi="Arial"/>
          <w:sz w:val="21"/>
          <w:szCs w:val="21"/>
        </w:rPr>
        <w:t>%</w:t>
      </w:r>
      <w:commentRangeEnd w:id="13"/>
      <w:r>
        <w:commentReference w:id="13"/>
      </w:r>
      <w:r>
        <w:rPr>
          <w:rFonts w:cs="Arial" w:ascii="Arial" w:hAnsi="Arial"/>
          <w:sz w:val="21"/>
          <w:szCs w:val="21"/>
        </w:rPr>
      </w:r>
    </w:p>
    <w:p>
      <w:pPr>
        <w:pStyle w:val="2"/>
        <w:numPr>
          <w:ilvl w:val="0"/>
          <w:numId w:val="0"/>
        </w:numPr>
        <w:spacing w:lineRule="auto" w:line="480"/>
        <w:ind w:left="359" w:hanging="359"/>
        <w:jc w:val="both"/>
        <w:rPr>
          <w:rFonts w:eastAsia="宋体;SimSun"/>
          <w:kern w:val="2"/>
          <w:sz w:val="21"/>
          <w:szCs w:val="21"/>
        </w:rPr>
      </w:pPr>
      <w:bookmarkStart w:id="27" w:name="__RefHeading___Toc162425566"/>
      <w:bookmarkEnd w:id="27"/>
      <w:r>
        <w:rPr>
          <w:rFonts w:eastAsia="宋体;SimSun"/>
          <w:kern w:val="2"/>
          <w:sz w:val="21"/>
          <w:szCs w:val="21"/>
        </w:rPr>
        <w:t>（二）权益状况分析</w:t>
      </w:r>
    </w:p>
    <w:p>
      <w:pPr>
        <w:pStyle w:val="Normal"/>
        <w:spacing w:lineRule="auto" w:line="480"/>
        <w:ind w:right="205" w:firstLine="420"/>
        <w:jc w:val="both"/>
        <w:rPr>
          <w:rFonts w:ascii="Arial" w:hAnsi="Arial" w:cs="Arial"/>
          <w:sz w:val="21"/>
          <w:szCs w:val="21"/>
        </w:rPr>
      </w:pPr>
      <w:r>
        <w:rPr>
          <w:rFonts w:cs="Arial" w:ascii="Arial" w:hAnsi="Arial"/>
          <w:sz w:val="21"/>
          <w:szCs w:val="21"/>
        </w:rPr>
        <w:t>1.</w:t>
      </w:r>
      <w:r>
        <w:rPr>
          <w:rFonts w:ascii="Arial" w:hAnsi="Arial" w:cs="Arial"/>
          <w:sz w:val="21"/>
          <w:szCs w:val="21"/>
        </w:rPr>
        <w:t>用途及规划条件</w:t>
      </w:r>
    </w:p>
    <w:p>
      <w:pPr>
        <w:pStyle w:val="Normal"/>
        <w:spacing w:lineRule="auto" w:line="480"/>
        <w:ind w:right="205" w:firstLine="420"/>
        <w:jc w:val="both"/>
        <w:rPr/>
      </w:pPr>
      <w:r>
        <w:rPr>
          <w:rFonts w:ascii="Arial" w:hAnsi="Arial" w:cs="Arial"/>
          <w:sz w:val="21"/>
          <w:szCs w:val="21"/>
        </w:rPr>
        <w:t>估价对象已取得《国有土地使用证》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及</w:t>
      </w:r>
      <w:commentRangeStart w:id="14"/>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cs="Arial" w:ascii="Arial" w:hAnsi="Arial"/>
          <w:sz w:val="21"/>
          <w:szCs w:val="21"/>
        </w:rPr>
      </w:r>
      <w:commentRangeEnd w:id="14"/>
      <w:r>
        <w:commentReference w:id="14"/>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本，土地用途为住宿餐饮用地，房屋用途为产权式酒店（别墅）。估价对象已完成建筑物信息登记，其现状利用符合规划要求。</w:t>
      </w:r>
    </w:p>
    <w:p>
      <w:pPr>
        <w:pStyle w:val="Normal"/>
        <w:spacing w:lineRule="auto" w:line="480"/>
        <w:ind w:right="205" w:firstLine="420"/>
        <w:jc w:val="both"/>
        <w:rPr>
          <w:rFonts w:ascii="Arial" w:hAnsi="Arial" w:cs="Arial"/>
          <w:sz w:val="21"/>
          <w:szCs w:val="21"/>
        </w:rPr>
      </w:pPr>
      <w:r>
        <w:rPr>
          <w:rFonts w:cs="Arial" w:ascii="Arial" w:hAnsi="Arial"/>
          <w:sz w:val="21"/>
          <w:szCs w:val="21"/>
        </w:rPr>
        <w:t>2.</w:t>
      </w:r>
      <w:r>
        <w:rPr>
          <w:rFonts w:ascii="Arial" w:hAnsi="Arial" w:cs="Arial"/>
          <w:sz w:val="21"/>
          <w:szCs w:val="21"/>
        </w:rPr>
        <w:t>所有权</w:t>
      </w:r>
    </w:p>
    <w:p>
      <w:pPr>
        <w:pStyle w:val="Normal"/>
        <w:spacing w:lineRule="auto" w:line="480"/>
        <w:ind w:right="205" w:firstLine="420"/>
        <w:jc w:val="both"/>
        <w:rPr>
          <w:rFonts w:ascii="Arial" w:hAnsi="Arial" w:cs="Arial"/>
          <w:sz w:val="21"/>
          <w:szCs w:val="21"/>
        </w:rPr>
      </w:pPr>
      <w:r>
        <w:rPr>
          <w:rFonts w:ascii="Arial" w:hAnsi="Arial" w:cs="Arial"/>
          <w:sz w:val="21"/>
          <w:szCs w:val="21"/>
        </w:rPr>
        <w:t>根据</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及</w:t>
      </w:r>
      <w:commentRangeStart w:id="15"/>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ascii="Arial" w:hAnsi="Arial" w:cs="Arial"/>
          <w:sz w:val="21"/>
          <w:szCs w:val="21"/>
        </w:rPr>
        <w:t>、</w:t>
      </w:r>
      <w:r>
        <w:rPr>
          <w:rFonts w:ascii="Arial" w:hAnsi="Arial" w:cs="Arial"/>
          <w:sz w:val="21"/>
          <w:szCs w:val="21"/>
        </w:rPr>
      </w:r>
      <w:commentRangeEnd w:id="15"/>
      <w:r>
        <w:commentReference w:id="15"/>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w:t>
      </w:r>
      <w:r>
        <w:rPr>
          <w:rFonts w:ascii="Arial" w:hAnsi="Arial" w:cs="Arial"/>
          <w:sz w:val="21"/>
          <w:szCs w:val="21"/>
        </w:rPr>
        <w:t>估价对象土地为国有土地，土地所有权归国家所有，估价对象</w:t>
      </w:r>
      <w:r>
        <w:rPr>
          <w:rFonts w:ascii="Arial" w:hAnsi="Arial" w:cs="Arial"/>
          <w:sz w:val="21"/>
          <w:szCs w:val="21"/>
        </w:rPr>
        <w:t>房屋所有权</w:t>
      </w:r>
      <w:r>
        <w:rPr>
          <w:rFonts w:ascii="Arial" w:hAnsi="Arial" w:cs="Arial"/>
          <w:sz w:val="21"/>
          <w:szCs w:val="21"/>
        </w:rPr>
        <w:t>为</w:t>
      </w:r>
      <w:r>
        <w:rPr>
          <w:rFonts w:ascii="Arial" w:hAnsi="Arial" w:cs="Arial"/>
          <w:sz w:val="21"/>
          <w:szCs w:val="21"/>
        </w:rPr>
        <w:t>海南省政协干部培训中心、海南金石投资有限公司共同共有</w:t>
      </w:r>
      <w:r>
        <w:rPr>
          <w:rFonts w:ascii="Arial" w:hAnsi="Arial" w:cs="Arial"/>
          <w:sz w:val="21"/>
          <w:szCs w:val="21"/>
        </w:rPr>
        <w:t>。</w:t>
      </w:r>
    </w:p>
    <w:p>
      <w:pPr>
        <w:pStyle w:val="Normal"/>
        <w:spacing w:lineRule="auto" w:line="480"/>
        <w:ind w:right="205" w:firstLine="420"/>
        <w:jc w:val="both"/>
        <w:rPr>
          <w:rFonts w:ascii="Arial" w:hAnsi="Arial" w:cs="Arial"/>
          <w:sz w:val="21"/>
          <w:szCs w:val="21"/>
        </w:rPr>
      </w:pPr>
      <w:r>
        <w:rPr>
          <w:rFonts w:cs="Arial" w:ascii="Arial" w:hAnsi="Arial"/>
          <w:sz w:val="21"/>
          <w:szCs w:val="21"/>
        </w:rPr>
        <w:t>3.</w:t>
      </w:r>
      <w:r>
        <w:rPr>
          <w:rFonts w:ascii="Arial" w:hAnsi="Arial" w:cs="Arial"/>
          <w:sz w:val="21"/>
          <w:szCs w:val="21"/>
        </w:rPr>
        <w:t>用益物权</w:t>
      </w:r>
    </w:p>
    <w:p>
      <w:pPr>
        <w:pStyle w:val="Normal"/>
        <w:spacing w:lineRule="auto" w:line="480"/>
        <w:ind w:right="205" w:firstLine="420"/>
        <w:jc w:val="both"/>
        <w:rPr>
          <w:rFonts w:ascii="Arial" w:hAnsi="Arial" w:cs="Arial"/>
          <w:sz w:val="21"/>
          <w:szCs w:val="21"/>
        </w:rPr>
      </w:pPr>
      <w:r>
        <w:rPr>
          <w:rFonts w:ascii="Arial" w:hAnsi="Arial" w:cs="Arial"/>
          <w:sz w:val="21"/>
          <w:szCs w:val="21"/>
        </w:rPr>
        <w:t>建设用地使用权：</w:t>
      </w:r>
      <w:r>
        <w:rPr>
          <w:rFonts w:ascii="Arial" w:hAnsi="Arial" w:cs="Arial"/>
          <w:sz w:val="21"/>
          <w:szCs w:val="21"/>
        </w:rPr>
        <w:t>根据</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及《国有土地使用证》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w:t>
      </w:r>
      <w:r>
        <w:rPr>
          <w:rFonts w:ascii="Arial" w:hAnsi="Arial" w:cs="Arial"/>
          <w:sz w:val="21"/>
          <w:szCs w:val="21"/>
        </w:rPr>
        <w:t>，</w:t>
      </w:r>
      <w:r>
        <w:rPr>
          <w:rFonts w:ascii="Arial" w:hAnsi="Arial" w:cs="Arial"/>
          <w:sz w:val="21"/>
          <w:szCs w:val="21"/>
        </w:rPr>
        <w:t>海南省政协干部培训中心、海南金石投资有限公司</w:t>
      </w:r>
      <w:r>
        <w:rPr>
          <w:rFonts w:ascii="Arial" w:hAnsi="Arial" w:cs="Arial"/>
          <w:sz w:val="21"/>
          <w:szCs w:val="21"/>
        </w:rPr>
        <w:t>拥有估价对象出让国有建设用地使用权，土地用途为</w:t>
      </w:r>
      <w:r>
        <w:rPr>
          <w:rFonts w:ascii="Arial" w:hAnsi="Arial" w:cs="Arial"/>
          <w:sz w:val="21"/>
          <w:szCs w:val="21"/>
        </w:rPr>
        <w:t>住宿餐饮用地</w:t>
      </w:r>
      <w:r>
        <w:rPr>
          <w:rFonts w:ascii="Arial" w:hAnsi="Arial" w:cs="Arial"/>
          <w:sz w:val="21"/>
          <w:szCs w:val="21"/>
        </w:rPr>
        <w:t>，土地使用权终止日期为</w:t>
      </w:r>
      <w:r>
        <w:rPr>
          <w:rFonts w:cs="Arial" w:ascii="Arial" w:hAnsi="Arial"/>
          <w:sz w:val="21"/>
          <w:szCs w:val="21"/>
        </w:rPr>
        <w:t>2049</w:t>
      </w:r>
      <w:r>
        <w:rPr>
          <w:rFonts w:ascii="Arial" w:hAnsi="Arial" w:cs="Arial"/>
          <w:sz w:val="21"/>
          <w:szCs w:val="21"/>
        </w:rPr>
        <w:t>年</w:t>
      </w:r>
      <w:r>
        <w:rPr>
          <w:rFonts w:cs="Arial" w:ascii="Arial" w:hAnsi="Arial"/>
          <w:sz w:val="21"/>
          <w:szCs w:val="21"/>
        </w:rPr>
        <w:t>11</w:t>
      </w:r>
      <w:r>
        <w:rPr>
          <w:rFonts w:ascii="Arial" w:hAnsi="Arial" w:cs="Arial"/>
          <w:sz w:val="21"/>
          <w:szCs w:val="21"/>
        </w:rPr>
        <w:t>月</w:t>
      </w:r>
      <w:r>
        <w:rPr>
          <w:rFonts w:cs="Arial" w:ascii="Arial" w:hAnsi="Arial"/>
          <w:sz w:val="21"/>
          <w:szCs w:val="21"/>
        </w:rPr>
        <w:t>23</w:t>
      </w:r>
      <w:r>
        <w:rPr>
          <w:rFonts w:ascii="Arial" w:hAnsi="Arial" w:cs="Arial"/>
          <w:sz w:val="21"/>
          <w:szCs w:val="21"/>
        </w:rPr>
        <w:t>日</w:t>
      </w:r>
      <w:r>
        <w:rPr>
          <w:rFonts w:ascii="Arial" w:hAnsi="Arial" w:cs="Arial"/>
          <w:sz w:val="21"/>
          <w:szCs w:val="21"/>
        </w:rPr>
        <w:t>，</w:t>
      </w:r>
      <w:r>
        <w:rPr>
          <w:rFonts w:ascii="Arial" w:hAnsi="Arial" w:cs="Arial"/>
          <w:sz w:val="21"/>
          <w:szCs w:val="21"/>
        </w:rPr>
        <w:t>截止价值时点，</w:t>
      </w:r>
      <w:r>
        <w:rPr>
          <w:rFonts w:ascii="Arial" w:hAnsi="Arial" w:cs="Arial"/>
          <w:sz w:val="21"/>
          <w:szCs w:val="21"/>
        </w:rPr>
        <w:t>出让国有建设用地使用权剩余土地使用年限为</w:t>
      </w:r>
      <w:r>
        <w:rPr>
          <w:rFonts w:cs="Arial" w:ascii="Arial" w:hAnsi="Arial"/>
          <w:sz w:val="21"/>
          <w:szCs w:val="21"/>
        </w:rPr>
        <w:t>25.37</w:t>
      </w:r>
      <w:r>
        <w:rPr>
          <w:rFonts w:ascii="Arial" w:hAnsi="Arial" w:cs="Arial"/>
          <w:sz w:val="21"/>
          <w:szCs w:val="21"/>
        </w:rPr>
        <w:t>年。</w:t>
      </w:r>
    </w:p>
    <w:p>
      <w:pPr>
        <w:pStyle w:val="Normal"/>
        <w:spacing w:lineRule="auto" w:line="480"/>
        <w:ind w:right="205" w:firstLine="420"/>
        <w:jc w:val="both"/>
        <w:rPr>
          <w:rFonts w:ascii="Arial" w:hAnsi="Arial" w:cs="Arial"/>
          <w:sz w:val="21"/>
          <w:szCs w:val="21"/>
        </w:rPr>
      </w:pPr>
      <w:r>
        <w:rPr>
          <w:rFonts w:ascii="Arial" w:hAnsi="Arial" w:cs="Arial"/>
          <w:sz w:val="21"/>
          <w:szCs w:val="21"/>
        </w:rPr>
        <w:t>地役权：根据不动产权利人介绍及评估专业人员实地查勘，估价对象未设定地役权。</w:t>
      </w:r>
    </w:p>
    <w:p>
      <w:pPr>
        <w:pStyle w:val="Normal"/>
        <w:spacing w:lineRule="auto" w:line="480"/>
        <w:ind w:right="205" w:firstLine="420"/>
        <w:jc w:val="both"/>
        <w:rPr>
          <w:rFonts w:ascii="Arial" w:hAnsi="Arial" w:cs="Arial"/>
          <w:sz w:val="21"/>
          <w:szCs w:val="21"/>
        </w:rPr>
      </w:pPr>
      <w:r>
        <w:rPr>
          <w:rFonts w:cs="Arial" w:ascii="Arial" w:hAnsi="Arial"/>
          <w:sz w:val="21"/>
          <w:szCs w:val="21"/>
        </w:rPr>
        <w:t>4.</w:t>
      </w:r>
      <w:r>
        <w:rPr>
          <w:rFonts w:ascii="Arial" w:hAnsi="Arial" w:cs="Arial"/>
          <w:sz w:val="21"/>
          <w:szCs w:val="21"/>
        </w:rPr>
        <w:t>担保物权</w:t>
      </w:r>
    </w:p>
    <w:p>
      <w:pPr>
        <w:pStyle w:val="Normal"/>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sz w:val="21"/>
          <w:szCs w:val="21"/>
        </w:rPr>
        <w:t>）根据《国有土地使用证》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及《他项权利证》</w:t>
      </w:r>
      <w:r>
        <w:rPr>
          <w:rFonts w:ascii="Arial" w:hAnsi="Arial" w:cs="Arial" w:eastAsia="Arial"/>
          <w:sz w:val="21"/>
          <w:szCs w:val="21"/>
        </w:rPr>
        <w:t xml:space="preserve"> </w:t>
      </w:r>
      <w:r>
        <w:rPr>
          <w:rFonts w:cs="Arial" w:ascii="Arial" w:hAnsi="Arial"/>
          <w:sz w:val="21"/>
          <w:szCs w:val="21"/>
        </w:rPr>
        <w:t>[</w:t>
      </w:r>
      <w:r>
        <w:rPr>
          <w:rFonts w:ascii="Arial" w:hAnsi="Arial" w:cs="Arial"/>
          <w:sz w:val="21"/>
          <w:szCs w:val="21"/>
        </w:rPr>
        <w:t>海口市他项（</w:t>
      </w:r>
      <w:r>
        <w:rPr>
          <w:rFonts w:cs="Arial" w:ascii="Arial" w:hAnsi="Arial"/>
          <w:sz w:val="21"/>
          <w:szCs w:val="21"/>
        </w:rPr>
        <w:t>2015</w:t>
      </w:r>
      <w:r>
        <w:rPr>
          <w:rFonts w:ascii="Arial" w:hAnsi="Arial" w:cs="Arial"/>
          <w:sz w:val="21"/>
          <w:szCs w:val="21"/>
        </w:rPr>
        <w:t>）第</w:t>
      </w:r>
      <w:r>
        <w:rPr>
          <w:rFonts w:cs="Arial" w:ascii="Arial" w:hAnsi="Arial"/>
          <w:sz w:val="21"/>
          <w:szCs w:val="21"/>
        </w:rPr>
        <w:t>0343</w:t>
      </w:r>
      <w:r>
        <w:rPr>
          <w:rFonts w:ascii="Arial" w:hAnsi="Arial" w:cs="Arial"/>
          <w:sz w:val="21"/>
          <w:szCs w:val="21"/>
        </w:rPr>
        <w:t>号、海口市房建海房字第</w:t>
      </w:r>
      <w:r>
        <w:rPr>
          <w:rFonts w:cs="Arial" w:ascii="Arial" w:hAnsi="Arial"/>
          <w:sz w:val="21"/>
          <w:szCs w:val="21"/>
        </w:rPr>
        <w:t>T087275</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复印件，抵押土地面积</w:t>
      </w:r>
      <w:r>
        <w:rPr>
          <w:rFonts w:cs="Arial" w:ascii="Arial" w:hAnsi="Arial"/>
          <w:sz w:val="21"/>
          <w:szCs w:val="21"/>
        </w:rPr>
        <w:t>64507.9</w:t>
      </w:r>
      <w:r>
        <w:rPr>
          <w:rFonts w:ascii="Arial" w:hAnsi="Arial" w:cs="Arial"/>
          <w:sz w:val="21"/>
          <w:szCs w:val="21"/>
        </w:rPr>
        <w:t>平方米，连同海口市房建海房字第</w:t>
      </w:r>
      <w:r>
        <w:rPr>
          <w:rFonts w:cs="Arial" w:ascii="Arial" w:hAnsi="Arial"/>
          <w:sz w:val="21"/>
          <w:szCs w:val="21"/>
        </w:rPr>
        <w:t>T087275</w:t>
      </w:r>
      <w:r>
        <w:rPr>
          <w:rFonts w:ascii="Arial" w:hAnsi="Arial" w:cs="Arial"/>
          <w:sz w:val="21"/>
          <w:szCs w:val="21"/>
        </w:rPr>
        <w:t>号他项证下在建工程抵押贷款人民币</w:t>
      </w:r>
      <w:r>
        <w:rPr>
          <w:rFonts w:cs="Arial" w:ascii="Arial" w:hAnsi="Arial"/>
          <w:sz w:val="21"/>
          <w:szCs w:val="21"/>
        </w:rPr>
        <w:t>5.5</w:t>
      </w:r>
      <w:r>
        <w:rPr>
          <w:rFonts w:ascii="Arial" w:hAnsi="Arial" w:cs="Arial"/>
          <w:sz w:val="21"/>
          <w:szCs w:val="21"/>
        </w:rPr>
        <w:t>亿元。受理编号：</w:t>
      </w:r>
      <w:r>
        <w:rPr>
          <w:rFonts w:cs="Arial" w:ascii="Arial" w:hAnsi="Arial"/>
          <w:sz w:val="21"/>
          <w:szCs w:val="21"/>
        </w:rPr>
        <w:t>2019035547</w:t>
      </w:r>
      <w:r>
        <w:rPr>
          <w:rFonts w:ascii="Arial" w:hAnsi="Arial" w:cs="Arial"/>
          <w:sz w:val="21"/>
          <w:szCs w:val="21"/>
        </w:rPr>
        <w:t>；申请部分解除在建工程抵押登记不动产权证</w:t>
      </w:r>
      <w:r>
        <w:rPr>
          <w:rFonts w:cs="Arial" w:ascii="Arial" w:hAnsi="Arial"/>
          <w:sz w:val="21"/>
          <w:szCs w:val="21"/>
        </w:rPr>
        <w:t>T087275</w:t>
      </w:r>
      <w:r>
        <w:rPr>
          <w:rFonts w:ascii="Arial" w:hAnsi="Arial" w:cs="Arial"/>
          <w:sz w:val="21"/>
          <w:szCs w:val="21"/>
        </w:rPr>
        <w:t>号项下抵押房号为：</w:t>
      </w:r>
      <w:r>
        <w:rPr>
          <w:rFonts w:cs="Arial" w:ascii="Arial" w:hAnsi="Arial"/>
          <w:sz w:val="21"/>
          <w:szCs w:val="21"/>
        </w:rPr>
        <w:t>12#</w:t>
      </w:r>
      <w:r>
        <w:rPr>
          <w:rFonts w:ascii="Arial" w:hAnsi="Arial" w:cs="Arial"/>
          <w:sz w:val="21"/>
          <w:szCs w:val="21"/>
        </w:rPr>
        <w:t>楼；共</w:t>
      </w:r>
      <w:r>
        <w:rPr>
          <w:rFonts w:cs="Arial" w:ascii="Arial" w:hAnsi="Arial"/>
          <w:sz w:val="21"/>
          <w:szCs w:val="21"/>
        </w:rPr>
        <w:t>1</w:t>
      </w:r>
      <w:r>
        <w:rPr>
          <w:rFonts w:ascii="Arial" w:hAnsi="Arial" w:cs="Arial"/>
          <w:sz w:val="21"/>
          <w:szCs w:val="21"/>
        </w:rPr>
        <w:t>栋及对应登记在海口市国用（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号土地使用权证项下土地使用权的抵押权，剩余抵押房源为</w:t>
      </w:r>
      <w:r>
        <w:rPr>
          <w:rFonts w:cs="Arial" w:ascii="Arial" w:hAnsi="Arial"/>
          <w:sz w:val="21"/>
          <w:szCs w:val="21"/>
        </w:rPr>
        <w:t>301</w:t>
      </w:r>
      <w:r>
        <w:rPr>
          <w:rFonts w:ascii="Arial" w:hAnsi="Arial" w:cs="Arial"/>
          <w:sz w:val="21"/>
          <w:szCs w:val="21"/>
        </w:rPr>
        <w:t>套。</w:t>
      </w:r>
      <w:r>
        <w:rPr>
          <w:rFonts w:cs="Arial" w:ascii="Arial" w:hAnsi="Arial"/>
          <w:sz w:val="21"/>
          <w:szCs w:val="21"/>
        </w:rPr>
        <w:t>2017</w:t>
      </w:r>
      <w:r>
        <w:rPr>
          <w:rFonts w:ascii="Arial" w:hAnsi="Arial" w:cs="Arial"/>
          <w:sz w:val="21"/>
          <w:szCs w:val="21"/>
        </w:rPr>
        <w:t>年</w:t>
      </w:r>
      <w:r>
        <w:rPr>
          <w:rFonts w:cs="Arial" w:ascii="Arial" w:hAnsi="Arial"/>
          <w:sz w:val="21"/>
          <w:szCs w:val="21"/>
        </w:rPr>
        <w:t>02</w:t>
      </w:r>
      <w:r>
        <w:rPr>
          <w:rFonts w:ascii="Arial" w:hAnsi="Arial" w:cs="Arial"/>
          <w:sz w:val="21"/>
          <w:szCs w:val="21"/>
        </w:rPr>
        <w:t>月</w:t>
      </w:r>
      <w:r>
        <w:rPr>
          <w:rFonts w:cs="Arial" w:ascii="Arial" w:hAnsi="Arial"/>
          <w:sz w:val="21"/>
          <w:szCs w:val="21"/>
        </w:rPr>
        <w:t>20</w:t>
      </w:r>
      <w:r>
        <w:rPr>
          <w:rFonts w:ascii="Arial" w:hAnsi="Arial" w:cs="Arial"/>
          <w:sz w:val="21"/>
          <w:szCs w:val="21"/>
        </w:rPr>
        <w:t>日部分解除在建工程抵押房号为</w:t>
      </w:r>
      <w:r>
        <w:rPr>
          <w:rFonts w:cs="Arial" w:ascii="Arial" w:hAnsi="Arial"/>
          <w:sz w:val="21"/>
          <w:szCs w:val="21"/>
        </w:rPr>
        <w:t>35#</w:t>
      </w:r>
      <w:r>
        <w:rPr>
          <w:rFonts w:ascii="Arial" w:hAnsi="Arial" w:cs="Arial"/>
          <w:sz w:val="21"/>
          <w:szCs w:val="21"/>
        </w:rPr>
        <w:t>楼，共</w:t>
      </w:r>
      <w:r>
        <w:rPr>
          <w:rFonts w:cs="Arial" w:ascii="Arial" w:hAnsi="Arial"/>
          <w:sz w:val="21"/>
          <w:szCs w:val="21"/>
        </w:rPr>
        <w:t>1</w:t>
      </w:r>
      <w:r>
        <w:rPr>
          <w:rFonts w:ascii="Arial" w:hAnsi="Arial" w:cs="Arial"/>
          <w:sz w:val="21"/>
          <w:szCs w:val="21"/>
        </w:rPr>
        <w:t>套，建筑面积</w:t>
      </w:r>
      <w:r>
        <w:rPr>
          <w:rFonts w:cs="Arial" w:ascii="Arial" w:hAnsi="Arial"/>
          <w:sz w:val="21"/>
          <w:szCs w:val="21"/>
        </w:rPr>
        <w:t>460.93</w:t>
      </w:r>
      <w:r>
        <w:rPr>
          <w:rFonts w:ascii="Arial" w:hAnsi="Arial" w:cs="Arial"/>
          <w:sz w:val="21"/>
          <w:szCs w:val="21"/>
        </w:rPr>
        <w:t>平方米，及对应登记在</w:t>
      </w:r>
      <w:r>
        <w:rPr>
          <w:rFonts w:cs="Arial" w:ascii="Arial" w:hAnsi="Arial"/>
          <w:sz w:val="21"/>
          <w:szCs w:val="21"/>
        </w:rPr>
        <w:t>2010009818</w:t>
      </w:r>
      <w:r>
        <w:rPr>
          <w:rFonts w:ascii="Arial" w:hAnsi="Arial" w:cs="Arial"/>
          <w:sz w:val="21"/>
          <w:szCs w:val="21"/>
        </w:rPr>
        <w:t>土地使用权证项下土地使用权的抵押权。截至价值时点，不动产权利人未提供《国有土地使用证》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ascii="Arial" w:hAnsi="Arial" w:cs="Arial"/>
          <w:sz w:val="21"/>
          <w:szCs w:val="21"/>
        </w:rPr>
        <w:t>，本次评估设定其土地证上的抵押登记情况与《国有土地使用证》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一致。</w:t>
      </w:r>
    </w:p>
    <w:p>
      <w:pPr>
        <w:pStyle w:val="Normal"/>
        <w:spacing w:lineRule="auto" w:line="480"/>
        <w:ind w:firstLine="420"/>
        <w:jc w:val="both"/>
        <w:rPr/>
      </w:pPr>
      <w:r>
        <w:rPr>
          <w:rFonts w:cs="Arial" w:ascii="Arial" w:hAnsi="Arial"/>
          <w:bCs/>
          <w:sz w:val="21"/>
          <w:szCs w:val="21"/>
        </w:rPr>
        <w:t>2</w:t>
      </w:r>
      <w:r>
        <w:rPr>
          <w:rFonts w:ascii="Arial" w:hAnsi="Arial" w:cs="Arial"/>
          <w:bCs/>
          <w:sz w:val="21"/>
          <w:szCs w:val="21"/>
        </w:rPr>
        <w:t>）根据</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本复印件，将原登记在琼（</w:t>
      </w:r>
      <w:r>
        <w:rPr>
          <w:rFonts w:cs="Arial" w:ascii="Arial" w:hAnsi="Arial"/>
          <w:sz w:val="21"/>
          <w:szCs w:val="21"/>
        </w:rPr>
        <w:t>2010</w:t>
      </w:r>
      <w:r>
        <w:rPr>
          <w:rFonts w:ascii="Arial" w:hAnsi="Arial" w:cs="Arial"/>
          <w:sz w:val="21"/>
          <w:szCs w:val="21"/>
        </w:rPr>
        <w:t>）海口市不动产权第</w:t>
      </w:r>
      <w:r>
        <w:rPr>
          <w:rFonts w:cs="Arial" w:ascii="Arial" w:hAnsi="Arial"/>
          <w:sz w:val="21"/>
          <w:szCs w:val="21"/>
        </w:rPr>
        <w:t>009818</w:t>
      </w:r>
      <w:r>
        <w:rPr>
          <w:rFonts w:ascii="Arial" w:hAnsi="Arial" w:cs="Arial"/>
          <w:sz w:val="21"/>
          <w:szCs w:val="21"/>
        </w:rPr>
        <w:t>号土地证项下，海口市他项（</w:t>
      </w:r>
      <w:r>
        <w:rPr>
          <w:rFonts w:cs="Arial" w:ascii="Arial" w:hAnsi="Arial"/>
          <w:sz w:val="21"/>
          <w:szCs w:val="21"/>
        </w:rPr>
        <w:t>2015</w:t>
      </w:r>
      <w:r>
        <w:rPr>
          <w:rFonts w:ascii="Arial" w:hAnsi="Arial" w:cs="Arial"/>
          <w:sz w:val="21"/>
          <w:szCs w:val="21"/>
        </w:rPr>
        <w:t>）第</w:t>
      </w:r>
      <w:r>
        <w:rPr>
          <w:rFonts w:cs="Arial" w:ascii="Arial" w:hAnsi="Arial"/>
          <w:sz w:val="21"/>
          <w:szCs w:val="21"/>
        </w:rPr>
        <w:t>0343</w:t>
      </w:r>
      <w:r>
        <w:rPr>
          <w:rFonts w:ascii="Arial" w:hAnsi="Arial" w:cs="Arial"/>
          <w:sz w:val="21"/>
          <w:szCs w:val="21"/>
        </w:rPr>
        <w:t>号和海口市房建海房字第</w:t>
      </w:r>
      <w:r>
        <w:rPr>
          <w:rFonts w:cs="Arial" w:ascii="Arial" w:hAnsi="Arial"/>
          <w:sz w:val="21"/>
          <w:szCs w:val="21"/>
        </w:rPr>
        <w:t>T087275</w:t>
      </w:r>
      <w:r>
        <w:rPr>
          <w:rFonts w:ascii="Arial" w:hAnsi="Arial" w:cs="Arial"/>
          <w:sz w:val="21"/>
          <w:szCs w:val="21"/>
        </w:rPr>
        <w:t>号的在建工程抵押权随之转移到《不动产权证书》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本复印件项下，其他事项不变。</w:t>
      </w:r>
    </w:p>
    <w:p>
      <w:pPr>
        <w:pStyle w:val="Normal"/>
        <w:spacing w:lineRule="auto" w:line="480"/>
        <w:ind w:right="205" w:firstLine="420"/>
        <w:jc w:val="both"/>
        <w:rPr>
          <w:rFonts w:ascii="Arial" w:hAnsi="Arial" w:cs="Arial"/>
          <w:sz w:val="21"/>
          <w:szCs w:val="21"/>
        </w:rPr>
      </w:pPr>
      <w:r>
        <w:rPr>
          <w:rFonts w:ascii="Arial" w:hAnsi="Arial" w:cs="Arial"/>
          <w:sz w:val="21"/>
          <w:szCs w:val="21"/>
        </w:rPr>
        <w:t>本次评估</w:t>
      </w:r>
      <w:r>
        <w:rPr>
          <w:rFonts w:ascii="Arial" w:hAnsi="Arial" w:cs="Arial"/>
          <w:sz w:val="21"/>
          <w:szCs w:val="21"/>
        </w:rPr>
        <w:t>依据估价目的</w:t>
      </w:r>
      <w:r>
        <w:rPr>
          <w:rFonts w:ascii="Arial" w:hAnsi="Arial" w:cs="Arial"/>
          <w:sz w:val="21"/>
          <w:szCs w:val="21"/>
        </w:rPr>
        <w:t>未考虑上述抵押权权利价值对估价结果的影响。</w:t>
      </w:r>
    </w:p>
    <w:p>
      <w:pPr>
        <w:pStyle w:val="Normal"/>
        <w:spacing w:lineRule="auto" w:line="480"/>
        <w:ind w:right="205" w:firstLine="420"/>
        <w:jc w:val="both"/>
        <w:rPr/>
      </w:pPr>
      <w:r>
        <w:rPr>
          <w:rFonts w:cs="Arial" w:ascii="Arial" w:hAnsi="Arial"/>
          <w:sz w:val="21"/>
          <w:szCs w:val="21"/>
        </w:rPr>
        <w:t>5.</w:t>
      </w:r>
      <w:r>
        <w:rPr>
          <w:rFonts w:ascii="Arial" w:hAnsi="Arial" w:cs="Arial"/>
          <w:sz w:val="21"/>
          <w:szCs w:val="21"/>
        </w:rPr>
        <w:t>租赁或占用情况</w:t>
      </w:r>
    </w:p>
    <w:p>
      <w:pPr>
        <w:pStyle w:val="Normal"/>
        <w:spacing w:lineRule="auto" w:line="480"/>
        <w:ind w:right="205" w:firstLine="420"/>
        <w:jc w:val="both"/>
        <w:rPr>
          <w:rFonts w:ascii="Arial" w:hAnsi="Arial" w:cs="Arial"/>
          <w:sz w:val="21"/>
          <w:szCs w:val="21"/>
        </w:rPr>
      </w:pPr>
      <w:r>
        <w:rPr>
          <w:rFonts w:ascii="Arial" w:hAnsi="Arial" w:cs="Arial"/>
          <w:sz w:val="21"/>
          <w:szCs w:val="21"/>
        </w:rPr>
        <w:t>根据不动产权利人介绍</w:t>
      </w:r>
      <w:r>
        <w:rPr>
          <w:rFonts w:ascii="Arial" w:hAnsi="Arial" w:cs="Arial"/>
          <w:sz w:val="21"/>
          <w:szCs w:val="21"/>
        </w:rPr>
        <w:t>及评估专业人员实地查勘</w:t>
      </w:r>
      <w:r>
        <w:rPr>
          <w:rFonts w:ascii="Arial" w:hAnsi="Arial" w:cs="Arial"/>
          <w:sz w:val="21"/>
          <w:szCs w:val="21"/>
        </w:rPr>
        <w:t>，截至价值时点，估价对象</w:t>
      </w:r>
      <w:r>
        <w:rPr>
          <w:rFonts w:ascii="Arial" w:hAnsi="Arial" w:cs="Arial"/>
          <w:sz w:val="21"/>
          <w:szCs w:val="21"/>
        </w:rPr>
        <w:t>未出租，</w:t>
      </w:r>
      <w:r>
        <w:rPr>
          <w:rFonts w:cs="Arial" w:ascii="Arial" w:hAnsi="Arial"/>
          <w:sz w:val="21"/>
          <w:szCs w:val="21"/>
        </w:rPr>
        <w:t>14</w:t>
      </w:r>
      <w:r>
        <w:rPr>
          <w:rFonts w:ascii="Arial" w:hAnsi="Arial" w:cs="Arial"/>
          <w:sz w:val="21"/>
          <w:szCs w:val="21"/>
        </w:rPr>
        <w:t>、</w:t>
      </w:r>
      <w:r>
        <w:rPr>
          <w:rFonts w:cs="Arial" w:ascii="Arial" w:hAnsi="Arial"/>
          <w:sz w:val="21"/>
          <w:szCs w:val="21"/>
        </w:rPr>
        <w:t>24</w:t>
      </w:r>
      <w:r>
        <w:rPr>
          <w:rFonts w:ascii="Arial" w:hAnsi="Arial" w:cs="Arial"/>
          <w:sz w:val="21"/>
          <w:szCs w:val="21"/>
        </w:rPr>
        <w:t>、</w:t>
      </w:r>
      <w:r>
        <w:rPr>
          <w:rFonts w:cs="Arial" w:ascii="Arial" w:hAnsi="Arial"/>
          <w:sz w:val="21"/>
          <w:szCs w:val="21"/>
        </w:rPr>
        <w:t>30</w:t>
      </w:r>
      <w:r>
        <w:rPr>
          <w:rFonts w:ascii="Arial" w:hAnsi="Arial" w:cs="Arial"/>
          <w:sz w:val="21"/>
          <w:szCs w:val="21"/>
        </w:rPr>
        <w:t>、</w:t>
      </w:r>
      <w:r>
        <w:rPr>
          <w:rFonts w:cs="Arial" w:ascii="Arial" w:hAnsi="Arial"/>
          <w:sz w:val="21"/>
          <w:szCs w:val="21"/>
        </w:rPr>
        <w:t>39</w:t>
      </w:r>
      <w:r>
        <w:rPr>
          <w:rFonts w:ascii="Arial" w:hAnsi="Arial" w:cs="Arial"/>
          <w:sz w:val="21"/>
          <w:szCs w:val="21"/>
        </w:rPr>
        <w:t>、</w:t>
      </w:r>
      <w:r>
        <w:rPr>
          <w:rFonts w:cs="Arial" w:ascii="Arial" w:hAnsi="Arial"/>
          <w:sz w:val="21"/>
          <w:szCs w:val="21"/>
        </w:rPr>
        <w:t>40</w:t>
      </w:r>
      <w:r>
        <w:rPr>
          <w:rFonts w:ascii="Arial" w:hAnsi="Arial" w:cs="Arial"/>
          <w:sz w:val="21"/>
          <w:szCs w:val="21"/>
        </w:rPr>
        <w:t>号楼正在装修，</w:t>
      </w:r>
      <w:r>
        <w:rPr>
          <w:rFonts w:cs="Arial" w:ascii="Arial" w:hAnsi="Arial"/>
          <w:sz w:val="21"/>
          <w:szCs w:val="21"/>
        </w:rPr>
        <w:t>13</w:t>
      </w:r>
      <w:r>
        <w:rPr>
          <w:rFonts w:ascii="Arial" w:hAnsi="Arial" w:cs="Arial"/>
          <w:sz w:val="21"/>
          <w:szCs w:val="21"/>
        </w:rPr>
        <w:t>、</w:t>
      </w:r>
      <w:r>
        <w:rPr>
          <w:rFonts w:cs="Arial" w:ascii="Arial" w:hAnsi="Arial"/>
          <w:sz w:val="21"/>
          <w:szCs w:val="21"/>
        </w:rPr>
        <w:t>23</w:t>
      </w:r>
      <w:r>
        <w:rPr>
          <w:rFonts w:ascii="Arial" w:hAnsi="Arial" w:cs="Arial"/>
          <w:sz w:val="21"/>
          <w:szCs w:val="21"/>
        </w:rPr>
        <w:t>、</w:t>
      </w:r>
      <w:r>
        <w:rPr>
          <w:rFonts w:cs="Arial" w:ascii="Arial" w:hAnsi="Arial"/>
          <w:sz w:val="21"/>
          <w:szCs w:val="21"/>
        </w:rPr>
        <w:t>25</w:t>
      </w:r>
      <w:r>
        <w:rPr>
          <w:rFonts w:ascii="Arial" w:hAnsi="Arial" w:cs="Arial"/>
          <w:sz w:val="21"/>
          <w:szCs w:val="21"/>
        </w:rPr>
        <w:t>、</w:t>
      </w:r>
      <w:r>
        <w:rPr>
          <w:rFonts w:cs="Arial" w:ascii="Arial" w:hAnsi="Arial"/>
          <w:sz w:val="21"/>
          <w:szCs w:val="21"/>
        </w:rPr>
        <w:t>41</w:t>
      </w:r>
      <w:r>
        <w:rPr>
          <w:rFonts w:ascii="Arial" w:hAnsi="Arial" w:cs="Arial"/>
          <w:sz w:val="21"/>
          <w:szCs w:val="21"/>
        </w:rPr>
        <w:t>、</w:t>
      </w:r>
      <w:r>
        <w:rPr>
          <w:rFonts w:cs="Arial" w:ascii="Arial" w:hAnsi="Arial"/>
          <w:sz w:val="21"/>
          <w:szCs w:val="21"/>
        </w:rPr>
        <w:t>42</w:t>
      </w:r>
      <w:r>
        <w:rPr>
          <w:rFonts w:ascii="Arial" w:hAnsi="Arial" w:cs="Arial"/>
          <w:sz w:val="21"/>
          <w:szCs w:val="21"/>
        </w:rPr>
        <w:t>、</w:t>
      </w:r>
      <w:r>
        <w:rPr>
          <w:rFonts w:cs="Arial" w:ascii="Arial" w:hAnsi="Arial"/>
          <w:sz w:val="21"/>
          <w:szCs w:val="21"/>
        </w:rPr>
        <w:t>44</w:t>
      </w:r>
      <w:r>
        <w:rPr>
          <w:rFonts w:ascii="Arial" w:hAnsi="Arial" w:cs="Arial"/>
          <w:sz w:val="21"/>
          <w:szCs w:val="21"/>
        </w:rPr>
        <w:t>、</w:t>
      </w:r>
      <w:r>
        <w:rPr>
          <w:rFonts w:cs="Arial" w:ascii="Arial" w:hAnsi="Arial"/>
          <w:sz w:val="21"/>
          <w:szCs w:val="21"/>
        </w:rPr>
        <w:t>45</w:t>
      </w:r>
      <w:r>
        <w:rPr>
          <w:rFonts w:ascii="Arial" w:hAnsi="Arial" w:cs="Arial"/>
          <w:sz w:val="21"/>
          <w:szCs w:val="21"/>
        </w:rPr>
        <w:t>号楼有居住痕迹，根据估价委托人介绍，估价对象不存在被他人占有使用的情况</w:t>
      </w:r>
      <w:r>
        <w:rPr>
          <w:rFonts w:ascii="Arial" w:hAnsi="Arial" w:cs="Arial"/>
          <w:sz w:val="21"/>
          <w:szCs w:val="21"/>
        </w:rPr>
        <w:t>。</w:t>
      </w:r>
    </w:p>
    <w:p>
      <w:pPr>
        <w:pStyle w:val="Normal"/>
        <w:spacing w:lineRule="auto" w:line="480"/>
        <w:ind w:right="205" w:firstLine="420"/>
        <w:jc w:val="both"/>
        <w:rPr>
          <w:rFonts w:ascii="Arial" w:hAnsi="Arial" w:cs="Arial"/>
          <w:sz w:val="21"/>
          <w:szCs w:val="21"/>
        </w:rPr>
      </w:pPr>
      <w:r>
        <w:rPr>
          <w:rFonts w:cs="Arial" w:ascii="Arial" w:hAnsi="Arial"/>
          <w:sz w:val="21"/>
          <w:szCs w:val="21"/>
        </w:rPr>
        <w:t>6.</w:t>
      </w:r>
      <w:r>
        <w:rPr>
          <w:rFonts w:ascii="Arial" w:hAnsi="Arial" w:cs="Arial"/>
          <w:sz w:val="21"/>
          <w:szCs w:val="21"/>
        </w:rPr>
        <w:t>拖欠税费情况</w:t>
      </w:r>
    </w:p>
    <w:p>
      <w:pPr>
        <w:pStyle w:val="Normal"/>
        <w:spacing w:lineRule="auto" w:line="480"/>
        <w:ind w:right="205" w:firstLine="420"/>
        <w:jc w:val="both"/>
        <w:rPr/>
      </w:pPr>
      <w:r>
        <w:rPr>
          <w:rFonts w:ascii="Arial" w:hAnsi="Arial" w:cs="Arial"/>
          <w:sz w:val="21"/>
          <w:szCs w:val="21"/>
        </w:rPr>
        <w:t>估价对象出让国有建设用地使用权和建筑物所有权均为合法方式取得，并支付相关税费，已取得《国有土地使用证》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及《国有土地使用证》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009823</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本，估价对象能够正常上市交易，不存在拖欠税费的情况。</w:t>
      </w:r>
    </w:p>
    <w:p>
      <w:pPr>
        <w:pStyle w:val="Normal"/>
        <w:spacing w:lineRule="auto" w:line="480"/>
        <w:ind w:right="205" w:firstLine="420"/>
        <w:jc w:val="both"/>
        <w:rPr/>
      </w:pPr>
      <w:r>
        <w:rPr>
          <w:rFonts w:ascii="Arial" w:hAnsi="Arial" w:cs="Arial"/>
          <w:sz w:val="21"/>
          <w:szCs w:val="21"/>
        </w:rPr>
        <w:t>综上，估价对象不动产权属合法、清晰且无争议，可正常上市交易。</w:t>
      </w:r>
    </w:p>
    <w:p>
      <w:pPr>
        <w:pStyle w:val="2"/>
        <w:numPr>
          <w:ilvl w:val="0"/>
          <w:numId w:val="0"/>
        </w:numPr>
        <w:spacing w:lineRule="auto" w:line="480"/>
        <w:ind w:left="359" w:hanging="359"/>
        <w:jc w:val="both"/>
        <w:rPr>
          <w:sz w:val="21"/>
          <w:szCs w:val="21"/>
        </w:rPr>
      </w:pPr>
      <w:bookmarkStart w:id="28" w:name="__RefHeading___Toc162425567"/>
      <w:bookmarkEnd w:id="28"/>
      <w:r>
        <w:rPr>
          <w:rFonts w:eastAsia="宋体;SimSun"/>
          <w:kern w:val="2"/>
          <w:sz w:val="21"/>
          <w:szCs w:val="21"/>
        </w:rPr>
        <w:t>（三）区位状况分析</w:t>
      </w:r>
    </w:p>
    <w:p>
      <w:pPr>
        <w:pStyle w:val="Normal"/>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sz w:val="21"/>
          <w:szCs w:val="21"/>
        </w:rPr>
        <w:t>位置状况</w:t>
      </w:r>
    </w:p>
    <w:p>
      <w:pPr>
        <w:pStyle w:val="Normal"/>
        <w:spacing w:lineRule="auto" w:line="480"/>
        <w:ind w:firstLine="420"/>
        <w:jc w:val="both"/>
        <w:rPr>
          <w:rFonts w:ascii="Arial" w:hAnsi="Arial" w:cs="Arial"/>
          <w:sz w:val="21"/>
          <w:szCs w:val="21"/>
        </w:rPr>
      </w:pPr>
      <w:r>
        <w:rPr>
          <w:rFonts w:ascii="Arial" w:hAnsi="Arial" w:cs="Arial"/>
          <w:sz w:val="21"/>
          <w:szCs w:val="21"/>
        </w:rPr>
        <w:t>估价对象位于</w:t>
      </w:r>
      <w:r>
        <w:rPr>
          <w:rFonts w:ascii="Arial" w:hAnsi="Arial" w:cs="Arial"/>
          <w:kern w:val="2"/>
          <w:sz w:val="21"/>
          <w:szCs w:val="21"/>
        </w:rPr>
        <w:t>海南省海口市秀英区滨海大道</w:t>
      </w:r>
      <w:r>
        <w:rPr>
          <w:rFonts w:cs="Arial" w:ascii="Arial" w:hAnsi="Arial"/>
          <w:kern w:val="2"/>
          <w:sz w:val="21"/>
          <w:szCs w:val="21"/>
        </w:rPr>
        <w:t>158</w:t>
      </w:r>
      <w:r>
        <w:rPr>
          <w:rFonts w:ascii="Arial" w:hAnsi="Arial" w:cs="Arial"/>
          <w:kern w:val="2"/>
          <w:sz w:val="21"/>
          <w:szCs w:val="21"/>
        </w:rPr>
        <w:t>号</w:t>
      </w:r>
      <w:r>
        <w:rPr>
          <w:rFonts w:ascii="Arial" w:hAnsi="Arial" w:cs="Arial"/>
          <w:sz w:val="21"/>
          <w:szCs w:val="21"/>
        </w:rPr>
        <w:t>，紧邻海域，东至美锦熙海、西至宝通花园、南至</w:t>
      </w:r>
      <w:commentRangeStart w:id="16"/>
      <w:r>
        <w:rPr>
          <w:rFonts w:ascii="Arial" w:hAnsi="Arial" w:cs="Arial"/>
          <w:sz w:val="21"/>
          <w:szCs w:val="21"/>
        </w:rPr>
        <w:t>滨海大道</w:t>
      </w:r>
      <w:r>
        <w:rPr>
          <w:rFonts w:ascii="Arial" w:hAnsi="Arial" w:cs="Arial"/>
          <w:sz w:val="21"/>
          <w:szCs w:val="21"/>
        </w:rPr>
      </w:r>
      <w:commentRangeEnd w:id="16"/>
      <w:r>
        <w:commentReference w:id="16"/>
      </w:r>
      <w:r>
        <w:rPr>
          <w:rFonts w:ascii="Arial" w:hAnsi="Arial" w:cs="Arial"/>
          <w:sz w:val="21"/>
          <w:szCs w:val="21"/>
        </w:rPr>
        <w:t>、北至琼州海峡，</w:t>
      </w:r>
      <w:r>
        <w:rPr>
          <w:rFonts w:ascii="Arial" w:hAnsi="Arial" w:cs="Arial"/>
          <w:bCs/>
          <w:sz w:val="21"/>
          <w:szCs w:val="21"/>
        </w:rPr>
        <w:t>紧临海南环岛旅游公路，距离海口站约</w:t>
      </w:r>
      <w:r>
        <w:rPr>
          <w:rFonts w:cs="Arial" w:ascii="Arial" w:hAnsi="Arial"/>
          <w:bCs/>
          <w:sz w:val="21"/>
          <w:szCs w:val="21"/>
        </w:rPr>
        <w:t>4</w:t>
      </w:r>
      <w:commentRangeStart w:id="17"/>
      <w:r>
        <w:rPr>
          <w:rFonts w:ascii="Arial" w:hAnsi="Arial" w:cs="Arial"/>
          <w:bCs/>
          <w:sz w:val="21"/>
          <w:szCs w:val="21"/>
        </w:rPr>
        <w:t>看</w:t>
      </w:r>
      <w:r>
        <w:rPr>
          <w:rFonts w:ascii="Arial" w:hAnsi="Arial" w:cs="Arial"/>
          <w:bCs/>
          <w:sz w:val="21"/>
          <w:szCs w:val="21"/>
        </w:rPr>
      </w:r>
      <w:commentRangeEnd w:id="17"/>
      <w:r>
        <w:commentReference w:id="17"/>
      </w:r>
      <w:r>
        <w:rPr>
          <w:rFonts w:cs="Arial" w:ascii="Arial" w:hAnsi="Arial"/>
          <w:bCs/>
          <w:sz w:val="21"/>
          <w:szCs w:val="21"/>
        </w:rPr>
        <w:t>km</w:t>
      </w:r>
      <w:r>
        <w:rPr>
          <w:rFonts w:ascii="Arial" w:hAnsi="Arial" w:cs="Arial"/>
          <w:bCs/>
          <w:sz w:val="21"/>
          <w:szCs w:val="21"/>
        </w:rPr>
        <w:t>，距离海口新海港客运综合枢纽站约</w:t>
      </w:r>
      <w:r>
        <w:rPr>
          <w:rFonts w:cs="Arial" w:ascii="Arial" w:hAnsi="Arial"/>
          <w:bCs/>
          <w:sz w:val="21"/>
          <w:szCs w:val="21"/>
        </w:rPr>
        <w:t>2.7km</w:t>
      </w:r>
      <w:r>
        <w:rPr>
          <w:rFonts w:ascii="Arial" w:hAnsi="Arial" w:cs="Arial"/>
          <w:bCs/>
          <w:sz w:val="21"/>
          <w:szCs w:val="21"/>
        </w:rPr>
        <w:t>，距离海口美兰机场约</w:t>
      </w:r>
      <w:r>
        <w:rPr>
          <w:rFonts w:cs="Arial" w:ascii="Arial" w:hAnsi="Arial"/>
          <w:bCs/>
          <w:sz w:val="21"/>
          <w:szCs w:val="21"/>
        </w:rPr>
        <w:t>32.5km</w:t>
      </w:r>
      <w:r>
        <w:rPr>
          <w:rFonts w:ascii="Arial" w:hAnsi="Arial" w:cs="Arial"/>
          <w:sz w:val="21"/>
          <w:szCs w:val="21"/>
        </w:rPr>
        <w:t>。估价对象地理位置条件较好。</w:t>
      </w:r>
    </w:p>
    <w:p>
      <w:pPr>
        <w:pStyle w:val="Normal"/>
        <w:spacing w:lineRule="auto" w:line="480"/>
        <w:ind w:firstLine="420"/>
        <w:jc w:val="both"/>
        <w:rPr>
          <w:rFonts w:ascii="Arial" w:hAnsi="Arial" w:cs="Arial"/>
          <w:color w:val="E36C0A"/>
          <w:sz w:val="21"/>
          <w:szCs w:val="21"/>
        </w:rPr>
      </w:pPr>
      <w:r>
        <w:rPr>
          <w:rFonts w:cs="Arial" w:ascii="Arial" w:hAnsi="Arial"/>
          <w:color w:val="0D0D0D"/>
          <w:sz w:val="21"/>
          <w:szCs w:val="21"/>
        </w:rPr>
        <w:t>2.</w:t>
      </w:r>
      <w:r>
        <w:rPr>
          <w:rFonts w:ascii="Arial" w:hAnsi="Arial" w:cs="Arial"/>
          <w:color w:val="0D0D0D"/>
          <w:sz w:val="21"/>
          <w:szCs w:val="21"/>
        </w:rPr>
        <w:t>区域成熟度</w:t>
      </w:r>
    </w:p>
    <w:p>
      <w:pPr>
        <w:pStyle w:val="Normal"/>
        <w:spacing w:lineRule="auto" w:line="480"/>
        <w:ind w:firstLine="420"/>
        <w:jc w:val="both"/>
        <w:rPr/>
      </w:pPr>
      <w:r>
        <w:rPr>
          <w:rFonts w:ascii="Arial" w:hAnsi="Arial" w:cs="Arial"/>
          <w:sz w:val="21"/>
          <w:szCs w:val="21"/>
        </w:rPr>
        <w:t>估价对象周边</w:t>
      </w:r>
      <w:r>
        <w:rPr>
          <w:rFonts w:cs="Arial" w:ascii="Arial" w:hAnsi="Arial"/>
          <w:sz w:val="21"/>
          <w:szCs w:val="21"/>
        </w:rPr>
        <w:t>1</w:t>
      </w:r>
      <w:r>
        <w:rPr>
          <w:rFonts w:ascii="Arial" w:hAnsi="Arial" w:cs="Arial"/>
          <w:sz w:val="21"/>
          <w:szCs w:val="21"/>
        </w:rPr>
        <w:t>公里范围内有晨晖帝景、夏威夷海岸、宝通花园、美锦熙海、天利龙腾湾等</w:t>
      </w:r>
      <w:r>
        <w:rPr>
          <w:rFonts w:ascii="Arial" w:hAnsi="Arial" w:cs="Arial"/>
          <w:sz w:val="21"/>
          <w:szCs w:val="21"/>
        </w:rPr>
        <w:t>居住小区</w:t>
      </w:r>
      <w:r>
        <w:rPr>
          <w:rFonts w:ascii="Arial" w:hAnsi="Arial" w:cs="Arial"/>
          <w:sz w:val="21"/>
          <w:szCs w:val="21"/>
        </w:rPr>
        <w:t>，</w:t>
      </w:r>
      <w:r>
        <w:rPr>
          <w:rFonts w:ascii="Arial" w:hAnsi="Arial" w:cs="Arial"/>
          <w:sz w:val="21"/>
          <w:szCs w:val="21"/>
        </w:rPr>
        <w:t>社区规模和发展完善程度</w:t>
      </w:r>
      <w:r>
        <w:rPr>
          <w:rFonts w:ascii="Arial" w:hAnsi="Arial" w:cs="Arial"/>
          <w:sz w:val="21"/>
          <w:szCs w:val="21"/>
        </w:rPr>
        <w:t>一般；综合评价</w:t>
      </w:r>
      <w:r>
        <w:rPr>
          <w:rFonts w:ascii="Arial" w:hAnsi="Arial" w:cs="Arial"/>
          <w:sz w:val="21"/>
          <w:szCs w:val="21"/>
        </w:rPr>
        <w:t>居住社区成熟度</w:t>
      </w:r>
      <w:r>
        <w:rPr>
          <w:rFonts w:ascii="Arial" w:hAnsi="Arial" w:cs="Arial"/>
          <w:sz w:val="21"/>
          <w:szCs w:val="21"/>
        </w:rPr>
        <w:t>一般</w:t>
      </w:r>
      <w:r>
        <w:rPr>
          <w:rFonts w:ascii="Arial" w:hAnsi="Arial" w:cs="Arial"/>
          <w:sz w:val="21"/>
          <w:szCs w:val="21"/>
        </w:rPr>
        <w:t>。</w:t>
      </w:r>
    </w:p>
    <w:p>
      <w:pPr>
        <w:pStyle w:val="Normal"/>
        <w:spacing w:lineRule="auto" w:line="480"/>
        <w:ind w:firstLine="420"/>
        <w:jc w:val="both"/>
        <w:rPr>
          <w:rFonts w:ascii="Arial" w:hAnsi="Arial" w:cs="Arial"/>
          <w:b/>
          <w:b/>
          <w:color w:val="548DD4"/>
          <w:sz w:val="21"/>
          <w:szCs w:val="21"/>
        </w:rPr>
      </w:pPr>
      <w:r>
        <w:rPr>
          <w:rFonts w:cs="Arial" w:ascii="Arial" w:hAnsi="Arial"/>
          <w:sz w:val="21"/>
          <w:szCs w:val="21"/>
        </w:rPr>
        <w:t>3.</w:t>
      </w:r>
      <w:r>
        <w:rPr>
          <w:rFonts w:ascii="Arial" w:hAnsi="Arial" w:cs="Arial"/>
          <w:sz w:val="21"/>
          <w:szCs w:val="21"/>
        </w:rPr>
        <w:t>交</w:t>
      </w:r>
      <w:r>
        <w:rPr>
          <w:rFonts w:ascii="Arial" w:hAnsi="Arial" w:cs="Arial"/>
          <w:sz w:val="21"/>
          <w:szCs w:val="21"/>
        </w:rPr>
        <w:t>通状况</w:t>
      </w:r>
    </w:p>
    <w:p>
      <w:pPr>
        <w:pStyle w:val="Normal"/>
        <w:spacing w:lineRule="auto" w:line="480"/>
        <w:ind w:firstLine="420"/>
        <w:jc w:val="both"/>
        <w:rPr>
          <w:rFonts w:ascii="Arial" w:hAnsi="Arial" w:cs="Arial"/>
          <w:sz w:val="21"/>
          <w:szCs w:val="21"/>
        </w:rPr>
      </w:pPr>
      <w:r>
        <w:rPr>
          <w:rFonts w:ascii="Arial" w:hAnsi="Arial" w:cs="Arial"/>
          <w:sz w:val="21"/>
          <w:szCs w:val="21"/>
        </w:rPr>
        <w:t>估价对象周边</w:t>
      </w:r>
      <w:r>
        <w:rPr>
          <w:rFonts w:cs="Arial" w:ascii="Arial" w:hAnsi="Arial"/>
          <w:sz w:val="21"/>
          <w:szCs w:val="21"/>
        </w:rPr>
        <w:t>1</w:t>
      </w:r>
      <w:r>
        <w:rPr>
          <w:rFonts w:ascii="Arial" w:hAnsi="Arial" w:cs="Arial"/>
          <w:sz w:val="21"/>
          <w:szCs w:val="21"/>
        </w:rPr>
        <w:t>公里范围内有</w:t>
      </w:r>
      <w:r>
        <w:rPr>
          <w:rFonts w:cs="Arial" w:ascii="Arial" w:hAnsi="Arial"/>
          <w:sz w:val="21"/>
          <w:szCs w:val="21"/>
        </w:rPr>
        <w:t>2</w:t>
      </w:r>
      <w:r>
        <w:rPr>
          <w:rFonts w:ascii="Arial" w:hAnsi="Arial" w:cs="Arial"/>
          <w:sz w:val="21"/>
          <w:szCs w:val="21"/>
        </w:rPr>
        <w:t>路、</w:t>
      </w:r>
      <w:r>
        <w:rPr>
          <w:rFonts w:cs="Arial" w:ascii="Arial" w:hAnsi="Arial"/>
          <w:sz w:val="21"/>
          <w:szCs w:val="21"/>
        </w:rPr>
        <w:t>94</w:t>
      </w:r>
      <w:r>
        <w:rPr>
          <w:rFonts w:ascii="Arial" w:hAnsi="Arial" w:cs="Arial"/>
          <w:sz w:val="21"/>
          <w:szCs w:val="21"/>
        </w:rPr>
        <w:t>路、</w:t>
      </w:r>
      <w:r>
        <w:rPr>
          <w:rFonts w:cs="Arial" w:ascii="Arial" w:hAnsi="Arial"/>
          <w:sz w:val="21"/>
          <w:szCs w:val="21"/>
        </w:rPr>
        <w:t>G37</w:t>
      </w:r>
      <w:r>
        <w:rPr>
          <w:rFonts w:ascii="Arial" w:hAnsi="Arial" w:cs="Arial"/>
          <w:sz w:val="21"/>
          <w:szCs w:val="21"/>
        </w:rPr>
        <w:t>路、</w:t>
      </w:r>
      <w:r>
        <w:rPr>
          <w:rFonts w:cs="Arial" w:ascii="Arial" w:hAnsi="Arial"/>
          <w:sz w:val="21"/>
          <w:szCs w:val="21"/>
        </w:rPr>
        <w:t>J2</w:t>
      </w:r>
      <w:r>
        <w:rPr>
          <w:rFonts w:ascii="Arial" w:hAnsi="Arial" w:cs="Arial"/>
          <w:sz w:val="21"/>
          <w:szCs w:val="21"/>
        </w:rPr>
        <w:t>路、</w:t>
      </w:r>
      <w:r>
        <w:rPr>
          <w:rFonts w:cs="Arial" w:ascii="Arial" w:hAnsi="Arial"/>
          <w:sz w:val="21"/>
          <w:szCs w:val="21"/>
        </w:rPr>
        <w:t>K35</w:t>
      </w:r>
      <w:r>
        <w:rPr>
          <w:rFonts w:ascii="Arial" w:hAnsi="Arial" w:cs="Arial"/>
          <w:sz w:val="21"/>
          <w:szCs w:val="21"/>
        </w:rPr>
        <w:t>路等公交线路，停车便捷程度一般，路网密集程度一般；综合评价估价对象交通便捷度一般。</w:t>
      </w:r>
    </w:p>
    <w:p>
      <w:pPr>
        <w:pStyle w:val="Normal"/>
        <w:spacing w:lineRule="auto" w:line="480"/>
        <w:ind w:firstLine="420"/>
        <w:jc w:val="both"/>
        <w:rPr>
          <w:rFonts w:ascii="Arial" w:hAnsi="Arial" w:cs="Arial"/>
          <w:color w:val="000000"/>
          <w:sz w:val="21"/>
          <w:szCs w:val="21"/>
        </w:rPr>
      </w:pPr>
      <w:r>
        <w:rPr>
          <w:rFonts w:cs="Arial" w:ascii="Arial" w:hAnsi="Arial"/>
          <w:sz w:val="21"/>
          <w:szCs w:val="21"/>
        </w:rPr>
        <w:t>4.</w:t>
      </w:r>
      <w:r>
        <w:rPr>
          <w:rFonts w:ascii="Arial" w:hAnsi="Arial" w:cs="Arial"/>
          <w:color w:val="000000"/>
          <w:sz w:val="21"/>
          <w:szCs w:val="21"/>
        </w:rPr>
        <w:t>环境状况</w:t>
      </w:r>
    </w:p>
    <w:p>
      <w:pPr>
        <w:pStyle w:val="Normal"/>
        <w:spacing w:lineRule="auto" w:line="480"/>
        <w:ind w:firstLine="420"/>
        <w:jc w:val="both"/>
        <w:rPr>
          <w:rFonts w:ascii="Arial" w:hAnsi="Arial" w:cs="Arial"/>
          <w:color w:val="548DD4"/>
          <w:sz w:val="21"/>
          <w:szCs w:val="21"/>
        </w:rPr>
      </w:pPr>
      <w:r>
        <w:rPr>
          <w:rFonts w:ascii="Arial" w:hAnsi="Arial" w:cs="Arial"/>
          <w:sz w:val="21"/>
          <w:szCs w:val="21"/>
        </w:rPr>
        <w:t>估价对象所在区域内有海口西海岸挺秀公园、五源河国家湿地公园等，绿化较好，自然环境较好，有海南国际会议展览中心等人文设施，人文环境一般；且估价对象紧邻琼州海峡，综合评价自然及人文环境状况较好。</w:t>
      </w:r>
    </w:p>
    <w:p>
      <w:pPr>
        <w:pStyle w:val="Normal"/>
        <w:spacing w:lineRule="auto" w:line="480"/>
        <w:ind w:firstLine="420"/>
        <w:jc w:val="both"/>
        <w:rPr>
          <w:rFonts w:ascii="Arial" w:hAnsi="Arial" w:cs="Arial"/>
          <w:color w:val="548DD4"/>
          <w:sz w:val="21"/>
          <w:szCs w:val="21"/>
        </w:rPr>
      </w:pPr>
      <w:r>
        <w:rPr>
          <w:rFonts w:cs="Arial" w:ascii="Arial" w:hAnsi="Arial"/>
          <w:color w:val="000000"/>
          <w:sz w:val="21"/>
          <w:szCs w:val="21"/>
        </w:rPr>
        <w:t>5</w:t>
      </w:r>
      <w:r>
        <w:rPr>
          <w:rFonts w:cs="Arial" w:ascii="Arial" w:hAnsi="Arial"/>
          <w:sz w:val="21"/>
          <w:szCs w:val="21"/>
        </w:rPr>
        <w:t>.</w:t>
      </w:r>
      <w:r>
        <w:rPr>
          <w:rFonts w:ascii="Arial" w:hAnsi="Arial" w:cs="Arial"/>
          <w:sz w:val="21"/>
          <w:szCs w:val="21"/>
        </w:rPr>
        <w:t>外部配套设施状况</w:t>
      </w:r>
    </w:p>
    <w:p>
      <w:pPr>
        <w:pStyle w:val="Normal"/>
        <w:spacing w:lineRule="auto" w:line="480"/>
        <w:ind w:firstLine="420"/>
        <w:jc w:val="both"/>
        <w:rPr/>
      </w:pPr>
      <w:r>
        <w:rPr>
          <w:rFonts w:ascii="Arial" w:hAnsi="Arial" w:cs="Arial"/>
          <w:sz w:val="21"/>
          <w:szCs w:val="21"/>
        </w:rPr>
        <w:t>估价对象所处区域目前已拥有完善的基础设施配套保障，区内大部分区域基础设施配套目前可达到</w:t>
      </w:r>
      <w:r>
        <w:rPr>
          <w:rFonts w:ascii="Arial" w:hAnsi="Arial" w:cs="Arial"/>
          <w:sz w:val="21"/>
          <w:szCs w:val="21"/>
        </w:rPr>
        <w:t>“六</w:t>
      </w:r>
      <w:r>
        <w:rPr>
          <w:rFonts w:ascii="Arial" w:hAnsi="Arial" w:cs="Arial"/>
          <w:sz w:val="21"/>
          <w:szCs w:val="21"/>
        </w:rPr>
        <w:t>通</w:t>
      </w:r>
      <w:r>
        <w:rPr>
          <w:rFonts w:ascii="Arial" w:hAnsi="Arial" w:cs="Arial"/>
          <w:sz w:val="21"/>
          <w:szCs w:val="21"/>
        </w:rPr>
        <w:t>”</w:t>
      </w:r>
      <w:r>
        <w:rPr>
          <w:rFonts w:ascii="Arial" w:hAnsi="Arial" w:cs="Arial"/>
          <w:sz w:val="21"/>
          <w:szCs w:val="21"/>
        </w:rPr>
        <w:t>（</w:t>
      </w:r>
      <w:r>
        <w:rPr>
          <w:rFonts w:ascii="Arial" w:hAnsi="Arial" w:cs="Arial"/>
          <w:sz w:val="21"/>
          <w:szCs w:val="21"/>
        </w:rPr>
        <w:t>即通路、通电、通讯、通上水、通下水、通燃气</w:t>
      </w:r>
      <w:r>
        <w:rPr>
          <w:rFonts w:ascii="Arial" w:hAnsi="Arial" w:cs="Arial"/>
          <w:sz w:val="21"/>
          <w:szCs w:val="21"/>
        </w:rPr>
        <w:t>）条件，且保证程度较高。</w:t>
      </w:r>
    </w:p>
    <w:p>
      <w:pPr>
        <w:pStyle w:val="Normal"/>
        <w:spacing w:lineRule="auto" w:line="480"/>
        <w:ind w:firstLine="420"/>
        <w:jc w:val="both"/>
        <w:rPr/>
      </w:pPr>
      <w:r>
        <w:rPr>
          <w:rFonts w:ascii="Arial" w:hAnsi="Arial" w:cs="Arial"/>
          <w:sz w:val="21"/>
          <w:szCs w:val="21"/>
        </w:rPr>
        <w:t>周边</w:t>
      </w:r>
      <w:r>
        <w:rPr>
          <w:rFonts w:cs="Arial" w:ascii="Arial" w:hAnsi="Arial"/>
          <w:sz w:val="21"/>
          <w:szCs w:val="21"/>
        </w:rPr>
        <w:t>2</w:t>
      </w:r>
      <w:r>
        <w:rPr>
          <w:rFonts w:ascii="Arial" w:hAnsi="Arial" w:cs="Arial"/>
          <w:sz w:val="21"/>
          <w:szCs w:val="21"/>
        </w:rPr>
        <w:t>公里</w:t>
      </w:r>
      <w:r>
        <w:rPr>
          <w:rFonts w:ascii="Arial" w:hAnsi="Arial" w:cs="Arial"/>
          <w:sz w:val="21"/>
          <w:szCs w:val="21"/>
        </w:rPr>
        <w:t>范围内</w:t>
      </w:r>
      <w:r>
        <w:rPr>
          <w:rFonts w:ascii="Arial" w:hAnsi="Arial" w:cs="Arial"/>
          <w:sz w:val="21"/>
          <w:szCs w:val="21"/>
        </w:rPr>
        <w:t>有银行（</w:t>
      </w:r>
      <w:r>
        <w:rPr>
          <w:rFonts w:ascii="Arial" w:hAnsi="Arial" w:cs="Arial"/>
          <w:sz w:val="21"/>
          <w:szCs w:val="21"/>
        </w:rPr>
        <w:t>民生银行、中国银行、光大银行</w:t>
      </w:r>
      <w:r>
        <w:rPr>
          <w:rFonts w:ascii="Arial" w:hAnsi="Arial" w:cs="Arial"/>
          <w:sz w:val="21"/>
          <w:szCs w:val="21"/>
        </w:rPr>
        <w:t>）、</w:t>
      </w:r>
      <w:r>
        <w:rPr>
          <w:rFonts w:ascii="Arial" w:hAnsi="Arial" w:cs="Arial"/>
          <w:sz w:val="21"/>
          <w:szCs w:val="21"/>
        </w:rPr>
        <w:t>购物场所</w:t>
      </w:r>
      <w:r>
        <w:rPr>
          <w:rFonts w:ascii="Arial" w:hAnsi="Arial" w:cs="Arial"/>
          <w:sz w:val="21"/>
          <w:szCs w:val="21"/>
        </w:rPr>
        <w:t>（</w:t>
      </w:r>
      <w:r>
        <w:rPr>
          <w:rFonts w:ascii="Arial" w:hAnsi="Arial" w:cs="Arial"/>
          <w:sz w:val="21"/>
          <w:szCs w:val="21"/>
        </w:rPr>
        <w:t>远大购物广场、</w:t>
      </w:r>
      <w:r>
        <w:rPr>
          <w:rFonts w:cs="Arial" w:ascii="Arial" w:hAnsi="Arial"/>
          <w:sz w:val="21"/>
          <w:szCs w:val="21"/>
        </w:rPr>
        <w:t>S+MALL</w:t>
      </w:r>
      <w:r>
        <w:rPr>
          <w:rFonts w:ascii="Arial" w:hAnsi="Arial" w:cs="Arial"/>
          <w:sz w:val="21"/>
          <w:szCs w:val="21"/>
        </w:rPr>
        <w:t>星茂购物中心</w:t>
      </w:r>
      <w:r>
        <w:rPr>
          <w:rFonts w:ascii="Arial" w:hAnsi="Arial" w:cs="Arial"/>
          <w:sz w:val="21"/>
          <w:szCs w:val="21"/>
        </w:rPr>
        <w:t>）</w:t>
      </w:r>
      <w:r>
        <w:rPr>
          <w:rFonts w:ascii="Arial" w:hAnsi="Arial" w:cs="Arial"/>
          <w:sz w:val="21"/>
          <w:szCs w:val="21"/>
        </w:rPr>
        <w:t>、</w:t>
      </w:r>
      <w:r>
        <w:rPr>
          <w:rFonts w:ascii="Arial" w:hAnsi="Arial" w:cs="Arial"/>
          <w:sz w:val="21"/>
          <w:szCs w:val="21"/>
        </w:rPr>
        <w:t>学校（</w:t>
      </w:r>
      <w:r>
        <w:rPr>
          <w:rFonts w:ascii="Arial" w:hAnsi="Arial" w:cs="Arial"/>
          <w:sz w:val="21"/>
          <w:szCs w:val="21"/>
        </w:rPr>
        <w:t>星河幼儿园海岸分园、海口市五源河学校</w:t>
      </w:r>
      <w:r>
        <w:rPr>
          <w:rFonts w:ascii="Arial" w:hAnsi="Arial" w:cs="Arial"/>
          <w:sz w:val="21"/>
          <w:szCs w:val="21"/>
        </w:rPr>
        <w:t>）、</w:t>
      </w:r>
      <w:r>
        <w:rPr>
          <w:rFonts w:ascii="Arial" w:hAnsi="Arial" w:cs="Arial"/>
          <w:sz w:val="21"/>
          <w:szCs w:val="21"/>
        </w:rPr>
        <w:t>医院（长滨社区卫生服务站、海南省肿瘤医院）、</w:t>
      </w:r>
      <w:r>
        <w:rPr>
          <w:rFonts w:ascii="Arial" w:hAnsi="Arial" w:cs="Arial"/>
          <w:sz w:val="21"/>
          <w:szCs w:val="21"/>
        </w:rPr>
        <w:t>餐饮等公共服务配套设施</w:t>
      </w:r>
      <w:r>
        <w:rPr>
          <w:rFonts w:ascii="Arial" w:hAnsi="Arial" w:cs="Arial"/>
          <w:sz w:val="21"/>
          <w:szCs w:val="21"/>
        </w:rPr>
        <w:t>；综合评价公共配套设施齐备程度一般</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ascii="Arial" w:hAnsi="Arial" w:cs="Arial"/>
          <w:sz w:val="21"/>
          <w:szCs w:val="21"/>
        </w:rPr>
        <w:t>综上，</w:t>
      </w:r>
      <w:r>
        <w:rPr>
          <w:rFonts w:ascii="Arial" w:hAnsi="Arial" w:cs="Arial"/>
          <w:sz w:val="21"/>
          <w:szCs w:val="21"/>
        </w:rPr>
        <w:t>估价对象所处区域地理位置较好，居住社区成熟度一般，交通便捷度一般，自然及人文环境状况较好，区域基础设施达“六通”，公共服务设施齐备程度一般。总体评价影响估价对象的区位条件一般。</w:t>
      </w:r>
    </w:p>
    <w:p>
      <w:pPr>
        <w:pStyle w:val="Normal"/>
        <w:spacing w:lineRule="auto" w:line="480"/>
        <w:ind w:firstLine="420"/>
        <w:jc w:val="both"/>
        <w:rPr>
          <w:rFonts w:ascii="Arial" w:hAnsi="Arial" w:cs="Arial"/>
          <w:b/>
          <w:b/>
          <w:bCs/>
          <w:sz w:val="21"/>
          <w:szCs w:val="21"/>
        </w:rPr>
      </w:pPr>
      <w:r>
        <w:rPr>
          <w:rFonts w:cs="Arial" w:ascii="Arial" w:hAnsi="Arial"/>
          <w:b/>
          <w:bCs/>
          <w:sz w:val="21"/>
          <w:szCs w:val="21"/>
        </w:rPr>
      </w:r>
    </w:p>
    <w:p>
      <w:pPr>
        <w:pStyle w:val="2"/>
        <w:numPr>
          <w:ilvl w:val="0"/>
          <w:numId w:val="0"/>
        </w:numPr>
        <w:spacing w:lineRule="auto" w:line="480"/>
        <w:ind w:left="357" w:hanging="357"/>
        <w:jc w:val="both"/>
        <w:rPr>
          <w:rFonts w:eastAsia="宋体;SimSun"/>
          <w:kern w:val="2"/>
          <w:sz w:val="21"/>
          <w:szCs w:val="21"/>
        </w:rPr>
      </w:pPr>
      <w:bookmarkStart w:id="29" w:name="__RefHeading___Toc162425568"/>
      <w:bookmarkEnd w:id="29"/>
      <w:r>
        <w:rPr>
          <w:rFonts w:eastAsia="宋体;SimSun"/>
          <w:kern w:val="2"/>
          <w:sz w:val="21"/>
          <w:szCs w:val="21"/>
        </w:rPr>
        <w:t>二、市场背景描述与分析</w:t>
      </w:r>
    </w:p>
    <w:p>
      <w:pPr>
        <w:pStyle w:val="Normal"/>
        <w:spacing w:lineRule="auto" w:line="480"/>
        <w:jc w:val="both"/>
        <w:rPr/>
      </w:pPr>
      <w:r>
        <w:rPr>
          <w:rFonts w:ascii="Arial" w:hAnsi="Arial" w:cs="Arial"/>
          <w:b/>
          <w:bCs/>
          <w:color w:val="000000"/>
          <w:sz w:val="21"/>
          <w:szCs w:val="21"/>
        </w:rPr>
        <w:t>（一）类似房地产市场状况</w:t>
      </w:r>
    </w:p>
    <w:p>
      <w:pPr>
        <w:pStyle w:val="Normal"/>
        <w:spacing w:lineRule="auto" w:line="480"/>
        <w:ind w:firstLine="420"/>
        <w:jc w:val="both"/>
        <w:rPr>
          <w:rFonts w:ascii="Arial" w:hAnsi="Arial" w:cs="Arial"/>
          <w:sz w:val="21"/>
          <w:szCs w:val="21"/>
        </w:rPr>
      </w:pPr>
      <w:r>
        <w:rPr>
          <w:rFonts w:cs="Arial" w:ascii="Arial" w:hAnsi="Arial"/>
          <w:sz w:val="21"/>
          <w:szCs w:val="21"/>
        </w:rPr>
        <w:t>1.2024</w:t>
      </w:r>
      <w:r>
        <w:rPr>
          <w:rFonts w:ascii="Arial" w:hAnsi="Arial" w:cs="Arial"/>
          <w:sz w:val="21"/>
          <w:szCs w:val="21"/>
        </w:rPr>
        <w:t>年一季度海口市经济运行情况</w:t>
      </w:r>
    </w:p>
    <w:p>
      <w:pPr>
        <w:pStyle w:val="Normal"/>
        <w:spacing w:lineRule="auto" w:line="480"/>
        <w:ind w:firstLine="420"/>
        <w:jc w:val="both"/>
        <w:rPr>
          <w:rFonts w:ascii="Arial" w:hAnsi="Arial" w:cs="Arial"/>
          <w:sz w:val="21"/>
          <w:szCs w:val="21"/>
        </w:rPr>
      </w:pPr>
      <w:r>
        <w:rPr>
          <w:rFonts w:ascii="Arial" w:hAnsi="Arial" w:cs="Arial"/>
          <w:sz w:val="21"/>
          <w:szCs w:val="21"/>
        </w:rPr>
        <w:t>一季度，全市实现地区生产总值</w:t>
      </w:r>
      <w:r>
        <w:rPr>
          <w:rFonts w:cs="Arial" w:ascii="Arial" w:hAnsi="Arial"/>
          <w:sz w:val="21"/>
          <w:szCs w:val="21"/>
        </w:rPr>
        <w:t>(GDP)560.53</w:t>
      </w:r>
      <w:r>
        <w:rPr>
          <w:rFonts w:ascii="Arial" w:hAnsi="Arial" w:cs="Arial"/>
          <w:sz w:val="21"/>
          <w:szCs w:val="21"/>
        </w:rPr>
        <w:t>亿元，按不变价格计算，同比增长</w:t>
      </w:r>
      <w:r>
        <w:rPr>
          <w:rFonts w:cs="Arial" w:ascii="Arial" w:hAnsi="Arial"/>
          <w:sz w:val="21"/>
          <w:szCs w:val="21"/>
        </w:rPr>
        <w:t>3.1%</w:t>
      </w:r>
      <w:r>
        <w:rPr>
          <w:rFonts w:ascii="Arial" w:hAnsi="Arial" w:cs="Arial"/>
          <w:sz w:val="21"/>
          <w:szCs w:val="21"/>
        </w:rPr>
        <w:t>。分产业看，第一产业增加值</w:t>
      </w:r>
      <w:r>
        <w:rPr>
          <w:rFonts w:cs="Arial" w:ascii="Arial" w:hAnsi="Arial"/>
          <w:sz w:val="21"/>
          <w:szCs w:val="21"/>
        </w:rPr>
        <w:t>22.20</w:t>
      </w:r>
      <w:r>
        <w:rPr>
          <w:rFonts w:ascii="Arial" w:hAnsi="Arial" w:cs="Arial"/>
          <w:sz w:val="21"/>
          <w:szCs w:val="21"/>
        </w:rPr>
        <w:t>亿元，同比增长</w:t>
      </w:r>
      <w:r>
        <w:rPr>
          <w:rFonts w:cs="Arial" w:ascii="Arial" w:hAnsi="Arial"/>
          <w:sz w:val="21"/>
          <w:szCs w:val="21"/>
        </w:rPr>
        <w:t>3.3%</w:t>
      </w:r>
      <w:r>
        <w:rPr>
          <w:rFonts w:ascii="Arial" w:hAnsi="Arial" w:cs="Arial"/>
          <w:sz w:val="21"/>
          <w:szCs w:val="21"/>
        </w:rPr>
        <w:t>；第二产业增加值</w:t>
      </w:r>
      <w:r>
        <w:rPr>
          <w:rFonts w:cs="Arial" w:ascii="Arial" w:hAnsi="Arial"/>
          <w:sz w:val="21"/>
          <w:szCs w:val="21"/>
        </w:rPr>
        <w:t>65.03</w:t>
      </w:r>
      <w:r>
        <w:rPr>
          <w:rFonts w:ascii="Arial" w:hAnsi="Arial" w:cs="Arial"/>
          <w:sz w:val="21"/>
          <w:szCs w:val="21"/>
        </w:rPr>
        <w:t>亿元，同比下降</w:t>
      </w:r>
      <w:r>
        <w:rPr>
          <w:rFonts w:cs="Arial" w:ascii="Arial" w:hAnsi="Arial"/>
          <w:sz w:val="21"/>
          <w:szCs w:val="21"/>
        </w:rPr>
        <w:t>3.5%</w:t>
      </w:r>
      <w:r>
        <w:rPr>
          <w:rFonts w:ascii="Arial" w:hAnsi="Arial" w:cs="Arial"/>
          <w:sz w:val="21"/>
          <w:szCs w:val="21"/>
        </w:rPr>
        <w:t>；第三产业增加值</w:t>
      </w:r>
      <w:r>
        <w:rPr>
          <w:rFonts w:cs="Arial" w:ascii="Arial" w:hAnsi="Arial"/>
          <w:sz w:val="21"/>
          <w:szCs w:val="21"/>
        </w:rPr>
        <w:t>473.30</w:t>
      </w:r>
      <w:r>
        <w:rPr>
          <w:rFonts w:ascii="Arial" w:hAnsi="Arial" w:cs="Arial"/>
          <w:sz w:val="21"/>
          <w:szCs w:val="21"/>
        </w:rPr>
        <w:t>亿元，同比增长</w:t>
      </w:r>
      <w:r>
        <w:rPr>
          <w:rFonts w:cs="Arial" w:ascii="Arial" w:hAnsi="Arial"/>
          <w:sz w:val="21"/>
          <w:szCs w:val="21"/>
        </w:rPr>
        <w:t>4.0%</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ascii="Arial" w:hAnsi="Arial" w:cs="Arial"/>
          <w:sz w:val="21"/>
          <w:szCs w:val="21"/>
        </w:rPr>
        <w:t>一季度，全市农林牧渔业总产值</w:t>
      </w:r>
      <w:r>
        <w:rPr>
          <w:rFonts w:cs="Arial" w:ascii="Arial" w:hAnsi="Arial"/>
          <w:sz w:val="21"/>
          <w:szCs w:val="21"/>
        </w:rPr>
        <w:t>37.12</w:t>
      </w:r>
      <w:r>
        <w:rPr>
          <w:rFonts w:ascii="Arial" w:hAnsi="Arial" w:cs="Arial"/>
          <w:sz w:val="21"/>
          <w:szCs w:val="21"/>
        </w:rPr>
        <w:t>亿元，同比增长</w:t>
      </w:r>
      <w:r>
        <w:rPr>
          <w:rFonts w:cs="Arial" w:ascii="Arial" w:hAnsi="Arial"/>
          <w:sz w:val="21"/>
          <w:szCs w:val="21"/>
        </w:rPr>
        <w:t>3.3%</w:t>
      </w:r>
      <w:r>
        <w:rPr>
          <w:rFonts w:ascii="Arial" w:hAnsi="Arial" w:cs="Arial"/>
          <w:sz w:val="21"/>
          <w:szCs w:val="21"/>
        </w:rPr>
        <w:t>；农业增加值</w:t>
      </w:r>
      <w:r>
        <w:rPr>
          <w:rFonts w:cs="Arial" w:ascii="Arial" w:hAnsi="Arial"/>
          <w:sz w:val="21"/>
          <w:szCs w:val="21"/>
        </w:rPr>
        <w:t>23.38</w:t>
      </w:r>
      <w:r>
        <w:rPr>
          <w:rFonts w:ascii="Arial" w:hAnsi="Arial" w:cs="Arial"/>
          <w:sz w:val="21"/>
          <w:szCs w:val="21"/>
        </w:rPr>
        <w:t>亿元，同比增长</w:t>
      </w:r>
      <w:r>
        <w:rPr>
          <w:rFonts w:cs="Arial" w:ascii="Arial" w:hAnsi="Arial"/>
          <w:sz w:val="21"/>
          <w:szCs w:val="21"/>
        </w:rPr>
        <w:t>3.5%</w:t>
      </w:r>
      <w:r>
        <w:rPr>
          <w:rFonts w:ascii="Arial" w:hAnsi="Arial" w:cs="Arial"/>
          <w:sz w:val="21"/>
          <w:szCs w:val="21"/>
        </w:rPr>
        <w:t>。园林水果产量</w:t>
      </w:r>
      <w:r>
        <w:rPr>
          <w:rFonts w:cs="Arial" w:ascii="Arial" w:hAnsi="Arial"/>
          <w:sz w:val="21"/>
          <w:szCs w:val="21"/>
        </w:rPr>
        <w:t xml:space="preserve">5.74 </w:t>
      </w:r>
      <w:r>
        <w:rPr>
          <w:rFonts w:ascii="Arial" w:hAnsi="Arial" w:cs="Arial"/>
          <w:sz w:val="21"/>
          <w:szCs w:val="21"/>
        </w:rPr>
        <w:t>万吨，增长</w:t>
      </w:r>
      <w:r>
        <w:rPr>
          <w:rFonts w:cs="Arial" w:ascii="Arial" w:hAnsi="Arial"/>
          <w:sz w:val="21"/>
          <w:szCs w:val="21"/>
        </w:rPr>
        <w:t>8.2%</w:t>
      </w:r>
      <w:r>
        <w:rPr>
          <w:rFonts w:ascii="Arial" w:hAnsi="Arial" w:cs="Arial"/>
          <w:sz w:val="21"/>
          <w:szCs w:val="21"/>
        </w:rPr>
        <w:t>。生猪出栏</w:t>
      </w:r>
      <w:r>
        <w:rPr>
          <w:rFonts w:cs="Arial" w:ascii="Arial" w:hAnsi="Arial"/>
          <w:sz w:val="21"/>
          <w:szCs w:val="21"/>
        </w:rPr>
        <w:t>17.61</w:t>
      </w:r>
      <w:r>
        <w:rPr>
          <w:rFonts w:ascii="Arial" w:hAnsi="Arial" w:cs="Arial"/>
          <w:sz w:val="21"/>
          <w:szCs w:val="21"/>
        </w:rPr>
        <w:t>万头，增长</w:t>
      </w:r>
      <w:r>
        <w:rPr>
          <w:rFonts w:ascii="Arial" w:hAnsi="Arial" w:cs="Arial" w:eastAsia="Arial"/>
          <w:sz w:val="21"/>
          <w:szCs w:val="21"/>
        </w:rPr>
        <w:t xml:space="preserve"> </w:t>
      </w:r>
      <w:r>
        <w:rPr>
          <w:rFonts w:cs="Arial" w:ascii="Arial" w:hAnsi="Arial"/>
          <w:sz w:val="21"/>
          <w:szCs w:val="21"/>
        </w:rPr>
        <w:t>0.7%</w:t>
      </w:r>
      <w:r>
        <w:rPr>
          <w:rFonts w:ascii="Arial" w:hAnsi="Arial" w:cs="Arial"/>
          <w:sz w:val="21"/>
          <w:szCs w:val="21"/>
        </w:rPr>
        <w:t>。总肉量</w:t>
      </w:r>
      <w:r>
        <w:rPr>
          <w:rFonts w:cs="Arial" w:ascii="Arial" w:hAnsi="Arial"/>
          <w:sz w:val="21"/>
          <w:szCs w:val="21"/>
        </w:rPr>
        <w:t>1.96</w:t>
      </w:r>
      <w:r>
        <w:rPr>
          <w:rFonts w:ascii="Arial" w:hAnsi="Arial" w:cs="Arial"/>
          <w:sz w:val="21"/>
          <w:szCs w:val="21"/>
        </w:rPr>
        <w:t>万吨，下降</w:t>
      </w:r>
      <w:r>
        <w:rPr>
          <w:rFonts w:cs="Arial" w:ascii="Arial" w:hAnsi="Arial"/>
          <w:sz w:val="21"/>
          <w:szCs w:val="21"/>
        </w:rPr>
        <w:t>1.6%</w:t>
      </w:r>
      <w:r>
        <w:rPr>
          <w:rFonts w:ascii="Arial" w:hAnsi="Arial" w:cs="Arial"/>
          <w:sz w:val="21"/>
          <w:szCs w:val="21"/>
        </w:rPr>
        <w:t>。水产品总产量</w:t>
      </w:r>
      <w:r>
        <w:rPr>
          <w:rFonts w:cs="Arial" w:ascii="Arial" w:hAnsi="Arial"/>
          <w:sz w:val="21"/>
          <w:szCs w:val="21"/>
        </w:rPr>
        <w:t>1.7</w:t>
      </w:r>
      <w:r>
        <w:rPr>
          <w:rFonts w:ascii="Arial" w:hAnsi="Arial" w:cs="Arial"/>
          <w:sz w:val="21"/>
          <w:szCs w:val="21"/>
        </w:rPr>
        <w:t>万吨，增长</w:t>
      </w:r>
      <w:r>
        <w:rPr>
          <w:rFonts w:cs="Arial" w:ascii="Arial" w:hAnsi="Arial"/>
          <w:sz w:val="21"/>
          <w:szCs w:val="21"/>
        </w:rPr>
        <w:t>11.0%</w:t>
      </w:r>
      <w:r>
        <w:rPr>
          <w:rFonts w:ascii="Arial" w:hAnsi="Arial" w:cs="Arial"/>
          <w:sz w:val="21"/>
          <w:szCs w:val="21"/>
        </w:rPr>
        <w:t>。</w:t>
      </w:r>
    </w:p>
    <w:p>
      <w:pPr>
        <w:pStyle w:val="Normal"/>
        <w:spacing w:lineRule="auto" w:line="480"/>
        <w:ind w:firstLine="420"/>
        <w:jc w:val="both"/>
        <w:rPr/>
      </w:pPr>
      <w:r>
        <w:rPr>
          <w:rFonts w:ascii="Arial" w:hAnsi="Arial" w:cs="Arial"/>
          <w:sz w:val="21"/>
          <w:szCs w:val="21"/>
        </w:rPr>
        <w:t>一季度</w:t>
      </w:r>
      <w:r>
        <w:rPr>
          <w:rFonts w:cs="Arial" w:ascii="Arial" w:hAnsi="Arial"/>
          <w:sz w:val="21"/>
          <w:szCs w:val="21"/>
        </w:rPr>
        <w:t>,</w:t>
      </w:r>
      <w:r>
        <w:rPr>
          <w:rFonts w:ascii="Arial" w:hAnsi="Arial" w:cs="Arial"/>
          <w:sz w:val="21"/>
          <w:szCs w:val="21"/>
        </w:rPr>
        <w:t>全市规上工业产值</w:t>
      </w:r>
      <w:r>
        <w:rPr>
          <w:rFonts w:cs="Arial" w:ascii="Arial" w:hAnsi="Arial"/>
          <w:sz w:val="21"/>
          <w:szCs w:val="21"/>
        </w:rPr>
        <w:t xml:space="preserve">196.13 </w:t>
      </w:r>
      <w:r>
        <w:rPr>
          <w:rFonts w:ascii="Arial" w:hAnsi="Arial" w:cs="Arial"/>
          <w:sz w:val="21"/>
          <w:szCs w:val="21"/>
        </w:rPr>
        <w:t>亿元，同比下降</w:t>
      </w:r>
      <w:r>
        <w:rPr>
          <w:rFonts w:ascii="Arial" w:hAnsi="Arial" w:cs="Arial" w:eastAsia="Arial"/>
          <w:sz w:val="21"/>
          <w:szCs w:val="21"/>
        </w:rPr>
        <w:t xml:space="preserve"> </w:t>
      </w:r>
      <w:r>
        <w:rPr>
          <w:rFonts w:cs="Arial" w:ascii="Arial" w:hAnsi="Arial"/>
          <w:sz w:val="21"/>
          <w:szCs w:val="21"/>
        </w:rPr>
        <w:t>7.0%</w:t>
      </w:r>
      <w:r>
        <w:rPr>
          <w:rFonts w:ascii="Arial" w:hAnsi="Arial" w:cs="Arial"/>
          <w:sz w:val="21"/>
          <w:szCs w:val="21"/>
        </w:rPr>
        <w:t>；规模以上工业增加值同比下降</w:t>
      </w:r>
      <w:r>
        <w:rPr>
          <w:rFonts w:cs="Arial" w:ascii="Arial" w:hAnsi="Arial"/>
          <w:sz w:val="21"/>
          <w:szCs w:val="21"/>
        </w:rPr>
        <w:t>2.9%</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ascii="Arial" w:hAnsi="Arial" w:cs="Arial"/>
          <w:sz w:val="21"/>
          <w:szCs w:val="21"/>
        </w:rPr>
        <w:t>一季度，工业重点行业“四升五降”，占规上工业总产值比重</w:t>
      </w:r>
      <w:r>
        <w:rPr>
          <w:rFonts w:cs="Arial" w:ascii="Arial" w:hAnsi="Arial"/>
          <w:sz w:val="21"/>
          <w:szCs w:val="21"/>
        </w:rPr>
        <w:t>91.7%</w:t>
      </w:r>
      <w:r>
        <w:rPr>
          <w:rFonts w:ascii="Arial" w:hAnsi="Arial" w:cs="Arial"/>
          <w:sz w:val="21"/>
          <w:szCs w:val="21"/>
        </w:rPr>
        <w:t>。分行业看，石油和天然气开采业，酒、饮料和精制茶制造业，烟草制品业，电力、热力生产和供应业分别上涨</w:t>
      </w:r>
      <w:r>
        <w:rPr>
          <w:rFonts w:cs="Arial" w:ascii="Arial" w:hAnsi="Arial"/>
          <w:sz w:val="21"/>
          <w:szCs w:val="21"/>
        </w:rPr>
        <w:t>25.3%</w:t>
      </w:r>
      <w:r>
        <w:rPr>
          <w:rFonts w:ascii="Arial" w:hAnsi="Arial" w:cs="Arial"/>
          <w:sz w:val="21"/>
          <w:szCs w:val="21"/>
        </w:rPr>
        <w:t>、</w:t>
      </w:r>
      <w:r>
        <w:rPr>
          <w:rFonts w:cs="Arial" w:ascii="Arial" w:hAnsi="Arial"/>
          <w:sz w:val="21"/>
          <w:szCs w:val="21"/>
        </w:rPr>
        <w:t>5.1%</w:t>
      </w:r>
      <w:r>
        <w:rPr>
          <w:rFonts w:ascii="Arial" w:hAnsi="Arial" w:cs="Arial"/>
          <w:sz w:val="21"/>
          <w:szCs w:val="21"/>
        </w:rPr>
        <w:t>、</w:t>
      </w:r>
      <w:r>
        <w:rPr>
          <w:rFonts w:cs="Arial" w:ascii="Arial" w:hAnsi="Arial"/>
          <w:sz w:val="21"/>
          <w:szCs w:val="21"/>
        </w:rPr>
        <w:t>3.1%</w:t>
      </w:r>
      <w:r>
        <w:rPr>
          <w:rFonts w:ascii="Arial" w:hAnsi="Arial" w:cs="Arial"/>
          <w:sz w:val="21"/>
          <w:szCs w:val="21"/>
        </w:rPr>
        <w:t>、</w:t>
      </w:r>
      <w:r>
        <w:rPr>
          <w:rFonts w:cs="Arial" w:ascii="Arial" w:hAnsi="Arial"/>
          <w:sz w:val="21"/>
          <w:szCs w:val="21"/>
        </w:rPr>
        <w:t>13%</w:t>
      </w:r>
      <w:r>
        <w:rPr>
          <w:rFonts w:ascii="Arial" w:hAnsi="Arial" w:cs="Arial"/>
          <w:sz w:val="21"/>
          <w:szCs w:val="21"/>
        </w:rPr>
        <w:t>，医药制造业，农副食品加工业，非金属矿物制品业，汽车制造业，电气机械和器材制造业分别下降</w:t>
      </w:r>
      <w:r>
        <w:rPr>
          <w:rFonts w:cs="Arial" w:ascii="Arial" w:hAnsi="Arial"/>
          <w:sz w:val="21"/>
          <w:szCs w:val="21"/>
        </w:rPr>
        <w:t>12.5%</w:t>
      </w:r>
      <w:r>
        <w:rPr>
          <w:rFonts w:ascii="Arial" w:hAnsi="Arial" w:cs="Arial"/>
          <w:sz w:val="21"/>
          <w:szCs w:val="21"/>
        </w:rPr>
        <w:t>、</w:t>
      </w:r>
      <w:r>
        <w:rPr>
          <w:rFonts w:cs="Arial" w:ascii="Arial" w:hAnsi="Arial"/>
          <w:sz w:val="21"/>
          <w:szCs w:val="21"/>
        </w:rPr>
        <w:t>12.8%</w:t>
      </w:r>
      <w:r>
        <w:rPr>
          <w:rFonts w:ascii="Arial" w:hAnsi="Arial" w:cs="Arial"/>
          <w:sz w:val="21"/>
          <w:szCs w:val="21"/>
        </w:rPr>
        <w:t>、</w:t>
      </w:r>
      <w:r>
        <w:rPr>
          <w:rFonts w:cs="Arial" w:ascii="Arial" w:hAnsi="Arial"/>
          <w:sz w:val="21"/>
          <w:szCs w:val="21"/>
        </w:rPr>
        <w:t>7.4%</w:t>
      </w:r>
      <w:r>
        <w:rPr>
          <w:rFonts w:ascii="Arial" w:hAnsi="Arial" w:cs="Arial"/>
          <w:sz w:val="21"/>
          <w:szCs w:val="21"/>
        </w:rPr>
        <w:t>、</w:t>
      </w:r>
      <w:r>
        <w:rPr>
          <w:rFonts w:cs="Arial" w:ascii="Arial" w:hAnsi="Arial"/>
          <w:sz w:val="21"/>
          <w:szCs w:val="21"/>
        </w:rPr>
        <w:t>78.5%</w:t>
      </w:r>
      <w:r>
        <w:rPr>
          <w:rFonts w:ascii="Arial" w:hAnsi="Arial" w:cs="Arial"/>
          <w:sz w:val="21"/>
          <w:szCs w:val="21"/>
        </w:rPr>
        <w:t>、</w:t>
      </w:r>
      <w:r>
        <w:rPr>
          <w:rFonts w:cs="Arial" w:ascii="Arial" w:hAnsi="Arial"/>
          <w:sz w:val="21"/>
          <w:szCs w:val="21"/>
        </w:rPr>
        <w:t>5.4%</w:t>
      </w:r>
      <w:r>
        <w:rPr>
          <w:rFonts w:ascii="Arial" w:hAnsi="Arial" w:cs="Arial"/>
          <w:sz w:val="21"/>
          <w:szCs w:val="21"/>
        </w:rPr>
        <w:t>。</w:t>
      </w:r>
    </w:p>
    <w:p>
      <w:pPr>
        <w:pStyle w:val="Normal"/>
        <w:spacing w:lineRule="auto" w:line="480"/>
        <w:ind w:firstLine="420"/>
        <w:jc w:val="both"/>
        <w:rPr/>
      </w:pPr>
      <w:r>
        <w:rPr>
          <w:rFonts w:ascii="Arial" w:hAnsi="Arial" w:cs="Arial"/>
          <w:sz w:val="21"/>
          <w:szCs w:val="21"/>
        </w:rPr>
        <w:t>一季度，全市完成旅客周转总量同比增长</w:t>
      </w:r>
      <w:r>
        <w:rPr>
          <w:rFonts w:cs="Arial" w:ascii="Arial" w:hAnsi="Arial"/>
          <w:sz w:val="21"/>
          <w:szCs w:val="21"/>
        </w:rPr>
        <w:t>33.7%</w:t>
      </w:r>
      <w:r>
        <w:rPr>
          <w:rFonts w:ascii="Arial" w:hAnsi="Arial" w:cs="Arial"/>
          <w:sz w:val="21"/>
          <w:szCs w:val="21"/>
        </w:rPr>
        <w:t>，其中航空旅客周转量同比增长</w:t>
      </w:r>
      <w:r>
        <w:rPr>
          <w:rFonts w:cs="Arial" w:ascii="Arial" w:hAnsi="Arial"/>
          <w:sz w:val="21"/>
          <w:szCs w:val="21"/>
        </w:rPr>
        <w:t>34.7%</w:t>
      </w:r>
      <w:r>
        <w:rPr>
          <w:rFonts w:ascii="Arial" w:hAnsi="Arial" w:cs="Arial"/>
          <w:sz w:val="21"/>
          <w:szCs w:val="21"/>
        </w:rPr>
        <w:t>，航空旅客周转量占全市旅客周转总量</w:t>
      </w:r>
      <w:r>
        <w:rPr>
          <w:rFonts w:cs="Arial" w:ascii="Arial" w:hAnsi="Arial"/>
          <w:sz w:val="21"/>
          <w:szCs w:val="21"/>
        </w:rPr>
        <w:t>87.9%</w:t>
      </w:r>
      <w:r>
        <w:rPr>
          <w:rFonts w:ascii="Arial" w:hAnsi="Arial" w:cs="Arial"/>
          <w:sz w:val="21"/>
          <w:szCs w:val="21"/>
        </w:rPr>
        <w:t>。全市完成货物周转总量同比增长</w:t>
      </w:r>
      <w:r>
        <w:rPr>
          <w:rFonts w:cs="Arial" w:ascii="Arial" w:hAnsi="Arial"/>
          <w:sz w:val="21"/>
          <w:szCs w:val="21"/>
        </w:rPr>
        <w:t>10.9%</w:t>
      </w:r>
      <w:r>
        <w:rPr>
          <w:rFonts w:ascii="Arial" w:hAnsi="Arial" w:cs="Arial"/>
          <w:sz w:val="21"/>
          <w:szCs w:val="21"/>
        </w:rPr>
        <w:t>，其中水上货物周转量同比增长</w:t>
      </w:r>
      <w:r>
        <w:rPr>
          <w:rFonts w:cs="Arial" w:ascii="Arial" w:hAnsi="Arial"/>
          <w:sz w:val="21"/>
          <w:szCs w:val="21"/>
        </w:rPr>
        <w:t>10.6%</w:t>
      </w:r>
    </w:p>
    <w:p>
      <w:pPr>
        <w:pStyle w:val="Normal"/>
        <w:spacing w:lineRule="auto" w:line="480"/>
        <w:ind w:firstLine="420"/>
        <w:jc w:val="both"/>
        <w:rPr>
          <w:rFonts w:ascii="Arial" w:hAnsi="Arial" w:cs="Arial"/>
          <w:sz w:val="21"/>
          <w:szCs w:val="21"/>
        </w:rPr>
      </w:pPr>
      <w:r>
        <w:rPr>
          <w:rFonts w:ascii="Arial" w:hAnsi="Arial" w:cs="Arial"/>
          <w:sz w:val="21"/>
          <w:szCs w:val="21"/>
        </w:rPr>
        <w:t>一季度，全市货物贸易进出口总额</w:t>
      </w:r>
      <w:r>
        <w:rPr>
          <w:rFonts w:cs="Arial" w:ascii="Arial" w:hAnsi="Arial"/>
          <w:sz w:val="21"/>
          <w:szCs w:val="21"/>
        </w:rPr>
        <w:t>185.30</w:t>
      </w:r>
      <w:r>
        <w:rPr>
          <w:rFonts w:ascii="Arial" w:hAnsi="Arial" w:cs="Arial"/>
          <w:sz w:val="21"/>
          <w:szCs w:val="21"/>
        </w:rPr>
        <w:t>亿元，同比下降</w:t>
      </w:r>
      <w:r>
        <w:rPr>
          <w:rFonts w:cs="Arial" w:ascii="Arial" w:hAnsi="Arial"/>
          <w:sz w:val="21"/>
          <w:szCs w:val="21"/>
        </w:rPr>
        <w:t>1.8%</w:t>
      </w:r>
      <w:r>
        <w:rPr>
          <w:rFonts w:ascii="Arial" w:hAnsi="Arial" w:cs="Arial"/>
          <w:sz w:val="21"/>
          <w:szCs w:val="21"/>
        </w:rPr>
        <w:t>。其中，货物进口额</w:t>
      </w:r>
      <w:r>
        <w:rPr>
          <w:rFonts w:cs="Arial" w:ascii="Arial" w:hAnsi="Arial"/>
          <w:sz w:val="21"/>
          <w:szCs w:val="21"/>
        </w:rPr>
        <w:t>127.77</w:t>
      </w:r>
      <w:r>
        <w:rPr>
          <w:rFonts w:ascii="Arial" w:hAnsi="Arial" w:cs="Arial"/>
          <w:sz w:val="21"/>
          <w:szCs w:val="21"/>
        </w:rPr>
        <w:t>亿元，下降</w:t>
      </w:r>
      <w:r>
        <w:rPr>
          <w:rFonts w:cs="Arial" w:ascii="Arial" w:hAnsi="Arial"/>
          <w:sz w:val="21"/>
          <w:szCs w:val="21"/>
        </w:rPr>
        <w:t>6.2%;</w:t>
      </w:r>
      <w:r>
        <w:rPr>
          <w:rFonts w:ascii="Arial" w:hAnsi="Arial" w:cs="Arial"/>
          <w:sz w:val="21"/>
          <w:szCs w:val="21"/>
        </w:rPr>
        <w:t>货物出口额</w:t>
      </w:r>
      <w:r>
        <w:rPr>
          <w:rFonts w:cs="Arial" w:ascii="Arial" w:hAnsi="Arial"/>
          <w:sz w:val="21"/>
          <w:szCs w:val="21"/>
        </w:rPr>
        <w:t xml:space="preserve">57.53 </w:t>
      </w:r>
      <w:r>
        <w:rPr>
          <w:rFonts w:ascii="Arial" w:hAnsi="Arial" w:cs="Arial"/>
          <w:sz w:val="21"/>
          <w:szCs w:val="21"/>
        </w:rPr>
        <w:t>亿元，增长</w:t>
      </w:r>
      <w:r>
        <w:rPr>
          <w:rFonts w:ascii="Arial" w:hAnsi="Arial" w:cs="Arial" w:eastAsia="Arial"/>
          <w:sz w:val="21"/>
          <w:szCs w:val="21"/>
        </w:rPr>
        <w:t xml:space="preserve"> </w:t>
      </w:r>
      <w:r>
        <w:rPr>
          <w:rFonts w:cs="Arial" w:ascii="Arial" w:hAnsi="Arial"/>
          <w:sz w:val="21"/>
          <w:szCs w:val="21"/>
        </w:rPr>
        <w:t>9.5%</w:t>
      </w:r>
      <w:r>
        <w:rPr>
          <w:rFonts w:ascii="Arial" w:hAnsi="Arial" w:cs="Arial"/>
          <w:sz w:val="21"/>
          <w:szCs w:val="21"/>
        </w:rPr>
        <w:t>。</w:t>
      </w:r>
    </w:p>
    <w:p>
      <w:pPr>
        <w:pStyle w:val="Normal"/>
        <w:spacing w:lineRule="auto" w:line="480"/>
        <w:ind w:firstLine="420"/>
        <w:jc w:val="both"/>
        <w:rPr/>
      </w:pPr>
      <w:r>
        <w:rPr>
          <w:rFonts w:ascii="Arial" w:hAnsi="Arial" w:cs="Arial"/>
          <w:sz w:val="21"/>
          <w:szCs w:val="21"/>
        </w:rPr>
        <w:t>一季度，全市固定资产投资同比下降</w:t>
      </w:r>
      <w:r>
        <w:rPr>
          <w:rFonts w:cs="Arial" w:ascii="Arial" w:hAnsi="Arial"/>
          <w:sz w:val="21"/>
          <w:szCs w:val="21"/>
        </w:rPr>
        <w:t>5.3%</w:t>
      </w:r>
      <w:r>
        <w:rPr>
          <w:rFonts w:ascii="Arial" w:hAnsi="Arial" w:cs="Arial"/>
          <w:sz w:val="21"/>
          <w:szCs w:val="21"/>
        </w:rPr>
        <w:t>，比上年全年回落</w:t>
      </w:r>
      <w:r>
        <w:rPr>
          <w:rFonts w:cs="Arial" w:ascii="Arial" w:hAnsi="Arial"/>
          <w:sz w:val="21"/>
          <w:szCs w:val="21"/>
        </w:rPr>
        <w:t>10</w:t>
      </w:r>
      <w:r>
        <w:rPr>
          <w:rFonts w:ascii="Arial" w:hAnsi="Arial" w:cs="Arial"/>
          <w:sz w:val="21"/>
          <w:szCs w:val="21"/>
        </w:rPr>
        <w:t>个百分点。分行业看，采矿业投资，电力、燃气及水的生产和供应业投资，信息传输计算机服务和软件业投资分别增长</w:t>
      </w:r>
      <w:r>
        <w:rPr>
          <w:rFonts w:cs="Arial" w:ascii="Arial" w:hAnsi="Arial"/>
          <w:sz w:val="21"/>
          <w:szCs w:val="21"/>
        </w:rPr>
        <w:t>27.7%</w:t>
      </w:r>
      <w:r>
        <w:rPr>
          <w:rFonts w:ascii="Arial" w:hAnsi="Arial" w:cs="Arial"/>
          <w:sz w:val="21"/>
          <w:szCs w:val="21"/>
        </w:rPr>
        <w:t>、</w:t>
      </w:r>
      <w:r>
        <w:rPr>
          <w:rFonts w:cs="Arial" w:ascii="Arial" w:hAnsi="Arial"/>
          <w:sz w:val="21"/>
          <w:szCs w:val="21"/>
        </w:rPr>
        <w:t>14%</w:t>
      </w:r>
      <w:r>
        <w:rPr>
          <w:rFonts w:ascii="Arial" w:hAnsi="Arial" w:cs="Arial"/>
          <w:sz w:val="21"/>
          <w:szCs w:val="21"/>
        </w:rPr>
        <w:t>、</w:t>
      </w:r>
      <w:r>
        <w:rPr>
          <w:rFonts w:cs="Arial" w:ascii="Arial" w:hAnsi="Arial"/>
          <w:sz w:val="21"/>
          <w:szCs w:val="21"/>
        </w:rPr>
        <w:t>19.8%</w:t>
      </w:r>
      <w:r>
        <w:rPr>
          <w:rFonts w:ascii="Arial" w:hAnsi="Arial" w:cs="Arial"/>
          <w:sz w:val="21"/>
          <w:szCs w:val="21"/>
        </w:rPr>
        <w:t>，制造业投资，交通运输、仓储和邮政业投资房地产业投资分别下降</w:t>
      </w:r>
      <w:r>
        <w:rPr>
          <w:rFonts w:cs="Arial" w:ascii="Arial" w:hAnsi="Arial"/>
          <w:sz w:val="21"/>
          <w:szCs w:val="21"/>
        </w:rPr>
        <w:t>35.1%</w:t>
      </w:r>
      <w:r>
        <w:rPr>
          <w:rFonts w:ascii="Arial" w:hAnsi="Arial" w:cs="Arial"/>
          <w:sz w:val="21"/>
          <w:szCs w:val="21"/>
        </w:rPr>
        <w:t>、</w:t>
      </w:r>
      <w:r>
        <w:rPr>
          <w:rFonts w:cs="Arial" w:ascii="Arial" w:hAnsi="Arial"/>
          <w:sz w:val="21"/>
          <w:szCs w:val="21"/>
        </w:rPr>
        <w:t>18.7%</w:t>
      </w:r>
      <w:r>
        <w:rPr>
          <w:rFonts w:ascii="Arial" w:hAnsi="Arial" w:cs="Arial"/>
          <w:sz w:val="21"/>
          <w:szCs w:val="21"/>
        </w:rPr>
        <w:t>、</w:t>
      </w:r>
      <w:r>
        <w:rPr>
          <w:rFonts w:cs="Arial" w:ascii="Arial" w:hAnsi="Arial"/>
          <w:sz w:val="21"/>
          <w:szCs w:val="21"/>
        </w:rPr>
        <w:t>7.2%</w:t>
      </w:r>
      <w:r>
        <w:rPr>
          <w:rFonts w:ascii="Arial" w:hAnsi="Arial" w:cs="Arial"/>
          <w:sz w:val="21"/>
          <w:szCs w:val="21"/>
        </w:rPr>
        <w:t>。</w:t>
      </w:r>
    </w:p>
    <w:p>
      <w:pPr>
        <w:pStyle w:val="Normal"/>
        <w:spacing w:lineRule="auto" w:line="480"/>
        <w:ind w:firstLine="420"/>
        <w:jc w:val="both"/>
        <w:rPr/>
      </w:pPr>
      <w:r>
        <w:rPr>
          <w:rFonts w:ascii="Arial" w:hAnsi="Arial" w:cs="Arial"/>
          <w:sz w:val="21"/>
          <w:szCs w:val="21"/>
        </w:rPr>
        <w:t>一季度，全市社会消费品零售总额</w:t>
      </w:r>
      <w:r>
        <w:rPr>
          <w:rFonts w:cs="Arial" w:ascii="Arial" w:hAnsi="Arial"/>
          <w:sz w:val="21"/>
          <w:szCs w:val="21"/>
        </w:rPr>
        <w:t>247.36</w:t>
      </w:r>
      <w:r>
        <w:rPr>
          <w:rFonts w:ascii="Arial" w:hAnsi="Arial" w:cs="Arial"/>
          <w:sz w:val="21"/>
          <w:szCs w:val="21"/>
        </w:rPr>
        <w:t>亿元，同比下降</w:t>
      </w:r>
      <w:r>
        <w:rPr>
          <w:rFonts w:cs="Arial" w:ascii="Arial" w:hAnsi="Arial"/>
          <w:sz w:val="21"/>
          <w:szCs w:val="21"/>
        </w:rPr>
        <w:t>5.3%</w:t>
      </w:r>
      <w:r>
        <w:rPr>
          <w:rFonts w:ascii="Arial" w:hAnsi="Arial" w:cs="Arial"/>
          <w:sz w:val="21"/>
          <w:szCs w:val="21"/>
        </w:rPr>
        <w:t>，比上年全年回落</w:t>
      </w:r>
      <w:r>
        <w:rPr>
          <w:rFonts w:cs="Arial" w:ascii="Arial" w:hAnsi="Arial"/>
          <w:sz w:val="21"/>
          <w:szCs w:val="21"/>
        </w:rPr>
        <w:t>13.9</w:t>
      </w:r>
      <w:r>
        <w:rPr>
          <w:rFonts w:ascii="Arial" w:hAnsi="Arial" w:cs="Arial"/>
          <w:sz w:val="21"/>
          <w:szCs w:val="21"/>
        </w:rPr>
        <w:t>个百分点。按消费类型分，全市商品零售</w:t>
      </w:r>
      <w:r>
        <w:rPr>
          <w:rFonts w:ascii="Arial" w:hAnsi="Arial" w:cs="Arial" w:eastAsia="Arial"/>
          <w:sz w:val="21"/>
          <w:szCs w:val="21"/>
        </w:rPr>
        <w:t xml:space="preserve"> </w:t>
      </w:r>
      <w:r>
        <w:rPr>
          <w:rFonts w:cs="Arial" w:ascii="Arial" w:hAnsi="Arial"/>
          <w:sz w:val="21"/>
          <w:szCs w:val="21"/>
        </w:rPr>
        <w:t xml:space="preserve">233.31 </w:t>
      </w:r>
      <w:r>
        <w:rPr>
          <w:rFonts w:ascii="Arial" w:hAnsi="Arial" w:cs="Arial"/>
          <w:sz w:val="21"/>
          <w:szCs w:val="21"/>
        </w:rPr>
        <w:t>亿元，同比下降</w:t>
      </w:r>
      <w:r>
        <w:rPr>
          <w:rFonts w:ascii="Arial" w:hAnsi="Arial" w:cs="Arial" w:eastAsia="Arial"/>
          <w:sz w:val="21"/>
          <w:szCs w:val="21"/>
        </w:rPr>
        <w:t xml:space="preserve"> </w:t>
      </w:r>
      <w:r>
        <w:rPr>
          <w:rFonts w:cs="Arial" w:ascii="Arial" w:hAnsi="Arial"/>
          <w:sz w:val="21"/>
          <w:szCs w:val="21"/>
        </w:rPr>
        <w:t>5.9%;</w:t>
      </w:r>
      <w:r>
        <w:rPr>
          <w:rFonts w:ascii="Arial" w:hAnsi="Arial" w:cs="Arial"/>
          <w:sz w:val="21"/>
          <w:szCs w:val="21"/>
        </w:rPr>
        <w:t>餐饮收入</w:t>
      </w:r>
      <w:r>
        <w:rPr>
          <w:rFonts w:ascii="Arial" w:hAnsi="Arial" w:cs="Arial" w:eastAsia="Arial"/>
          <w:sz w:val="21"/>
          <w:szCs w:val="21"/>
        </w:rPr>
        <w:t xml:space="preserve"> </w:t>
      </w:r>
      <w:r>
        <w:rPr>
          <w:rFonts w:cs="Arial" w:ascii="Arial" w:hAnsi="Arial"/>
          <w:sz w:val="21"/>
          <w:szCs w:val="21"/>
        </w:rPr>
        <w:t xml:space="preserve">14.05 </w:t>
      </w:r>
      <w:r>
        <w:rPr>
          <w:rFonts w:ascii="Arial" w:hAnsi="Arial" w:cs="Arial"/>
          <w:sz w:val="21"/>
          <w:szCs w:val="21"/>
        </w:rPr>
        <w:t>亿元，同比增长</w:t>
      </w:r>
      <w:r>
        <w:rPr>
          <w:rFonts w:ascii="Arial" w:hAnsi="Arial" w:cs="Arial" w:eastAsia="Arial"/>
          <w:sz w:val="21"/>
          <w:szCs w:val="21"/>
        </w:rPr>
        <w:t xml:space="preserve"> </w:t>
      </w:r>
      <w:r>
        <w:rPr>
          <w:rFonts w:cs="Arial" w:ascii="Arial" w:hAnsi="Arial"/>
          <w:sz w:val="21"/>
          <w:szCs w:val="21"/>
        </w:rPr>
        <w:t>6.3%</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ascii="Arial" w:hAnsi="Arial" w:cs="Arial"/>
          <w:sz w:val="21"/>
          <w:szCs w:val="21"/>
        </w:rPr>
        <w:t>一季度，全市城乡居民人均可支配收入</w:t>
      </w:r>
      <w:r>
        <w:rPr>
          <w:rFonts w:cs="Arial" w:ascii="Arial" w:hAnsi="Arial"/>
          <w:sz w:val="21"/>
          <w:szCs w:val="21"/>
        </w:rPr>
        <w:t>11803</w:t>
      </w:r>
      <w:r>
        <w:rPr>
          <w:rFonts w:ascii="Arial" w:hAnsi="Arial" w:cs="Arial"/>
          <w:sz w:val="21"/>
          <w:szCs w:val="21"/>
        </w:rPr>
        <w:t>元，同比名义增长</w:t>
      </w:r>
      <w:r>
        <w:rPr>
          <w:rFonts w:cs="Arial" w:ascii="Arial" w:hAnsi="Arial"/>
          <w:sz w:val="21"/>
          <w:szCs w:val="21"/>
        </w:rPr>
        <w:t>5.3%</w:t>
      </w:r>
      <w:r>
        <w:rPr>
          <w:rFonts w:ascii="Arial" w:hAnsi="Arial" w:cs="Arial"/>
          <w:sz w:val="21"/>
          <w:szCs w:val="21"/>
        </w:rPr>
        <w:t>。按常住地分，城镇居民人均可支配收入</w:t>
      </w:r>
      <w:r>
        <w:rPr>
          <w:rFonts w:cs="Arial" w:ascii="Arial" w:hAnsi="Arial"/>
          <w:sz w:val="21"/>
          <w:szCs w:val="21"/>
        </w:rPr>
        <w:t>13409</w:t>
      </w:r>
      <w:r>
        <w:rPr>
          <w:rFonts w:ascii="Arial" w:hAnsi="Arial" w:cs="Arial"/>
          <w:sz w:val="21"/>
          <w:szCs w:val="21"/>
        </w:rPr>
        <w:t>元，名义增长</w:t>
      </w:r>
      <w:r>
        <w:rPr>
          <w:rFonts w:cs="Arial" w:ascii="Arial" w:hAnsi="Arial"/>
          <w:sz w:val="21"/>
          <w:szCs w:val="21"/>
        </w:rPr>
        <w:t>4.9%;</w:t>
      </w:r>
      <w:r>
        <w:rPr>
          <w:rFonts w:ascii="Arial" w:hAnsi="Arial" w:cs="Arial"/>
          <w:sz w:val="21"/>
          <w:szCs w:val="21"/>
        </w:rPr>
        <w:t>农村居民人均可支配收入</w:t>
      </w:r>
      <w:r>
        <w:rPr>
          <w:rFonts w:cs="Arial" w:ascii="Arial" w:hAnsi="Arial"/>
          <w:sz w:val="21"/>
          <w:szCs w:val="21"/>
        </w:rPr>
        <w:t>6143</w:t>
      </w:r>
      <w:r>
        <w:rPr>
          <w:rFonts w:ascii="Arial" w:hAnsi="Arial" w:cs="Arial"/>
          <w:sz w:val="21"/>
          <w:szCs w:val="21"/>
        </w:rPr>
        <w:t>元，名义增长</w:t>
      </w:r>
      <w:r>
        <w:rPr>
          <w:rFonts w:cs="Arial" w:ascii="Arial" w:hAnsi="Arial"/>
          <w:sz w:val="21"/>
          <w:szCs w:val="21"/>
        </w:rPr>
        <w:t>7.7%</w:t>
      </w:r>
      <w:r>
        <w:rPr>
          <w:rFonts w:ascii="Arial" w:hAnsi="Arial" w:cs="Arial"/>
          <w:sz w:val="21"/>
          <w:szCs w:val="21"/>
        </w:rPr>
        <w:t>，快于城镇居民人均可支配收入</w:t>
      </w:r>
      <w:r>
        <w:rPr>
          <w:rFonts w:cs="Arial" w:ascii="Arial" w:hAnsi="Arial"/>
          <w:sz w:val="21"/>
          <w:szCs w:val="21"/>
        </w:rPr>
        <w:t>2.8</w:t>
      </w:r>
      <w:r>
        <w:rPr>
          <w:rFonts w:ascii="Arial" w:hAnsi="Arial" w:cs="Arial"/>
          <w:sz w:val="21"/>
          <w:szCs w:val="21"/>
        </w:rPr>
        <w:t>个百分点一季度，全市居民消费价格指数</w:t>
      </w:r>
      <w:r>
        <w:rPr>
          <w:rFonts w:cs="Arial" w:ascii="Arial" w:hAnsi="Arial"/>
          <w:sz w:val="21"/>
          <w:szCs w:val="21"/>
        </w:rPr>
        <w:t>(CPI)</w:t>
      </w:r>
      <w:r>
        <w:rPr>
          <w:rFonts w:ascii="Arial" w:hAnsi="Arial" w:cs="Arial"/>
          <w:sz w:val="21"/>
          <w:szCs w:val="21"/>
        </w:rPr>
        <w:t>同比下降</w:t>
      </w:r>
      <w:r>
        <w:rPr>
          <w:rFonts w:cs="Arial" w:ascii="Arial" w:hAnsi="Arial"/>
          <w:sz w:val="21"/>
          <w:szCs w:val="21"/>
        </w:rPr>
        <w:t>0.1%</w:t>
      </w:r>
      <w:r>
        <w:rPr>
          <w:rFonts w:ascii="Arial" w:hAnsi="Arial" w:cs="Arial"/>
          <w:sz w:val="21"/>
          <w:szCs w:val="21"/>
        </w:rPr>
        <w:t>。分类别看，衣着、居住、生活用品及服务、教育文化娱乐、其他用品及服务价格分别上涨</w:t>
      </w:r>
      <w:r>
        <w:rPr>
          <w:rFonts w:cs="Arial" w:ascii="Arial" w:hAnsi="Arial"/>
          <w:sz w:val="21"/>
          <w:szCs w:val="21"/>
        </w:rPr>
        <w:t>2.9%</w:t>
      </w:r>
      <w:r>
        <w:rPr>
          <w:rFonts w:ascii="Arial" w:hAnsi="Arial" w:cs="Arial"/>
          <w:sz w:val="21"/>
          <w:szCs w:val="21"/>
        </w:rPr>
        <w:t>、</w:t>
      </w:r>
      <w:r>
        <w:rPr>
          <w:rFonts w:cs="Arial" w:ascii="Arial" w:hAnsi="Arial"/>
          <w:sz w:val="21"/>
          <w:szCs w:val="21"/>
        </w:rPr>
        <w:t>0.9%</w:t>
      </w:r>
      <w:r>
        <w:rPr>
          <w:rFonts w:ascii="Arial" w:hAnsi="Arial" w:cs="Arial"/>
          <w:sz w:val="21"/>
          <w:szCs w:val="21"/>
        </w:rPr>
        <w:t>、</w:t>
      </w:r>
      <w:r>
        <w:rPr>
          <w:rFonts w:cs="Arial" w:ascii="Arial" w:hAnsi="Arial"/>
          <w:sz w:val="21"/>
          <w:szCs w:val="21"/>
        </w:rPr>
        <w:t>2.3%</w:t>
      </w:r>
      <w:r>
        <w:rPr>
          <w:rFonts w:ascii="Arial" w:hAnsi="Arial" w:cs="Arial"/>
          <w:sz w:val="21"/>
          <w:szCs w:val="21"/>
        </w:rPr>
        <w:t>、</w:t>
      </w:r>
      <w:r>
        <w:rPr>
          <w:rFonts w:cs="Arial" w:ascii="Arial" w:hAnsi="Arial"/>
          <w:sz w:val="21"/>
          <w:szCs w:val="21"/>
        </w:rPr>
        <w:t>1.1%</w:t>
      </w:r>
      <w:r>
        <w:rPr>
          <w:rFonts w:ascii="Arial" w:hAnsi="Arial" w:cs="Arial"/>
          <w:sz w:val="21"/>
          <w:szCs w:val="21"/>
        </w:rPr>
        <w:t>、</w:t>
      </w:r>
      <w:r>
        <w:rPr>
          <w:rFonts w:cs="Arial" w:ascii="Arial" w:hAnsi="Arial"/>
          <w:sz w:val="21"/>
          <w:szCs w:val="21"/>
        </w:rPr>
        <w:t>3.3%</w:t>
      </w:r>
      <w:r>
        <w:rPr>
          <w:rFonts w:ascii="Arial" w:hAnsi="Arial" w:cs="Arial"/>
          <w:sz w:val="21"/>
          <w:szCs w:val="21"/>
        </w:rPr>
        <w:t>，食品烟酒、交通通信、医疗保健价格分别下降</w:t>
      </w:r>
      <w:r>
        <w:rPr>
          <w:rFonts w:cs="Arial" w:ascii="Arial" w:hAnsi="Arial"/>
          <w:sz w:val="21"/>
          <w:szCs w:val="21"/>
        </w:rPr>
        <w:t>1.9%</w:t>
      </w:r>
      <w:r>
        <w:rPr>
          <w:rFonts w:ascii="Arial" w:hAnsi="Arial" w:cs="Arial"/>
          <w:sz w:val="21"/>
          <w:szCs w:val="21"/>
        </w:rPr>
        <w:t>、</w:t>
      </w:r>
      <w:r>
        <w:rPr>
          <w:rFonts w:cs="Arial" w:ascii="Arial" w:hAnsi="Arial"/>
          <w:sz w:val="21"/>
          <w:szCs w:val="21"/>
        </w:rPr>
        <w:t>0.6%</w:t>
      </w:r>
      <w:r>
        <w:rPr>
          <w:rFonts w:ascii="Arial" w:hAnsi="Arial" w:cs="Arial"/>
          <w:sz w:val="21"/>
          <w:szCs w:val="21"/>
        </w:rPr>
        <w:t>、</w:t>
      </w:r>
      <w:r>
        <w:rPr>
          <w:rFonts w:cs="Arial" w:ascii="Arial" w:hAnsi="Arial"/>
          <w:sz w:val="21"/>
          <w:szCs w:val="21"/>
        </w:rPr>
        <w:t>0.3%.</w:t>
      </w:r>
    </w:p>
    <w:p>
      <w:pPr>
        <w:pStyle w:val="Normal"/>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土地市场</w:t>
      </w:r>
    </w:p>
    <w:p>
      <w:pPr>
        <w:pStyle w:val="Normal"/>
        <w:spacing w:lineRule="auto" w:line="480"/>
        <w:ind w:firstLine="420"/>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月，海口共推出各类用地规划建筑面积</w:t>
      </w:r>
      <w:r>
        <w:rPr>
          <w:rFonts w:cs="Arial" w:ascii="Arial" w:hAnsi="Arial"/>
          <w:sz w:val="21"/>
          <w:szCs w:val="21"/>
        </w:rPr>
        <w:t>127.38</w:t>
      </w:r>
      <w:r>
        <w:rPr>
          <w:rFonts w:ascii="Arial" w:hAnsi="Arial" w:cs="Arial"/>
          <w:sz w:val="21"/>
          <w:szCs w:val="21"/>
        </w:rPr>
        <w:t>万㎡，同比下降</w:t>
      </w:r>
      <w:r>
        <w:rPr>
          <w:rFonts w:cs="Arial" w:ascii="Arial" w:hAnsi="Arial"/>
          <w:sz w:val="21"/>
          <w:szCs w:val="21"/>
        </w:rPr>
        <w:t>44.07%</w:t>
      </w:r>
      <w:r>
        <w:rPr>
          <w:rFonts w:ascii="Arial" w:hAnsi="Arial" w:cs="Arial"/>
          <w:sz w:val="21"/>
          <w:szCs w:val="21"/>
        </w:rPr>
        <w:t>；成交规划建筑面积</w:t>
      </w:r>
      <w:r>
        <w:rPr>
          <w:rFonts w:cs="Arial" w:ascii="Arial" w:hAnsi="Arial"/>
          <w:sz w:val="21"/>
          <w:szCs w:val="21"/>
        </w:rPr>
        <w:t>186.25</w:t>
      </w:r>
      <w:r>
        <w:rPr>
          <w:rFonts w:ascii="Arial" w:hAnsi="Arial" w:cs="Arial"/>
          <w:sz w:val="21"/>
          <w:szCs w:val="21"/>
        </w:rPr>
        <w:t>万㎡，同比增长</w:t>
      </w:r>
      <w:r>
        <w:rPr>
          <w:rFonts w:cs="Arial" w:ascii="Arial" w:hAnsi="Arial"/>
          <w:sz w:val="21"/>
          <w:szCs w:val="21"/>
        </w:rPr>
        <w:t>32.19%</w:t>
      </w:r>
      <w:r>
        <w:rPr>
          <w:rFonts w:ascii="Arial" w:hAnsi="Arial" w:cs="Arial"/>
          <w:sz w:val="21"/>
          <w:szCs w:val="21"/>
        </w:rPr>
        <w:t>。</w:t>
      </w:r>
      <w:r>
        <w:rPr>
          <w:lang w:val="zh-CN" w:eastAsia="zh-CN"/>
        </w:rPr>
        <w:drawing>
          <wp:inline distT="0" distB="0" distL="0" distR="0">
            <wp:extent cx="5905500" cy="2592705"/>
            <wp:effectExtent l="0" t="0" r="0" b="0"/>
            <wp:docPr id="19" name="图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像2" descr=""/>
                    <pic:cNvPicPr>
                      <a:picLocks noChangeAspect="1" noChangeArrowheads="1"/>
                    </pic:cNvPicPr>
                  </pic:nvPicPr>
                  <pic:blipFill>
                    <a:blip r:embed="rId22"/>
                    <a:srcRect l="-2" t="-6" r="-2" b="-6"/>
                    <a:stretch>
                      <a:fillRect/>
                    </a:stretch>
                  </pic:blipFill>
                  <pic:spPr bwMode="auto">
                    <a:xfrm>
                      <a:off x="0" y="0"/>
                      <a:ext cx="5905500" cy="2592705"/>
                    </a:xfrm>
                    <a:prstGeom prst="rect">
                      <a:avLst/>
                    </a:prstGeom>
                  </pic:spPr>
                </pic:pic>
              </a:graphicData>
            </a:graphic>
          </wp:inline>
        </w:drawing>
      </w:r>
    </w:p>
    <w:p>
      <w:pPr>
        <w:pStyle w:val="Normal"/>
        <w:spacing w:lineRule="auto" w:line="480"/>
        <w:ind w:firstLine="420"/>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月，海口成交楼面均价为</w:t>
      </w:r>
      <w:r>
        <w:rPr>
          <w:rFonts w:cs="Arial" w:ascii="Arial" w:hAnsi="Arial"/>
          <w:sz w:val="21"/>
          <w:szCs w:val="21"/>
        </w:rPr>
        <w:t>2277</w:t>
      </w:r>
      <w:r>
        <w:rPr>
          <w:rFonts w:ascii="Arial" w:hAnsi="Arial" w:cs="Arial"/>
          <w:sz w:val="21"/>
          <w:szCs w:val="21"/>
        </w:rPr>
        <w:t>元</w:t>
      </w:r>
      <w:r>
        <w:rPr>
          <w:rFonts w:cs="Arial" w:ascii="Arial" w:hAnsi="Arial"/>
          <w:sz w:val="21"/>
          <w:szCs w:val="21"/>
        </w:rPr>
        <w:t>/</w:t>
      </w:r>
      <w:r>
        <w:rPr>
          <w:rFonts w:ascii="Arial" w:hAnsi="Arial" w:cs="Arial"/>
          <w:sz w:val="21"/>
          <w:szCs w:val="21"/>
        </w:rPr>
        <w:t>㎡，同比下跌</w:t>
      </w:r>
      <w:r>
        <w:rPr>
          <w:rFonts w:cs="Arial" w:ascii="Arial" w:hAnsi="Arial"/>
          <w:sz w:val="21"/>
          <w:szCs w:val="21"/>
        </w:rPr>
        <w:t>26.47%</w:t>
      </w:r>
      <w:r>
        <w:rPr>
          <w:rFonts w:ascii="Arial" w:hAnsi="Arial" w:cs="Arial"/>
          <w:sz w:val="21"/>
          <w:szCs w:val="21"/>
        </w:rPr>
        <w:t>；平均溢价率为</w:t>
      </w:r>
      <w:r>
        <w:rPr>
          <w:rFonts w:cs="Arial" w:ascii="Arial" w:hAnsi="Arial"/>
          <w:sz w:val="21"/>
          <w:szCs w:val="21"/>
        </w:rPr>
        <w:t>2.35%</w:t>
      </w:r>
      <w:r>
        <w:rPr>
          <w:rFonts w:ascii="Arial" w:hAnsi="Arial" w:cs="Arial"/>
          <w:sz w:val="21"/>
          <w:szCs w:val="21"/>
        </w:rPr>
        <w:t>，较去年同期增长</w:t>
      </w:r>
      <w:r>
        <w:rPr>
          <w:rFonts w:cs="Arial" w:ascii="Arial" w:hAnsi="Arial"/>
          <w:sz w:val="21"/>
          <w:szCs w:val="21"/>
        </w:rPr>
        <w:t>0.74</w:t>
      </w:r>
      <w:r>
        <w:rPr>
          <w:rFonts w:ascii="Arial" w:hAnsi="Arial" w:cs="Arial"/>
          <w:sz w:val="21"/>
          <w:szCs w:val="21"/>
        </w:rPr>
        <w:t>个百分点</w:t>
      </w:r>
      <w:r>
        <w:rPr>
          <w:rFonts w:cs="Arial" w:ascii="Arial" w:hAnsi="Arial"/>
          <w:sz w:val="21"/>
          <w:szCs w:val="21"/>
        </w:rPr>
        <w:t>;</w:t>
      </w:r>
      <w:r>
        <w:rPr>
          <w:rFonts w:ascii="Arial" w:hAnsi="Arial" w:cs="Arial"/>
          <w:sz w:val="21"/>
          <w:szCs w:val="21"/>
        </w:rPr>
        <w:t>各类用地出让金达</w:t>
      </w:r>
      <w:r>
        <w:rPr>
          <w:rFonts w:cs="Arial" w:ascii="Arial" w:hAnsi="Arial"/>
          <w:sz w:val="21"/>
          <w:szCs w:val="21"/>
        </w:rPr>
        <w:t>42.41</w:t>
      </w:r>
      <w:r>
        <w:rPr>
          <w:rFonts w:ascii="Arial" w:hAnsi="Arial" w:cs="Arial"/>
          <w:sz w:val="21"/>
          <w:szCs w:val="21"/>
        </w:rPr>
        <w:t>亿元，同比下降</w:t>
      </w:r>
      <w:r>
        <w:rPr>
          <w:rFonts w:cs="Arial" w:ascii="Arial" w:hAnsi="Arial"/>
          <w:sz w:val="21"/>
          <w:szCs w:val="21"/>
        </w:rPr>
        <w:t>2.8%</w:t>
      </w:r>
      <w:r>
        <w:rPr>
          <w:rFonts w:ascii="Arial" w:hAnsi="Arial" w:cs="Arial"/>
          <w:sz w:val="21"/>
          <w:szCs w:val="21"/>
        </w:rPr>
        <w:t>。</w:t>
      </w:r>
      <w:r>
        <w:rPr>
          <w:lang w:val="zh-CN" w:eastAsia="zh-CN"/>
        </w:rPr>
        <w:drawing>
          <wp:inline distT="0" distB="0" distL="0" distR="0">
            <wp:extent cx="5909310" cy="2393315"/>
            <wp:effectExtent l="0" t="0" r="0" b="0"/>
            <wp:docPr id="20" name="图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3" descr=""/>
                    <pic:cNvPicPr>
                      <a:picLocks noChangeAspect="1" noChangeArrowheads="1"/>
                    </pic:cNvPicPr>
                  </pic:nvPicPr>
                  <pic:blipFill>
                    <a:blip r:embed="rId23"/>
                    <a:srcRect l="-2" t="-7" r="-2" b="-7"/>
                    <a:stretch>
                      <a:fillRect/>
                    </a:stretch>
                  </pic:blipFill>
                  <pic:spPr bwMode="auto">
                    <a:xfrm>
                      <a:off x="0" y="0"/>
                      <a:ext cx="5909310" cy="2393315"/>
                    </a:xfrm>
                    <a:prstGeom prst="rect">
                      <a:avLst/>
                    </a:prstGeom>
                  </pic:spPr>
                </pic:pic>
              </a:graphicData>
            </a:graphic>
          </wp:inline>
        </w:drawing>
      </w:r>
    </w:p>
    <w:p>
      <w:pPr>
        <w:pStyle w:val="Normal"/>
        <w:spacing w:lineRule="auto" w:line="480"/>
        <w:ind w:firstLine="420"/>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月，海口共推出住宅用地规划建筑面积</w:t>
      </w:r>
      <w:r>
        <w:rPr>
          <w:rFonts w:cs="Arial" w:ascii="Arial" w:hAnsi="Arial"/>
          <w:sz w:val="21"/>
          <w:szCs w:val="21"/>
        </w:rPr>
        <w:t>73.83</w:t>
      </w:r>
      <w:r>
        <w:rPr>
          <w:rFonts w:ascii="Arial" w:hAnsi="Arial" w:cs="Arial"/>
          <w:sz w:val="21"/>
          <w:szCs w:val="21"/>
        </w:rPr>
        <w:t>万㎡，同比下降</w:t>
      </w:r>
      <w:r>
        <w:rPr>
          <w:rFonts w:cs="Arial" w:ascii="Arial" w:hAnsi="Arial"/>
          <w:sz w:val="21"/>
          <w:szCs w:val="21"/>
        </w:rPr>
        <w:t>13.41%</w:t>
      </w:r>
      <w:r>
        <w:rPr>
          <w:rFonts w:ascii="Arial" w:hAnsi="Arial" w:cs="Arial"/>
          <w:sz w:val="21"/>
          <w:szCs w:val="21"/>
        </w:rPr>
        <w:t>；成交规划建筑面积</w:t>
      </w:r>
      <w:r>
        <w:rPr>
          <w:rFonts w:cs="Arial" w:ascii="Arial" w:hAnsi="Arial"/>
          <w:sz w:val="21"/>
          <w:szCs w:val="21"/>
        </w:rPr>
        <w:t>62.4</w:t>
      </w:r>
      <w:r>
        <w:rPr>
          <w:rFonts w:ascii="Arial" w:hAnsi="Arial" w:cs="Arial"/>
          <w:sz w:val="21"/>
          <w:szCs w:val="21"/>
        </w:rPr>
        <w:t>万㎡，同比增长</w:t>
      </w:r>
      <w:r>
        <w:rPr>
          <w:rFonts w:cs="Arial" w:ascii="Arial" w:hAnsi="Arial"/>
          <w:sz w:val="21"/>
          <w:szCs w:val="21"/>
        </w:rPr>
        <w:t>16.9%</w:t>
      </w:r>
      <w:r>
        <w:rPr>
          <w:rFonts w:ascii="Arial" w:hAnsi="Arial" w:cs="Arial"/>
          <w:sz w:val="21"/>
          <w:szCs w:val="21"/>
        </w:rPr>
        <w:t>。</w:t>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lang w:val="zh-CN" w:eastAsia="zh-CN"/>
        </w:rPr>
      </w:pPr>
      <w:r>
        <w:rPr>
          <w:rFonts w:cs="Arial" w:ascii="Arial" w:hAnsi="Arial"/>
          <w:sz w:val="21"/>
          <w:szCs w:val="21"/>
          <w:lang w:val="zh-CN" w:eastAsia="zh-CN"/>
        </w:rPr>
        <w:drawing>
          <wp:anchor behindDoc="0" distT="0" distB="0" distL="114935" distR="114935" simplePos="0" locked="0" layoutInCell="1" allowOverlap="1" relativeHeight="46">
            <wp:simplePos x="0" y="0"/>
            <wp:positionH relativeFrom="margin">
              <wp:posOffset>418465</wp:posOffset>
            </wp:positionH>
            <wp:positionV relativeFrom="margin">
              <wp:posOffset>-19050</wp:posOffset>
            </wp:positionV>
            <wp:extent cx="4762500" cy="3810000"/>
            <wp:effectExtent l="0" t="0" r="0" b="0"/>
            <wp:wrapSquare wrapText="bothSides"/>
            <wp:docPr id="2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
                    <pic:cNvPicPr>
                      <a:picLocks noChangeAspect="1" noChangeArrowheads="1"/>
                    </pic:cNvPicPr>
                  </pic:nvPicPr>
                  <pic:blipFill>
                    <a:blip r:embed="rId24"/>
                    <a:srcRect l="-5" t="-7" r="-5" b="-7"/>
                    <a:stretch>
                      <a:fillRect/>
                    </a:stretch>
                  </pic:blipFill>
                  <pic:spPr bwMode="auto">
                    <a:xfrm>
                      <a:off x="0" y="0"/>
                      <a:ext cx="4762500" cy="3810000"/>
                    </a:xfrm>
                    <a:prstGeom prst="rect">
                      <a:avLst/>
                    </a:prstGeom>
                  </pic:spPr>
                </pic:pic>
              </a:graphicData>
            </a:graphic>
          </wp:anchor>
        </w:drawing>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ascii="Arial" w:hAnsi="Arial" w:cs="Arial" w:eastAsia="Arial"/>
          <w:sz w:val="21"/>
          <w:szCs w:val="21"/>
        </w:rPr>
        <w:t xml:space="preserve"> </w:t>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月，海口成交楼面均价为</w:t>
      </w:r>
      <w:r>
        <w:rPr>
          <w:rFonts w:cs="Arial" w:ascii="Arial" w:hAnsi="Arial"/>
          <w:sz w:val="21"/>
          <w:szCs w:val="21"/>
        </w:rPr>
        <w:t>5919</w:t>
      </w:r>
      <w:r>
        <w:rPr>
          <w:rFonts w:ascii="Arial" w:hAnsi="Arial" w:cs="Arial"/>
          <w:sz w:val="21"/>
          <w:szCs w:val="21"/>
        </w:rPr>
        <w:t>元</w:t>
      </w:r>
      <w:r>
        <w:rPr>
          <w:rFonts w:cs="Arial" w:ascii="Arial" w:hAnsi="Arial"/>
          <w:sz w:val="21"/>
          <w:szCs w:val="21"/>
        </w:rPr>
        <w:t>/</w:t>
      </w:r>
      <w:r>
        <w:rPr>
          <w:rFonts w:ascii="Arial" w:hAnsi="Arial" w:cs="Arial"/>
          <w:sz w:val="21"/>
          <w:szCs w:val="21"/>
        </w:rPr>
        <w:t>㎡，同比上涨</w:t>
      </w:r>
      <w:r>
        <w:rPr>
          <w:rFonts w:cs="Arial" w:ascii="Arial" w:hAnsi="Arial"/>
          <w:sz w:val="21"/>
          <w:szCs w:val="21"/>
        </w:rPr>
        <w:t>39.99%</w:t>
      </w:r>
      <w:r>
        <w:rPr>
          <w:rFonts w:ascii="Arial" w:hAnsi="Arial" w:cs="Arial"/>
          <w:sz w:val="21"/>
          <w:szCs w:val="21"/>
        </w:rPr>
        <w:t>；平均溢价率为</w:t>
      </w:r>
      <w:r>
        <w:rPr>
          <w:rFonts w:cs="Arial" w:ascii="Arial" w:hAnsi="Arial"/>
          <w:sz w:val="21"/>
          <w:szCs w:val="21"/>
        </w:rPr>
        <w:t>2.7%</w:t>
      </w:r>
      <w:r>
        <w:rPr>
          <w:rFonts w:ascii="Arial" w:hAnsi="Arial" w:cs="Arial"/>
          <w:sz w:val="21"/>
          <w:szCs w:val="21"/>
        </w:rPr>
        <w:t>，较去年同期下降</w:t>
      </w:r>
      <w:r>
        <w:rPr>
          <w:rFonts w:cs="Arial" w:ascii="Arial" w:hAnsi="Arial"/>
          <w:sz w:val="21"/>
          <w:szCs w:val="21"/>
        </w:rPr>
        <w:t>0.47</w:t>
      </w:r>
      <w:r>
        <w:rPr>
          <w:rFonts w:ascii="Arial" w:hAnsi="Arial" w:cs="Arial"/>
          <w:sz w:val="21"/>
          <w:szCs w:val="21"/>
        </w:rPr>
        <w:t>个百分点；住宅用地出让金达</w:t>
      </w:r>
      <w:r>
        <w:rPr>
          <w:rFonts w:cs="Arial" w:ascii="Arial" w:hAnsi="Arial"/>
          <w:sz w:val="21"/>
          <w:szCs w:val="21"/>
        </w:rPr>
        <w:t>36.94</w:t>
      </w:r>
      <w:r>
        <w:rPr>
          <w:rFonts w:ascii="Arial" w:hAnsi="Arial" w:cs="Arial"/>
          <w:sz w:val="21"/>
          <w:szCs w:val="21"/>
        </w:rPr>
        <w:t>亿元，同比增长</w:t>
      </w:r>
      <w:r>
        <w:rPr>
          <w:rFonts w:cs="Arial" w:ascii="Arial" w:hAnsi="Arial"/>
          <w:sz w:val="21"/>
          <w:szCs w:val="21"/>
        </w:rPr>
        <w:t>63.65%</w:t>
      </w:r>
      <w:r>
        <w:rPr>
          <w:rFonts w:ascii="Arial" w:hAnsi="Arial" w:cs="Arial"/>
          <w:sz w:val="21"/>
          <w:szCs w:val="21"/>
        </w:rPr>
        <w:t>。</w:t>
      </w:r>
    </w:p>
    <w:p>
      <w:pPr>
        <w:pStyle w:val="Normal"/>
        <w:spacing w:lineRule="auto" w:line="480"/>
        <w:ind w:firstLine="420"/>
        <w:rPr>
          <w:lang w:val="zh-CN" w:eastAsia="zh-CN"/>
        </w:rPr>
      </w:pPr>
      <w:r>
        <w:rPr>
          <w:lang w:val="zh-CN" w:eastAsia="zh-CN"/>
        </w:rPr>
        <w:drawing>
          <wp:inline distT="0" distB="0" distL="0" distR="0">
            <wp:extent cx="5900420" cy="2404110"/>
            <wp:effectExtent l="0" t="0" r="0" b="0"/>
            <wp:docPr id="22" name="图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4" descr=""/>
                    <pic:cNvPicPr>
                      <a:picLocks noChangeAspect="1" noChangeArrowheads="1"/>
                    </pic:cNvPicPr>
                  </pic:nvPicPr>
                  <pic:blipFill>
                    <a:blip r:embed="rId25"/>
                    <a:srcRect l="-3" t="-7" r="-3" b="-7"/>
                    <a:stretch>
                      <a:fillRect/>
                    </a:stretch>
                  </pic:blipFill>
                  <pic:spPr bwMode="auto">
                    <a:xfrm>
                      <a:off x="0" y="0"/>
                      <a:ext cx="5900420" cy="2404110"/>
                    </a:xfrm>
                    <a:prstGeom prst="rect">
                      <a:avLst/>
                    </a:prstGeom>
                  </pic:spPr>
                </pic:pic>
              </a:graphicData>
            </a:graphic>
          </wp:inline>
        </w:drawing>
      </w:r>
    </w:p>
    <w:p>
      <w:pPr>
        <w:pStyle w:val="Normal"/>
        <w:spacing w:lineRule="auto" w:line="480"/>
        <w:ind w:firstLine="420"/>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月，海口市共推出</w:t>
      </w:r>
      <w:r>
        <w:rPr>
          <w:rFonts w:cs="Arial" w:ascii="Arial" w:hAnsi="Arial"/>
          <w:sz w:val="21"/>
          <w:szCs w:val="21"/>
        </w:rPr>
        <w:t>2</w:t>
      </w:r>
      <w:r>
        <w:rPr>
          <w:rFonts w:ascii="Arial" w:hAnsi="Arial" w:cs="Arial"/>
          <w:sz w:val="21"/>
          <w:szCs w:val="21"/>
        </w:rPr>
        <w:t>块商办土地，面积合计</w:t>
      </w:r>
      <w:r>
        <w:rPr>
          <w:rFonts w:cs="Arial" w:ascii="Arial" w:hAnsi="Arial"/>
          <w:sz w:val="21"/>
          <w:szCs w:val="21"/>
        </w:rPr>
        <w:t>10770.84</w:t>
      </w:r>
      <w:r>
        <w:rPr>
          <w:rFonts w:ascii="Arial" w:hAnsi="Arial" w:cs="Arial"/>
          <w:sz w:val="21"/>
          <w:szCs w:val="21"/>
        </w:rPr>
        <w:t>平方米，无成交地块。</w:t>
      </w:r>
    </w:p>
    <w:p>
      <w:pPr>
        <w:pStyle w:val="Normal"/>
        <w:spacing w:lineRule="auto" w:line="480"/>
        <w:ind w:firstLine="480"/>
        <w:rPr>
          <w:lang w:val="zh-CN" w:eastAsia="zh-CN"/>
        </w:rPr>
      </w:pPr>
      <w:r>
        <w:rPr>
          <w:lang w:val="zh-CN" w:eastAsia="zh-CN"/>
        </w:rPr>
        <w:drawing>
          <wp:inline distT="0" distB="0" distL="0" distR="0">
            <wp:extent cx="5908040" cy="2651125"/>
            <wp:effectExtent l="0" t="0" r="0" b="0"/>
            <wp:docPr id="23" name="图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5" descr=""/>
                    <pic:cNvPicPr>
                      <a:picLocks noChangeAspect="1" noChangeArrowheads="1"/>
                    </pic:cNvPicPr>
                  </pic:nvPicPr>
                  <pic:blipFill>
                    <a:blip r:embed="rId26"/>
                    <a:srcRect l="-2" t="-6" r="-2" b="-6"/>
                    <a:stretch>
                      <a:fillRect/>
                    </a:stretch>
                  </pic:blipFill>
                  <pic:spPr bwMode="auto">
                    <a:xfrm>
                      <a:off x="0" y="0"/>
                      <a:ext cx="5908040" cy="2651125"/>
                    </a:xfrm>
                    <a:prstGeom prst="rect">
                      <a:avLst/>
                    </a:prstGeom>
                  </pic:spPr>
                </pic:pic>
              </a:graphicData>
            </a:graphic>
          </wp:inline>
        </w:drawing>
      </w:r>
    </w:p>
    <w:p>
      <w:pPr>
        <w:pStyle w:val="Normal"/>
        <w:spacing w:lineRule="auto" w:line="480"/>
        <w:ind w:firstLine="480"/>
        <w:rPr>
          <w:rFonts w:ascii="Arial" w:hAnsi="Arial" w:cs="Arial"/>
          <w:sz w:val="21"/>
          <w:szCs w:val="21"/>
        </w:rPr>
      </w:pPr>
      <w:r>
        <w:rPr>
          <w:lang w:val="zh-CN" w:eastAsia="zh-CN"/>
        </w:rPr>
        <w:drawing>
          <wp:inline distT="0" distB="0" distL="0" distR="0">
            <wp:extent cx="5900420" cy="2308860"/>
            <wp:effectExtent l="0" t="0" r="0" b="0"/>
            <wp:docPr id="24" name="图像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6" descr=""/>
                    <pic:cNvPicPr>
                      <a:picLocks noChangeAspect="1" noChangeArrowheads="1"/>
                    </pic:cNvPicPr>
                  </pic:nvPicPr>
                  <pic:blipFill>
                    <a:blip r:embed="rId27"/>
                    <a:srcRect l="-2" t="-7" r="-2" b="-7"/>
                    <a:stretch>
                      <a:fillRect/>
                    </a:stretch>
                  </pic:blipFill>
                  <pic:spPr bwMode="auto">
                    <a:xfrm>
                      <a:off x="0" y="0"/>
                      <a:ext cx="5900420" cy="2308860"/>
                    </a:xfrm>
                    <a:prstGeom prst="rect">
                      <a:avLst/>
                    </a:prstGeom>
                  </pic:spPr>
                </pic:pic>
              </a:graphicData>
            </a:graphic>
          </wp:inline>
        </w:drawing>
      </w:r>
    </w:p>
    <w:p>
      <w:pPr>
        <w:pStyle w:val="Normal"/>
        <w:spacing w:lineRule="auto" w:line="480"/>
        <w:ind w:firstLine="420"/>
        <w:jc w:val="both"/>
        <w:rPr>
          <w:rFonts w:ascii="Arial" w:hAnsi="Arial" w:cs="Arial"/>
          <w:sz w:val="21"/>
          <w:szCs w:val="21"/>
        </w:rPr>
      </w:pPr>
      <w:r>
        <w:rPr>
          <w:rFonts w:cs="Arial" w:ascii="Arial" w:hAnsi="Arial"/>
          <w:sz w:val="21"/>
          <w:szCs w:val="21"/>
        </w:rPr>
        <w:t>3.</w:t>
      </w:r>
      <w:r>
        <w:rPr>
          <w:rFonts w:ascii="Arial" w:hAnsi="Arial" w:cs="Arial"/>
          <w:sz w:val="21"/>
          <w:szCs w:val="21"/>
        </w:rPr>
        <w:t>住宅市场</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1-5</w:t>
      </w:r>
      <w:r>
        <w:rPr>
          <w:rFonts w:ascii="Arial" w:hAnsi="Arial" w:cs="Arial"/>
          <w:sz w:val="21"/>
          <w:szCs w:val="21"/>
        </w:rPr>
        <w:t>月，海口商品房销售面积为</w:t>
      </w:r>
      <w:r>
        <w:rPr>
          <w:rFonts w:cs="Arial" w:ascii="Arial" w:hAnsi="Arial"/>
          <w:sz w:val="21"/>
          <w:szCs w:val="21"/>
        </w:rPr>
        <w:t>111.8</w:t>
      </w:r>
      <w:r>
        <w:rPr>
          <w:rFonts w:ascii="Arial" w:hAnsi="Arial" w:cs="Arial"/>
          <w:sz w:val="21"/>
          <w:szCs w:val="21"/>
        </w:rPr>
        <w:t>万㎡，同比下降</w:t>
      </w:r>
      <w:r>
        <w:rPr>
          <w:rFonts w:cs="Arial" w:ascii="Arial" w:hAnsi="Arial"/>
          <w:sz w:val="21"/>
          <w:szCs w:val="21"/>
        </w:rPr>
        <w:t>10.7%</w:t>
      </w:r>
      <w:r>
        <w:rPr>
          <w:rFonts w:ascii="Arial" w:hAnsi="Arial" w:cs="Arial"/>
          <w:sz w:val="21"/>
          <w:szCs w:val="21"/>
        </w:rPr>
        <w:t>；海口商品房销售额为</w:t>
      </w:r>
      <w:r>
        <w:rPr>
          <w:rFonts w:cs="Arial" w:ascii="Arial" w:hAnsi="Arial"/>
          <w:sz w:val="21"/>
          <w:szCs w:val="21"/>
        </w:rPr>
        <w:t>151.1</w:t>
      </w:r>
      <w:r>
        <w:rPr>
          <w:rFonts w:ascii="Arial" w:hAnsi="Arial" w:cs="Arial"/>
          <w:sz w:val="21"/>
          <w:szCs w:val="21"/>
        </w:rPr>
        <w:t>亿元，同比下降</w:t>
      </w:r>
      <w:r>
        <w:rPr>
          <w:rFonts w:cs="Arial" w:ascii="Arial" w:hAnsi="Arial"/>
          <w:sz w:val="21"/>
          <w:szCs w:val="21"/>
        </w:rPr>
        <w:t>30.4%</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1-5</w:t>
      </w:r>
      <w:r>
        <w:rPr>
          <w:rFonts w:ascii="Arial" w:hAnsi="Arial" w:cs="Arial"/>
          <w:sz w:val="21"/>
          <w:szCs w:val="21"/>
        </w:rPr>
        <w:t>月，海口房屋新开工面积为</w:t>
      </w:r>
      <w:r>
        <w:rPr>
          <w:rFonts w:cs="Arial" w:ascii="Arial" w:hAnsi="Arial"/>
          <w:sz w:val="21"/>
          <w:szCs w:val="21"/>
        </w:rPr>
        <w:t>100.52</w:t>
      </w:r>
      <w:r>
        <w:rPr>
          <w:rFonts w:ascii="Arial" w:hAnsi="Arial" w:cs="Arial"/>
          <w:sz w:val="21"/>
          <w:szCs w:val="21"/>
        </w:rPr>
        <w:t>万㎡，同比下降</w:t>
      </w:r>
      <w:r>
        <w:rPr>
          <w:rFonts w:cs="Arial" w:ascii="Arial" w:hAnsi="Arial"/>
          <w:sz w:val="21"/>
          <w:szCs w:val="21"/>
        </w:rPr>
        <w:t>38.67%</w:t>
      </w:r>
      <w:r>
        <w:rPr>
          <w:rFonts w:ascii="Arial" w:hAnsi="Arial" w:cs="Arial"/>
          <w:sz w:val="21"/>
          <w:szCs w:val="21"/>
        </w:rPr>
        <w:t>；房屋施工面积为</w:t>
      </w:r>
      <w:r>
        <w:rPr>
          <w:rFonts w:cs="Arial" w:ascii="Arial" w:hAnsi="Arial"/>
          <w:sz w:val="21"/>
          <w:szCs w:val="21"/>
        </w:rPr>
        <w:t>2851.97</w:t>
      </w:r>
      <w:r>
        <w:rPr>
          <w:rFonts w:ascii="Arial" w:hAnsi="Arial" w:cs="Arial"/>
          <w:sz w:val="21"/>
          <w:szCs w:val="21"/>
        </w:rPr>
        <w:t>万㎡，同比下降</w:t>
      </w:r>
      <w:r>
        <w:rPr>
          <w:rFonts w:cs="Arial" w:ascii="Arial" w:hAnsi="Arial"/>
          <w:sz w:val="21"/>
          <w:szCs w:val="21"/>
        </w:rPr>
        <w:t>20.75%</w:t>
      </w:r>
      <w:r>
        <w:rPr>
          <w:rFonts w:ascii="Arial" w:hAnsi="Arial" w:cs="Arial"/>
          <w:sz w:val="21"/>
          <w:szCs w:val="21"/>
        </w:rPr>
        <w:t>；全国房屋竣工</w:t>
      </w:r>
      <w:r>
        <w:rPr>
          <w:rFonts w:cs="Arial" w:ascii="Arial" w:hAnsi="Arial"/>
          <w:sz w:val="21"/>
          <w:szCs w:val="21"/>
        </w:rPr>
        <w:t>22245.03</w:t>
      </w:r>
      <w:r>
        <w:rPr>
          <w:rFonts w:ascii="Arial" w:hAnsi="Arial" w:cs="Arial"/>
          <w:sz w:val="21"/>
          <w:szCs w:val="21"/>
        </w:rPr>
        <w:t>万㎡，同比下降</w:t>
      </w:r>
      <w:r>
        <w:rPr>
          <w:rFonts w:cs="Arial" w:ascii="Arial" w:hAnsi="Arial"/>
          <w:sz w:val="21"/>
          <w:szCs w:val="21"/>
        </w:rPr>
        <w:t>20.06%</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月，海口新建住宅价格累计上涨</w:t>
      </w:r>
      <w:r>
        <w:rPr>
          <w:rFonts w:cs="Arial" w:ascii="Arial" w:hAnsi="Arial"/>
          <w:sz w:val="21"/>
          <w:szCs w:val="21"/>
        </w:rPr>
        <w:t>2.20%</w:t>
      </w:r>
      <w:r>
        <w:rPr>
          <w:rFonts w:ascii="Arial" w:hAnsi="Arial" w:cs="Arial"/>
          <w:sz w:val="21"/>
          <w:szCs w:val="21"/>
        </w:rPr>
        <w:t>，涨幅较去年同期扩大</w:t>
      </w:r>
      <w:r>
        <w:rPr>
          <w:rFonts w:cs="Arial" w:ascii="Arial" w:hAnsi="Arial"/>
          <w:sz w:val="21"/>
          <w:szCs w:val="21"/>
        </w:rPr>
        <w:t>2.20</w:t>
      </w:r>
      <w:r>
        <w:rPr>
          <w:rFonts w:ascii="Arial" w:hAnsi="Arial" w:cs="Arial"/>
          <w:sz w:val="21"/>
          <w:szCs w:val="21"/>
        </w:rPr>
        <w:t>个百分点。</w:t>
      </w:r>
      <w:r>
        <w:rPr>
          <w:lang w:val="zh-CN" w:eastAsia="zh-CN"/>
        </w:rPr>
        <w:drawing>
          <wp:inline distT="0" distB="0" distL="0" distR="0">
            <wp:extent cx="5592445" cy="5104130"/>
            <wp:effectExtent l="0" t="0" r="0" b="0"/>
            <wp:docPr id="25" name="图像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7" descr=""/>
                    <pic:cNvPicPr>
                      <a:picLocks noChangeAspect="1" noChangeArrowheads="1"/>
                    </pic:cNvPicPr>
                  </pic:nvPicPr>
                  <pic:blipFill>
                    <a:blip r:embed="rId28"/>
                    <a:srcRect l="-5" t="-6" r="-5" b="-6"/>
                    <a:stretch>
                      <a:fillRect/>
                    </a:stretch>
                  </pic:blipFill>
                  <pic:spPr bwMode="auto">
                    <a:xfrm>
                      <a:off x="0" y="0"/>
                      <a:ext cx="5592445" cy="5104130"/>
                    </a:xfrm>
                    <a:prstGeom prst="rect">
                      <a:avLst/>
                    </a:prstGeom>
                  </pic:spPr>
                </pic:pic>
              </a:graphicData>
            </a:graphic>
          </wp:inline>
        </w:drawing>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w:t>
      </w:r>
      <w:r>
        <w:rPr>
          <w:rFonts w:cs="Arial" w:ascii="Arial" w:hAnsi="Arial"/>
          <w:sz w:val="21"/>
          <w:szCs w:val="21"/>
        </w:rPr>
        <w:t>,</w:t>
      </w:r>
      <w:r>
        <w:rPr>
          <w:rFonts w:ascii="Arial" w:hAnsi="Arial" w:cs="Arial"/>
          <w:sz w:val="21"/>
          <w:szCs w:val="21"/>
        </w:rPr>
        <w:t>秀英区、美兰区、琼山区等区域为海口商品住宅成交均价最高区域。成交均价同比下跌的区域有美兰区、龙华区、琼山区等，同比分别下跌</w:t>
      </w:r>
      <w:r>
        <w:rPr>
          <w:rFonts w:cs="Arial" w:ascii="Arial" w:hAnsi="Arial"/>
          <w:sz w:val="21"/>
          <w:szCs w:val="21"/>
        </w:rPr>
        <w:t>41.2%</w:t>
      </w:r>
      <w:r>
        <w:rPr>
          <w:rFonts w:ascii="Arial" w:hAnsi="Arial" w:cs="Arial"/>
          <w:sz w:val="21"/>
          <w:szCs w:val="21"/>
        </w:rPr>
        <w:t>、</w:t>
      </w:r>
      <w:r>
        <w:rPr>
          <w:rFonts w:cs="Arial" w:ascii="Arial" w:hAnsi="Arial"/>
          <w:sz w:val="21"/>
          <w:szCs w:val="21"/>
        </w:rPr>
        <w:t>36.5%</w:t>
      </w:r>
      <w:r>
        <w:rPr>
          <w:rFonts w:ascii="Arial" w:hAnsi="Arial" w:cs="Arial"/>
          <w:sz w:val="21"/>
          <w:szCs w:val="21"/>
        </w:rPr>
        <w:t>、</w:t>
      </w:r>
      <w:r>
        <w:rPr>
          <w:rFonts w:cs="Arial" w:ascii="Arial" w:hAnsi="Arial"/>
          <w:sz w:val="21"/>
          <w:szCs w:val="21"/>
        </w:rPr>
        <w:t>34.1%</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月，海口二手住宅价格累计下跌</w:t>
      </w:r>
      <w:r>
        <w:rPr>
          <w:rFonts w:cs="Arial" w:ascii="Arial" w:hAnsi="Arial"/>
          <w:sz w:val="21"/>
          <w:szCs w:val="21"/>
        </w:rPr>
        <w:t>2.80%</w:t>
      </w:r>
      <w:r>
        <w:rPr>
          <w:rFonts w:ascii="Arial" w:hAnsi="Arial" w:cs="Arial"/>
          <w:sz w:val="21"/>
          <w:szCs w:val="21"/>
        </w:rPr>
        <w:t>，涨幅较去年同期收窄</w:t>
      </w:r>
      <w:r>
        <w:rPr>
          <w:rFonts w:cs="Arial" w:ascii="Arial" w:hAnsi="Arial"/>
          <w:sz w:val="21"/>
          <w:szCs w:val="21"/>
        </w:rPr>
        <w:t>2.70</w:t>
      </w:r>
      <w:r>
        <w:rPr>
          <w:rFonts w:ascii="Arial" w:hAnsi="Arial" w:cs="Arial"/>
          <w:sz w:val="21"/>
          <w:szCs w:val="21"/>
        </w:rPr>
        <w:t>个百分点。</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月，海口商品住宅成交面积为</w:t>
      </w:r>
      <w:r>
        <w:rPr>
          <w:rFonts w:cs="Arial" w:ascii="Arial" w:hAnsi="Arial"/>
          <w:sz w:val="21"/>
          <w:szCs w:val="21"/>
        </w:rPr>
        <w:t>289.4</w:t>
      </w:r>
      <w:r>
        <w:rPr>
          <w:rFonts w:ascii="Arial" w:hAnsi="Arial" w:cs="Arial"/>
          <w:sz w:val="21"/>
          <w:szCs w:val="21"/>
        </w:rPr>
        <w:t>万㎡，同比增长</w:t>
      </w:r>
      <w:r>
        <w:rPr>
          <w:rFonts w:cs="Arial" w:ascii="Arial" w:hAnsi="Arial"/>
          <w:sz w:val="21"/>
          <w:szCs w:val="21"/>
        </w:rPr>
        <w:t>75.7%</w:t>
      </w:r>
      <w:r>
        <w:rPr>
          <w:rFonts w:ascii="Arial" w:hAnsi="Arial" w:cs="Arial"/>
          <w:sz w:val="21"/>
          <w:szCs w:val="21"/>
        </w:rPr>
        <w:t>；商品住宅成交套数为</w:t>
      </w:r>
      <w:r>
        <w:rPr>
          <w:rFonts w:cs="Arial" w:ascii="Arial" w:hAnsi="Arial"/>
          <w:sz w:val="21"/>
          <w:szCs w:val="21"/>
        </w:rPr>
        <w:t>27669</w:t>
      </w:r>
      <w:r>
        <w:rPr>
          <w:rFonts w:ascii="Arial" w:hAnsi="Arial" w:cs="Arial"/>
          <w:sz w:val="21"/>
          <w:szCs w:val="21"/>
        </w:rPr>
        <w:t>套，同比增长</w:t>
      </w:r>
      <w:r>
        <w:rPr>
          <w:rFonts w:cs="Arial" w:ascii="Arial" w:hAnsi="Arial"/>
          <w:sz w:val="21"/>
          <w:szCs w:val="21"/>
        </w:rPr>
        <w:t>87.8%</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w:t>
      </w:r>
      <w:r>
        <w:rPr>
          <w:rFonts w:cs="Arial" w:ascii="Arial" w:hAnsi="Arial"/>
          <w:sz w:val="21"/>
          <w:szCs w:val="21"/>
        </w:rPr>
        <w:t>,</w:t>
      </w:r>
      <w:r>
        <w:rPr>
          <w:rFonts w:ascii="Arial" w:hAnsi="Arial" w:cs="Arial"/>
          <w:sz w:val="21"/>
          <w:szCs w:val="21"/>
        </w:rPr>
        <w:t>龙华区、琼山区、美兰区等区域为海口商品住宅成交主力区域，共成交</w:t>
      </w:r>
      <w:r>
        <w:rPr>
          <w:rFonts w:cs="Arial" w:ascii="Arial" w:hAnsi="Arial"/>
          <w:sz w:val="21"/>
          <w:szCs w:val="21"/>
        </w:rPr>
        <w:t>233.51</w:t>
      </w:r>
      <w:r>
        <w:rPr>
          <w:rFonts w:ascii="Arial" w:hAnsi="Arial" w:cs="Arial"/>
          <w:sz w:val="21"/>
          <w:szCs w:val="21"/>
        </w:rPr>
        <w:t>万㎡，占城市成交面积的</w:t>
      </w:r>
      <w:r>
        <w:rPr>
          <w:rFonts w:cs="Arial" w:ascii="Arial" w:hAnsi="Arial"/>
          <w:sz w:val="21"/>
          <w:szCs w:val="21"/>
        </w:rPr>
        <w:t>80.7%</w:t>
      </w:r>
      <w:r>
        <w:rPr>
          <w:rFonts w:ascii="Arial" w:hAnsi="Arial" w:cs="Arial"/>
          <w:sz w:val="21"/>
          <w:szCs w:val="21"/>
        </w:rPr>
        <w:t>。其中，成交面积同比增长的区域有龙华区、琼山区、美兰区等，同比分别增长</w:t>
      </w:r>
      <w:r>
        <w:rPr>
          <w:rFonts w:cs="Arial" w:ascii="Arial" w:hAnsi="Arial"/>
          <w:sz w:val="21"/>
          <w:szCs w:val="21"/>
        </w:rPr>
        <w:t>510.9%</w:t>
      </w:r>
      <w:r>
        <w:rPr>
          <w:rFonts w:ascii="Arial" w:hAnsi="Arial" w:cs="Arial"/>
          <w:sz w:val="21"/>
          <w:szCs w:val="21"/>
        </w:rPr>
        <w:t>、</w:t>
      </w:r>
      <w:r>
        <w:rPr>
          <w:rFonts w:cs="Arial" w:ascii="Arial" w:hAnsi="Arial"/>
          <w:sz w:val="21"/>
          <w:szCs w:val="21"/>
        </w:rPr>
        <w:t>416.3%</w:t>
      </w:r>
      <w:r>
        <w:rPr>
          <w:rFonts w:ascii="Arial" w:hAnsi="Arial" w:cs="Arial"/>
          <w:sz w:val="21"/>
          <w:szCs w:val="21"/>
        </w:rPr>
        <w:t>、</w:t>
      </w:r>
      <w:r>
        <w:rPr>
          <w:rFonts w:cs="Arial" w:ascii="Arial" w:hAnsi="Arial"/>
          <w:sz w:val="21"/>
          <w:szCs w:val="21"/>
        </w:rPr>
        <w:t>174.6%</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4.</w:t>
      </w:r>
      <w:r>
        <w:rPr>
          <w:rFonts w:ascii="Arial" w:hAnsi="Arial" w:cs="Arial"/>
          <w:sz w:val="21"/>
          <w:szCs w:val="21"/>
        </w:rPr>
        <w:t>商办市场</w:t>
      </w:r>
    </w:p>
    <w:p>
      <w:pPr>
        <w:pStyle w:val="Normal"/>
        <w:spacing w:lineRule="auto" w:line="480"/>
        <w:ind w:firstLine="420"/>
        <w:jc w:val="both"/>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月，海口商业成交面积为</w:t>
      </w:r>
      <w:r>
        <w:rPr>
          <w:rFonts w:cs="Arial" w:ascii="Arial" w:hAnsi="Arial"/>
          <w:sz w:val="21"/>
          <w:szCs w:val="21"/>
        </w:rPr>
        <w:t>13.0</w:t>
      </w:r>
      <w:r>
        <w:rPr>
          <w:rFonts w:ascii="Arial" w:hAnsi="Arial" w:cs="Arial"/>
          <w:sz w:val="21"/>
          <w:szCs w:val="21"/>
        </w:rPr>
        <w:t>万㎡，同比下降</w:t>
      </w:r>
      <w:r>
        <w:rPr>
          <w:rFonts w:cs="Arial" w:ascii="Arial" w:hAnsi="Arial"/>
          <w:sz w:val="21"/>
          <w:szCs w:val="21"/>
        </w:rPr>
        <w:t>21.3%</w:t>
      </w:r>
      <w:r>
        <w:rPr>
          <w:rFonts w:ascii="Arial" w:hAnsi="Arial" w:cs="Arial"/>
          <w:sz w:val="21"/>
          <w:szCs w:val="21"/>
        </w:rPr>
        <w:t>；商业成交套数为</w:t>
      </w:r>
      <w:r>
        <w:rPr>
          <w:rFonts w:cs="Arial" w:ascii="Arial" w:hAnsi="Arial"/>
          <w:sz w:val="21"/>
          <w:szCs w:val="21"/>
        </w:rPr>
        <w:t>1367</w:t>
      </w:r>
      <w:r>
        <w:rPr>
          <w:rFonts w:ascii="Arial" w:hAnsi="Arial" w:cs="Arial"/>
          <w:sz w:val="21"/>
          <w:szCs w:val="21"/>
        </w:rPr>
        <w:t>套，同</w:t>
      </w:r>
      <w:r>
        <w:rPr>
          <w:rFonts w:ascii="Arial" w:hAnsi="Arial" w:cs="Arial"/>
          <w:sz w:val="21"/>
          <w:szCs w:val="21"/>
        </w:rPr>
        <w:t>比下降</w:t>
      </w:r>
      <w:r>
        <w:rPr>
          <w:rFonts w:cs="Arial" w:ascii="Arial" w:hAnsi="Arial"/>
          <w:sz w:val="21"/>
          <w:szCs w:val="21"/>
        </w:rPr>
        <w:t>31.4%</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w:t>
      </w:r>
      <w:r>
        <w:rPr>
          <w:rFonts w:cs="Arial" w:ascii="Arial" w:hAnsi="Arial"/>
          <w:sz w:val="21"/>
          <w:szCs w:val="21"/>
        </w:rPr>
        <w:t>,</w:t>
      </w:r>
      <w:r>
        <w:rPr>
          <w:rFonts w:ascii="Arial" w:hAnsi="Arial" w:cs="Arial"/>
          <w:sz w:val="21"/>
          <w:szCs w:val="21"/>
        </w:rPr>
        <w:t>龙华区、秀英区、琼山区等区域为海口商业成交主力区域，共成交</w:t>
      </w:r>
      <w:r>
        <w:rPr>
          <w:rFonts w:cs="Arial" w:ascii="Arial" w:hAnsi="Arial"/>
          <w:sz w:val="21"/>
          <w:szCs w:val="21"/>
        </w:rPr>
        <w:t>10.82</w:t>
      </w:r>
      <w:r>
        <w:rPr>
          <w:rFonts w:ascii="Arial" w:hAnsi="Arial" w:cs="Arial"/>
          <w:sz w:val="21"/>
          <w:szCs w:val="21"/>
        </w:rPr>
        <w:t>万㎡，占城市成交面积的</w:t>
      </w:r>
      <w:r>
        <w:rPr>
          <w:rFonts w:cs="Arial" w:ascii="Arial" w:hAnsi="Arial"/>
          <w:sz w:val="21"/>
          <w:szCs w:val="21"/>
        </w:rPr>
        <w:t>83.3%</w:t>
      </w:r>
      <w:r>
        <w:rPr>
          <w:rFonts w:ascii="Arial" w:hAnsi="Arial" w:cs="Arial"/>
          <w:sz w:val="21"/>
          <w:szCs w:val="21"/>
        </w:rPr>
        <w:t>。其中，成交面积同比增长的区域有琼山区、龙华区、美兰区等，同比分别增长</w:t>
      </w:r>
      <w:r>
        <w:rPr>
          <w:rFonts w:cs="Arial" w:ascii="Arial" w:hAnsi="Arial"/>
          <w:sz w:val="21"/>
          <w:szCs w:val="21"/>
        </w:rPr>
        <w:t>256.6%</w:t>
      </w:r>
      <w:r>
        <w:rPr>
          <w:rFonts w:ascii="Arial" w:hAnsi="Arial" w:cs="Arial"/>
          <w:sz w:val="21"/>
          <w:szCs w:val="21"/>
        </w:rPr>
        <w:t>、</w:t>
      </w:r>
      <w:r>
        <w:rPr>
          <w:rFonts w:cs="Arial" w:ascii="Arial" w:hAnsi="Arial"/>
          <w:sz w:val="21"/>
          <w:szCs w:val="21"/>
        </w:rPr>
        <w:t>156.7%</w:t>
      </w:r>
      <w:r>
        <w:rPr>
          <w:rFonts w:ascii="Arial" w:hAnsi="Arial" w:cs="Arial"/>
          <w:sz w:val="21"/>
          <w:szCs w:val="21"/>
        </w:rPr>
        <w:t>、</w:t>
      </w:r>
      <w:r>
        <w:rPr>
          <w:rFonts w:cs="Arial" w:ascii="Arial" w:hAnsi="Arial"/>
          <w:sz w:val="21"/>
          <w:szCs w:val="21"/>
        </w:rPr>
        <w:t>16.0%</w:t>
      </w:r>
      <w:r>
        <w:rPr>
          <w:rFonts w:ascii="Arial" w:hAnsi="Arial" w:cs="Arial"/>
          <w:sz w:val="21"/>
          <w:szCs w:val="21"/>
        </w:rPr>
        <w:t>；成交面积同比下降的区域有秀英区等，同比分别下降</w:t>
      </w:r>
      <w:r>
        <w:rPr>
          <w:rFonts w:cs="Arial" w:ascii="Arial" w:hAnsi="Arial"/>
          <w:sz w:val="21"/>
          <w:szCs w:val="21"/>
        </w:rPr>
        <w:t>25.3%</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月，海口商业月均新批上市面积为</w:t>
      </w:r>
      <w:r>
        <w:rPr>
          <w:rFonts w:cs="Arial" w:ascii="Arial" w:hAnsi="Arial"/>
          <w:sz w:val="21"/>
          <w:szCs w:val="21"/>
        </w:rPr>
        <w:t>2.23</w:t>
      </w:r>
      <w:r>
        <w:rPr>
          <w:rFonts w:ascii="Arial" w:hAnsi="Arial" w:cs="Arial"/>
          <w:sz w:val="21"/>
          <w:szCs w:val="21"/>
        </w:rPr>
        <w:t>万㎡，同比增长</w:t>
      </w:r>
      <w:r>
        <w:rPr>
          <w:rFonts w:cs="Arial" w:ascii="Arial" w:hAnsi="Arial"/>
          <w:sz w:val="21"/>
          <w:szCs w:val="21"/>
        </w:rPr>
        <w:t>54.0%</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2024</w:t>
      </w:r>
      <w:r>
        <w:rPr>
          <w:rFonts w:ascii="Arial" w:hAnsi="Arial" w:cs="Arial"/>
          <w:sz w:val="21"/>
          <w:szCs w:val="21"/>
        </w:rPr>
        <w:t>年</w:t>
      </w:r>
      <w:r>
        <w:rPr>
          <w:rFonts w:cs="Arial" w:ascii="Arial" w:hAnsi="Arial"/>
          <w:sz w:val="21"/>
          <w:szCs w:val="21"/>
        </w:rPr>
        <w:t>1-6</w:t>
      </w:r>
      <w:r>
        <w:rPr>
          <w:rFonts w:ascii="Arial" w:hAnsi="Arial" w:cs="Arial"/>
          <w:sz w:val="21"/>
          <w:szCs w:val="21"/>
        </w:rPr>
        <w:t>月，海口商业成交均价为</w:t>
      </w:r>
      <w:r>
        <w:rPr>
          <w:rFonts w:cs="Arial" w:ascii="Arial" w:hAnsi="Arial"/>
          <w:sz w:val="21"/>
          <w:szCs w:val="21"/>
        </w:rPr>
        <w:t>30357</w:t>
      </w:r>
      <w:r>
        <w:rPr>
          <w:rFonts w:ascii="Arial" w:hAnsi="Arial" w:cs="Arial"/>
          <w:sz w:val="21"/>
          <w:szCs w:val="21"/>
        </w:rPr>
        <w:t>元</w:t>
      </w:r>
      <w:r>
        <w:rPr>
          <w:rFonts w:cs="Arial" w:ascii="Arial" w:hAnsi="Arial"/>
          <w:sz w:val="21"/>
          <w:szCs w:val="21"/>
        </w:rPr>
        <w:t>/</w:t>
      </w:r>
      <w:r>
        <w:rPr>
          <w:rFonts w:ascii="Arial" w:hAnsi="Arial" w:cs="Arial"/>
          <w:sz w:val="21"/>
          <w:szCs w:val="21"/>
        </w:rPr>
        <w:t>㎡，同比下跌</w:t>
      </w:r>
      <w:r>
        <w:rPr>
          <w:rFonts w:cs="Arial" w:ascii="Arial" w:hAnsi="Arial"/>
          <w:sz w:val="21"/>
          <w:szCs w:val="21"/>
        </w:rPr>
        <w:t>3.5%</w:t>
      </w:r>
      <w:r>
        <w:rPr>
          <w:rFonts w:ascii="Arial" w:hAnsi="Arial" w:cs="Arial"/>
          <w:sz w:val="21"/>
          <w:szCs w:val="21"/>
        </w:rPr>
        <w:t>。</w:t>
      </w:r>
    </w:p>
    <w:p>
      <w:pPr>
        <w:pStyle w:val="Normal"/>
        <w:spacing w:lineRule="auto" w:line="480"/>
        <w:ind w:firstLine="420"/>
        <w:jc w:val="both"/>
        <w:rPr>
          <w:rFonts w:ascii="Arial" w:hAnsi="Arial" w:cs="Arial"/>
          <w:sz w:val="21"/>
          <w:szCs w:val="21"/>
        </w:rPr>
      </w:pPr>
      <w:r>
        <w:rPr>
          <w:lang w:val="zh-CN" w:eastAsia="zh-CN"/>
        </w:rPr>
        <w:drawing>
          <wp:inline distT="0" distB="0" distL="0" distR="0">
            <wp:extent cx="5899785" cy="2597150"/>
            <wp:effectExtent l="0" t="0" r="0" b="0"/>
            <wp:docPr id="26" name="图像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像8" descr=""/>
                    <pic:cNvPicPr>
                      <a:picLocks noChangeAspect="1" noChangeArrowheads="1"/>
                    </pic:cNvPicPr>
                  </pic:nvPicPr>
                  <pic:blipFill>
                    <a:blip r:embed="rId29"/>
                    <a:srcRect l="-2" t="-6" r="-2" b="-6"/>
                    <a:stretch>
                      <a:fillRect/>
                    </a:stretch>
                  </pic:blipFill>
                  <pic:spPr bwMode="auto">
                    <a:xfrm>
                      <a:off x="0" y="0"/>
                      <a:ext cx="5899785" cy="2597150"/>
                    </a:xfrm>
                    <a:prstGeom prst="rect">
                      <a:avLst/>
                    </a:prstGeom>
                  </pic:spPr>
                </pic:pic>
              </a:graphicData>
            </a:graphic>
          </wp:inline>
        </w:drawing>
      </w:r>
    </w:p>
    <w:p>
      <w:pPr>
        <w:pStyle w:val="Normal"/>
        <w:spacing w:lineRule="auto" w:line="480"/>
        <w:ind w:firstLine="420"/>
        <w:jc w:val="both"/>
        <w:rPr>
          <w:rFonts w:ascii="Arial" w:hAnsi="Arial" w:cs="Arial"/>
          <w:sz w:val="21"/>
          <w:szCs w:val="21"/>
        </w:rPr>
      </w:pPr>
      <w:r>
        <w:rPr>
          <w:rFonts w:cs="Arial" w:ascii="Arial" w:hAnsi="Arial"/>
          <w:sz w:val="21"/>
          <w:szCs w:val="21"/>
        </w:rPr>
        <w:t>5.</w:t>
      </w:r>
      <w:r>
        <w:rPr>
          <w:rFonts w:ascii="Arial" w:hAnsi="Arial" w:cs="Arial"/>
          <w:sz w:val="21"/>
          <w:szCs w:val="21"/>
        </w:rPr>
        <w:t>产业政策</w:t>
      </w:r>
    </w:p>
    <w:p>
      <w:pPr>
        <w:pStyle w:val="Normal"/>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1</w:t>
      </w:r>
      <w:r>
        <w:rPr>
          <w:rFonts w:ascii="Arial" w:hAnsi="Arial" w:cs="Arial"/>
          <w:sz w:val="21"/>
          <w:szCs w:val="21"/>
        </w:rPr>
        <w:t>）限购：优化商品住房限制转让政策。居民家庭购买的商品住房，在购房合同备案满</w:t>
      </w:r>
      <w:r>
        <w:rPr>
          <w:rFonts w:cs="Arial" w:ascii="Arial" w:hAnsi="Arial"/>
          <w:sz w:val="21"/>
          <w:szCs w:val="21"/>
        </w:rPr>
        <w:t>2</w:t>
      </w:r>
      <w:r>
        <w:rPr>
          <w:rFonts w:ascii="Arial" w:hAnsi="Arial" w:cs="Arial"/>
          <w:sz w:val="21"/>
          <w:szCs w:val="21"/>
        </w:rPr>
        <w:t>年并取得不动产权证后可转让。</w:t>
      </w:r>
    </w:p>
    <w:p>
      <w:pPr>
        <w:pStyle w:val="Normal"/>
        <w:spacing w:lineRule="auto" w:line="480"/>
        <w:ind w:firstLine="420"/>
        <w:jc w:val="both"/>
        <w:rPr>
          <w:rFonts w:ascii="Arial" w:hAnsi="Arial" w:cs="Arial"/>
          <w:b/>
          <w:b/>
          <w:bCs/>
          <w:color w:val="548DD4"/>
          <w:sz w:val="21"/>
          <w:szCs w:val="21"/>
        </w:rPr>
      </w:pPr>
      <w:r>
        <w:rPr>
          <w:rFonts w:ascii="Arial" w:hAnsi="Arial" w:cs="Arial"/>
          <w:sz w:val="21"/>
          <w:szCs w:val="21"/>
        </w:rPr>
        <w:t>（</w:t>
      </w:r>
      <w:r>
        <w:rPr>
          <w:rFonts w:cs="Arial" w:ascii="Arial" w:hAnsi="Arial"/>
          <w:sz w:val="21"/>
          <w:szCs w:val="21"/>
        </w:rPr>
        <w:t>2</w:t>
      </w:r>
      <w:r>
        <w:rPr>
          <w:rFonts w:ascii="Arial" w:hAnsi="Arial" w:cs="Arial"/>
          <w:sz w:val="21"/>
          <w:szCs w:val="21"/>
        </w:rPr>
        <w:t>）限价：初次申报预、现售的商品住房销售价格备案时，申报价格原则上不超过之前一年内同地段、同类型项目网签价格。分期开发建设的商品住房项目，申报商品住房销售价格备案时，两次申报价格备案间隔未超过一年的，原则上桉照不超过前期备案价格进行申报。预售转现售、零星销售尾盘的商品住房项目，备案时间不超过一年的，原则上不得上调备案价格。</w:t>
      </w:r>
    </w:p>
    <w:p>
      <w:pPr>
        <w:pStyle w:val="Normal"/>
        <w:spacing w:lineRule="auto" w:line="480"/>
        <w:jc w:val="both"/>
        <w:rPr/>
      </w:pPr>
      <w:r>
        <w:rPr>
          <w:rFonts w:ascii="Arial" w:hAnsi="Arial" w:cs="Arial"/>
          <w:b/>
          <w:bCs/>
          <w:color w:val="000000"/>
          <w:sz w:val="21"/>
          <w:szCs w:val="21"/>
        </w:rPr>
        <w:t>（二）估价对象所在区域相应用途房地产市场状况</w:t>
      </w:r>
    </w:p>
    <w:p>
      <w:pPr>
        <w:pStyle w:val="Normal"/>
        <w:spacing w:lineRule="auto" w:line="480"/>
        <w:ind w:firstLine="420"/>
        <w:jc w:val="both"/>
        <w:rPr/>
      </w:pPr>
      <w:r>
        <w:rPr>
          <w:rFonts w:ascii="Arial" w:hAnsi="Arial" w:cs="Arial"/>
          <w:sz w:val="21"/>
          <w:szCs w:val="21"/>
        </w:rPr>
        <w:t>秀英区，隶属海南省海口市。是海口市委、海口市人民政府所在地，地处</w:t>
      </w:r>
      <w:hyperlink r:id="rId30" w:tgtFrame="_blank">
        <w:r>
          <w:rPr>
            <w:rStyle w:val="Internet"/>
            <w:rFonts w:ascii="Arial" w:hAnsi="Arial" w:cs="Arial"/>
            <w:sz w:val="21"/>
            <w:szCs w:val="21"/>
          </w:rPr>
          <w:t>海口市</w:t>
        </w:r>
      </w:hyperlink>
      <w:r>
        <w:rPr>
          <w:rFonts w:ascii="Arial" w:hAnsi="Arial" w:cs="Arial"/>
          <w:sz w:val="21"/>
          <w:szCs w:val="21"/>
        </w:rPr>
        <w:t>西北部，东接</w:t>
      </w:r>
      <w:hyperlink r:id="rId31" w:tgtFrame="_blank">
        <w:r>
          <w:rPr>
            <w:rStyle w:val="Internet"/>
            <w:rFonts w:ascii="Arial" w:hAnsi="Arial" w:cs="Arial"/>
            <w:sz w:val="21"/>
            <w:szCs w:val="21"/>
          </w:rPr>
          <w:t>龙华区</w:t>
        </w:r>
      </w:hyperlink>
      <w:r>
        <w:rPr>
          <w:rFonts w:ascii="Arial" w:hAnsi="Arial" w:cs="Arial"/>
          <w:sz w:val="21"/>
          <w:szCs w:val="21"/>
        </w:rPr>
        <w:t>，西邻</w:t>
      </w:r>
      <w:hyperlink r:id="rId32" w:tgtFrame="_blank">
        <w:r>
          <w:rPr>
            <w:rStyle w:val="Internet"/>
            <w:rFonts w:ascii="Arial" w:hAnsi="Arial" w:cs="Arial"/>
            <w:sz w:val="21"/>
            <w:szCs w:val="21"/>
          </w:rPr>
          <w:t>澄迈县</w:t>
        </w:r>
      </w:hyperlink>
      <w:r>
        <w:rPr>
          <w:rFonts w:ascii="Arial" w:hAnsi="Arial" w:cs="Arial"/>
          <w:sz w:val="21"/>
          <w:szCs w:val="21"/>
        </w:rPr>
        <w:t>，南与</w:t>
      </w:r>
      <w:hyperlink r:id="rId33" w:tgtFrame="_blank">
        <w:r>
          <w:rPr>
            <w:rStyle w:val="Internet"/>
            <w:rFonts w:ascii="Arial" w:hAnsi="Arial" w:cs="Arial"/>
            <w:sz w:val="21"/>
            <w:szCs w:val="21"/>
          </w:rPr>
          <w:t>定安县</w:t>
        </w:r>
      </w:hyperlink>
      <w:r>
        <w:rPr>
          <w:rFonts w:ascii="Arial" w:hAnsi="Arial" w:cs="Arial"/>
          <w:sz w:val="21"/>
          <w:szCs w:val="21"/>
        </w:rPr>
        <w:t>接壤，北临</w:t>
      </w:r>
      <w:hyperlink r:id="rId34" w:tgtFrame="_blank">
        <w:r>
          <w:rPr>
            <w:rStyle w:val="Internet"/>
            <w:rFonts w:ascii="Arial" w:hAnsi="Arial" w:cs="Arial"/>
            <w:sz w:val="21"/>
            <w:szCs w:val="21"/>
          </w:rPr>
          <w:t>琼州海峡</w:t>
        </w:r>
      </w:hyperlink>
      <w:r>
        <w:rPr>
          <w:rFonts w:ascii="Arial" w:hAnsi="Arial" w:cs="Arial"/>
          <w:sz w:val="21"/>
          <w:szCs w:val="21"/>
        </w:rPr>
        <w:t>与</w:t>
      </w:r>
      <w:hyperlink r:id="rId35" w:tgtFrame="_blank">
        <w:r>
          <w:rPr>
            <w:rStyle w:val="Internet"/>
            <w:rFonts w:ascii="Arial" w:hAnsi="Arial" w:cs="Arial"/>
            <w:sz w:val="21"/>
            <w:szCs w:val="21"/>
          </w:rPr>
          <w:t>雷州半岛</w:t>
        </w:r>
      </w:hyperlink>
      <w:r>
        <w:rPr>
          <w:rFonts w:ascii="Arial" w:hAnsi="Arial" w:cs="Arial"/>
          <w:sz w:val="21"/>
          <w:szCs w:val="21"/>
        </w:rPr>
        <w:t>相望，总面积</w:t>
      </w:r>
      <w:r>
        <w:rPr>
          <w:rFonts w:cs="Arial" w:ascii="Arial" w:hAnsi="Arial"/>
          <w:sz w:val="21"/>
          <w:szCs w:val="21"/>
        </w:rPr>
        <w:t>514.86</w:t>
      </w:r>
      <w:r>
        <w:rPr>
          <w:rFonts w:ascii="Arial" w:hAnsi="Arial" w:cs="Arial"/>
          <w:sz w:val="21"/>
          <w:szCs w:val="21"/>
        </w:rPr>
        <w:t>平方千米，其中陆地面积</w:t>
      </w:r>
      <w:r>
        <w:rPr>
          <w:rFonts w:cs="Arial" w:ascii="Arial" w:hAnsi="Arial"/>
          <w:sz w:val="21"/>
          <w:szCs w:val="21"/>
        </w:rPr>
        <w:t>498.36</w:t>
      </w:r>
      <w:r>
        <w:rPr>
          <w:rFonts w:ascii="Arial" w:hAnsi="Arial" w:cs="Arial"/>
          <w:sz w:val="21"/>
          <w:szCs w:val="21"/>
        </w:rPr>
        <w:t>平方千米，水域面积</w:t>
      </w:r>
      <w:r>
        <w:rPr>
          <w:rFonts w:cs="Arial" w:ascii="Arial" w:hAnsi="Arial"/>
          <w:sz w:val="21"/>
          <w:szCs w:val="21"/>
        </w:rPr>
        <w:t>16.5</w:t>
      </w:r>
      <w:r>
        <w:rPr>
          <w:rFonts w:ascii="Arial" w:hAnsi="Arial" w:cs="Arial"/>
          <w:sz w:val="21"/>
          <w:szCs w:val="21"/>
        </w:rPr>
        <w:t>平方千米。 </w:t>
      </w:r>
      <w:r>
        <w:rPr>
          <w:rFonts w:ascii="Arial" w:hAnsi="Arial" w:cs="Arial"/>
          <w:sz w:val="21"/>
          <w:szCs w:val="21"/>
        </w:rPr>
        <w:t>截至</w:t>
      </w:r>
      <w:r>
        <w:rPr>
          <w:rFonts w:cs="Arial" w:ascii="Arial" w:hAnsi="Arial"/>
          <w:sz w:val="21"/>
          <w:szCs w:val="21"/>
        </w:rPr>
        <w:t>2023</w:t>
      </w:r>
      <w:r>
        <w:rPr>
          <w:rFonts w:ascii="Arial" w:hAnsi="Arial" w:cs="Arial"/>
          <w:sz w:val="21"/>
          <w:szCs w:val="21"/>
        </w:rPr>
        <w:t>年末，常住人口</w:t>
      </w:r>
      <w:r>
        <w:rPr>
          <w:rFonts w:cs="Arial" w:ascii="Arial" w:hAnsi="Arial"/>
          <w:sz w:val="21"/>
          <w:szCs w:val="21"/>
        </w:rPr>
        <w:t>59.24</w:t>
      </w:r>
      <w:r>
        <w:rPr>
          <w:rFonts w:ascii="Arial" w:hAnsi="Arial" w:cs="Arial"/>
          <w:sz w:val="21"/>
          <w:szCs w:val="21"/>
        </w:rPr>
        <w:t>万人。 截至</w:t>
      </w:r>
      <w:r>
        <w:rPr>
          <w:rFonts w:cs="Arial" w:ascii="Arial" w:hAnsi="Arial"/>
          <w:sz w:val="21"/>
          <w:szCs w:val="21"/>
        </w:rPr>
        <w:t>2022</w:t>
      </w:r>
      <w:r>
        <w:rPr>
          <w:rFonts w:ascii="Arial" w:hAnsi="Arial" w:cs="Arial"/>
          <w:sz w:val="21"/>
          <w:szCs w:val="21"/>
        </w:rPr>
        <w:t>年</w:t>
      </w:r>
      <w:r>
        <w:rPr>
          <w:rFonts w:cs="Arial" w:ascii="Arial" w:hAnsi="Arial"/>
          <w:sz w:val="21"/>
          <w:szCs w:val="21"/>
        </w:rPr>
        <w:t>10</w:t>
      </w:r>
      <w:r>
        <w:rPr>
          <w:rFonts w:ascii="Arial" w:hAnsi="Arial" w:cs="Arial"/>
          <w:sz w:val="21"/>
          <w:szCs w:val="21"/>
        </w:rPr>
        <w:t>月，秀英区下辖</w:t>
      </w:r>
      <w:r>
        <w:rPr>
          <w:rFonts w:cs="Arial" w:ascii="Arial" w:hAnsi="Arial"/>
          <w:sz w:val="21"/>
          <w:szCs w:val="21"/>
        </w:rPr>
        <w:t>2</w:t>
      </w:r>
      <w:r>
        <w:rPr>
          <w:rFonts w:ascii="Arial" w:hAnsi="Arial" w:cs="Arial"/>
          <w:sz w:val="21"/>
          <w:szCs w:val="21"/>
        </w:rPr>
        <w:t>个街道、</w:t>
      </w:r>
      <w:r>
        <w:rPr>
          <w:rFonts w:cs="Arial" w:ascii="Arial" w:hAnsi="Arial"/>
          <w:sz w:val="21"/>
          <w:szCs w:val="21"/>
        </w:rPr>
        <w:t>6</w:t>
      </w:r>
      <w:r>
        <w:rPr>
          <w:rFonts w:ascii="Arial" w:hAnsi="Arial" w:cs="Arial"/>
          <w:sz w:val="21"/>
          <w:szCs w:val="21"/>
        </w:rPr>
        <w:t>个镇</w:t>
      </w:r>
      <w:r>
        <w:rPr>
          <w:rFonts w:ascii="Arial" w:hAnsi="Arial" w:cs="Arial"/>
          <w:sz w:val="21"/>
          <w:szCs w:val="21"/>
        </w:rPr>
        <w:t>。</w:t>
      </w:r>
    </w:p>
    <w:p>
      <w:pPr>
        <w:pStyle w:val="Normal"/>
        <w:spacing w:lineRule="auto" w:line="480"/>
        <w:ind w:firstLine="420"/>
        <w:jc w:val="both"/>
        <w:rPr>
          <w:rFonts w:ascii="Arial" w:hAnsi="Arial" w:cs="Arial"/>
          <w:bCs/>
          <w:sz w:val="21"/>
          <w:szCs w:val="21"/>
        </w:rPr>
      </w:pPr>
      <w:r>
        <w:rPr>
          <w:rFonts w:cs="Arial" w:ascii="Arial" w:hAnsi="Arial"/>
          <w:bCs/>
          <w:sz w:val="21"/>
          <w:szCs w:val="21"/>
        </w:rPr>
        <w:t>2022</w:t>
      </w:r>
      <w:r>
        <w:rPr>
          <w:rFonts w:ascii="Arial" w:hAnsi="Arial" w:cs="Arial"/>
          <w:bCs/>
          <w:sz w:val="21"/>
          <w:szCs w:val="21"/>
        </w:rPr>
        <w:t>年，秀英区地区生产总值</w:t>
      </w:r>
      <w:r>
        <w:rPr>
          <w:rFonts w:cs="Arial" w:ascii="Arial" w:hAnsi="Arial"/>
          <w:bCs/>
          <w:sz w:val="21"/>
          <w:szCs w:val="21"/>
        </w:rPr>
        <w:t>569.42</w:t>
      </w:r>
      <w:r>
        <w:rPr>
          <w:rFonts w:ascii="Arial" w:hAnsi="Arial" w:cs="Arial"/>
          <w:bCs/>
          <w:sz w:val="21"/>
          <w:szCs w:val="21"/>
        </w:rPr>
        <w:t>亿元，按不变价格计算，增长</w:t>
      </w:r>
      <w:r>
        <w:rPr>
          <w:rFonts w:cs="Arial" w:ascii="Arial" w:hAnsi="Arial"/>
          <w:bCs/>
          <w:sz w:val="21"/>
          <w:szCs w:val="21"/>
        </w:rPr>
        <w:t>1.0%</w:t>
      </w:r>
      <w:r>
        <w:rPr>
          <w:rFonts w:ascii="Arial" w:hAnsi="Arial" w:cs="Arial"/>
          <w:bCs/>
          <w:sz w:val="21"/>
          <w:szCs w:val="21"/>
        </w:rPr>
        <w:t>。分产业看，第一产业增加值</w:t>
      </w:r>
      <w:r>
        <w:rPr>
          <w:rFonts w:cs="Arial" w:ascii="Arial" w:hAnsi="Arial"/>
          <w:bCs/>
          <w:sz w:val="21"/>
          <w:szCs w:val="21"/>
        </w:rPr>
        <w:t>24.86</w:t>
      </w:r>
      <w:r>
        <w:rPr>
          <w:rFonts w:ascii="Arial" w:hAnsi="Arial" w:cs="Arial"/>
          <w:bCs/>
          <w:sz w:val="21"/>
          <w:szCs w:val="21"/>
        </w:rPr>
        <w:t>亿元，增长</w:t>
      </w:r>
      <w:r>
        <w:rPr>
          <w:rFonts w:cs="Arial" w:ascii="Arial" w:hAnsi="Arial"/>
          <w:bCs/>
          <w:sz w:val="21"/>
          <w:szCs w:val="21"/>
        </w:rPr>
        <w:t>5.5%</w:t>
      </w:r>
      <w:r>
        <w:rPr>
          <w:rFonts w:ascii="Arial" w:hAnsi="Arial" w:cs="Arial"/>
          <w:bCs/>
          <w:sz w:val="21"/>
          <w:szCs w:val="21"/>
        </w:rPr>
        <w:t>；第二产业增加值</w:t>
      </w:r>
      <w:r>
        <w:rPr>
          <w:rFonts w:cs="Arial" w:ascii="Arial" w:hAnsi="Arial"/>
          <w:bCs/>
          <w:sz w:val="21"/>
          <w:szCs w:val="21"/>
        </w:rPr>
        <w:t>202.26</w:t>
      </w:r>
      <w:r>
        <w:rPr>
          <w:rFonts w:ascii="Arial" w:hAnsi="Arial" w:cs="Arial"/>
          <w:bCs/>
          <w:sz w:val="21"/>
          <w:szCs w:val="21"/>
        </w:rPr>
        <w:t>亿元，增长</w:t>
      </w:r>
      <w:r>
        <w:rPr>
          <w:rFonts w:cs="Arial" w:ascii="Arial" w:hAnsi="Arial"/>
          <w:bCs/>
          <w:sz w:val="21"/>
          <w:szCs w:val="21"/>
        </w:rPr>
        <w:t>10.1%</w:t>
      </w:r>
      <w:r>
        <w:rPr>
          <w:rFonts w:ascii="Arial" w:hAnsi="Arial" w:cs="Arial"/>
          <w:bCs/>
          <w:sz w:val="21"/>
          <w:szCs w:val="21"/>
        </w:rPr>
        <w:t>；第三产业增加值</w:t>
      </w:r>
      <w:r>
        <w:rPr>
          <w:rFonts w:cs="Arial" w:ascii="Arial" w:hAnsi="Arial"/>
          <w:bCs/>
          <w:sz w:val="21"/>
          <w:szCs w:val="21"/>
        </w:rPr>
        <w:t>342.31</w:t>
      </w:r>
      <w:r>
        <w:rPr>
          <w:rFonts w:ascii="Arial" w:hAnsi="Arial" w:cs="Arial"/>
          <w:bCs/>
          <w:sz w:val="21"/>
          <w:szCs w:val="21"/>
        </w:rPr>
        <w:t>亿元，下降</w:t>
      </w:r>
      <w:r>
        <w:rPr>
          <w:rFonts w:cs="Arial" w:ascii="Arial" w:hAnsi="Arial"/>
          <w:bCs/>
          <w:sz w:val="21"/>
          <w:szCs w:val="21"/>
        </w:rPr>
        <w:t>3.3%</w:t>
      </w:r>
      <w:r>
        <w:rPr>
          <w:rFonts w:ascii="Arial" w:hAnsi="Arial" w:cs="Arial"/>
          <w:bCs/>
          <w:sz w:val="21"/>
          <w:szCs w:val="21"/>
        </w:rPr>
        <w:t>。</w:t>
      </w:r>
    </w:p>
    <w:p>
      <w:pPr>
        <w:pStyle w:val="Normal"/>
        <w:spacing w:lineRule="auto" w:line="480"/>
        <w:ind w:firstLine="420"/>
        <w:jc w:val="both"/>
        <w:rPr>
          <w:rFonts w:ascii="Arial" w:hAnsi="Arial" w:cs="Arial"/>
          <w:bCs/>
          <w:sz w:val="21"/>
          <w:szCs w:val="21"/>
        </w:rPr>
      </w:pPr>
      <w:r>
        <w:rPr>
          <w:rFonts w:ascii="Arial" w:hAnsi="Arial" w:cs="Arial"/>
          <w:kern w:val="2"/>
          <w:sz w:val="21"/>
          <w:szCs w:val="21"/>
        </w:rPr>
        <w:t>估价对象位于海南省海口市秀英区滨海大道</w:t>
      </w:r>
      <w:r>
        <w:rPr>
          <w:rFonts w:cs="Arial" w:ascii="Arial" w:hAnsi="Arial"/>
          <w:kern w:val="2"/>
          <w:sz w:val="21"/>
          <w:szCs w:val="21"/>
        </w:rPr>
        <w:t>158</w:t>
      </w:r>
      <w:r>
        <w:rPr>
          <w:rFonts w:ascii="Arial" w:hAnsi="Arial" w:cs="Arial"/>
          <w:kern w:val="2"/>
          <w:sz w:val="21"/>
          <w:szCs w:val="21"/>
        </w:rPr>
        <w:t>号</w:t>
      </w:r>
      <w:r>
        <w:rPr>
          <w:rFonts w:ascii="Arial" w:hAnsi="Arial" w:cs="Arial"/>
          <w:bCs/>
          <w:sz w:val="21"/>
          <w:szCs w:val="21"/>
        </w:rPr>
        <w:t>，该区域目前道路、交通及各种配套设施等都已相对成熟，因临近海域旅游业相对较好。该区域</w:t>
      </w:r>
      <w:r>
        <w:rPr>
          <w:rFonts w:cs="Arial" w:ascii="Arial" w:hAnsi="Arial"/>
          <w:bCs/>
          <w:sz w:val="21"/>
          <w:szCs w:val="21"/>
        </w:rPr>
        <w:t>40</w:t>
      </w:r>
      <w:r>
        <w:rPr>
          <w:rFonts w:ascii="Arial" w:hAnsi="Arial" w:cs="Arial"/>
          <w:bCs/>
          <w:sz w:val="21"/>
          <w:szCs w:val="21"/>
        </w:rPr>
        <w:t>年产权商业性质别墅项目数量较少，如悦海一品、合甲寰宇海湾</w:t>
      </w:r>
      <w:r>
        <w:rPr>
          <w:rFonts w:cs="Arial" w:ascii="Arial" w:hAnsi="Arial"/>
          <w:bCs/>
          <w:sz w:val="21"/>
          <w:szCs w:val="21"/>
        </w:rPr>
        <w:t>6</w:t>
      </w:r>
      <w:r>
        <w:rPr>
          <w:rFonts w:ascii="Arial" w:hAnsi="Arial" w:cs="Arial"/>
          <w:bCs/>
          <w:sz w:val="21"/>
          <w:szCs w:val="21"/>
        </w:rPr>
        <w:t>号等，毛坯独栋别墅平均楼面单价约为</w:t>
      </w:r>
      <w:r>
        <w:rPr>
          <w:rFonts w:cs="Arial" w:ascii="Arial" w:hAnsi="Arial"/>
          <w:bCs/>
          <w:sz w:val="21"/>
          <w:szCs w:val="21"/>
        </w:rPr>
        <w:t>37000</w:t>
      </w:r>
      <w:r>
        <w:rPr>
          <w:rFonts w:cs="宋体;SimSun" w:ascii="宋体;SimSun" w:hAnsi="宋体;SimSun"/>
          <w:bCs/>
          <w:sz w:val="21"/>
          <w:szCs w:val="21"/>
        </w:rPr>
        <w:t>—</w:t>
      </w:r>
      <w:r>
        <w:rPr>
          <w:rFonts w:cs="Arial" w:ascii="Arial" w:hAnsi="Arial"/>
          <w:bCs/>
          <w:sz w:val="21"/>
          <w:szCs w:val="21"/>
        </w:rPr>
        <w:t>50000</w:t>
      </w:r>
      <w:r>
        <w:rPr>
          <w:rFonts w:ascii="Arial" w:hAnsi="Arial" w:cs="Arial"/>
          <w:bCs/>
          <w:sz w:val="21"/>
          <w:szCs w:val="21"/>
        </w:rPr>
        <w:t>元</w:t>
      </w:r>
      <w:r>
        <w:rPr>
          <w:rFonts w:cs="Arial" w:ascii="Arial" w:hAnsi="Arial"/>
          <w:bCs/>
          <w:sz w:val="21"/>
          <w:szCs w:val="21"/>
        </w:rPr>
        <w:t>/</w:t>
      </w:r>
      <w:r>
        <w:rPr>
          <w:rFonts w:ascii="Arial" w:hAnsi="Arial" w:cs="Arial"/>
          <w:bCs/>
          <w:sz w:val="21"/>
          <w:szCs w:val="21"/>
        </w:rPr>
        <w:t>建筑平方米，单套产权建筑面积在</w:t>
      </w:r>
      <w:r>
        <w:rPr>
          <w:rFonts w:cs="Arial" w:ascii="Arial" w:hAnsi="Arial"/>
          <w:bCs/>
          <w:sz w:val="21"/>
          <w:szCs w:val="21"/>
        </w:rPr>
        <w:t>300-700</w:t>
      </w:r>
      <w:r>
        <w:rPr>
          <w:rFonts w:ascii="Arial" w:hAnsi="Arial" w:cs="Arial"/>
          <w:bCs/>
          <w:sz w:val="21"/>
          <w:szCs w:val="21"/>
        </w:rPr>
        <w:t>平方米；精装修独栋别墅平均楼面单价约为</w:t>
      </w:r>
      <w:r>
        <w:rPr>
          <w:rFonts w:cs="Arial" w:ascii="Arial" w:hAnsi="Arial"/>
          <w:bCs/>
          <w:sz w:val="21"/>
          <w:szCs w:val="21"/>
        </w:rPr>
        <w:t>38000</w:t>
      </w:r>
      <w:r>
        <w:rPr>
          <w:rFonts w:cs="宋体;SimSun" w:ascii="宋体;SimSun" w:hAnsi="宋体;SimSun"/>
          <w:bCs/>
          <w:sz w:val="21"/>
          <w:szCs w:val="21"/>
        </w:rPr>
        <w:t>—</w:t>
      </w:r>
      <w:r>
        <w:rPr>
          <w:rFonts w:cs="Arial" w:ascii="Arial" w:hAnsi="Arial"/>
          <w:bCs/>
          <w:sz w:val="21"/>
          <w:szCs w:val="21"/>
        </w:rPr>
        <w:t>55000</w:t>
      </w:r>
      <w:r>
        <w:rPr>
          <w:rFonts w:ascii="Arial" w:hAnsi="Arial" w:cs="Arial"/>
          <w:bCs/>
          <w:sz w:val="21"/>
          <w:szCs w:val="21"/>
        </w:rPr>
        <w:t>元</w:t>
      </w:r>
      <w:r>
        <w:rPr>
          <w:rFonts w:cs="Arial" w:ascii="Arial" w:hAnsi="Arial"/>
          <w:bCs/>
          <w:sz w:val="21"/>
          <w:szCs w:val="21"/>
        </w:rPr>
        <w:t>/</w:t>
      </w:r>
      <w:r>
        <w:rPr>
          <w:rFonts w:ascii="Arial" w:hAnsi="Arial" w:cs="Arial"/>
          <w:bCs/>
          <w:sz w:val="21"/>
          <w:szCs w:val="21"/>
        </w:rPr>
        <w:t>建筑平方米（装修标准</w:t>
      </w:r>
      <w:r>
        <w:rPr>
          <w:rFonts w:cs="Arial" w:ascii="Arial" w:hAnsi="Arial"/>
          <w:bCs/>
          <w:sz w:val="21"/>
          <w:szCs w:val="21"/>
        </w:rPr>
        <w:t>1000-2000</w:t>
      </w:r>
      <w:r>
        <w:rPr>
          <w:rFonts w:ascii="Arial" w:hAnsi="Arial" w:cs="Arial"/>
          <w:bCs/>
          <w:sz w:val="21"/>
          <w:szCs w:val="21"/>
        </w:rPr>
        <w:t>元</w:t>
      </w:r>
      <w:r>
        <w:rPr>
          <w:rFonts w:cs="Arial" w:ascii="Arial" w:hAnsi="Arial"/>
          <w:bCs/>
          <w:sz w:val="21"/>
          <w:szCs w:val="21"/>
        </w:rPr>
        <w:t>/</w:t>
      </w:r>
      <w:r>
        <w:rPr>
          <w:rFonts w:ascii="Arial" w:hAnsi="Arial" w:cs="Arial"/>
          <w:bCs/>
          <w:sz w:val="21"/>
          <w:szCs w:val="21"/>
        </w:rPr>
        <w:t>平方米），单套产权建筑面积在</w:t>
      </w:r>
      <w:r>
        <w:rPr>
          <w:rFonts w:cs="Arial" w:ascii="Arial" w:hAnsi="Arial"/>
          <w:bCs/>
          <w:sz w:val="21"/>
          <w:szCs w:val="21"/>
        </w:rPr>
        <w:t>20</w:t>
      </w:r>
      <w:r>
        <w:rPr>
          <w:rFonts w:cs="Arial" w:ascii="Arial" w:hAnsi="Arial"/>
          <w:bCs/>
          <w:sz w:val="21"/>
          <w:szCs w:val="21"/>
        </w:rPr>
        <w:t>0-</w:t>
      </w:r>
      <w:r>
        <w:rPr>
          <w:rFonts w:cs="Arial" w:ascii="Arial" w:hAnsi="Arial"/>
          <w:bCs/>
          <w:sz w:val="21"/>
          <w:szCs w:val="21"/>
        </w:rPr>
        <w:t>23</w:t>
      </w:r>
      <w:r>
        <w:rPr>
          <w:rFonts w:cs="Arial" w:ascii="Arial" w:hAnsi="Arial"/>
          <w:bCs/>
          <w:sz w:val="21"/>
          <w:szCs w:val="21"/>
        </w:rPr>
        <w:t>0</w:t>
      </w:r>
      <w:r>
        <w:rPr>
          <w:rFonts w:ascii="Arial" w:hAnsi="Arial" w:cs="Arial"/>
          <w:bCs/>
          <w:sz w:val="21"/>
          <w:szCs w:val="21"/>
        </w:rPr>
        <w:t>平方米。</w:t>
      </w:r>
    </w:p>
    <w:p>
      <w:pPr>
        <w:pStyle w:val="Normal"/>
        <w:spacing w:lineRule="auto" w:line="480"/>
        <w:ind w:firstLine="420"/>
        <w:jc w:val="both"/>
        <w:rPr>
          <w:rFonts w:ascii="Arial" w:hAnsi="Arial" w:cs="Arial"/>
          <w:b/>
          <w:b/>
          <w:bCs/>
          <w:sz w:val="21"/>
          <w:szCs w:val="21"/>
        </w:rPr>
      </w:pPr>
      <w:r>
        <w:rPr>
          <w:rFonts w:cs="Arial" w:ascii="Arial" w:hAnsi="Arial"/>
          <w:b/>
          <w:bCs/>
          <w:sz w:val="21"/>
          <w:szCs w:val="21"/>
        </w:rPr>
      </w:r>
    </w:p>
    <w:p>
      <w:pPr>
        <w:pStyle w:val="2"/>
        <w:numPr>
          <w:ilvl w:val="0"/>
          <w:numId w:val="0"/>
        </w:numPr>
        <w:spacing w:lineRule="auto" w:line="480"/>
        <w:ind w:left="357" w:hanging="357"/>
        <w:jc w:val="both"/>
        <w:rPr/>
      </w:pPr>
      <w:bookmarkStart w:id="30" w:name="__RefHeading___Toc162425569"/>
      <w:bookmarkEnd w:id="30"/>
      <w:r>
        <w:rPr>
          <w:rFonts w:eastAsia="宋体;SimSun"/>
          <w:kern w:val="2"/>
          <w:sz w:val="21"/>
          <w:szCs w:val="21"/>
        </w:rPr>
        <w:t>三、最高最佳利用分析</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Pr>
          <w:rFonts w:cs="Arial" w:ascii="Arial" w:hAnsi="Arial"/>
          <w:sz w:val="21"/>
          <w:szCs w:val="21"/>
        </w:rPr>
        <w:t>:</w:t>
      </w:r>
    </w:p>
    <w:p>
      <w:pPr>
        <w:pStyle w:val="Normal1"/>
        <w:autoSpaceDE w:val="false"/>
        <w:spacing w:lineRule="auto" w:line="480"/>
        <w:ind w:right="140" w:hanging="0"/>
        <w:jc w:val="both"/>
        <w:textAlignment w:val="bottom"/>
        <w:rPr>
          <w:rFonts w:ascii="Arial" w:hAnsi="Arial" w:cs="Arial"/>
          <w:b/>
          <w:b/>
          <w:sz w:val="21"/>
          <w:szCs w:val="21"/>
        </w:rPr>
      </w:pPr>
      <w:r>
        <w:rPr>
          <w:rFonts w:ascii="Arial" w:hAnsi="Arial" w:cs="Arial"/>
          <w:b/>
          <w:sz w:val="21"/>
          <w:szCs w:val="21"/>
        </w:rPr>
        <w:t>（一）法律上允许</w:t>
      </w:r>
      <w:r>
        <w:rPr>
          <w:rFonts w:ascii="Arial" w:hAnsi="Arial" w:cs="Arial"/>
          <w:b/>
          <w:sz w:val="21"/>
          <w:szCs w:val="21"/>
        </w:rPr>
        <w:t>（</w:t>
      </w:r>
      <w:r>
        <w:rPr>
          <w:rFonts w:ascii="Arial" w:hAnsi="Arial" w:cs="Arial"/>
          <w:b/>
          <w:sz w:val="21"/>
          <w:szCs w:val="21"/>
        </w:rPr>
        <w:t>规划及相关政策法规许可</w:t>
      </w:r>
      <w:r>
        <w:rPr>
          <w:rFonts w:ascii="Arial" w:hAnsi="Arial" w:cs="Arial"/>
          <w:b/>
          <w:sz w:val="21"/>
          <w:szCs w:val="21"/>
        </w:rPr>
        <w:t>）</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法律上允许即不受现时使用状况的限制，而依照法律规章、规划发展方向，按照其可能的最优用途进行估价，截至价值时点，估价对象已经取得</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w:t>
      </w:r>
      <w:r>
        <w:rPr>
          <w:rFonts w:ascii="Arial" w:hAnsi="Arial" w:cs="Arial"/>
          <w:sz w:val="21"/>
          <w:szCs w:val="21"/>
        </w:rPr>
        <w:t>，</w:t>
      </w:r>
      <w:r>
        <w:rPr>
          <w:rFonts w:ascii="Arial" w:hAnsi="Arial" w:cs="Arial"/>
          <w:sz w:val="21"/>
          <w:szCs w:val="21"/>
        </w:rPr>
        <w:t>土地用途为</w:t>
      </w:r>
      <w:r>
        <w:rPr>
          <w:rFonts w:ascii="Arial" w:hAnsi="Arial" w:cs="Arial"/>
          <w:kern w:val="2"/>
          <w:sz w:val="21"/>
          <w:szCs w:val="21"/>
        </w:rPr>
        <w:t>住宅餐饮用地，房屋用途为产权式酒店（别墅），估价对象的用途符合法律允许及规划要求</w:t>
      </w:r>
      <w:r>
        <w:rPr>
          <w:rFonts w:ascii="Arial" w:hAnsi="Arial" w:cs="Arial"/>
          <w:sz w:val="21"/>
          <w:szCs w:val="21"/>
        </w:rPr>
        <w:t>。</w:t>
      </w:r>
    </w:p>
    <w:p>
      <w:pPr>
        <w:pStyle w:val="Normal1"/>
        <w:autoSpaceDE w:val="false"/>
        <w:spacing w:lineRule="auto" w:line="480"/>
        <w:ind w:right="142" w:hanging="0"/>
        <w:jc w:val="both"/>
        <w:textAlignment w:val="bottom"/>
        <w:rPr>
          <w:rFonts w:ascii="Arial" w:hAnsi="Arial" w:cs="Arial"/>
          <w:b/>
          <w:b/>
          <w:sz w:val="21"/>
          <w:szCs w:val="21"/>
        </w:rPr>
      </w:pPr>
      <w:r>
        <w:rPr>
          <w:rFonts w:ascii="Arial" w:hAnsi="Arial" w:cs="Arial"/>
          <w:b/>
          <w:sz w:val="21"/>
          <w:szCs w:val="21"/>
        </w:rPr>
        <w:t>（二）技术上可能</w:t>
      </w:r>
    </w:p>
    <w:p>
      <w:pPr>
        <w:pStyle w:val="Normal1"/>
        <w:autoSpaceDE w:val="false"/>
        <w:spacing w:lineRule="auto" w:line="480"/>
        <w:ind w:right="142" w:firstLine="420"/>
        <w:jc w:val="both"/>
        <w:textAlignment w:val="bottom"/>
        <w:rPr/>
      </w:pPr>
      <w:r>
        <w:rPr>
          <w:rFonts w:ascii="Arial" w:hAnsi="Arial" w:cs="Arial"/>
          <w:sz w:val="21"/>
          <w:szCs w:val="21"/>
        </w:rPr>
        <w:t>技术上可能</w:t>
      </w:r>
      <w:r>
        <w:rPr>
          <w:rFonts w:ascii="Arial" w:hAnsi="Arial" w:cs="Arial"/>
          <w:sz w:val="21"/>
          <w:szCs w:val="21"/>
        </w:rPr>
        <w:t>即不能把技术上无法做到的使用当作最高最佳使用</w:t>
      </w:r>
      <w:r>
        <w:rPr>
          <w:rFonts w:cs="Arial" w:ascii="Arial" w:hAnsi="Arial"/>
          <w:sz w:val="21"/>
          <w:szCs w:val="21"/>
        </w:rPr>
        <w:t>,</w:t>
      </w:r>
      <w:r>
        <w:rPr>
          <w:rFonts w:ascii="Arial" w:hAnsi="Arial" w:cs="Arial"/>
          <w:sz w:val="21"/>
          <w:szCs w:val="21"/>
        </w:rPr>
        <w:t>要按照房屋建筑工程方面的技术要求进行估价。截至价值时点，估价对象已经取得</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w:t>
      </w:r>
      <w:r>
        <w:rPr>
          <w:rFonts w:ascii="Arial" w:hAnsi="Arial" w:cs="Arial"/>
          <w:sz w:val="21"/>
          <w:szCs w:val="21"/>
        </w:rPr>
        <w:t>，估价对象建筑结构、功能、造型、立面效果、建筑材料和设备选用、施工技术等方面均已得到相关行政部门或第三方的认可，技术上均能满足要求。</w:t>
      </w:r>
    </w:p>
    <w:p>
      <w:pPr>
        <w:pStyle w:val="Normal1"/>
        <w:autoSpaceDE w:val="false"/>
        <w:spacing w:lineRule="auto" w:line="480"/>
        <w:ind w:right="142" w:hanging="0"/>
        <w:jc w:val="both"/>
        <w:textAlignment w:val="bottom"/>
        <w:rPr>
          <w:rFonts w:ascii="Arial" w:hAnsi="Arial" w:cs="Arial"/>
          <w:b/>
          <w:b/>
          <w:sz w:val="21"/>
          <w:szCs w:val="21"/>
        </w:rPr>
      </w:pPr>
      <w:r>
        <w:rPr>
          <w:rFonts w:ascii="Arial" w:hAnsi="Arial" w:cs="Arial"/>
          <w:b/>
          <w:sz w:val="21"/>
          <w:szCs w:val="21"/>
        </w:rPr>
        <w:t>（三）经济上可行</w:t>
      </w:r>
    </w:p>
    <w:p>
      <w:pPr>
        <w:pStyle w:val="Normal1"/>
        <w:autoSpaceDE w:val="false"/>
        <w:spacing w:lineRule="auto" w:line="480"/>
        <w:ind w:right="142" w:firstLine="420"/>
        <w:jc w:val="both"/>
        <w:textAlignment w:val="bottom"/>
        <w:rPr/>
      </w:pPr>
      <w:r>
        <w:rPr>
          <w:rFonts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pPr>
        <w:pStyle w:val="Normal1"/>
        <w:autoSpaceDE w:val="false"/>
        <w:spacing w:lineRule="auto" w:line="480"/>
        <w:ind w:right="140" w:hanging="0"/>
        <w:jc w:val="both"/>
        <w:textAlignment w:val="bottom"/>
        <w:rPr>
          <w:rFonts w:ascii="Arial" w:hAnsi="Arial" w:cs="Arial"/>
          <w:b/>
          <w:b/>
          <w:sz w:val="21"/>
          <w:szCs w:val="21"/>
        </w:rPr>
      </w:pPr>
      <w:r>
        <w:rPr>
          <w:rFonts w:ascii="Arial" w:hAnsi="Arial" w:cs="Arial"/>
          <w:b/>
          <w:sz w:val="21"/>
          <w:szCs w:val="21"/>
        </w:rPr>
        <w:t>（四）价值最大化</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w:t>
      </w:r>
      <w:r>
        <w:rPr>
          <w:rFonts w:ascii="Arial" w:hAnsi="Arial" w:cs="Arial"/>
          <w:color w:val="000000"/>
          <w:sz w:val="21"/>
          <w:szCs w:val="21"/>
        </w:rPr>
        <w:t>估价对象</w:t>
      </w:r>
      <w:r>
        <w:rPr>
          <w:rFonts w:ascii="Arial" w:hAnsi="Arial" w:cs="Arial"/>
          <w:color w:val="000000"/>
          <w:sz w:val="21"/>
          <w:szCs w:val="21"/>
        </w:rPr>
        <w:t>的</w:t>
      </w:r>
      <w:r>
        <w:rPr>
          <w:rFonts w:ascii="Arial" w:hAnsi="Arial" w:cs="Arial"/>
          <w:color w:val="000000"/>
          <w:sz w:val="21"/>
          <w:szCs w:val="21"/>
        </w:rPr>
        <w:t>使用方式满足法律上许可、技术上可能、经济上可行，可使估价对象价值得到最大化</w:t>
      </w:r>
      <w:r>
        <w:rPr>
          <w:rFonts w:ascii="Arial" w:hAnsi="Arial" w:cs="Arial"/>
          <w:sz w:val="21"/>
          <w:szCs w:val="21"/>
        </w:rPr>
        <w:t>。</w:t>
      </w:r>
    </w:p>
    <w:p>
      <w:pPr>
        <w:pStyle w:val="Normal1"/>
        <w:autoSpaceDE w:val="false"/>
        <w:spacing w:lineRule="auto" w:line="480"/>
        <w:ind w:right="140" w:hanging="0"/>
        <w:jc w:val="both"/>
        <w:textAlignment w:val="bottom"/>
        <w:rPr>
          <w:rFonts w:ascii="Arial" w:hAnsi="Arial" w:cs="Arial"/>
          <w:b/>
          <w:b/>
          <w:sz w:val="21"/>
          <w:szCs w:val="21"/>
        </w:rPr>
      </w:pPr>
      <w:r>
        <w:rPr>
          <w:rFonts w:ascii="Arial" w:hAnsi="Arial" w:cs="Arial"/>
          <w:b/>
          <w:sz w:val="21"/>
          <w:szCs w:val="21"/>
        </w:rPr>
        <w:t>（五）使用前提说明与分析</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pPr>
        <w:pStyle w:val="Normal"/>
        <w:spacing w:lineRule="auto" w:line="480"/>
        <w:ind w:firstLine="420"/>
        <w:jc w:val="both"/>
        <w:rPr/>
      </w:pPr>
      <w:r>
        <w:rPr>
          <w:rFonts w:ascii="Arial" w:hAnsi="Arial" w:cs="Arial"/>
          <w:sz w:val="21"/>
          <w:szCs w:val="21"/>
        </w:rPr>
        <w:t>综上所述，我们认为估价对象用途</w:t>
      </w:r>
      <w:r>
        <w:rPr>
          <w:rFonts w:ascii="Arial" w:hAnsi="Arial" w:cs="Arial"/>
          <w:sz w:val="21"/>
          <w:szCs w:val="21"/>
        </w:rPr>
        <w:t>为产权式酒店（别墅）</w:t>
      </w:r>
      <w:r>
        <w:rPr>
          <w:rFonts w:ascii="Arial" w:hAnsi="Arial" w:cs="Arial"/>
          <w:sz w:val="21"/>
          <w:szCs w:val="21"/>
        </w:rPr>
        <w:t>为其最高最佳使用途径。</w:t>
      </w:r>
    </w:p>
    <w:p>
      <w:pPr>
        <w:pStyle w:val="Normal"/>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spacing w:lineRule="auto" w:line="480"/>
        <w:ind w:left="357" w:hanging="357"/>
        <w:jc w:val="both"/>
        <w:rPr>
          <w:rFonts w:eastAsia="宋体;SimSun"/>
          <w:kern w:val="2"/>
          <w:sz w:val="21"/>
          <w:szCs w:val="21"/>
        </w:rPr>
      </w:pPr>
      <w:bookmarkStart w:id="31" w:name="__RefHeading___Toc162425570"/>
      <w:bookmarkEnd w:id="31"/>
      <w:r>
        <w:rPr>
          <w:rFonts w:eastAsia="宋体;SimSun"/>
          <w:kern w:val="2"/>
          <w:sz w:val="21"/>
          <w:szCs w:val="21"/>
        </w:rPr>
        <w:t>四、估价方法适用性分析</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本次评估是</w:t>
      </w:r>
      <w:r>
        <w:rPr>
          <w:rFonts w:ascii="Arial" w:hAnsi="Arial" w:cs="Arial"/>
          <w:sz w:val="21"/>
          <w:szCs w:val="21"/>
        </w:rPr>
        <w:t>为估价委托人因处置资产需要了解估价对象房地产快速变现价值提供参考依据</w:t>
      </w:r>
      <w:r>
        <w:rPr>
          <w:rFonts w:ascii="Arial" w:hAnsi="Arial" w:cs="Arial"/>
          <w:sz w:val="21"/>
          <w:szCs w:val="21"/>
        </w:rPr>
        <w:t>，因此评估专业人员在认真分析研究估价对象的相关资料，并通过对邻近地区同类物业调查的基础上，确定如下技术路线</w:t>
      </w:r>
      <w:r>
        <w:rPr>
          <w:rFonts w:ascii="Arial" w:hAnsi="Arial" w:cs="Arial"/>
          <w:sz w:val="21"/>
          <w:szCs w:val="21"/>
        </w:rPr>
        <w:t>：</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首先，根据《房地产估价规范》</w:t>
      </w:r>
      <w:r>
        <w:rPr>
          <w:rFonts w:ascii="Arial" w:hAnsi="Arial" w:cs="Arial"/>
          <w:sz w:val="21"/>
          <w:szCs w:val="21"/>
        </w:rPr>
        <w:t>（</w:t>
      </w:r>
      <w:r>
        <w:rPr>
          <w:rFonts w:cs="Arial" w:ascii="Arial" w:hAnsi="Arial"/>
          <w:sz w:val="21"/>
          <w:szCs w:val="21"/>
        </w:rPr>
        <w:t>GB/T</w:t>
      </w:r>
      <w:r>
        <w:rPr>
          <w:rFonts w:cs="Arial" w:ascii="Arial" w:hAnsi="Arial"/>
          <w:sz w:val="21"/>
          <w:szCs w:val="21"/>
        </w:rPr>
        <w:t xml:space="preserve"> </w:t>
      </w:r>
      <w:r>
        <w:rPr>
          <w:rFonts w:cs="Arial" w:ascii="Arial" w:hAnsi="Arial"/>
          <w:sz w:val="21"/>
          <w:szCs w:val="21"/>
        </w:rPr>
        <w:t>50291-2015</w:t>
      </w:r>
      <w:r>
        <w:rPr>
          <w:rFonts w:ascii="Arial" w:hAnsi="Arial" w:cs="Arial"/>
          <w:sz w:val="21"/>
          <w:szCs w:val="21"/>
        </w:rPr>
        <w:t>）</w:t>
      </w:r>
      <w:r>
        <w:rPr>
          <w:rFonts w:ascii="Arial" w:hAnsi="Arial" w:cs="Arial"/>
          <w:sz w:val="21"/>
          <w:szCs w:val="21"/>
        </w:rPr>
        <w:t>的估价程序采用</w:t>
      </w:r>
      <w:r>
        <w:rPr>
          <w:rFonts w:ascii="Arial" w:hAnsi="Arial" w:cs="Arial"/>
          <w:sz w:val="21"/>
          <w:szCs w:val="21"/>
        </w:rPr>
        <w:t>比较法</w:t>
      </w:r>
      <w:r>
        <w:rPr>
          <w:rFonts w:ascii="Arial" w:hAnsi="Arial" w:cs="Arial"/>
          <w:sz w:val="21"/>
          <w:szCs w:val="21"/>
        </w:rPr>
        <w:t>、</w:t>
      </w:r>
      <w:r>
        <w:rPr>
          <w:rFonts w:ascii="Arial" w:hAnsi="Arial" w:cs="Arial"/>
          <w:sz w:val="21"/>
          <w:szCs w:val="21"/>
        </w:rPr>
        <w:t>收益法</w:t>
      </w:r>
      <w:r>
        <w:rPr>
          <w:rFonts w:ascii="Arial" w:hAnsi="Arial" w:cs="Arial"/>
          <w:sz w:val="21"/>
          <w:szCs w:val="21"/>
        </w:rPr>
        <w:t>求取估价对象房地产</w:t>
      </w:r>
      <w:r>
        <w:rPr>
          <w:rFonts w:ascii="Arial" w:hAnsi="Arial" w:cs="Arial"/>
          <w:sz w:val="21"/>
          <w:szCs w:val="21"/>
        </w:rPr>
        <w:t>市场</w:t>
      </w:r>
      <w:r>
        <w:rPr>
          <w:rFonts w:ascii="Arial" w:hAnsi="Arial" w:cs="Arial"/>
          <w:sz w:val="21"/>
          <w:szCs w:val="21"/>
        </w:rPr>
        <w:t>价值。</w:t>
      </w:r>
      <w:r>
        <w:rPr>
          <w:rFonts w:ascii="Arial" w:hAnsi="Arial" w:cs="Arial" w:eastAsia="Arial"/>
          <w:sz w:val="21"/>
          <w:szCs w:val="21"/>
        </w:rPr>
        <w:t xml:space="preserve"> </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其次</w:t>
      </w:r>
      <w:r>
        <w:rPr>
          <w:rFonts w:ascii="Arial" w:hAnsi="Arial" w:cs="Arial"/>
          <w:sz w:val="21"/>
          <w:szCs w:val="21"/>
        </w:rPr>
        <w:t>，依据各方法的估价结果，算术平均确定估价对象房地产价值。</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8"/>
        </w:rPr>
        <w:t>最后，在房地产市场价值的基础上，进行变现价格调整，最终确定估价对象快速变现价值。</w:t>
      </w:r>
    </w:p>
    <w:p>
      <w:pPr>
        <w:pStyle w:val="Normal1"/>
        <w:autoSpaceDE w:val="false"/>
        <w:spacing w:lineRule="auto" w:line="480"/>
        <w:ind w:right="140" w:firstLine="420"/>
        <w:jc w:val="both"/>
        <w:textAlignment w:val="bottom"/>
        <w:rPr/>
      </w:pPr>
      <w:r>
        <w:rPr>
          <w:rFonts w:ascii="Arial" w:hAnsi="Arial" w:cs="Arial"/>
          <w:b/>
          <w:sz w:val="21"/>
          <w:szCs w:val="21"/>
        </w:rPr>
        <w:t>（一）估价方法的选用</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sz w:val="21"/>
          <w:szCs w:val="21"/>
        </w:rPr>
        <w:t>（</w:t>
      </w:r>
      <w:r>
        <w:rPr>
          <w:rFonts w:cs="Arial" w:ascii="Arial" w:hAnsi="Arial"/>
          <w:sz w:val="21"/>
          <w:szCs w:val="21"/>
        </w:rPr>
        <w:t>GB/T</w:t>
      </w:r>
      <w:r>
        <w:rPr>
          <w:rFonts w:cs="Arial" w:ascii="Arial" w:hAnsi="Arial"/>
          <w:sz w:val="21"/>
          <w:szCs w:val="21"/>
        </w:rPr>
        <w:t xml:space="preserve"> </w:t>
      </w:r>
      <w:r>
        <w:rPr>
          <w:rFonts w:cs="Arial" w:ascii="Arial" w:hAnsi="Arial"/>
          <w:sz w:val="21"/>
          <w:szCs w:val="21"/>
        </w:rPr>
        <w:t>50291-2015</w:t>
      </w:r>
      <w:r>
        <w:rPr>
          <w:rFonts w:ascii="Arial" w:hAnsi="Arial" w:cs="Arial"/>
          <w:sz w:val="21"/>
          <w:szCs w:val="21"/>
        </w:rPr>
        <w:t>）</w:t>
      </w:r>
      <w:r>
        <w:rPr>
          <w:rFonts w:ascii="Arial" w:hAnsi="Arial" w:cs="Arial"/>
          <w:sz w:val="21"/>
          <w:szCs w:val="21"/>
        </w:rPr>
        <w:t>，估价方法主要有比较法、收益法、成本法、假设开发法四种估价方法。四种估价方法的定义及适用条件如下：</w:t>
      </w:r>
    </w:p>
    <w:p>
      <w:pPr>
        <w:pStyle w:val="Normal1"/>
        <w:autoSpaceDE w:val="false"/>
        <w:spacing w:lineRule="auto" w:line="480"/>
        <w:ind w:right="6"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pPr>
        <w:pStyle w:val="Normal"/>
        <w:spacing w:lineRule="auto" w:line="480"/>
        <w:ind w:firstLine="420"/>
        <w:jc w:val="both"/>
        <w:rPr/>
      </w:pPr>
      <w:r>
        <w:rPr>
          <w:rFonts w:ascii="Arial" w:hAnsi="Arial" w:cs="Arial"/>
          <w:color w:val="000000"/>
          <w:sz w:val="21"/>
          <w:szCs w:val="21"/>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pPr>
        <w:pStyle w:val="Normal1"/>
        <w:autoSpaceDE w:val="false"/>
        <w:spacing w:lineRule="auto" w:line="480"/>
        <w:ind w:right="6" w:firstLine="420"/>
        <w:jc w:val="both"/>
        <w:textAlignment w:val="bottom"/>
        <w:rPr>
          <w:rFonts w:ascii="Arial" w:hAnsi="Arial" w:cs="Arial"/>
          <w:color w:val="000000"/>
          <w:sz w:val="21"/>
          <w:szCs w:val="21"/>
        </w:rPr>
      </w:pPr>
      <w:r>
        <w:rPr>
          <w:rFonts w:ascii="Arial" w:hAnsi="Arial" w:cs="Arial"/>
          <w:color w:val="000000"/>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pPr>
        <w:pStyle w:val="Normal1"/>
        <w:autoSpaceDE w:val="false"/>
        <w:spacing w:lineRule="auto" w:line="480"/>
        <w:ind w:right="14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pPr>
        <w:pStyle w:val="Normal1"/>
        <w:overflowPunct w:val="false"/>
        <w:autoSpaceDE w:val="false"/>
        <w:spacing w:lineRule="auto" w:line="480"/>
        <w:ind w:right="140" w:firstLine="420"/>
        <w:jc w:val="both"/>
        <w:textAlignment w:val="auto"/>
        <w:rPr/>
      </w:pPr>
      <w:r>
        <w:rPr>
          <w:rFonts w:ascii="Arial" w:hAnsi="Arial" w:cs="Arial"/>
          <w:sz w:val="21"/>
          <w:szCs w:val="21"/>
        </w:rPr>
        <w:t>根据《房地产估价规范》（</w:t>
      </w:r>
      <w:r>
        <w:rPr>
          <w:rFonts w:cs="Arial" w:ascii="Arial" w:hAnsi="Arial"/>
          <w:sz w:val="21"/>
          <w:szCs w:val="21"/>
        </w:rPr>
        <w:t>GB/T 50291-2015</w:t>
      </w:r>
      <w:r>
        <w:rPr/>
        <w:t>），估价方法的选用要求及应用条件如下：</w:t>
      </w:r>
    </w:p>
    <w:tbl>
      <w:tblPr>
        <w:tblW w:w="9309" w:type="dxa"/>
        <w:jc w:val="center"/>
        <w:tblInd w:w="0" w:type="dxa"/>
        <w:tblCellMar>
          <w:top w:w="57" w:type="dxa"/>
          <w:left w:w="57" w:type="dxa"/>
          <w:bottom w:w="57" w:type="dxa"/>
          <w:right w:w="57" w:type="dxa"/>
        </w:tblCellMar>
      </w:tblPr>
      <w:tblGrid>
        <w:gridCol w:w="1134"/>
        <w:gridCol w:w="2410"/>
        <w:gridCol w:w="5765"/>
      </w:tblGrid>
      <w:tr>
        <w:trPr>
          <w:cantSplit w:val="true"/>
        </w:trPr>
        <w:tc>
          <w:tcPr>
            <w:tcW w:w="1134" w:type="dxa"/>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估价方法</w:t>
            </w:r>
          </w:p>
        </w:tc>
        <w:tc>
          <w:tcPr>
            <w:tcW w:w="2410" w:type="dxa"/>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选用要求</w:t>
            </w:r>
          </w:p>
        </w:tc>
        <w:tc>
          <w:tcPr>
            <w:tcW w:w="5765" w:type="dxa"/>
            <w:tcBorders>
              <w:top w:val="single" w:sz="4" w:space="0" w:color="000000"/>
              <w:left w:val="single" w:sz="4" w:space="0" w:color="000000"/>
              <w:bottom w:val="single" w:sz="4" w:space="0" w:color="000000"/>
              <w:right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应用</w:t>
            </w:r>
          </w:p>
        </w:tc>
      </w:tr>
      <w:tr>
        <w:trPr>
          <w:cantSplit w:val="true"/>
        </w:trPr>
        <w:tc>
          <w:tcPr>
            <w:tcW w:w="1134" w:type="dxa"/>
            <w:vMerge w:val="restart"/>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比较法</w:t>
            </w:r>
          </w:p>
        </w:tc>
        <w:tc>
          <w:tcPr>
            <w:tcW w:w="2410" w:type="dxa"/>
            <w:vMerge w:val="restart"/>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估价对象的同类房地产有较多交易的，应选用比较法</w:t>
            </w:r>
          </w:p>
        </w:tc>
        <w:tc>
          <w:tcPr>
            <w:tcW w:w="5765" w:type="dxa"/>
            <w:tcBorders>
              <w:top w:val="single" w:sz="4" w:space="0" w:color="000000"/>
              <w:left w:val="single" w:sz="4" w:space="0" w:color="000000"/>
              <w:bottom w:val="single" w:sz="4" w:space="0" w:color="000000"/>
              <w:right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适用物业：同类房地产数量较多、经常发生交易且具有一定的可比性的房地产，如：住宅（特别是数量较多、可比性较好的存量成套住宅）；写字楼；商铺；标准厂房；房地产开发用地等。</w:t>
            </w:r>
          </w:p>
        </w:tc>
      </w:tr>
      <w:tr>
        <w:trPr>
          <w:cantSplit w:val="true"/>
        </w:trPr>
        <w:tc>
          <w:tcPr>
            <w:tcW w:w="1134" w:type="dxa"/>
            <w:vMerge w:val="continue"/>
            <w:tcBorders>
              <w:top w:val="single" w:sz="4" w:space="0" w:color="000000"/>
              <w:left w:val="single" w:sz="4" w:space="0" w:color="000000"/>
              <w:bottom w:val="single" w:sz="4" w:space="0" w:color="000000"/>
            </w:tcBorders>
            <w:shd w:fill="auto" w:val="clear"/>
          </w:tcPr>
          <w:p>
            <w:pPr>
              <w:pStyle w:val="Normal1"/>
              <w:overflowPunct w:val="false"/>
              <w:autoSpaceDE w:val="false"/>
              <w:snapToGrid w:val="false"/>
              <w:spacing w:lineRule="exact" w:line="240"/>
              <w:jc w:val="both"/>
              <w:textAlignment w:val="auto"/>
              <w:rPr>
                <w:rFonts w:ascii="Arial" w:hAnsi="Arial" w:eastAsia="华文细黑" w:cs="Arial"/>
                <w:sz w:val="18"/>
                <w:szCs w:val="21"/>
              </w:rPr>
            </w:pPr>
            <w:r>
              <w:rPr>
                <w:rFonts w:eastAsia="华文细黑" w:cs="Arial" w:ascii="Arial" w:hAnsi="Arial"/>
                <w:sz w:val="18"/>
                <w:szCs w:val="21"/>
              </w:rPr>
            </w:r>
          </w:p>
        </w:tc>
        <w:tc>
          <w:tcPr>
            <w:tcW w:w="2410" w:type="dxa"/>
            <w:vMerge w:val="continue"/>
            <w:tcBorders>
              <w:top w:val="single" w:sz="4" w:space="0" w:color="000000"/>
              <w:left w:val="single" w:sz="4" w:space="0" w:color="000000"/>
              <w:bottom w:val="single" w:sz="4" w:space="0" w:color="000000"/>
            </w:tcBorders>
            <w:shd w:fill="auto" w:val="clear"/>
          </w:tcPr>
          <w:p>
            <w:pPr>
              <w:pStyle w:val="Normal1"/>
              <w:overflowPunct w:val="false"/>
              <w:autoSpaceDE w:val="false"/>
              <w:snapToGrid w:val="false"/>
              <w:spacing w:lineRule="exact" w:line="240"/>
              <w:jc w:val="both"/>
              <w:textAlignment w:val="auto"/>
              <w:rPr>
                <w:rFonts w:ascii="Arial" w:hAnsi="Arial" w:eastAsia="华文细黑" w:cs="Arial"/>
                <w:sz w:val="18"/>
                <w:szCs w:val="21"/>
              </w:rPr>
            </w:pPr>
            <w:r>
              <w:rPr>
                <w:rFonts w:eastAsia="华文细黑" w:cs="Arial" w:ascii="Arial" w:hAnsi="Arial"/>
                <w:sz w:val="18"/>
                <w:szCs w:val="21"/>
              </w:rPr>
            </w:r>
          </w:p>
        </w:tc>
        <w:tc>
          <w:tcPr>
            <w:tcW w:w="5765" w:type="dxa"/>
            <w:tcBorders>
              <w:top w:val="single" w:sz="4" w:space="0" w:color="000000"/>
              <w:left w:val="single" w:sz="4" w:space="0" w:color="000000"/>
              <w:bottom w:val="single" w:sz="4" w:space="0" w:color="000000"/>
              <w:right w:val="single" w:sz="4" w:space="0" w:color="000000"/>
            </w:tcBorders>
            <w:shd w:fill="auto" w:val="clear"/>
          </w:tcPr>
          <w:p>
            <w:pPr>
              <w:pStyle w:val="Normal1"/>
              <w:overflowPunct w:val="false"/>
              <w:autoSpaceDE w:val="false"/>
              <w:spacing w:lineRule="exact" w:line="240"/>
              <w:jc w:val="both"/>
              <w:textAlignment w:val="auto"/>
              <w:rPr/>
            </w:pPr>
            <w:r>
              <w:rPr>
                <w:rFonts w:ascii="Arial" w:hAnsi="Arial" w:cs="Arial" w:eastAsia="华文细黑"/>
                <w:sz w:val="18"/>
                <w:szCs w:val="21"/>
              </w:rPr>
              <w:t>不适用物业：</w:t>
            </w:r>
          </w:p>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同类房地产数量很少的房地产，如：特殊厂房、机场、码头、博物馆、教堂、寺庙、古建筑等</w:t>
            </w:r>
            <w:r>
              <w:rPr>
                <w:rFonts w:eastAsia="华文细黑" w:cs="Arial" w:ascii="Arial" w:hAnsi="Arial"/>
                <w:sz w:val="18"/>
                <w:szCs w:val="21"/>
              </w:rPr>
              <w:t>;</w:t>
            </w:r>
          </w:p>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很少发生交易的房地产，如：学校、医院、行政办公楼等</w:t>
            </w:r>
            <w:r>
              <w:rPr>
                <w:rFonts w:eastAsia="华文细黑" w:cs="Arial" w:ascii="Arial" w:hAnsi="Arial"/>
                <w:sz w:val="18"/>
                <w:szCs w:val="21"/>
              </w:rPr>
              <w:t>;</w:t>
            </w:r>
          </w:p>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可比性很差的房地产，如：在建工程等。</w:t>
            </w:r>
          </w:p>
        </w:tc>
      </w:tr>
      <w:tr>
        <w:trPr>
          <w:cantSplit w:val="true"/>
        </w:trPr>
        <w:tc>
          <w:tcPr>
            <w:tcW w:w="1134" w:type="dxa"/>
            <w:vMerge w:val="restart"/>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收益法</w:t>
            </w:r>
          </w:p>
        </w:tc>
        <w:tc>
          <w:tcPr>
            <w:tcW w:w="2410" w:type="dxa"/>
            <w:vMerge w:val="restart"/>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估价对象或其同类房地产通常有租金等经济收人的，应选用收益法</w:t>
            </w:r>
          </w:p>
        </w:tc>
        <w:tc>
          <w:tcPr>
            <w:tcW w:w="5765" w:type="dxa"/>
            <w:tcBorders>
              <w:top w:val="single" w:sz="4" w:space="0" w:color="000000"/>
              <w:left w:val="single" w:sz="4" w:space="0" w:color="000000"/>
              <w:bottom w:val="single" w:sz="4" w:space="0" w:color="000000"/>
              <w:right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适用物业：同类房地产通常有租金等经济收人的收益性房地产，包括：住宅、写字楼、商店、酒店、餐馆、游乐场、影剧院、停车场、汽车加油站、标准厂房</w:t>
            </w:r>
            <w:r>
              <w:rPr>
                <w:rFonts w:eastAsia="华文细黑" w:cs="Arial" w:ascii="Arial" w:hAnsi="Arial"/>
                <w:sz w:val="18"/>
                <w:szCs w:val="21"/>
              </w:rPr>
              <w:t>(</w:t>
            </w:r>
            <w:r>
              <w:rPr>
                <w:rFonts w:ascii="Arial" w:hAnsi="Arial" w:cs="Arial" w:eastAsia="华文细黑"/>
                <w:sz w:val="18"/>
                <w:szCs w:val="21"/>
              </w:rPr>
              <w:t>用于出租的</w:t>
            </w:r>
            <w:r>
              <w:rPr>
                <w:rFonts w:eastAsia="华文细黑" w:cs="Arial" w:ascii="Arial" w:hAnsi="Arial"/>
                <w:sz w:val="18"/>
                <w:szCs w:val="21"/>
              </w:rPr>
              <w:t>)</w:t>
            </w:r>
            <w:r>
              <w:rPr>
                <w:rFonts w:ascii="Arial" w:hAnsi="Arial" w:cs="Arial" w:eastAsia="华文细黑"/>
                <w:sz w:val="18"/>
                <w:szCs w:val="21"/>
              </w:rPr>
              <w:t>、仓库</w:t>
            </w:r>
            <w:r>
              <w:rPr>
                <w:rFonts w:eastAsia="华文细黑" w:cs="Arial" w:ascii="Arial" w:hAnsi="Arial"/>
                <w:sz w:val="18"/>
                <w:szCs w:val="21"/>
              </w:rPr>
              <w:t>(</w:t>
            </w:r>
            <w:r>
              <w:rPr>
                <w:rFonts w:ascii="Arial" w:hAnsi="Arial" w:cs="Arial" w:eastAsia="华文细黑"/>
                <w:sz w:val="18"/>
                <w:szCs w:val="21"/>
              </w:rPr>
              <w:t>用于出租的</w:t>
            </w:r>
            <w:r>
              <w:rPr>
                <w:rFonts w:eastAsia="华文细黑" w:cs="Arial" w:ascii="Arial" w:hAnsi="Arial"/>
                <w:sz w:val="18"/>
                <w:szCs w:val="21"/>
              </w:rPr>
              <w:t>)</w:t>
            </w:r>
            <w:r>
              <w:rPr>
                <w:rFonts w:ascii="Arial" w:hAnsi="Arial" w:cs="Arial" w:eastAsia="华文细黑"/>
                <w:sz w:val="18"/>
                <w:szCs w:val="21"/>
              </w:rPr>
              <w:t>、农地等。</w:t>
            </w:r>
          </w:p>
        </w:tc>
      </w:tr>
      <w:tr>
        <w:trPr>
          <w:cantSplit w:val="true"/>
        </w:trPr>
        <w:tc>
          <w:tcPr>
            <w:tcW w:w="1134" w:type="dxa"/>
            <w:vMerge w:val="continue"/>
            <w:tcBorders>
              <w:top w:val="single" w:sz="4" w:space="0" w:color="000000"/>
              <w:left w:val="single" w:sz="4" w:space="0" w:color="000000"/>
              <w:bottom w:val="single" w:sz="4" w:space="0" w:color="000000"/>
            </w:tcBorders>
            <w:shd w:fill="auto" w:val="clear"/>
          </w:tcPr>
          <w:p>
            <w:pPr>
              <w:pStyle w:val="Normal1"/>
              <w:overflowPunct w:val="false"/>
              <w:autoSpaceDE w:val="false"/>
              <w:snapToGrid w:val="false"/>
              <w:spacing w:lineRule="exact" w:line="240"/>
              <w:jc w:val="both"/>
              <w:textAlignment w:val="auto"/>
              <w:rPr>
                <w:rFonts w:ascii="Arial" w:hAnsi="Arial" w:eastAsia="华文细黑" w:cs="Arial"/>
                <w:sz w:val="18"/>
                <w:szCs w:val="21"/>
              </w:rPr>
            </w:pPr>
            <w:r>
              <w:rPr>
                <w:rFonts w:eastAsia="华文细黑" w:cs="Arial" w:ascii="Arial" w:hAnsi="Arial"/>
                <w:sz w:val="18"/>
                <w:szCs w:val="21"/>
              </w:rPr>
            </w:r>
          </w:p>
        </w:tc>
        <w:tc>
          <w:tcPr>
            <w:tcW w:w="2410" w:type="dxa"/>
            <w:vMerge w:val="continue"/>
            <w:tcBorders>
              <w:top w:val="single" w:sz="4" w:space="0" w:color="000000"/>
              <w:left w:val="single" w:sz="4" w:space="0" w:color="000000"/>
              <w:bottom w:val="single" w:sz="4" w:space="0" w:color="000000"/>
            </w:tcBorders>
            <w:shd w:fill="auto" w:val="clear"/>
          </w:tcPr>
          <w:p>
            <w:pPr>
              <w:pStyle w:val="Normal1"/>
              <w:overflowPunct w:val="false"/>
              <w:autoSpaceDE w:val="false"/>
              <w:snapToGrid w:val="false"/>
              <w:spacing w:lineRule="exact" w:line="240"/>
              <w:jc w:val="both"/>
              <w:textAlignment w:val="auto"/>
              <w:rPr>
                <w:rFonts w:ascii="Arial" w:hAnsi="Arial" w:eastAsia="华文细黑" w:cs="Arial"/>
                <w:sz w:val="18"/>
                <w:szCs w:val="21"/>
              </w:rPr>
            </w:pPr>
            <w:r>
              <w:rPr>
                <w:rFonts w:eastAsia="华文细黑" w:cs="Arial" w:ascii="Arial" w:hAnsi="Arial"/>
                <w:sz w:val="18"/>
                <w:szCs w:val="21"/>
              </w:rPr>
            </w:r>
          </w:p>
        </w:tc>
        <w:tc>
          <w:tcPr>
            <w:tcW w:w="5765" w:type="dxa"/>
            <w:tcBorders>
              <w:top w:val="single" w:sz="4" w:space="0" w:color="000000"/>
              <w:left w:val="single" w:sz="4" w:space="0" w:color="000000"/>
              <w:bottom w:val="single" w:sz="4" w:space="0" w:color="000000"/>
              <w:right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不适用物业：行政办公楼、学校、公园等公用、公益性房地产。</w:t>
            </w:r>
          </w:p>
        </w:tc>
      </w:tr>
      <w:tr>
        <w:trPr>
          <w:cantSplit w:val="true"/>
        </w:trPr>
        <w:tc>
          <w:tcPr>
            <w:tcW w:w="1134" w:type="dxa"/>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成本法</w:t>
            </w:r>
          </w:p>
        </w:tc>
        <w:tc>
          <w:tcPr>
            <w:tcW w:w="2410" w:type="dxa"/>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估价对象可假定为独立的开发建设项目进行重新开发建设的，宜选用成本法</w:t>
            </w:r>
            <w:r>
              <w:rPr>
                <w:rFonts w:eastAsia="华文细黑" w:cs="Arial" w:ascii="Arial" w:hAnsi="Arial"/>
                <w:sz w:val="18"/>
                <w:szCs w:val="21"/>
              </w:rPr>
              <w:t>;</w:t>
            </w:r>
            <w:r>
              <w:rPr>
                <w:rFonts w:ascii="Arial" w:hAnsi="Arial" w:cs="Arial" w:eastAsia="华文细黑"/>
                <w:sz w:val="18"/>
                <w:szCs w:val="21"/>
              </w:rPr>
              <w:t>当估价对象的同类房地产没有交易或交易很少，且估价对象或其同类房地产没有租金等经济收人时，应选用成本法。</w:t>
            </w:r>
          </w:p>
        </w:tc>
        <w:tc>
          <w:tcPr>
            <w:tcW w:w="5765" w:type="dxa"/>
            <w:tcBorders>
              <w:top w:val="single" w:sz="4" w:space="0" w:color="000000"/>
              <w:left w:val="single" w:sz="4" w:space="0" w:color="000000"/>
              <w:bottom w:val="single" w:sz="4" w:space="0" w:color="000000"/>
              <w:right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适用物业：</w:t>
            </w:r>
          </w:p>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新近开发完成的房地产</w:t>
            </w:r>
            <w:r>
              <w:rPr>
                <w:rFonts w:eastAsia="华文细黑" w:cs="Arial" w:ascii="Arial" w:hAnsi="Arial"/>
                <w:sz w:val="18"/>
                <w:szCs w:val="21"/>
              </w:rPr>
              <w:t>(</w:t>
            </w:r>
            <w:r>
              <w:rPr>
                <w:rFonts w:ascii="Arial" w:hAnsi="Arial" w:cs="Arial" w:eastAsia="华文细黑"/>
                <w:sz w:val="18"/>
                <w:szCs w:val="21"/>
              </w:rPr>
              <w:t>简称新开发的房地产</w:t>
            </w:r>
            <w:r>
              <w:rPr>
                <w:rFonts w:eastAsia="华文细黑" w:cs="Arial" w:ascii="Arial" w:hAnsi="Arial"/>
                <w:sz w:val="18"/>
                <w:szCs w:val="21"/>
              </w:rPr>
              <w:t>)</w:t>
            </w:r>
            <w:r>
              <w:rPr>
                <w:rFonts w:ascii="Arial" w:hAnsi="Arial" w:cs="Arial" w:eastAsia="华文细黑"/>
                <w:sz w:val="18"/>
                <w:szCs w:val="21"/>
              </w:rPr>
              <w:t>、可以假设重新开发的现有房地产</w:t>
            </w:r>
            <w:r>
              <w:rPr>
                <w:rFonts w:eastAsia="华文细黑" w:cs="Arial" w:ascii="Arial" w:hAnsi="Arial"/>
                <w:sz w:val="18"/>
                <w:szCs w:val="21"/>
              </w:rPr>
              <w:t>(</w:t>
            </w:r>
            <w:r>
              <w:rPr>
                <w:rFonts w:ascii="Arial" w:hAnsi="Arial" w:cs="Arial" w:eastAsia="华文细黑"/>
                <w:sz w:val="18"/>
                <w:szCs w:val="21"/>
              </w:rPr>
              <w:t>简称旧的房地产</w:t>
            </w:r>
            <w:r>
              <w:rPr>
                <w:rFonts w:eastAsia="华文细黑" w:cs="Arial" w:ascii="Arial" w:hAnsi="Arial"/>
                <w:sz w:val="18"/>
                <w:szCs w:val="21"/>
              </w:rPr>
              <w:t>)</w:t>
            </w:r>
            <w:r>
              <w:rPr>
                <w:rFonts w:ascii="Arial" w:hAnsi="Arial" w:cs="Arial" w:eastAsia="华文细黑"/>
                <w:sz w:val="18"/>
                <w:szCs w:val="21"/>
              </w:rPr>
              <w:t>、正在开发的房地产</w:t>
            </w:r>
          </w:p>
          <w:p>
            <w:pPr>
              <w:pStyle w:val="Normal1"/>
              <w:overflowPunct w:val="false"/>
              <w:autoSpaceDE w:val="false"/>
              <w:spacing w:lineRule="exact" w:line="240"/>
              <w:jc w:val="both"/>
              <w:textAlignment w:val="auto"/>
              <w:rPr>
                <w:rFonts w:ascii="Arial" w:hAnsi="Arial" w:eastAsia="华文细黑" w:cs="Arial"/>
                <w:sz w:val="18"/>
                <w:szCs w:val="21"/>
              </w:rPr>
            </w:pPr>
            <w:r>
              <w:rPr>
                <w:rFonts w:eastAsia="华文细黑" w:cs="Arial" w:ascii="Arial" w:hAnsi="Arial"/>
                <w:sz w:val="18"/>
                <w:szCs w:val="21"/>
              </w:rPr>
              <w:t>(</w:t>
            </w:r>
            <w:r>
              <w:rPr>
                <w:rFonts w:ascii="Arial" w:hAnsi="Arial" w:cs="Arial" w:eastAsia="华文细黑"/>
                <w:sz w:val="18"/>
                <w:szCs w:val="21"/>
              </w:rPr>
              <w:t>即在建工程</w:t>
            </w:r>
            <w:r>
              <w:rPr>
                <w:rFonts w:eastAsia="华文细黑" w:cs="Arial" w:ascii="Arial" w:hAnsi="Arial"/>
                <w:sz w:val="18"/>
                <w:szCs w:val="21"/>
              </w:rPr>
              <w:t>)</w:t>
            </w:r>
            <w:r>
              <w:rPr>
                <w:rFonts w:ascii="Arial" w:hAnsi="Arial" w:cs="Arial" w:eastAsia="华文细黑"/>
                <w:sz w:val="18"/>
                <w:szCs w:val="21"/>
              </w:rPr>
              <w:t>、计划开发的房地产</w:t>
            </w:r>
            <w:r>
              <w:rPr>
                <w:rFonts w:eastAsia="华文细黑" w:cs="Arial" w:ascii="Arial" w:hAnsi="Arial"/>
                <w:sz w:val="18"/>
                <w:szCs w:val="21"/>
              </w:rPr>
              <w:t>(</w:t>
            </w:r>
            <w:r>
              <w:rPr>
                <w:rFonts w:ascii="Arial" w:hAnsi="Arial" w:cs="Arial" w:eastAsia="华文细黑"/>
                <w:sz w:val="18"/>
                <w:szCs w:val="21"/>
              </w:rPr>
              <w:t>如期房</w:t>
            </w:r>
            <w:r>
              <w:rPr>
                <w:rFonts w:eastAsia="华文细黑" w:cs="Arial" w:ascii="Arial" w:hAnsi="Arial"/>
                <w:sz w:val="18"/>
                <w:szCs w:val="21"/>
              </w:rPr>
              <w:t>)</w:t>
            </w:r>
            <w:r>
              <w:rPr>
                <w:rFonts w:ascii="Arial" w:hAnsi="Arial" w:cs="Arial" w:eastAsia="华文细黑"/>
                <w:sz w:val="18"/>
                <w:szCs w:val="21"/>
              </w:rPr>
              <w:t>。</w:t>
            </w:r>
          </w:p>
          <w:p>
            <w:pPr>
              <w:pStyle w:val="Normal1"/>
              <w:overflowPunct w:val="false"/>
              <w:autoSpaceDE w:val="false"/>
              <w:spacing w:lineRule="exact" w:line="240"/>
              <w:jc w:val="both"/>
              <w:textAlignment w:val="auto"/>
              <w:rPr/>
            </w:pPr>
            <w:r>
              <w:rPr>
                <w:rFonts w:ascii="Arial" w:hAnsi="Arial" w:cs="Arial" w:eastAsia="华文细黑"/>
                <w:sz w:val="18"/>
                <w:szCs w:val="21"/>
              </w:rPr>
              <w:t>很少发生交易而限制了比较法运用，又没有经济收入或没有潜在经济收入而限制了收益法运用的房地产，如：学校、医院、图书馆、体育场馆、公园、行政办公楼、军队营房等以公益、公用为目的的房地产，化工厂、钢铁厂、发电厂、油田、码头、机场之类有独特设计或只针对特定使用者的特殊需要而开发建设的房地产。</w:t>
            </w:r>
          </w:p>
        </w:tc>
      </w:tr>
      <w:tr>
        <w:trPr>
          <w:cantSplit w:val="true"/>
        </w:trPr>
        <w:tc>
          <w:tcPr>
            <w:tcW w:w="1134" w:type="dxa"/>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假设开发法</w:t>
            </w:r>
          </w:p>
        </w:tc>
        <w:tc>
          <w:tcPr>
            <w:tcW w:w="2410" w:type="dxa"/>
            <w:tcBorders>
              <w:top w:val="single" w:sz="4" w:space="0" w:color="000000"/>
              <w:left w:val="single" w:sz="4" w:space="0" w:color="000000"/>
              <w:bottom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估价对象具有开发或再开发潜力且开发完成后的价值可采用除成本法以外的方法测算的，应选用假设开发法。</w:t>
            </w:r>
          </w:p>
        </w:tc>
        <w:tc>
          <w:tcPr>
            <w:tcW w:w="5765" w:type="dxa"/>
            <w:tcBorders>
              <w:top w:val="single" w:sz="4" w:space="0" w:color="000000"/>
              <w:left w:val="single" w:sz="4" w:space="0" w:color="000000"/>
              <w:bottom w:val="single" w:sz="4" w:space="0" w:color="000000"/>
              <w:right w:val="single" w:sz="4" w:space="0" w:color="000000"/>
            </w:tcBorders>
            <w:shd w:fill="auto" w:val="clear"/>
          </w:tcPr>
          <w:p>
            <w:pPr>
              <w:pStyle w:val="Normal1"/>
              <w:overflowPunct w:val="false"/>
              <w:autoSpaceDE w:val="false"/>
              <w:spacing w:lineRule="exact" w:line="240"/>
              <w:jc w:val="both"/>
              <w:textAlignment w:val="auto"/>
              <w:rPr>
                <w:rFonts w:ascii="Arial" w:hAnsi="Arial" w:eastAsia="华文细黑" w:cs="Arial"/>
                <w:sz w:val="18"/>
                <w:szCs w:val="21"/>
              </w:rPr>
            </w:pPr>
            <w:r>
              <w:rPr>
                <w:rFonts w:ascii="Arial" w:hAnsi="Arial" w:cs="Arial" w:eastAsia="华文细黑"/>
                <w:sz w:val="18"/>
                <w:szCs w:val="21"/>
              </w:rPr>
              <w:t>适用物业：可供开发的土地</w:t>
            </w:r>
            <w:r>
              <w:rPr>
                <w:rFonts w:eastAsia="华文细黑" w:cs="Arial" w:ascii="Arial" w:hAnsi="Arial"/>
                <w:sz w:val="18"/>
                <w:szCs w:val="21"/>
              </w:rPr>
              <w:t>(</w:t>
            </w:r>
            <w:r>
              <w:rPr>
                <w:rFonts w:ascii="Arial" w:hAnsi="Arial" w:cs="Arial" w:eastAsia="华文细黑"/>
                <w:sz w:val="18"/>
                <w:szCs w:val="21"/>
              </w:rPr>
              <w:t>包括生地、毛地、熟地，典型的是各种房地产开发用地</w:t>
            </w:r>
            <w:r>
              <w:rPr>
                <w:rFonts w:eastAsia="华文细黑" w:cs="Arial" w:ascii="Arial" w:hAnsi="Arial"/>
                <w:sz w:val="18"/>
                <w:szCs w:val="21"/>
              </w:rPr>
              <w:t>)</w:t>
            </w:r>
            <w:r>
              <w:rPr>
                <w:rFonts w:ascii="Arial" w:hAnsi="Arial" w:cs="Arial" w:eastAsia="华文细黑"/>
                <w:sz w:val="18"/>
                <w:szCs w:val="21"/>
              </w:rPr>
              <w:t>、在建工程</w:t>
            </w:r>
            <w:r>
              <w:rPr>
                <w:rFonts w:eastAsia="华文细黑" w:cs="Arial" w:ascii="Arial" w:hAnsi="Arial"/>
                <w:sz w:val="18"/>
                <w:szCs w:val="21"/>
              </w:rPr>
              <w:t>(</w:t>
            </w:r>
            <w:r>
              <w:rPr>
                <w:rFonts w:ascii="Arial" w:hAnsi="Arial" w:cs="Arial" w:eastAsia="华文细黑"/>
                <w:sz w:val="18"/>
                <w:szCs w:val="21"/>
              </w:rPr>
              <w:t>或称为房地产开发项目</w:t>
            </w:r>
            <w:r>
              <w:rPr>
                <w:rFonts w:eastAsia="华文细黑" w:cs="Arial" w:ascii="Arial" w:hAnsi="Arial"/>
                <w:sz w:val="18"/>
                <w:szCs w:val="21"/>
              </w:rPr>
              <w:t>)</w:t>
            </w:r>
            <w:r>
              <w:rPr>
                <w:rFonts w:ascii="Arial" w:hAnsi="Arial" w:cs="Arial" w:eastAsia="华文细黑"/>
                <w:sz w:val="18"/>
                <w:szCs w:val="21"/>
              </w:rPr>
              <w:t>、可重新开发、更新改造或改变用途的旧房</w:t>
            </w:r>
            <w:r>
              <w:rPr>
                <w:rFonts w:eastAsia="华文细黑" w:cs="Arial" w:ascii="Arial" w:hAnsi="Arial"/>
                <w:sz w:val="18"/>
                <w:szCs w:val="21"/>
              </w:rPr>
              <w:t>(</w:t>
            </w:r>
            <w:r>
              <w:rPr>
                <w:rFonts w:ascii="Arial" w:hAnsi="Arial" w:cs="Arial" w:eastAsia="华文细黑"/>
                <w:sz w:val="18"/>
                <w:szCs w:val="21"/>
              </w:rPr>
              <w:t>包括改建、扩建、重新装饰装修等。</w:t>
            </w:r>
          </w:p>
        </w:tc>
      </w:tr>
    </w:tbl>
    <w:p>
      <w:pPr>
        <w:pStyle w:val="Normal1"/>
        <w:autoSpaceDE w:val="false"/>
        <w:spacing w:lineRule="exact" w:line="240"/>
        <w:ind w:firstLine="420"/>
        <w:jc w:val="both"/>
        <w:textAlignment w:val="bottom"/>
        <w:rPr>
          <w:rFonts w:ascii="Arial" w:hAnsi="Arial" w:cs="Arial"/>
          <w:color w:val="000000"/>
          <w:sz w:val="21"/>
          <w:szCs w:val="21"/>
        </w:rPr>
      </w:pPr>
      <w:r>
        <w:rPr>
          <w:rFonts w:cs="Arial" w:ascii="Arial" w:hAnsi="Arial"/>
          <w:color w:val="000000"/>
          <w:sz w:val="21"/>
          <w:szCs w:val="21"/>
        </w:rPr>
      </w:r>
    </w:p>
    <w:p>
      <w:pPr>
        <w:pStyle w:val="Normal1"/>
        <w:overflowPunct w:val="false"/>
        <w:autoSpaceDE w:val="false"/>
        <w:spacing w:lineRule="auto" w:line="480"/>
        <w:ind w:right="140" w:firstLine="420"/>
        <w:jc w:val="both"/>
        <w:textAlignment w:val="auto"/>
        <w:rPr>
          <w:rFonts w:ascii="Arial" w:hAnsi="Arial" w:cs="Arial"/>
          <w:sz w:val="21"/>
          <w:szCs w:val="21"/>
        </w:rPr>
      </w:pPr>
      <w:r>
        <w:rPr>
          <w:rFonts w:ascii="Arial" w:hAnsi="Arial" w:cs="Arial"/>
          <w:sz w:val="21"/>
          <w:szCs w:val="21"/>
        </w:rPr>
        <w:t>评估专业人员根据估价对象的特点、实际情况以及估价目的</w:t>
      </w:r>
      <w:r>
        <w:rPr>
          <w:rFonts w:ascii="Arial" w:hAnsi="Arial" w:cs="Arial"/>
          <w:sz w:val="21"/>
          <w:szCs w:val="21"/>
        </w:rPr>
        <w:t>，</w:t>
      </w:r>
      <w:r>
        <w:rPr>
          <w:rFonts w:ascii="Arial" w:hAnsi="Arial" w:cs="Arial"/>
          <w:sz w:val="21"/>
          <w:szCs w:val="21"/>
        </w:rPr>
        <w:t>对上述估价方法分析如下：</w:t>
      </w:r>
    </w:p>
    <w:p>
      <w:pPr>
        <w:pStyle w:val="Normal1"/>
        <w:overflowPunct w:val="false"/>
        <w:autoSpaceDE w:val="false"/>
        <w:spacing w:lineRule="auto" w:line="480"/>
        <w:ind w:right="140" w:firstLine="420"/>
        <w:jc w:val="both"/>
        <w:textAlignment w:val="auto"/>
        <w:rPr>
          <w:rFonts w:ascii="Arial" w:hAnsi="Arial" w:cs="Arial"/>
          <w:sz w:val="21"/>
          <w:szCs w:val="21"/>
        </w:rPr>
      </w:pPr>
      <w:r>
        <w:rPr>
          <w:rFonts w:ascii="Arial" w:hAnsi="Arial" w:cs="Arial"/>
          <w:sz w:val="21"/>
          <w:szCs w:val="21"/>
        </w:rPr>
        <w:t>比较法：</w:t>
      </w:r>
    </w:p>
    <w:p>
      <w:pPr>
        <w:pStyle w:val="Normal1"/>
        <w:overflowPunct w:val="false"/>
        <w:autoSpaceDE w:val="false"/>
        <w:spacing w:lineRule="auto" w:line="480"/>
        <w:ind w:right="140" w:firstLine="420"/>
        <w:jc w:val="both"/>
        <w:textAlignment w:val="auto"/>
        <w:rPr>
          <w:rFonts w:ascii="Arial" w:hAnsi="Arial" w:cs="Arial"/>
          <w:b/>
          <w:b/>
          <w:sz w:val="21"/>
          <w:szCs w:val="21"/>
        </w:rPr>
      </w:pPr>
      <w:r>
        <w:rPr>
          <w:rFonts w:ascii="Arial" w:hAnsi="Arial" w:cs="Arial"/>
          <w:sz w:val="21"/>
          <w:szCs w:val="21"/>
        </w:rPr>
        <w:t>比较法主要用于同类房地产数量较多、经常发生交易且具有一定可比性的房地产。估价对象为产权式酒店（别墅），周边有同类或类似交易案例，且可比性较好，因此适宜选用比较法。</w:t>
      </w:r>
    </w:p>
    <w:p>
      <w:pPr>
        <w:pStyle w:val="Normal1"/>
        <w:overflowPunct w:val="false"/>
        <w:autoSpaceDE w:val="false"/>
        <w:spacing w:lineRule="auto" w:line="480"/>
        <w:ind w:right="140" w:firstLine="420"/>
        <w:jc w:val="both"/>
        <w:textAlignment w:val="auto"/>
        <w:rPr>
          <w:rFonts w:ascii="Arial" w:hAnsi="Arial" w:cs="Arial"/>
          <w:sz w:val="21"/>
          <w:szCs w:val="21"/>
        </w:rPr>
      </w:pPr>
      <w:r>
        <w:rPr>
          <w:rFonts w:ascii="Arial" w:hAnsi="Arial" w:cs="Arial"/>
          <w:sz w:val="21"/>
          <w:szCs w:val="21"/>
        </w:rPr>
        <w:t>收益法：</w:t>
      </w:r>
    </w:p>
    <w:p>
      <w:pPr>
        <w:pStyle w:val="Normal1"/>
        <w:overflowPunct w:val="false"/>
        <w:autoSpaceDE w:val="false"/>
        <w:spacing w:lineRule="auto" w:line="480"/>
        <w:ind w:right="140" w:firstLine="420"/>
        <w:jc w:val="both"/>
        <w:textAlignment w:val="auto"/>
        <w:rPr>
          <w:rFonts w:ascii="Arial" w:hAnsi="Arial" w:cs="Arial"/>
          <w:sz w:val="21"/>
          <w:szCs w:val="21"/>
        </w:rPr>
      </w:pPr>
      <w:r>
        <w:rPr>
          <w:rFonts w:ascii="Arial" w:hAnsi="Arial" w:cs="Arial"/>
          <w:sz w:val="21"/>
          <w:szCs w:val="21"/>
        </w:rPr>
        <w:t>收益法适用于估价对象或其同类房地产通常有租金等经济收入的收益性房地产。估价对象为产权式酒店（别墅），可产生租金收益，因此适宜选用收益法。</w:t>
      </w:r>
    </w:p>
    <w:p>
      <w:pPr>
        <w:pStyle w:val="Normal1"/>
        <w:overflowPunct w:val="false"/>
        <w:autoSpaceDE w:val="false"/>
        <w:spacing w:lineRule="auto" w:line="480"/>
        <w:ind w:right="140" w:firstLine="420"/>
        <w:jc w:val="both"/>
        <w:textAlignment w:val="auto"/>
        <w:rPr>
          <w:rFonts w:ascii="Arial" w:hAnsi="Arial" w:cs="Arial"/>
          <w:sz w:val="21"/>
          <w:szCs w:val="21"/>
        </w:rPr>
      </w:pPr>
      <w:r>
        <w:rPr>
          <w:rFonts w:ascii="Arial" w:hAnsi="Arial" w:cs="Arial"/>
          <w:sz w:val="21"/>
          <w:szCs w:val="21"/>
        </w:rPr>
        <w:t>成本法：</w:t>
      </w:r>
    </w:p>
    <w:p>
      <w:pPr>
        <w:pStyle w:val="Normal1"/>
        <w:overflowPunct w:val="false"/>
        <w:autoSpaceDE w:val="false"/>
        <w:spacing w:lineRule="auto" w:line="480"/>
        <w:ind w:right="140" w:firstLine="420"/>
        <w:jc w:val="both"/>
        <w:textAlignment w:val="auto"/>
        <w:rPr>
          <w:rFonts w:ascii="Arial" w:hAnsi="Arial" w:cs="Arial"/>
          <w:b/>
          <w:b/>
          <w:color w:val="0070C0"/>
          <w:sz w:val="21"/>
          <w:szCs w:val="21"/>
        </w:rPr>
      </w:pPr>
      <w:r>
        <w:rPr>
          <w:rFonts w:ascii="Arial" w:hAnsi="Arial" w:cs="Arial"/>
          <w:sz w:val="21"/>
          <w:szCs w:val="21"/>
        </w:rPr>
        <w:t>成本法一般是用于新开发土地，或土地市场欠发育、交易实例少的地区的房地产估价。估价对象为已建成房地产，且周边有类似交易案例，故未选用成本法</w:t>
      </w:r>
      <w:r>
        <w:rPr>
          <w:rFonts w:ascii="Arial" w:hAnsi="Arial" w:cs="Arial"/>
          <w:b/>
          <w:color w:val="0070C0"/>
          <w:sz w:val="21"/>
          <w:szCs w:val="21"/>
        </w:rPr>
        <w:t>。</w:t>
      </w:r>
    </w:p>
    <w:p>
      <w:pPr>
        <w:pStyle w:val="Normal1"/>
        <w:overflowPunct w:val="false"/>
        <w:autoSpaceDE w:val="false"/>
        <w:spacing w:lineRule="auto" w:line="480"/>
        <w:ind w:right="140" w:firstLine="420"/>
        <w:jc w:val="both"/>
        <w:textAlignment w:val="auto"/>
        <w:rPr>
          <w:rFonts w:ascii="Arial" w:hAnsi="Arial" w:cs="Arial"/>
          <w:sz w:val="21"/>
          <w:szCs w:val="21"/>
        </w:rPr>
      </w:pPr>
      <w:r>
        <w:rPr>
          <w:rFonts w:ascii="Arial" w:hAnsi="Arial" w:cs="Arial"/>
          <w:sz w:val="21"/>
          <w:szCs w:val="21"/>
        </w:rPr>
        <w:t>假设开发法：</w:t>
      </w:r>
    </w:p>
    <w:p>
      <w:pPr>
        <w:pStyle w:val="Normal1"/>
        <w:overflowPunct w:val="false"/>
        <w:autoSpaceDE w:val="false"/>
        <w:spacing w:lineRule="auto" w:line="480"/>
        <w:ind w:right="140" w:firstLine="420"/>
        <w:jc w:val="both"/>
        <w:textAlignment w:val="auto"/>
        <w:rPr/>
      </w:pPr>
      <w:r>
        <w:rPr>
          <w:rFonts w:ascii="Arial" w:hAnsi="Arial" w:cs="Arial"/>
          <w:sz w:val="21"/>
          <w:szCs w:val="21"/>
        </w:rPr>
        <w:t>估价对象为已建成物业，且处于正常运营状态，尚不具备开发或再开发潜力，故不符合假设开发法的选用及应用条件。</w:t>
      </w:r>
    </w:p>
    <w:p>
      <w:pPr>
        <w:pStyle w:val="Normal1"/>
        <w:autoSpaceDE w:val="false"/>
        <w:spacing w:lineRule="auto" w:line="480"/>
        <w:ind w:right="140" w:firstLine="420"/>
        <w:jc w:val="both"/>
        <w:textAlignment w:val="bottom"/>
        <w:rPr/>
      </w:pPr>
      <w:r>
        <w:rPr>
          <w:rFonts w:ascii="Arial" w:hAnsi="Arial" w:cs="Arial"/>
          <w:sz w:val="21"/>
          <w:szCs w:val="21"/>
        </w:rPr>
        <w:t>经上述分析，本次评估可选用的估价方法为比较法和收益法。按照</w:t>
      </w:r>
      <w:r>
        <w:rPr>
          <w:rFonts w:ascii="Arial" w:hAnsi="Arial" w:cs="Arial"/>
          <w:sz w:val="21"/>
          <w:szCs w:val="21"/>
        </w:rPr>
        <w:t>《房地产估价规范》</w:t>
      </w:r>
      <w:r>
        <w:rPr>
          <w:rFonts w:ascii="Arial" w:hAnsi="Arial" w:cs="Arial"/>
          <w:sz w:val="21"/>
          <w:szCs w:val="21"/>
        </w:rPr>
        <w:t>的要求，当估价对象适用两种或两种以上估价方法时，宜同时选用所有适用的估价方法进行估价。故，本次评估选用比较法和收益法</w:t>
      </w:r>
      <w:r>
        <w:rPr>
          <w:rFonts w:ascii="Arial" w:hAnsi="Arial" w:cs="Arial"/>
          <w:sz w:val="21"/>
          <w:szCs w:val="21"/>
        </w:rPr>
        <w:t>进行测算，评估估价对象房地产价值。</w:t>
      </w:r>
    </w:p>
    <w:p>
      <w:pPr>
        <w:pStyle w:val="Normal1"/>
        <w:autoSpaceDE w:val="false"/>
        <w:spacing w:lineRule="auto" w:line="480"/>
        <w:ind w:right="140" w:hanging="0"/>
        <w:jc w:val="both"/>
        <w:textAlignment w:val="bottom"/>
        <w:rPr>
          <w:rFonts w:ascii="Arial" w:hAnsi="Arial" w:cs="Arial"/>
          <w:b/>
          <w:b/>
          <w:sz w:val="21"/>
          <w:szCs w:val="21"/>
        </w:rPr>
      </w:pPr>
      <w:r>
        <w:rPr>
          <w:rFonts w:ascii="Arial" w:hAnsi="Arial" w:cs="Arial"/>
          <w:b/>
          <w:sz w:val="21"/>
          <w:szCs w:val="21"/>
        </w:rPr>
        <w:t>（二）估价的思路</w:t>
      </w:r>
    </w:p>
    <w:p>
      <w:pPr>
        <w:pStyle w:val="Normal1"/>
        <w:autoSpaceDE w:val="false"/>
        <w:snapToGrid w:val="false"/>
        <w:spacing w:lineRule="auto" w:line="480"/>
        <w:ind w:right="140" w:firstLine="420"/>
        <w:jc w:val="both"/>
        <w:textAlignment w:val="bottom"/>
        <w:rPr>
          <w:rFonts w:ascii="Arial" w:hAnsi="Arial" w:cs="Arial"/>
          <w:color w:val="000000"/>
          <w:sz w:val="21"/>
          <w:szCs w:val="21"/>
        </w:rPr>
      </w:pPr>
      <w:r>
        <w:rPr>
          <w:rFonts w:cs="Arial" w:ascii="Arial" w:hAnsi="Arial"/>
          <w:color w:val="000000"/>
          <w:sz w:val="21"/>
          <w:szCs w:val="21"/>
        </w:rPr>
        <w:t>1.</w:t>
      </w:r>
      <w:r>
        <w:rPr>
          <w:rFonts w:ascii="Arial" w:hAnsi="Arial" w:cs="Arial"/>
          <w:color w:val="000000"/>
          <w:sz w:val="21"/>
          <w:szCs w:val="21"/>
        </w:rPr>
        <w:t>比较法</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比较法是选取一定数量的可比实例，将它们与估价对象进行比较，根据其间的差异对可比实例成交价格进行处理后得到估价对象价值或价格的方法。其计算公式为：</w:t>
      </w:r>
    </w:p>
    <w:p>
      <w:pPr>
        <w:pStyle w:val="Normal1"/>
        <w:autoSpaceDE w:val="false"/>
        <w:snapToGrid w:val="false"/>
        <w:spacing w:lineRule="auto" w:line="480"/>
        <w:ind w:right="142" w:firstLine="420"/>
        <w:jc w:val="both"/>
        <w:textAlignment w:val="bottom"/>
        <w:rPr>
          <w:color w:val="000000"/>
          <w:sz w:val="21"/>
          <w:szCs w:val="21"/>
        </w:rPr>
      </w:pPr>
      <w:r>
        <w:rPr>
          <w:rFonts w:ascii="Arial" w:hAnsi="Arial" w:cs="Arial"/>
          <w:color w:val="000000"/>
          <w:sz w:val="21"/>
          <w:szCs w:val="21"/>
        </w:rPr>
        <w:t>比较价值＝比较案例房地产价格</w:t>
      </w:r>
      <w:r>
        <w:rPr>
          <w:rFonts w:cs="Arial" w:ascii="Arial" w:hAnsi="Arial"/>
          <w:color w:val="000000"/>
          <w:sz w:val="21"/>
          <w:szCs w:val="21"/>
        </w:rPr>
        <w:t>×</w:t>
      </w:r>
      <w:r>
        <w:rPr>
          <w:rFonts w:ascii="Arial" w:hAnsi="Arial" w:cs="Arial"/>
          <w:color w:val="000000"/>
          <w:sz w:val="21"/>
          <w:szCs w:val="21"/>
        </w:rPr>
        <w:t>（待估房地产交易情况指数</w:t>
      </w:r>
      <w:r>
        <w:rPr>
          <w:rFonts w:cs="Arial" w:ascii="Arial" w:hAnsi="Arial"/>
          <w:color w:val="000000"/>
          <w:sz w:val="21"/>
          <w:szCs w:val="21"/>
        </w:rPr>
        <w:t>/</w:t>
      </w:r>
      <w:r>
        <w:rPr>
          <w:rFonts w:ascii="Arial" w:hAnsi="Arial" w:cs="Arial"/>
          <w:color w:val="000000"/>
          <w:sz w:val="21"/>
          <w:szCs w:val="21"/>
        </w:rPr>
        <w:t>比较案例交易情况指数）</w:t>
      </w:r>
      <w:r>
        <w:rPr>
          <w:rFonts w:cs="Arial" w:ascii="Arial" w:hAnsi="Arial"/>
          <w:color w:val="000000"/>
          <w:sz w:val="21"/>
          <w:szCs w:val="21"/>
        </w:rPr>
        <w:t>×</w:t>
      </w:r>
      <w:r>
        <w:rPr>
          <w:rFonts w:ascii="Arial" w:hAnsi="Arial" w:cs="Arial"/>
          <w:color w:val="000000"/>
          <w:sz w:val="21"/>
          <w:szCs w:val="21"/>
        </w:rPr>
        <w:t>（待估房地产价值时点房地产价格指数</w:t>
      </w:r>
      <w:r>
        <w:rPr>
          <w:rFonts w:cs="Arial" w:ascii="Arial" w:hAnsi="Arial"/>
          <w:color w:val="000000"/>
          <w:sz w:val="21"/>
          <w:szCs w:val="21"/>
        </w:rPr>
        <w:t>/</w:t>
      </w:r>
      <w:r>
        <w:rPr>
          <w:rFonts w:ascii="Arial" w:hAnsi="Arial" w:cs="Arial"/>
          <w:color w:val="000000"/>
          <w:sz w:val="21"/>
          <w:szCs w:val="21"/>
        </w:rPr>
        <w:t>比较案例交易日期房地产价格指数）</w:t>
      </w:r>
      <w:r>
        <w:rPr>
          <w:rFonts w:cs="Arial" w:ascii="Arial" w:hAnsi="Arial"/>
          <w:color w:val="000000"/>
          <w:sz w:val="21"/>
          <w:szCs w:val="21"/>
        </w:rPr>
        <w:t>×</w:t>
      </w:r>
      <w:r>
        <w:rPr>
          <w:rFonts w:cs="宋体;SimSun"/>
          <w:color w:val="000000"/>
          <w:sz w:val="21"/>
          <w:szCs w:val="21"/>
        </w:rPr>
        <w:t>…</w:t>
      </w:r>
      <w:r>
        <w:rPr>
          <w:rFonts w:cs="Arial" w:ascii="Arial" w:hAnsi="Arial"/>
          <w:color w:val="000000"/>
          <w:sz w:val="21"/>
          <w:szCs w:val="21"/>
        </w:rPr>
        <w:t>×</w:t>
      </w:r>
      <w:r>
        <w:rPr>
          <w:rFonts w:ascii="Arial" w:hAnsi="Arial" w:cs="Arial"/>
          <w:color w:val="000000"/>
          <w:sz w:val="21"/>
          <w:szCs w:val="21"/>
        </w:rPr>
        <w:t>（待估房地产权益状况条件指数</w:t>
      </w:r>
      <w:r>
        <w:rPr>
          <w:rFonts w:cs="Arial" w:ascii="Arial" w:hAnsi="Arial"/>
          <w:color w:val="000000"/>
          <w:sz w:val="21"/>
          <w:szCs w:val="21"/>
        </w:rPr>
        <w:t>/</w:t>
      </w:r>
      <w:r>
        <w:rPr>
          <w:rFonts w:ascii="Arial" w:hAnsi="Arial" w:cs="Arial"/>
          <w:color w:val="000000"/>
          <w:sz w:val="21"/>
          <w:szCs w:val="21"/>
        </w:rPr>
        <w:t>比较案例房地产权益状况条件指数）</w:t>
      </w:r>
      <w:r>
        <w:rPr>
          <w:rFonts w:cs="Arial" w:ascii="Arial" w:hAnsi="Arial"/>
          <w:color w:val="000000"/>
          <w:sz w:val="21"/>
          <w:szCs w:val="21"/>
        </w:rPr>
        <w:t>×</w:t>
      </w:r>
      <w:r>
        <w:rPr>
          <w:rFonts w:ascii="Arial" w:hAnsi="Arial" w:cs="Arial"/>
          <w:color w:val="000000"/>
          <w:sz w:val="21"/>
          <w:szCs w:val="21"/>
        </w:rPr>
        <w:t>（待估房地产区位状况条件指数</w:t>
      </w:r>
      <w:r>
        <w:rPr>
          <w:rFonts w:cs="Arial" w:ascii="Arial" w:hAnsi="Arial"/>
          <w:color w:val="000000"/>
          <w:sz w:val="21"/>
          <w:szCs w:val="21"/>
        </w:rPr>
        <w:t>/</w:t>
      </w:r>
      <w:r>
        <w:rPr>
          <w:rFonts w:ascii="Arial" w:hAnsi="Arial" w:cs="Arial"/>
          <w:color w:val="000000"/>
          <w:sz w:val="21"/>
          <w:szCs w:val="21"/>
        </w:rPr>
        <w:t>比较案例房地产区位状况条件指数）</w:t>
      </w:r>
      <w:r>
        <w:rPr>
          <w:rFonts w:cs="Arial" w:ascii="Arial" w:hAnsi="Arial"/>
          <w:color w:val="000000"/>
          <w:sz w:val="21"/>
          <w:szCs w:val="21"/>
        </w:rPr>
        <w:t>×</w:t>
      </w:r>
      <w:r>
        <w:rPr>
          <w:rFonts w:ascii="Arial" w:hAnsi="Arial" w:cs="Arial"/>
          <w:color w:val="000000"/>
          <w:sz w:val="21"/>
          <w:szCs w:val="21"/>
        </w:rPr>
        <w:t>（待估房地产实物状况条件指数</w:t>
      </w:r>
      <w:r>
        <w:rPr>
          <w:rFonts w:cs="Arial" w:ascii="Arial" w:hAnsi="Arial"/>
          <w:color w:val="000000"/>
          <w:sz w:val="21"/>
          <w:szCs w:val="21"/>
        </w:rPr>
        <w:t>/</w:t>
      </w:r>
      <w:r>
        <w:rPr>
          <w:rFonts w:ascii="Arial" w:hAnsi="Arial" w:cs="Arial"/>
          <w:color w:val="000000"/>
          <w:sz w:val="21"/>
          <w:szCs w:val="21"/>
        </w:rPr>
        <w:t>比较案例房地产实物状况条件指数）</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具体步骤如下：</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1</w:t>
      </w:r>
      <w:r>
        <w:rPr>
          <w:rFonts w:ascii="Arial" w:hAnsi="Arial" w:cs="Arial"/>
          <w:color w:val="000000"/>
          <w:sz w:val="21"/>
          <w:szCs w:val="21"/>
        </w:rPr>
        <w:t>）选择可比案例</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选择比较案例时，应符合以下要求（与待估房地产比较）</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1</w:t>
      </w:r>
      <w:r>
        <w:rPr>
          <w:rFonts w:ascii="Arial" w:hAnsi="Arial" w:cs="Arial"/>
          <w:color w:val="000000"/>
          <w:sz w:val="21"/>
          <w:szCs w:val="21"/>
        </w:rPr>
        <w:t>）用途相同</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2</w:t>
      </w:r>
      <w:r>
        <w:rPr>
          <w:rFonts w:ascii="Arial" w:hAnsi="Arial" w:cs="Arial"/>
          <w:color w:val="000000"/>
          <w:sz w:val="21"/>
          <w:szCs w:val="21"/>
        </w:rPr>
        <w:t>）属于正常交易</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3</w:t>
      </w:r>
      <w:r>
        <w:rPr>
          <w:rFonts w:ascii="Arial" w:hAnsi="Arial" w:cs="Arial"/>
          <w:color w:val="000000"/>
          <w:sz w:val="21"/>
          <w:szCs w:val="21"/>
        </w:rPr>
        <w:t>）房地产状况各因素相近</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4</w:t>
      </w:r>
      <w:r>
        <w:rPr>
          <w:rFonts w:ascii="Arial" w:hAnsi="Arial" w:cs="Arial"/>
          <w:color w:val="000000"/>
          <w:sz w:val="21"/>
          <w:szCs w:val="21"/>
        </w:rPr>
        <w:t>）价值时点接近</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5</w:t>
      </w:r>
      <w:r>
        <w:rPr>
          <w:rFonts w:ascii="Arial" w:hAnsi="Arial" w:cs="Arial"/>
          <w:color w:val="000000"/>
          <w:sz w:val="21"/>
          <w:szCs w:val="21"/>
        </w:rPr>
        <w:t>）统一价格基础</w:t>
      </w:r>
    </w:p>
    <w:p>
      <w:pPr>
        <w:pStyle w:val="Normal1"/>
        <w:autoSpaceDE w:val="false"/>
        <w:snapToGrid w:val="false"/>
        <w:spacing w:lineRule="auto" w:line="480"/>
        <w:ind w:right="142" w:firstLine="420"/>
        <w:jc w:val="both"/>
        <w:textAlignment w:val="bottom"/>
        <w:rPr/>
      </w:pPr>
      <w:r>
        <w:rPr>
          <w:rFonts w:ascii="Arial" w:hAnsi="Arial" w:cs="Arial"/>
          <w:color w:val="000000"/>
          <w:sz w:val="21"/>
          <w:szCs w:val="21"/>
        </w:rPr>
        <w:t>（</w:t>
      </w:r>
      <w:r>
        <w:rPr>
          <w:rFonts w:cs="Arial" w:ascii="Arial" w:hAnsi="Arial"/>
          <w:color w:val="000000"/>
          <w:sz w:val="21"/>
          <w:szCs w:val="21"/>
        </w:rPr>
        <w:t>2</w:t>
      </w:r>
      <w:r>
        <w:rPr>
          <w:rFonts w:ascii="Arial" w:hAnsi="Arial" w:cs="Arial"/>
          <w:color w:val="000000"/>
          <w:sz w:val="21"/>
          <w:szCs w:val="21"/>
        </w:rPr>
        <w:t>）进行交易情况、市场状况、房地产状况（权益、区位、实物）等因素修正和调整</w:t>
      </w:r>
    </w:p>
    <w:p>
      <w:pPr>
        <w:pStyle w:val="Normal1"/>
        <w:autoSpaceDE w:val="false"/>
        <w:snapToGrid w:val="false"/>
        <w:spacing w:lineRule="auto" w:line="480"/>
        <w:ind w:right="142" w:firstLine="420"/>
        <w:jc w:val="both"/>
        <w:textAlignment w:val="bottom"/>
        <w:rPr>
          <w:rFonts w:ascii="Arial" w:hAnsi="Arial" w:cs="Arial"/>
          <w:color w:val="000000"/>
          <w:kern w:val="2"/>
          <w:sz w:val="21"/>
          <w:szCs w:val="21"/>
        </w:rPr>
      </w:pPr>
      <w:r>
        <w:rPr>
          <w:rFonts w:ascii="Arial" w:hAnsi="Arial" w:cs="Arial"/>
          <w:color w:val="000000"/>
          <w:sz w:val="21"/>
          <w:szCs w:val="21"/>
        </w:rPr>
        <w:t>（</w:t>
      </w:r>
      <w:r>
        <w:rPr>
          <w:rFonts w:cs="Arial" w:ascii="Arial" w:hAnsi="Arial"/>
          <w:color w:val="000000"/>
          <w:sz w:val="21"/>
          <w:szCs w:val="21"/>
        </w:rPr>
        <w:t>3</w:t>
      </w:r>
      <w:r>
        <w:rPr>
          <w:rFonts w:ascii="Arial" w:hAnsi="Arial" w:cs="Arial"/>
          <w:color w:val="000000"/>
          <w:sz w:val="21"/>
          <w:szCs w:val="21"/>
        </w:rPr>
        <w:t>）求取估价对象比较价值</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2.</w:t>
      </w:r>
      <w:r>
        <w:rPr>
          <w:rFonts w:ascii="Arial" w:hAnsi="Arial" w:cs="Arial"/>
          <w:color w:val="000000"/>
          <w:sz w:val="21"/>
          <w:szCs w:val="21"/>
        </w:rPr>
        <w:t>收益法</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收益法是预测估价对象的未来收益，利用报酬率或资本化率、收益乘数将未来收益转换为价值得到估价价值或价格的方法。考虑到估价对象所处位置未来对该类物业的需求将不断上升，本次估价采用净收益按一定比率递增的公式计算，计算公式为：</w:t>
      </w:r>
    </w:p>
    <w:p>
      <w:pPr>
        <w:pStyle w:val="Normal1"/>
        <w:autoSpaceDE w:val="false"/>
        <w:snapToGrid w:val="false"/>
        <w:spacing w:lineRule="auto" w:line="480"/>
        <w:ind w:right="142" w:firstLine="420"/>
        <w:jc w:val="both"/>
        <w:textAlignment w:val="bottom"/>
        <w:rPr/>
      </w:pPr>
      <w:r>
        <w:rPr>
          <w:rFonts w:cs="Arial" w:ascii="Arial" w:hAnsi="Arial"/>
          <w:color w:val="000000"/>
          <w:sz w:val="21"/>
          <w:szCs w:val="21"/>
        </w:rPr>
        <w:t>V=A×</w:t>
      </w:r>
      <w:r>
        <w:rPr>
          <w:rFonts w:ascii="Arial" w:hAnsi="Arial" w:cs="Arial"/>
          <w:color w:val="000000"/>
          <w:sz w:val="21"/>
          <w:szCs w:val="21"/>
        </w:rPr>
        <w:t>｛</w:t>
      </w:r>
      <w:r>
        <w:rPr>
          <w:rFonts w:cs="Arial" w:ascii="Arial" w:hAnsi="Arial"/>
          <w:color w:val="000000"/>
          <w:sz w:val="21"/>
          <w:szCs w:val="21"/>
        </w:rPr>
        <w:t>1-[(1+g)/(1+Y)]</w:t>
      </w:r>
      <w:r>
        <w:rPr>
          <w:rFonts w:cs="Arial" w:ascii="Arial" w:hAnsi="Arial"/>
          <w:color w:val="000000"/>
          <w:sz w:val="21"/>
          <w:szCs w:val="21"/>
          <w:vertAlign w:val="superscript"/>
        </w:rPr>
        <w:t>n</w:t>
      </w:r>
      <w:r>
        <w:rPr>
          <w:rFonts w:ascii="Arial" w:hAnsi="Arial" w:cs="Arial"/>
          <w:color w:val="000000"/>
          <w:sz w:val="21"/>
          <w:szCs w:val="21"/>
        </w:rPr>
        <w:t>｝</w:t>
      </w:r>
      <w:r>
        <w:rPr>
          <w:rFonts w:cs="Arial" w:ascii="Arial" w:hAnsi="Arial"/>
          <w:color w:val="000000"/>
          <w:sz w:val="21"/>
          <w:szCs w:val="21"/>
        </w:rPr>
        <w:t>÷(Y-g)</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其中：</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V-----</w:t>
      </w:r>
      <w:r>
        <w:rPr>
          <w:rFonts w:ascii="Arial" w:hAnsi="Arial" w:cs="Arial"/>
          <w:color w:val="000000"/>
          <w:sz w:val="21"/>
          <w:szCs w:val="21"/>
        </w:rPr>
        <w:t>收益价值</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A-----</w:t>
      </w:r>
      <w:r>
        <w:rPr>
          <w:rFonts w:ascii="Arial" w:hAnsi="Arial" w:cs="Arial"/>
          <w:color w:val="000000"/>
          <w:sz w:val="21"/>
          <w:szCs w:val="21"/>
        </w:rPr>
        <w:t>未来第一年净收益</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Y-----</w:t>
      </w:r>
      <w:r>
        <w:rPr>
          <w:rFonts w:ascii="Arial" w:hAnsi="Arial" w:cs="Arial"/>
          <w:color w:val="000000"/>
          <w:sz w:val="21"/>
          <w:szCs w:val="21"/>
        </w:rPr>
        <w:t>报酬率</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n-----</w:t>
      </w:r>
      <w:r>
        <w:rPr>
          <w:rFonts w:ascii="Arial" w:hAnsi="Arial" w:cs="Arial"/>
          <w:color w:val="000000"/>
          <w:sz w:val="21"/>
          <w:szCs w:val="21"/>
        </w:rPr>
        <w:t>收益年期</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cs="Arial" w:ascii="Arial" w:hAnsi="Arial"/>
          <w:color w:val="000000"/>
          <w:sz w:val="21"/>
          <w:szCs w:val="21"/>
        </w:rPr>
        <w:t>g-----</w:t>
      </w:r>
      <w:r>
        <w:rPr>
          <w:rFonts w:ascii="Arial" w:hAnsi="Arial" w:cs="Arial"/>
          <w:color w:val="000000"/>
          <w:sz w:val="21"/>
          <w:szCs w:val="21"/>
        </w:rPr>
        <w:t>净收益年增长率</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具体步骤如下：</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1</w:t>
      </w:r>
      <w:r>
        <w:rPr>
          <w:rFonts w:ascii="Arial" w:hAnsi="Arial" w:cs="Arial"/>
          <w:color w:val="000000"/>
          <w:sz w:val="21"/>
          <w:szCs w:val="21"/>
        </w:rPr>
        <w:t>）计算估价对象未来第一年总收益</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2</w:t>
      </w:r>
      <w:r>
        <w:rPr>
          <w:rFonts w:ascii="Arial" w:hAnsi="Arial" w:cs="Arial"/>
          <w:color w:val="000000"/>
          <w:sz w:val="21"/>
          <w:szCs w:val="21"/>
        </w:rPr>
        <w:t>）采用重置成本法计算估价对象房屋现值</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3</w:t>
      </w:r>
      <w:r>
        <w:rPr>
          <w:rFonts w:ascii="Arial" w:hAnsi="Arial" w:cs="Arial"/>
          <w:color w:val="000000"/>
          <w:sz w:val="21"/>
          <w:szCs w:val="21"/>
        </w:rPr>
        <w:t>）计算估价对象未来第一年经营费用</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4</w:t>
      </w:r>
      <w:r>
        <w:rPr>
          <w:rFonts w:ascii="Arial" w:hAnsi="Arial" w:cs="Arial"/>
          <w:color w:val="000000"/>
          <w:sz w:val="21"/>
          <w:szCs w:val="21"/>
        </w:rPr>
        <w:t>）计算估价对象未来第一年净收益</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5</w:t>
      </w:r>
      <w:r>
        <w:rPr>
          <w:rFonts w:ascii="Arial" w:hAnsi="Arial" w:cs="Arial"/>
          <w:color w:val="000000"/>
          <w:sz w:val="21"/>
          <w:szCs w:val="21"/>
        </w:rPr>
        <w:t>）选用适当的报酬率</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6</w:t>
      </w:r>
      <w:r>
        <w:rPr>
          <w:rFonts w:ascii="Arial" w:hAnsi="Arial" w:cs="Arial"/>
          <w:color w:val="000000"/>
          <w:sz w:val="21"/>
          <w:szCs w:val="21"/>
        </w:rPr>
        <w:t>）确定适当的净收益年增长率</w:t>
      </w:r>
    </w:p>
    <w:p>
      <w:pPr>
        <w:pStyle w:val="Normal1"/>
        <w:autoSpaceDE w:val="false"/>
        <w:snapToGrid w:val="false"/>
        <w:spacing w:lineRule="auto" w:line="480"/>
        <w:ind w:right="142" w:firstLine="420"/>
        <w:jc w:val="both"/>
        <w:textAlignment w:val="bottom"/>
        <w:rPr>
          <w:rFonts w:ascii="Arial" w:hAnsi="Arial" w:cs="Arial"/>
          <w:color w:val="000000"/>
          <w:sz w:val="21"/>
          <w:szCs w:val="21"/>
        </w:rPr>
      </w:pPr>
      <w:r>
        <w:rPr>
          <w:rFonts w:ascii="Arial" w:hAnsi="Arial" w:cs="Arial"/>
          <w:color w:val="000000"/>
          <w:sz w:val="21"/>
          <w:szCs w:val="21"/>
        </w:rPr>
        <w:t>（</w:t>
      </w:r>
      <w:r>
        <w:rPr>
          <w:rFonts w:cs="Arial" w:ascii="Arial" w:hAnsi="Arial"/>
          <w:color w:val="000000"/>
          <w:sz w:val="21"/>
          <w:szCs w:val="21"/>
        </w:rPr>
        <w:t>7</w:t>
      </w:r>
      <w:r>
        <w:rPr>
          <w:rFonts w:ascii="Arial" w:hAnsi="Arial" w:cs="Arial"/>
          <w:color w:val="000000"/>
          <w:sz w:val="21"/>
          <w:szCs w:val="21"/>
        </w:rPr>
        <w:t>）计算估价对象收益价值</w:t>
      </w:r>
    </w:p>
    <w:p>
      <w:pPr>
        <w:pStyle w:val="Normal1"/>
        <w:autoSpaceDE w:val="false"/>
        <w:snapToGrid w:val="false"/>
        <w:spacing w:lineRule="auto" w:line="480"/>
        <w:ind w:right="142" w:firstLine="420"/>
        <w:jc w:val="both"/>
        <w:textAlignment w:val="bottom"/>
        <w:rPr/>
      </w:pPr>
      <w:r>
        <w:rPr>
          <w:rFonts w:cs="Arial" w:ascii="Arial" w:hAnsi="Arial"/>
          <w:sz w:val="21"/>
          <w:szCs w:val="21"/>
        </w:rPr>
        <w:t>3</w:t>
      </w:r>
      <w:r>
        <w:rPr>
          <w:rFonts w:cs="Arial" w:ascii="Arial" w:hAnsi="Arial"/>
          <w:sz w:val="21"/>
          <w:szCs w:val="21"/>
        </w:rPr>
        <w:t>.</w:t>
      </w:r>
      <w:r>
        <w:rPr>
          <w:rFonts w:ascii="Arial" w:hAnsi="Arial" w:cs="Arial"/>
          <w:sz w:val="21"/>
          <w:szCs w:val="21"/>
        </w:rPr>
        <w:t>将以上</w:t>
      </w:r>
      <w:r>
        <w:rPr>
          <w:rFonts w:ascii="Arial" w:hAnsi="Arial" w:cs="Arial"/>
          <w:sz w:val="21"/>
          <w:szCs w:val="21"/>
        </w:rPr>
        <w:t>比较法和收益法</w:t>
      </w:r>
      <w:r>
        <w:rPr>
          <w:rFonts w:ascii="Arial" w:hAnsi="Arial" w:cs="Arial"/>
          <w:sz w:val="21"/>
          <w:szCs w:val="21"/>
        </w:rPr>
        <w:t>测算结果算术平均得到估价对象</w:t>
      </w:r>
      <w:r>
        <w:rPr>
          <w:rFonts w:ascii="Arial" w:hAnsi="Arial" w:cs="Arial"/>
          <w:sz w:val="21"/>
          <w:szCs w:val="21"/>
        </w:rPr>
        <w:t>房地产市场价值</w:t>
      </w:r>
      <w:r>
        <w:rPr>
          <w:rFonts w:ascii="Arial" w:hAnsi="Arial" w:cs="Arial"/>
          <w:sz w:val="21"/>
          <w:szCs w:val="21"/>
        </w:rPr>
        <w:t>。</w:t>
      </w:r>
    </w:p>
    <w:p>
      <w:pPr>
        <w:pStyle w:val="Normal1"/>
        <w:autoSpaceDE w:val="false"/>
        <w:spacing w:lineRule="auto" w:line="480"/>
        <w:ind w:right="140" w:firstLine="420"/>
        <w:jc w:val="both"/>
        <w:textAlignment w:val="bottom"/>
        <w:rPr/>
      </w:pPr>
      <w:r>
        <w:rPr>
          <w:rFonts w:cs="Arial" w:ascii="Arial" w:hAnsi="Arial"/>
          <w:sz w:val="21"/>
          <w:szCs w:val="21"/>
        </w:rPr>
        <w:t>4.</w:t>
      </w:r>
      <w:r>
        <w:rPr>
          <w:rFonts w:ascii="Arial" w:hAnsi="Arial" w:cs="Arial"/>
          <w:sz w:val="21"/>
          <w:szCs w:val="21"/>
        </w:rPr>
        <w:t>在房地产市场价值的基础上，进行变现价格调整，最终确定估价对象快速变现价值。</w:t>
      </w:r>
    </w:p>
    <w:p>
      <w:pPr>
        <w:pStyle w:val="Normal1"/>
        <w:autoSpaceDE w:val="false"/>
        <w:spacing w:lineRule="auto" w:line="480"/>
        <w:ind w:right="140" w:firstLine="420"/>
        <w:jc w:val="both"/>
        <w:textAlignment w:val="bottom"/>
        <w:rPr>
          <w:rFonts w:ascii="Arial" w:hAnsi="Arial" w:cs="Arial"/>
          <w:sz w:val="21"/>
          <w:szCs w:val="21"/>
        </w:rPr>
      </w:pPr>
      <w:r>
        <w:rPr>
          <w:rFonts w:ascii="Arial" w:hAnsi="Arial" w:cs="Arial"/>
          <w:sz w:val="21"/>
          <w:szCs w:val="21"/>
        </w:rPr>
        <w:t>快速变现价值</w:t>
      </w:r>
      <w:r>
        <w:rPr>
          <w:rFonts w:cs="Arial" w:ascii="Arial" w:hAnsi="Arial"/>
          <w:sz w:val="21"/>
          <w:szCs w:val="21"/>
        </w:rPr>
        <w:t>=</w:t>
      </w:r>
      <w:r>
        <w:rPr>
          <w:rFonts w:ascii="Arial" w:hAnsi="Arial" w:cs="Arial"/>
          <w:sz w:val="21"/>
          <w:szCs w:val="21"/>
        </w:rPr>
        <w:t>房地产市场价值</w:t>
      </w:r>
      <w:r>
        <w:rPr>
          <w:rFonts w:cs="Arial" w:ascii="Arial" w:hAnsi="Arial"/>
          <w:sz w:val="21"/>
          <w:szCs w:val="21"/>
        </w:rPr>
        <w:t>×</w:t>
      </w:r>
      <w:r>
        <w:rPr>
          <w:rFonts w:ascii="Arial" w:hAnsi="Arial" w:cs="Arial"/>
          <w:sz w:val="21"/>
          <w:szCs w:val="21"/>
        </w:rPr>
        <w:t>变现价格调整系数</w:t>
      </w:r>
    </w:p>
    <w:p>
      <w:pPr>
        <w:pStyle w:val="Normal"/>
        <w:spacing w:lineRule="auto" w:line="480"/>
        <w:ind w:firstLine="420"/>
        <w:jc w:val="both"/>
        <w:rPr>
          <w:rFonts w:ascii="Arial" w:hAnsi="Arial" w:cs="Arial"/>
          <w:b/>
          <w:b/>
          <w:kern w:val="2"/>
          <w:sz w:val="21"/>
          <w:szCs w:val="21"/>
        </w:rPr>
      </w:pPr>
      <w:r>
        <w:rPr>
          <w:rFonts w:cs="Arial" w:ascii="Arial" w:hAnsi="Arial"/>
          <w:b/>
          <w:kern w:val="2"/>
          <w:sz w:val="21"/>
          <w:szCs w:val="21"/>
        </w:rPr>
      </w:r>
    </w:p>
    <w:p>
      <w:pPr>
        <w:pStyle w:val="2"/>
        <w:numPr>
          <w:ilvl w:val="0"/>
          <w:numId w:val="0"/>
        </w:numPr>
        <w:spacing w:lineRule="auto" w:line="480"/>
        <w:ind w:left="357" w:hanging="357"/>
        <w:jc w:val="both"/>
        <w:rPr>
          <w:rFonts w:eastAsia="宋体;SimSun"/>
          <w:kern w:val="2"/>
          <w:sz w:val="21"/>
          <w:szCs w:val="21"/>
        </w:rPr>
      </w:pPr>
      <w:bookmarkStart w:id="32" w:name="__RefHeading___Toc162425571"/>
      <w:r>
        <w:rPr>
          <w:rFonts w:eastAsia="宋体;SimSun"/>
          <w:kern w:val="2"/>
          <w:sz w:val="21"/>
          <w:szCs w:val="21"/>
        </w:rPr>
        <w:t>五、估价测算过程</w:t>
      </w:r>
      <w:bookmarkEnd w:id="32"/>
      <w:r>
        <w:rPr>
          <w:rFonts w:eastAsia="Arial"/>
          <w:kern w:val="2"/>
          <w:sz w:val="21"/>
          <w:szCs w:val="21"/>
        </w:rPr>
        <w:t xml:space="preserve">  </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估价对象面积</w:t>
      </w:r>
      <w:r>
        <w:rPr>
          <w:rFonts w:ascii="Arial" w:hAnsi="Arial" w:cs="Arial"/>
          <w:sz w:val="21"/>
          <w:szCs w:val="21"/>
        </w:rPr>
        <w:t>指标</w:t>
      </w:r>
    </w:p>
    <w:p>
      <w:pPr>
        <w:pStyle w:val="Normal"/>
        <w:overflowPunct w:val="false"/>
        <w:spacing w:lineRule="auto" w:line="480"/>
        <w:ind w:firstLine="420"/>
        <w:jc w:val="both"/>
        <w:textAlignment w:val="auto"/>
        <w:rPr/>
      </w:pPr>
      <w:r>
        <w:rPr>
          <w:rFonts w:ascii="Arial" w:hAnsi="Arial" w:cs="Arial"/>
          <w:sz w:val="21"/>
          <w:szCs w:val="21"/>
        </w:rPr>
        <w:t>根据</w:t>
      </w: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0078372</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本、《评估范围清单明细》</w:t>
      </w:r>
      <w:r>
        <w:rPr>
          <w:rFonts w:ascii="Arial" w:hAnsi="Arial" w:cs="Arial"/>
          <w:sz w:val="21"/>
          <w:szCs w:val="21"/>
        </w:rPr>
        <w:t>，估价对象</w:t>
      </w:r>
      <w:r>
        <w:rPr>
          <w:rFonts w:ascii="Arial" w:hAnsi="Arial" w:cs="Arial"/>
          <w:sz w:val="21"/>
          <w:szCs w:val="21"/>
        </w:rPr>
        <w:t>分摊土地面积为</w:t>
      </w:r>
      <w:r>
        <w:rPr>
          <w:rFonts w:cs="Arial" w:ascii="Arial" w:hAnsi="Arial"/>
          <w:sz w:val="21"/>
          <w:szCs w:val="21"/>
        </w:rPr>
        <w:t>20358.14</w:t>
      </w:r>
      <w:r>
        <w:rPr>
          <w:rFonts w:ascii="Arial" w:hAnsi="Arial" w:cs="Arial"/>
          <w:sz w:val="21"/>
          <w:szCs w:val="21"/>
        </w:rPr>
        <w:t>平方米，</w:t>
      </w:r>
      <w:r>
        <w:rPr>
          <w:rFonts w:ascii="Arial" w:hAnsi="Arial" w:cs="Arial"/>
          <w:sz w:val="21"/>
          <w:szCs w:val="21"/>
        </w:rPr>
        <w:t>建筑面积为</w:t>
      </w:r>
      <w:r>
        <w:rPr>
          <w:rFonts w:cs="Arial" w:ascii="Arial" w:hAnsi="Arial"/>
          <w:sz w:val="21"/>
          <w:szCs w:val="21"/>
        </w:rPr>
        <w:t>15260.82</w:t>
      </w:r>
      <w:r>
        <w:rPr>
          <w:rFonts w:ascii="Arial" w:hAnsi="Arial" w:cs="Arial"/>
          <w:sz w:val="21"/>
          <w:szCs w:val="21"/>
        </w:rPr>
        <w:t>平方米</w:t>
      </w:r>
      <w:r>
        <w:rPr>
          <w:rFonts w:ascii="Arial" w:hAnsi="Arial" w:cs="Arial"/>
          <w:sz w:val="21"/>
          <w:szCs w:val="21"/>
        </w:rPr>
        <w:t>，全部为产权式酒店（别墅）用房</w:t>
      </w:r>
      <w:r>
        <w:rPr>
          <w:rFonts w:ascii="Arial" w:hAnsi="Arial" w:cs="Arial"/>
          <w:sz w:val="21"/>
          <w:szCs w:val="21"/>
        </w:rPr>
        <w:t>。</w:t>
      </w:r>
    </w:p>
    <w:p>
      <w:pPr>
        <w:pStyle w:val="Normal1"/>
        <w:autoSpaceDE w:val="false"/>
        <w:spacing w:lineRule="auto" w:line="480"/>
        <w:jc w:val="both"/>
        <w:textAlignment w:val="bottom"/>
        <w:rPr/>
      </w:pPr>
      <w:r>
        <w:rPr>
          <w:rFonts w:ascii="Arial" w:hAnsi="Arial" w:cs="Arial"/>
          <w:b/>
          <w:sz w:val="21"/>
          <w:szCs w:val="21"/>
        </w:rPr>
        <w:t>（一）</w:t>
      </w:r>
      <w:r>
        <w:rPr>
          <w:rFonts w:ascii="Arial" w:hAnsi="Arial" w:cs="Arial"/>
          <w:b/>
          <w:sz w:val="21"/>
          <w:szCs w:val="21"/>
        </w:rPr>
        <w:t>比较法</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根据评估专业人员所掌握的市场资料，采用房地产交易中的替代原则，选取与估价对象类似用途的案例，并分别进行交易情况、市场状况、房地产状况（权益、区位、实物）的修正和调整。</w:t>
      </w:r>
    </w:p>
    <w:p>
      <w:pPr>
        <w:pStyle w:val="Normal1"/>
        <w:autoSpaceDE w:val="false"/>
        <w:spacing w:lineRule="auto" w:line="480"/>
        <w:ind w:firstLine="420"/>
        <w:jc w:val="both"/>
        <w:textAlignment w:val="bottom"/>
        <w:rPr>
          <w:rFonts w:ascii="Arial" w:hAnsi="Arial" w:cs="Arial"/>
          <w:sz w:val="21"/>
          <w:szCs w:val="21"/>
        </w:rPr>
      </w:pPr>
      <w:r>
        <w:rPr>
          <w:rFonts w:cs="Arial" w:ascii="Arial" w:hAnsi="Arial"/>
          <w:sz w:val="21"/>
          <w:szCs w:val="21"/>
        </w:rPr>
        <w:t>1.</w:t>
      </w:r>
      <w:r>
        <w:rPr>
          <w:rFonts w:ascii="Arial" w:hAnsi="Arial" w:cs="Arial"/>
          <w:sz w:val="21"/>
          <w:szCs w:val="21"/>
        </w:rPr>
        <w:t>选取案例并作因素条件说明</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通过对海南省海口市秀英区滨海大道产权式酒店（别墅）用房市场的调查，选取近期同一供需圈内邻近区域的三个销售案例进行比较。</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案例</w:t>
      </w:r>
      <w:r>
        <w:rPr>
          <w:rFonts w:cs="Arial" w:ascii="Arial" w:hAnsi="Arial"/>
          <w:sz w:val="21"/>
          <w:szCs w:val="21"/>
        </w:rPr>
        <w:t>A</w:t>
      </w:r>
      <w:r>
        <w:rPr>
          <w:rFonts w:ascii="Arial" w:hAnsi="Arial" w:cs="Arial"/>
          <w:sz w:val="21"/>
          <w:szCs w:val="21"/>
        </w:rPr>
        <w:t>：</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w:t>
      </w:r>
      <w:r>
        <w:rPr>
          <w:rFonts w:ascii="Arial" w:hAnsi="Arial" w:cs="Arial"/>
          <w:sz w:val="21"/>
          <w:szCs w:val="21"/>
        </w:rPr>
        <w:t>项目名称：悦海一品</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cs="Arial" w:ascii="Arial" w:hAnsi="Arial"/>
          <w:sz w:val="21"/>
          <w:szCs w:val="21"/>
        </w:rPr>
        <w:t>20</w:t>
      </w:r>
      <w:r>
        <w:rPr>
          <w:rFonts w:cs="Arial" w:ascii="Arial" w:hAnsi="Arial"/>
          <w:sz w:val="21"/>
          <w:szCs w:val="21"/>
        </w:rPr>
        <w:t>24</w:t>
      </w:r>
      <w:r>
        <w:rPr>
          <w:rFonts w:ascii="Arial" w:hAnsi="Arial" w:cs="Arial"/>
          <w:sz w:val="21"/>
          <w:szCs w:val="21"/>
        </w:rPr>
        <w:t>年</w:t>
      </w:r>
      <w:r>
        <w:rPr>
          <w:rFonts w:cs="Arial" w:ascii="Arial" w:hAnsi="Arial"/>
          <w:sz w:val="21"/>
          <w:szCs w:val="21"/>
        </w:rPr>
        <w:t>7</w:t>
      </w:r>
      <w:r>
        <w:rPr>
          <w:rFonts w:ascii="Arial" w:hAnsi="Arial" w:cs="Arial"/>
          <w:sz w:val="21"/>
          <w:szCs w:val="21"/>
        </w:rPr>
        <w:t>月</w:t>
      </w:r>
    </w:p>
    <w:p>
      <w:pPr>
        <w:pStyle w:val="Normal1"/>
        <w:autoSpaceDE w:val="false"/>
        <w:spacing w:lineRule="auto" w:line="480"/>
        <w:ind w:firstLine="420"/>
        <w:jc w:val="both"/>
        <w:textAlignment w:val="bottom"/>
        <w:rPr/>
      </w:pPr>
      <w:r>
        <w:rPr>
          <w:rFonts w:ascii="Arial" w:hAnsi="Arial" w:cs="Arial"/>
          <w:sz w:val="21"/>
          <w:szCs w:val="21"/>
        </w:rPr>
        <w:t>•</w:t>
      </w:r>
      <w:r>
        <w:rPr>
          <w:rFonts w:ascii="Arial" w:hAnsi="Arial" w:cs="Arial"/>
          <w:sz w:val="21"/>
          <w:szCs w:val="21"/>
        </w:rPr>
        <w:t>用途：产权式酒店（别墅）</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可比案例</w:t>
      </w:r>
      <w:r>
        <w:rPr>
          <w:rFonts w:cs="Arial" w:ascii="Arial" w:hAnsi="Arial"/>
          <w:sz w:val="21"/>
          <w:szCs w:val="21"/>
        </w:rPr>
        <w:t>A</w:t>
      </w:r>
      <w:r>
        <w:rPr>
          <w:rFonts w:ascii="Arial" w:hAnsi="Arial" w:cs="Arial"/>
          <w:sz w:val="21"/>
          <w:szCs w:val="21"/>
        </w:rPr>
        <w:t>居住社区成熟度一般、交通便捷度一般、公共配套设施齐备程度一般、基础设施水平可达六通、自然及人文环境状况较好、</w:t>
      </w:r>
      <w:commentRangeStart w:id="18"/>
      <w:r>
        <w:rPr>
          <w:rFonts w:ascii="Arial" w:hAnsi="Arial" w:cs="Arial"/>
          <w:sz w:val="21"/>
          <w:szCs w:val="21"/>
        </w:rPr>
        <w:t>临海距离</w:t>
      </w:r>
      <w:r>
        <w:rPr>
          <w:rFonts w:cs="Arial" w:ascii="Arial" w:hAnsi="Arial"/>
          <w:sz w:val="21"/>
          <w:szCs w:val="21"/>
        </w:rPr>
        <w:t>500-1000</w:t>
      </w:r>
      <w:r>
        <w:rPr>
          <w:rFonts w:ascii="Arial" w:hAnsi="Arial" w:cs="Arial"/>
          <w:sz w:val="21"/>
          <w:szCs w:val="21"/>
        </w:rPr>
        <w:t>米</w:t>
      </w:r>
      <w:r>
        <w:rPr>
          <w:rFonts w:ascii="Arial" w:hAnsi="Arial" w:cs="Arial"/>
          <w:sz w:val="21"/>
          <w:szCs w:val="21"/>
        </w:rPr>
      </w:r>
      <w:commentRangeEnd w:id="18"/>
      <w:r>
        <w:commentReference w:id="18"/>
      </w:r>
      <w:r>
        <w:rPr>
          <w:rFonts w:ascii="Arial" w:hAnsi="Arial" w:cs="Arial"/>
          <w:sz w:val="21"/>
          <w:szCs w:val="21"/>
        </w:rPr>
        <w:t>；可比案例</w:t>
      </w:r>
      <w:r>
        <w:rPr>
          <w:rFonts w:cs="Arial" w:ascii="Arial" w:hAnsi="Arial"/>
          <w:sz w:val="21"/>
          <w:szCs w:val="21"/>
        </w:rPr>
        <w:t>A</w:t>
      </w:r>
      <w:r>
        <w:rPr>
          <w:rFonts w:ascii="Arial" w:hAnsi="Arial" w:cs="Arial"/>
          <w:sz w:val="21"/>
          <w:szCs w:val="21"/>
        </w:rPr>
        <w:t>建筑类型为独栋产权式酒店（别墅）、建筑结构为钢混、专业物业管理、市政基础设施六通、单套建筑面积</w:t>
      </w:r>
      <w:r>
        <w:rPr>
          <w:rFonts w:cs="Arial" w:ascii="Arial" w:hAnsi="Arial"/>
          <w:sz w:val="21"/>
          <w:szCs w:val="21"/>
        </w:rPr>
        <w:t>300-700</w:t>
      </w:r>
      <w:r>
        <w:rPr>
          <w:rFonts w:ascii="Arial" w:hAnsi="Arial" w:cs="Arial"/>
          <w:sz w:val="21"/>
          <w:szCs w:val="21"/>
        </w:rPr>
        <w:t>平方米、内部装修为毛坯、内部装修维护情况较好、建筑类型为地上三层、地下一层。交易价格为建筑面积单价</w:t>
      </w:r>
      <w:r>
        <w:rPr>
          <w:rFonts w:cs="Arial" w:ascii="Arial" w:hAnsi="Arial"/>
          <w:sz w:val="21"/>
          <w:szCs w:val="21"/>
        </w:rPr>
        <w:t>41160</w:t>
      </w:r>
      <w:r>
        <w:rPr>
          <w:rFonts w:ascii="Arial" w:hAnsi="Arial" w:cs="Arial"/>
          <w:sz w:val="21"/>
          <w:szCs w:val="21"/>
        </w:rPr>
        <w:t>元</w:t>
      </w:r>
      <w:r>
        <w:rPr>
          <w:rFonts w:cs="Arial" w:ascii="Arial" w:hAnsi="Arial"/>
          <w:sz w:val="21"/>
          <w:szCs w:val="21"/>
        </w:rPr>
        <w:t>/</w:t>
      </w:r>
      <w:r>
        <w:rPr>
          <w:rFonts w:ascii="Arial" w:hAnsi="Arial" w:cs="Arial"/>
          <w:sz w:val="21"/>
          <w:szCs w:val="21"/>
        </w:rPr>
        <w:t>平方米。</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案例</w:t>
      </w:r>
      <w:r>
        <w:rPr>
          <w:rFonts w:cs="Arial" w:ascii="Arial" w:hAnsi="Arial"/>
          <w:sz w:val="21"/>
          <w:szCs w:val="21"/>
        </w:rPr>
        <w:t>B</w:t>
      </w:r>
      <w:r>
        <w:rPr>
          <w:rFonts w:ascii="Arial" w:hAnsi="Arial" w:cs="Arial"/>
          <w:sz w:val="21"/>
          <w:szCs w:val="21"/>
        </w:rPr>
        <w:t>：</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w:t>
      </w:r>
      <w:r>
        <w:rPr>
          <w:rFonts w:ascii="Arial" w:hAnsi="Arial" w:cs="Arial"/>
          <w:sz w:val="21"/>
          <w:szCs w:val="21"/>
        </w:rPr>
        <w:t>项目名称：合甲寰宇海湾</w:t>
      </w:r>
      <w:r>
        <w:rPr>
          <w:rFonts w:cs="Arial" w:ascii="Arial" w:hAnsi="Arial"/>
          <w:sz w:val="21"/>
          <w:szCs w:val="21"/>
        </w:rPr>
        <w:t>6</w:t>
      </w:r>
      <w:r>
        <w:rPr>
          <w:rFonts w:ascii="Arial" w:hAnsi="Arial" w:cs="Arial"/>
          <w:sz w:val="21"/>
          <w:szCs w:val="21"/>
        </w:rPr>
        <w:t>号</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cs="Arial" w:ascii="Arial" w:hAnsi="Arial"/>
          <w:sz w:val="21"/>
          <w:szCs w:val="21"/>
        </w:rPr>
        <w:t>20</w:t>
      </w:r>
      <w:r>
        <w:rPr>
          <w:rFonts w:cs="Arial" w:ascii="Arial" w:hAnsi="Arial"/>
          <w:sz w:val="21"/>
          <w:szCs w:val="21"/>
        </w:rPr>
        <w:t>24</w:t>
      </w:r>
      <w:r>
        <w:rPr>
          <w:rFonts w:ascii="Arial" w:hAnsi="Arial" w:cs="Arial"/>
          <w:sz w:val="21"/>
          <w:szCs w:val="21"/>
        </w:rPr>
        <w:t>年</w:t>
      </w:r>
      <w:r>
        <w:rPr>
          <w:rFonts w:cs="Arial" w:ascii="Arial" w:hAnsi="Arial"/>
          <w:sz w:val="21"/>
          <w:szCs w:val="21"/>
        </w:rPr>
        <w:t>7</w:t>
      </w:r>
      <w:r>
        <w:rPr>
          <w:rFonts w:ascii="Arial" w:hAnsi="Arial" w:cs="Arial"/>
          <w:sz w:val="21"/>
          <w:szCs w:val="21"/>
        </w:rPr>
        <w:t>月</w:t>
      </w:r>
    </w:p>
    <w:p>
      <w:pPr>
        <w:pStyle w:val="Normal1"/>
        <w:autoSpaceDE w:val="false"/>
        <w:spacing w:lineRule="auto" w:line="480"/>
        <w:ind w:firstLine="420"/>
        <w:jc w:val="both"/>
        <w:textAlignment w:val="bottom"/>
        <w:rPr/>
      </w:pPr>
      <w:r>
        <w:rPr>
          <w:rFonts w:ascii="Arial" w:hAnsi="Arial" w:cs="Arial"/>
          <w:sz w:val="21"/>
          <w:szCs w:val="21"/>
        </w:rPr>
        <w:t>•</w:t>
      </w:r>
      <w:r>
        <w:rPr>
          <w:rFonts w:ascii="Arial" w:hAnsi="Arial" w:cs="Arial"/>
          <w:sz w:val="21"/>
          <w:szCs w:val="21"/>
        </w:rPr>
        <w:t>用途：产权式酒店（别墅）</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可比案例</w:t>
      </w:r>
      <w:r>
        <w:rPr>
          <w:rFonts w:cs="Arial" w:ascii="Arial" w:hAnsi="Arial"/>
          <w:sz w:val="21"/>
          <w:szCs w:val="21"/>
        </w:rPr>
        <w:t>B</w:t>
      </w:r>
      <w:r>
        <w:rPr>
          <w:rFonts w:ascii="Arial" w:hAnsi="Arial" w:cs="Arial"/>
          <w:sz w:val="21"/>
          <w:szCs w:val="21"/>
        </w:rPr>
        <w:t>居住社区成熟度一般、交通便捷度较差、公共配套设施齐备程度较差、基础设施水平可达六通、自然及人文环境状况一般、临海</w:t>
      </w:r>
      <w:commentRangeStart w:id="19"/>
      <w:r>
        <w:rPr>
          <w:rFonts w:ascii="Arial" w:hAnsi="Arial" w:cs="Arial"/>
          <w:sz w:val="21"/>
          <w:szCs w:val="21"/>
        </w:rPr>
        <w:t>距离</w:t>
      </w:r>
      <w:r>
        <w:rPr>
          <w:rFonts w:cs="Arial" w:ascii="Arial" w:hAnsi="Arial"/>
          <w:sz w:val="21"/>
          <w:szCs w:val="21"/>
        </w:rPr>
        <w:t>0-500</w:t>
      </w:r>
      <w:r>
        <w:rPr>
          <w:rFonts w:ascii="Arial" w:hAnsi="Arial" w:cs="Arial"/>
          <w:sz w:val="21"/>
          <w:szCs w:val="21"/>
        </w:rPr>
        <w:t>米</w:t>
      </w:r>
      <w:r>
        <w:rPr>
          <w:rFonts w:ascii="Arial" w:hAnsi="Arial" w:cs="Arial"/>
          <w:sz w:val="21"/>
          <w:szCs w:val="21"/>
        </w:rPr>
      </w:r>
      <w:commentRangeEnd w:id="19"/>
      <w:r>
        <w:commentReference w:id="19"/>
      </w:r>
      <w:r>
        <w:rPr>
          <w:rFonts w:ascii="Arial" w:hAnsi="Arial" w:cs="Arial"/>
          <w:sz w:val="21"/>
          <w:szCs w:val="21"/>
        </w:rPr>
        <w:t>；可比案例</w:t>
      </w:r>
      <w:r>
        <w:rPr>
          <w:rFonts w:cs="Arial" w:ascii="Arial" w:hAnsi="Arial"/>
          <w:sz w:val="21"/>
          <w:szCs w:val="21"/>
        </w:rPr>
        <w:t>B</w:t>
      </w:r>
      <w:r>
        <w:rPr>
          <w:rFonts w:ascii="Arial" w:hAnsi="Arial" w:cs="Arial"/>
          <w:sz w:val="21"/>
          <w:szCs w:val="21"/>
        </w:rPr>
        <w:t>建筑类型为独栋产权式酒店（别墅）、建筑结构为钢混、专业物业管理、市政基础设施六通、单套建筑面积</w:t>
      </w:r>
      <w:r>
        <w:rPr>
          <w:rFonts w:cs="Arial" w:ascii="Arial" w:hAnsi="Arial"/>
          <w:sz w:val="21"/>
          <w:szCs w:val="21"/>
        </w:rPr>
        <w:t>700-1000</w:t>
      </w:r>
      <w:r>
        <w:rPr>
          <w:rFonts w:ascii="Arial" w:hAnsi="Arial" w:cs="Arial"/>
          <w:sz w:val="21"/>
          <w:szCs w:val="21"/>
        </w:rPr>
        <w:t>平方米、内部装修为精装修、内部装修维护情况较好、成新度约</w:t>
      </w:r>
      <w:r>
        <w:rPr>
          <w:rFonts w:cs="Arial" w:ascii="Arial" w:hAnsi="Arial"/>
          <w:sz w:val="21"/>
          <w:szCs w:val="21"/>
        </w:rPr>
        <w:t>95%</w:t>
      </w:r>
      <w:r>
        <w:rPr>
          <w:rFonts w:ascii="Arial" w:hAnsi="Arial" w:cs="Arial"/>
          <w:sz w:val="21"/>
          <w:szCs w:val="21"/>
        </w:rPr>
        <w:t>，建筑类型为地上三层、地下一层。交易价格为建筑面积单价</w:t>
      </w:r>
      <w:r>
        <w:rPr>
          <w:rFonts w:cs="Arial" w:ascii="Arial" w:hAnsi="Arial"/>
          <w:sz w:val="21"/>
          <w:szCs w:val="21"/>
        </w:rPr>
        <w:t>46060</w:t>
      </w:r>
      <w:r>
        <w:rPr>
          <w:rFonts w:ascii="Arial" w:hAnsi="Arial" w:cs="Arial"/>
          <w:sz w:val="21"/>
          <w:szCs w:val="21"/>
        </w:rPr>
        <w:t>元</w:t>
      </w:r>
      <w:r>
        <w:rPr>
          <w:rFonts w:cs="Arial" w:ascii="Arial" w:hAnsi="Arial"/>
          <w:sz w:val="21"/>
          <w:szCs w:val="21"/>
        </w:rPr>
        <w:t>/</w:t>
      </w:r>
      <w:r>
        <w:rPr>
          <w:rFonts w:ascii="Arial" w:hAnsi="Arial" w:cs="Arial"/>
          <w:sz w:val="21"/>
          <w:szCs w:val="21"/>
        </w:rPr>
        <w:t>平方米。</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案例</w:t>
      </w:r>
      <w:r>
        <w:rPr>
          <w:rFonts w:cs="Arial" w:ascii="Arial" w:hAnsi="Arial"/>
          <w:sz w:val="21"/>
          <w:szCs w:val="21"/>
        </w:rPr>
        <w:t>C</w:t>
      </w:r>
      <w:r>
        <w:rPr>
          <w:rFonts w:ascii="Arial" w:hAnsi="Arial" w:cs="Arial"/>
          <w:sz w:val="21"/>
          <w:szCs w:val="21"/>
        </w:rPr>
        <w:t>：</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w:t>
      </w:r>
      <w:r>
        <w:rPr>
          <w:rFonts w:ascii="Arial" w:hAnsi="Arial" w:cs="Arial"/>
          <w:sz w:val="21"/>
          <w:szCs w:val="21"/>
        </w:rPr>
        <w:t>项目名称：鲁能海蓝福源</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w:t>
      </w:r>
      <w:r>
        <w:rPr>
          <w:rFonts w:ascii="Arial" w:hAnsi="Arial" w:cs="Arial"/>
          <w:sz w:val="21"/>
          <w:szCs w:val="21"/>
        </w:rPr>
        <w:t>交易时间：</w:t>
      </w:r>
      <w:r>
        <w:rPr>
          <w:rFonts w:cs="Arial" w:ascii="Arial" w:hAnsi="Arial"/>
          <w:sz w:val="21"/>
          <w:szCs w:val="21"/>
        </w:rPr>
        <w:t>20</w:t>
      </w:r>
      <w:r>
        <w:rPr>
          <w:rFonts w:cs="Arial" w:ascii="Arial" w:hAnsi="Arial"/>
          <w:sz w:val="21"/>
          <w:szCs w:val="21"/>
        </w:rPr>
        <w:t>24</w:t>
      </w:r>
      <w:r>
        <w:rPr>
          <w:rFonts w:ascii="Arial" w:hAnsi="Arial" w:cs="Arial"/>
          <w:sz w:val="21"/>
          <w:szCs w:val="21"/>
        </w:rPr>
        <w:t>年</w:t>
      </w:r>
      <w:r>
        <w:rPr>
          <w:rFonts w:cs="Arial" w:ascii="Arial" w:hAnsi="Arial"/>
          <w:sz w:val="21"/>
          <w:szCs w:val="21"/>
        </w:rPr>
        <w:t>7</w:t>
      </w:r>
      <w:r>
        <w:rPr>
          <w:rFonts w:ascii="Arial" w:hAnsi="Arial" w:cs="Arial"/>
          <w:sz w:val="21"/>
          <w:szCs w:val="21"/>
        </w:rPr>
        <w:t>月</w:t>
      </w:r>
    </w:p>
    <w:p>
      <w:pPr>
        <w:pStyle w:val="Normal1"/>
        <w:autoSpaceDE w:val="false"/>
        <w:spacing w:lineRule="auto" w:line="480"/>
        <w:ind w:firstLine="420"/>
        <w:jc w:val="both"/>
        <w:textAlignment w:val="bottom"/>
        <w:rPr/>
      </w:pPr>
      <w:r>
        <w:rPr>
          <w:rFonts w:ascii="Arial" w:hAnsi="Arial" w:cs="Arial"/>
          <w:sz w:val="21"/>
          <w:szCs w:val="21"/>
        </w:rPr>
        <w:t>•</w:t>
      </w:r>
      <w:r>
        <w:rPr>
          <w:rFonts w:ascii="Arial" w:hAnsi="Arial" w:cs="Arial"/>
          <w:sz w:val="21"/>
          <w:szCs w:val="21"/>
        </w:rPr>
        <w:t>用途：产权式酒店（别墅）</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可比案例</w:t>
      </w:r>
      <w:r>
        <w:rPr>
          <w:rFonts w:cs="Arial" w:ascii="Arial" w:hAnsi="Arial"/>
          <w:sz w:val="21"/>
          <w:szCs w:val="21"/>
        </w:rPr>
        <w:t>C</w:t>
      </w:r>
      <w:r>
        <w:rPr>
          <w:rFonts w:ascii="Arial" w:hAnsi="Arial" w:cs="Arial"/>
          <w:sz w:val="21"/>
          <w:szCs w:val="21"/>
        </w:rPr>
        <w:t>居住社区成熟度一般、交通便捷度较差、公共配套设施齐备程度较差、基础设施水平可达六通、自然及人文环境状况一般、临海</w:t>
      </w:r>
      <w:commentRangeStart w:id="20"/>
      <w:r>
        <w:rPr>
          <w:rFonts w:ascii="Arial" w:hAnsi="Arial" w:cs="Arial"/>
          <w:sz w:val="21"/>
          <w:szCs w:val="21"/>
        </w:rPr>
        <w:t>距离</w:t>
      </w:r>
      <w:r>
        <w:rPr>
          <w:rFonts w:cs="Arial" w:ascii="Arial" w:hAnsi="Arial"/>
          <w:sz w:val="21"/>
          <w:szCs w:val="21"/>
        </w:rPr>
        <w:t>0-500</w:t>
      </w:r>
      <w:r>
        <w:rPr>
          <w:rFonts w:ascii="Arial" w:hAnsi="Arial" w:cs="Arial"/>
          <w:sz w:val="21"/>
          <w:szCs w:val="21"/>
        </w:rPr>
        <w:t>米</w:t>
      </w:r>
      <w:r>
        <w:rPr>
          <w:rFonts w:ascii="Arial" w:hAnsi="Arial" w:cs="Arial"/>
          <w:sz w:val="21"/>
          <w:szCs w:val="21"/>
        </w:rPr>
      </w:r>
      <w:commentRangeEnd w:id="20"/>
      <w:r>
        <w:commentReference w:id="20"/>
      </w:r>
      <w:r>
        <w:rPr>
          <w:rFonts w:ascii="Arial" w:hAnsi="Arial" w:cs="Arial"/>
          <w:sz w:val="21"/>
          <w:szCs w:val="21"/>
        </w:rPr>
        <w:t>；可比案例</w:t>
      </w:r>
      <w:r>
        <w:rPr>
          <w:rFonts w:cs="Arial" w:ascii="Arial" w:hAnsi="Arial"/>
          <w:sz w:val="21"/>
          <w:szCs w:val="21"/>
        </w:rPr>
        <w:t>C</w:t>
      </w:r>
      <w:r>
        <w:rPr>
          <w:rFonts w:ascii="Arial" w:hAnsi="Arial" w:cs="Arial"/>
          <w:sz w:val="21"/>
          <w:szCs w:val="21"/>
        </w:rPr>
        <w:t>建筑类型为独栋产权式酒店（别墅）、建筑结构为钢混、专业物业管理、市政基础设施六通、单套建筑</w:t>
      </w:r>
      <w:commentRangeStart w:id="21"/>
      <w:r>
        <w:rPr>
          <w:rFonts w:ascii="Arial" w:hAnsi="Arial" w:cs="Arial"/>
          <w:sz w:val="21"/>
          <w:szCs w:val="21"/>
        </w:rPr>
        <w:t>面积</w:t>
      </w:r>
      <w:r>
        <w:rPr>
          <w:rFonts w:cs="Arial" w:ascii="Arial" w:hAnsi="Arial"/>
          <w:sz w:val="21"/>
          <w:szCs w:val="21"/>
        </w:rPr>
        <w:t>0-200</w:t>
      </w:r>
      <w:r>
        <w:rPr>
          <w:rFonts w:ascii="Arial" w:hAnsi="Arial" w:cs="Arial"/>
          <w:sz w:val="21"/>
          <w:szCs w:val="21"/>
        </w:rPr>
        <w:t>平方米</w:t>
      </w:r>
      <w:r>
        <w:rPr>
          <w:rFonts w:ascii="Arial" w:hAnsi="Arial" w:cs="Arial"/>
          <w:sz w:val="21"/>
          <w:szCs w:val="21"/>
        </w:rPr>
      </w:r>
      <w:commentRangeEnd w:id="21"/>
      <w:r>
        <w:commentReference w:id="21"/>
      </w:r>
      <w:r>
        <w:rPr>
          <w:rFonts w:ascii="Arial" w:hAnsi="Arial" w:cs="Arial"/>
          <w:sz w:val="21"/>
          <w:szCs w:val="21"/>
        </w:rPr>
        <w:t>、内部装修为精装修、内部装修维护情况较好、成新度约</w:t>
      </w:r>
      <w:r>
        <w:rPr>
          <w:rFonts w:cs="Arial" w:ascii="Arial" w:hAnsi="Arial"/>
          <w:sz w:val="21"/>
          <w:szCs w:val="21"/>
        </w:rPr>
        <w:t>100%</w:t>
      </w:r>
      <w:r>
        <w:rPr>
          <w:rFonts w:ascii="Arial" w:hAnsi="Arial" w:cs="Arial"/>
          <w:sz w:val="21"/>
          <w:szCs w:val="21"/>
        </w:rPr>
        <w:t>，建筑类型为地上三层、无地下。挂牌价格为建筑面积单价</w:t>
      </w:r>
      <w:r>
        <w:rPr>
          <w:rFonts w:cs="Arial" w:ascii="Arial" w:hAnsi="Arial"/>
          <w:sz w:val="21"/>
          <w:szCs w:val="21"/>
        </w:rPr>
        <w:t>38900</w:t>
      </w:r>
      <w:r>
        <w:rPr>
          <w:rFonts w:ascii="Arial" w:hAnsi="Arial" w:cs="Arial"/>
          <w:sz w:val="21"/>
          <w:szCs w:val="21"/>
        </w:rPr>
        <w:t>元</w:t>
      </w:r>
      <w:r>
        <w:rPr>
          <w:rFonts w:cs="Arial" w:ascii="Arial" w:hAnsi="Arial"/>
          <w:sz w:val="21"/>
          <w:szCs w:val="21"/>
        </w:rPr>
        <w:t>/</w:t>
      </w:r>
      <w:r>
        <w:rPr>
          <w:rFonts w:ascii="Arial" w:hAnsi="Arial" w:cs="Arial"/>
          <w:sz w:val="21"/>
          <w:szCs w:val="21"/>
        </w:rPr>
        <w:t>平方米。</w:t>
      </w:r>
    </w:p>
    <w:p>
      <w:pPr>
        <w:pStyle w:val="Normal1"/>
        <w:autoSpaceDE w:val="false"/>
        <w:spacing w:lineRule="auto" w:line="480"/>
        <w:ind w:firstLine="420"/>
        <w:jc w:val="both"/>
        <w:textAlignment w:val="bottom"/>
        <w:rPr>
          <w:rFonts w:ascii="Arial" w:hAnsi="Arial" w:cs="Arial"/>
          <w:sz w:val="21"/>
          <w:szCs w:val="21"/>
        </w:rPr>
      </w:pPr>
      <w:r>
        <w:rPr>
          <w:rFonts w:ascii="Arial" w:hAnsi="Arial" w:cs="Arial"/>
          <w:sz w:val="21"/>
          <w:szCs w:val="21"/>
        </w:rPr>
        <w:t>各案例位置及照片如下：</w:t>
      </w:r>
    </w:p>
    <w:tbl>
      <w:tblPr>
        <w:tblW w:w="8902" w:type="dxa"/>
        <w:jc w:val="center"/>
        <w:tblInd w:w="0" w:type="dxa"/>
        <w:tblCellMar>
          <w:top w:w="0" w:type="dxa"/>
          <w:left w:w="108" w:type="dxa"/>
          <w:bottom w:w="0" w:type="dxa"/>
          <w:right w:w="108" w:type="dxa"/>
        </w:tblCellMar>
      </w:tblPr>
      <w:tblGrid>
        <w:gridCol w:w="8902"/>
      </w:tblGrid>
      <w:tr>
        <w:trPr>
          <w:cantSplit w:val="true"/>
        </w:trPr>
        <w:tc>
          <w:tcPr>
            <w:tcW w:w="8902" w:type="dxa"/>
            <w:tcBorders>
              <w:top w:val="dotted" w:sz="2" w:space="0" w:color="404040"/>
              <w:left w:val="dotted" w:sz="2" w:space="0" w:color="404040"/>
              <w:bottom w:val="dotted" w:sz="2" w:space="0" w:color="404040"/>
              <w:right w:val="dotted" w:sz="2" w:space="0" w:color="404040"/>
            </w:tcBorders>
            <w:shd w:fill="auto" w:val="clear"/>
          </w:tcPr>
          <w:p>
            <w:pPr>
              <w:pStyle w:val="Normal"/>
              <w:jc w:val="center"/>
              <w:rPr>
                <w:rFonts w:ascii="Arial" w:hAnsi="Arial" w:eastAsia="华文细黑" w:cs="Arial"/>
              </w:rPr>
            </w:pPr>
            <w:r>
              <w:rPr>
                <w:rFonts w:ascii="Arial" w:hAnsi="Arial" w:cs="Arial" w:eastAsia="华文细黑"/>
              </w:rPr>
              <w:t>案例位置</w:t>
            </w:r>
          </w:p>
        </w:tc>
      </w:tr>
      <w:tr>
        <w:trPr>
          <w:trHeight w:val="6164" w:hRule="atLeast"/>
          <w:cantSplit w:val="true"/>
        </w:trPr>
        <w:tc>
          <w:tcPr>
            <w:tcW w:w="8902" w:type="dxa"/>
            <w:tcBorders>
              <w:top w:val="dotted" w:sz="2" w:space="0" w:color="404040"/>
              <w:left w:val="dotted" w:sz="2" w:space="0" w:color="404040"/>
              <w:bottom w:val="dotted" w:sz="2" w:space="0" w:color="404040"/>
              <w:right w:val="dotted" w:sz="2" w:space="0" w:color="404040"/>
            </w:tcBorders>
            <w:shd w:fill="auto" w:val="clear"/>
          </w:tcPr>
          <w:p>
            <w:pPr>
              <w:pStyle w:val="Normal"/>
              <w:jc w:val="center"/>
              <w:rPr>
                <w:rFonts w:ascii="Arial" w:hAnsi="Arial" w:cs="Arial"/>
              </w:rPr>
            </w:pPr>
            <w:r>
              <mc:AlternateContent>
                <mc:Choice Requires="wps">
                  <w:drawing>
                    <wp:anchor behindDoc="0" distT="0" distB="0" distL="114935" distR="114935" simplePos="0" locked="0" layoutInCell="1" allowOverlap="1" relativeHeight="47">
                      <wp:simplePos x="0" y="0"/>
                      <wp:positionH relativeFrom="margin">
                        <wp:posOffset>1589405</wp:posOffset>
                      </wp:positionH>
                      <wp:positionV relativeFrom="paragraph">
                        <wp:posOffset>187325</wp:posOffset>
                      </wp:positionV>
                      <wp:extent cx="1023620" cy="382905"/>
                      <wp:effectExtent l="0" t="0" r="0" b="0"/>
                      <wp:wrapNone/>
                      <wp:docPr id="27" name="椭圆形标注 3"/>
                      <a:graphic xmlns:a="http://schemas.openxmlformats.org/drawingml/2006/main">
                        <a:graphicData uri="http://schemas.microsoft.com/office/word/2010/wordprocessingShape">
                          <wps:wsp>
                            <wps:cNvSpPr/>
                            <wps:spPr>
                              <a:xfrm>
                                <a:off x="0" y="0"/>
                                <a:ext cx="1023120" cy="382320"/>
                              </a:xfrm>
                              <a:prstGeom prst="wedgeEllipseCallout">
                                <a:avLst>
                                  <a:gd name="adj1" fmla="val 45717"/>
                                  <a:gd name="adj2" fmla="val 82393"/>
                                </a:avLst>
                              </a:prstGeom>
                              <a:solidFill>
                                <a:srgbClr val="ff0000"/>
                              </a:solidFill>
                              <a:ln>
                                <a:noFill/>
                              </a:ln>
                            </wps:spPr>
                            <wps:style>
                              <a:lnRef idx="0"/>
                              <a:fillRef idx="0"/>
                              <a:effectRef idx="0"/>
                              <a:fontRef idx="minor"/>
                            </wps:style>
                            <wps:txbx>
                              <w:txbxContent>
                                <w:p>
                                  <w:pPr>
                                    <w:overflowPunct w:val="false"/>
                                    <w:bidi w:val="0"/>
                                    <w:spacing w:lineRule="auto" w:line="240"/>
                                    <w:rPr/>
                                  </w:pPr>
                                  <w:r>
                                    <w:rPr>
                                      <w:kern w:val="2"/>
                                      <w:sz w:val="21"/>
                                      <w:szCs w:val="21"/>
                                      <w:b/>
                                      <w:rFonts w:ascii="华文细黑" w:hAnsi="华文细黑" w:eastAsia="华文细黑" w:cs="华文细黑"/>
                                      <w:color w:val="FFFFFF"/>
                                      <w:lang w:val="en-US" w:eastAsia="zh-CN" w:bidi="ar-SA"/>
                                    </w:rPr>
                                    <w:t>估价对象</w:t>
                                  </w:r>
                                </w:p>
                              </w:txbxContent>
                            </wps:txbx>
                            <wps:bodyPr>
                              <a:noAutofit/>
                            </wps:bodyPr>
                          </wps:wsp>
                        </a:graphicData>
                      </a:graphic>
                    </wp:anchor>
                  </w:drawing>
                </mc:Choice>
                <mc:Fallback>
                  <w:pict>
                    <v:rect id="shape_0" ID="椭圆形标注 3" fillcolor="red" stroked="f" style="position:absolute;margin-left:125.15pt;margin-top:14.75pt;width:80.5pt;height:30.05pt;mso-position-horizontal-relative:margin">
                      <v:textbox>
                        <w:txbxContent>
                          <w:p>
                            <w:pPr>
                              <w:overflowPunct w:val="false"/>
                              <w:bidi w:val="0"/>
                              <w:spacing w:lineRule="auto" w:line="240"/>
                              <w:rPr/>
                            </w:pPr>
                            <w:r>
                              <w:rPr>
                                <w:kern w:val="2"/>
                                <w:sz w:val="21"/>
                                <w:szCs w:val="21"/>
                                <w:b/>
                                <w:rFonts w:ascii="华文细黑" w:hAnsi="华文细黑" w:eastAsia="华文细黑" w:cs="华文细黑"/>
                                <w:color w:val="FFFFFF"/>
                                <w:lang w:val="en-US" w:eastAsia="zh-CN" w:bidi="ar-SA"/>
                              </w:rPr>
                              <w:t>估价对象</w:t>
                            </w:r>
                          </w:p>
                        </w:txbxContent>
                      </v:textbox>
                      <w10:wrap type="square"/>
                      <v:fill o:detectmouseclick="t" type="solid" color2="aqua"/>
                      <v:stroke color="#3465a4" joinstyle="round" endcap="flat"/>
                    </v:rect>
                  </w:pict>
                </mc:Fallback>
              </mc:AlternateContent>
            </w:r>
            <w:r>
              <w:rPr>
                <w:rFonts w:eastAsia="Times New Roman"/>
                <w:lang w:val="zh-CN" w:eastAsia="zh-CN"/>
              </w:rPr>
              <w:t xml:space="preserve"> </w:t>
            </w:r>
            <w:r>
              <w:rPr>
                <w:lang w:val="zh-CN" w:eastAsia="zh-CN"/>
              </w:rPr>
              <w:drawing>
                <wp:inline distT="0" distB="0" distL="0" distR="0">
                  <wp:extent cx="5511165" cy="4220845"/>
                  <wp:effectExtent l="0" t="0" r="0" b="0"/>
                  <wp:docPr id="28" name="图像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9" descr=""/>
                          <pic:cNvPicPr>
                            <a:picLocks noChangeAspect="1" noChangeArrowheads="1"/>
                          </pic:cNvPicPr>
                        </pic:nvPicPr>
                        <pic:blipFill>
                          <a:blip r:embed="rId36"/>
                          <a:srcRect l="-5" t="-6" r="-5" b="-6"/>
                          <a:stretch>
                            <a:fillRect/>
                          </a:stretch>
                        </pic:blipFill>
                        <pic:spPr bwMode="auto">
                          <a:xfrm>
                            <a:off x="0" y="0"/>
                            <a:ext cx="5511165" cy="4220845"/>
                          </a:xfrm>
                          <a:prstGeom prst="rect">
                            <a:avLst/>
                          </a:prstGeom>
                        </pic:spPr>
                      </pic:pic>
                    </a:graphicData>
                  </a:graphic>
                </wp:inline>
              </w:drawing>
            </w:r>
          </w:p>
        </w:tc>
      </w:tr>
    </w:tbl>
    <w:p>
      <w:pPr>
        <w:pStyle w:val="Normal1"/>
        <w:autoSpaceDE w:val="false"/>
        <w:spacing w:lineRule="auto" w:line="480"/>
        <w:jc w:val="both"/>
        <w:textAlignment w:val="bottom"/>
        <w:rPr>
          <w:rFonts w:ascii="Arial" w:hAnsi="Arial" w:cs="Arial"/>
          <w:sz w:val="21"/>
          <w:szCs w:val="21"/>
        </w:rPr>
      </w:pPr>
      <w:r>
        <w:rPr>
          <w:rFonts w:cs="Arial" w:ascii="Arial" w:hAnsi="Arial"/>
          <w:sz w:val="21"/>
          <w:szCs w:val="21"/>
        </w:rPr>
      </w:r>
    </w:p>
    <w:p>
      <w:pPr>
        <w:pStyle w:val="Normal1"/>
        <w:autoSpaceDE w:val="false"/>
        <w:spacing w:lineRule="auto" w:line="480"/>
        <w:jc w:val="both"/>
        <w:textAlignment w:val="bottom"/>
        <w:rPr>
          <w:rFonts w:ascii="楷体_GB2312;楷体" w:hAnsi="楷体_GB2312;楷体" w:eastAsia="楷体_GB2312;楷体" w:cs="Arial"/>
          <w:sz w:val="21"/>
          <w:szCs w:val="21"/>
        </w:rPr>
      </w:pPr>
      <w:r>
        <w:rPr>
          <w:rFonts w:ascii="楷体_GB2312;楷体" w:hAnsi="楷体_GB2312;楷体" w:cs="Arial" w:eastAsia="楷体_GB2312;楷体"/>
          <w:sz w:val="21"/>
          <w:szCs w:val="21"/>
        </w:rPr>
        <w:t>（转下页）</w:t>
      </w:r>
    </w:p>
    <w:p>
      <w:pPr>
        <w:pStyle w:val="Normal"/>
        <w:jc w:val="center"/>
        <w:rPr>
          <w:rFonts w:ascii="Arial" w:hAnsi="Arial" w:eastAsia="方正黑体简体;微软雅黑" w:cs="Arial"/>
          <w:bCs/>
          <w:sz w:val="21"/>
          <w:szCs w:val="24"/>
        </w:rPr>
      </w:pPr>
      <w:r>
        <w:rPr>
          <w:rFonts w:eastAsia="方正黑体简体;微软雅黑" w:cs="Arial" w:ascii="Arial" w:hAnsi="Arial"/>
          <w:bCs/>
          <w:sz w:val="21"/>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eastAsia="方正黑体简体;微软雅黑" w:cs="Arial" w:ascii="Arial" w:hAnsi="Arial"/>
          <w:bCs/>
          <w:szCs w:val="24"/>
        </w:rPr>
      </w:r>
    </w:p>
    <w:p>
      <w:pPr>
        <w:pStyle w:val="Normal"/>
        <w:jc w:val="center"/>
        <w:rPr>
          <w:rFonts w:ascii="Arial" w:hAnsi="Arial" w:eastAsia="方正黑体简体;微软雅黑" w:cs="Arial"/>
          <w:bCs/>
          <w:szCs w:val="24"/>
        </w:rPr>
      </w:pPr>
      <w:r>
        <w:rPr>
          <w:rFonts w:ascii="Arial" w:hAnsi="Arial" w:cs="Arial" w:eastAsia="方正黑体简体;微软雅黑"/>
          <w:bCs/>
          <w:szCs w:val="24"/>
        </w:rPr>
        <w:t>表</w:t>
      </w:r>
      <w:r>
        <w:rPr>
          <w:rFonts w:eastAsia="方正黑体简体;微软雅黑" w:cs="Arial" w:ascii="Arial" w:hAnsi="Arial"/>
          <w:bCs/>
          <w:szCs w:val="24"/>
        </w:rPr>
        <w:t>1</w:t>
      </w:r>
      <w:r>
        <w:rPr>
          <w:rFonts w:ascii="Arial" w:hAnsi="Arial" w:cs="Arial" w:eastAsia="方正黑体简体;微软雅黑"/>
          <w:bCs/>
          <w:szCs w:val="24"/>
        </w:rPr>
        <w:t>：因素条件说明表</w:t>
      </w:r>
    </w:p>
    <w:tbl>
      <w:tblPr>
        <w:tblW w:w="9304" w:type="dxa"/>
        <w:jc w:val="center"/>
        <w:tblInd w:w="0" w:type="dxa"/>
        <w:tblCellMar>
          <w:top w:w="57" w:type="dxa"/>
          <w:left w:w="28" w:type="dxa"/>
          <w:bottom w:w="57" w:type="dxa"/>
          <w:right w:w="28" w:type="dxa"/>
        </w:tblCellMar>
      </w:tblPr>
      <w:tblGrid>
        <w:gridCol w:w="993"/>
        <w:gridCol w:w="1889"/>
        <w:gridCol w:w="1604"/>
        <w:gridCol w:w="1604"/>
        <w:gridCol w:w="1604"/>
        <w:gridCol w:w="1610"/>
      </w:tblGrid>
      <w:tr>
        <w:trPr>
          <w:tblHeader w:val="true"/>
          <w:cantSplit w:val="true"/>
        </w:trPr>
        <w:tc>
          <w:tcPr>
            <w:tcW w:w="2882" w:type="dxa"/>
            <w:gridSpan w:val="2"/>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比较因素</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估价对象</w:t>
            </w:r>
            <w:r>
              <w:rPr>
                <w:rFonts w:eastAsia="华文细黑" w:cs="Arial" w:ascii="Arial" w:hAnsi="Arial"/>
                <w:sz w:val="18"/>
                <w:szCs w:val="18"/>
              </w:rPr>
              <w:t>1</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pPr>
            <w:r>
              <w:rPr>
                <w:rFonts w:ascii="Arial" w:hAnsi="Arial" w:cs="Arial" w:eastAsia="华文细黑"/>
                <w:sz w:val="18"/>
                <w:szCs w:val="18"/>
              </w:rPr>
              <w:t>案例：</w:t>
            </w:r>
            <w:r>
              <w:rPr>
                <w:rFonts w:eastAsia="华文细黑" w:cs="Arial" w:ascii="Arial" w:hAnsi="Arial"/>
                <w:sz w:val="18"/>
                <w:szCs w:val="18"/>
              </w:rPr>
              <w:t>A</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pPr>
            <w:r>
              <w:rPr>
                <w:rFonts w:ascii="Arial" w:hAnsi="Arial" w:cs="Arial" w:eastAsia="华文细黑"/>
                <w:sz w:val="18"/>
                <w:szCs w:val="18"/>
              </w:rPr>
              <w:t>案例：</w:t>
            </w:r>
            <w:r>
              <w:rPr>
                <w:rFonts w:eastAsia="华文细黑" w:cs="Arial" w:ascii="Arial" w:hAnsi="Arial"/>
                <w:sz w:val="18"/>
                <w:szCs w:val="18"/>
              </w:rPr>
              <w:t>B</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pPr>
            <w:r>
              <w:rPr>
                <w:rFonts w:ascii="Arial" w:hAnsi="Arial" w:cs="Arial" w:eastAsia="华文细黑"/>
                <w:sz w:val="18"/>
                <w:szCs w:val="18"/>
              </w:rPr>
              <w:t>案例：</w:t>
            </w:r>
            <w:r>
              <w:rPr>
                <w:rFonts w:eastAsia="华文细黑" w:cs="Arial" w:ascii="Arial" w:hAnsi="Arial"/>
                <w:sz w:val="18"/>
                <w:szCs w:val="18"/>
              </w:rPr>
              <w:t>C</w:t>
            </w:r>
          </w:p>
        </w:tc>
      </w:tr>
      <w:tr>
        <w:trPr>
          <w:cantSplit w:val="true"/>
        </w:trPr>
        <w:tc>
          <w:tcPr>
            <w:tcW w:w="2882" w:type="dxa"/>
            <w:gridSpan w:val="2"/>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金石海岸</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悦海一品</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鲁能海蓝福源</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国安海岸</w:t>
            </w:r>
          </w:p>
        </w:tc>
      </w:tr>
      <w:tr>
        <w:trPr>
          <w:cantSplit w:val="true"/>
        </w:trPr>
        <w:tc>
          <w:tcPr>
            <w:tcW w:w="2882"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交易时间</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2024</w:t>
            </w:r>
            <w:r>
              <w:rPr>
                <w:rFonts w:ascii="Arial" w:hAnsi="Arial" w:cs="Arial" w:eastAsia="华文细黑"/>
                <w:sz w:val="18"/>
                <w:szCs w:val="18"/>
              </w:rPr>
              <w:t>年</w:t>
            </w:r>
            <w:r>
              <w:rPr>
                <w:rFonts w:eastAsia="华文细黑" w:cs="Arial" w:ascii="Arial" w:hAnsi="Arial"/>
                <w:sz w:val="18"/>
                <w:szCs w:val="18"/>
              </w:rPr>
              <w:t>7</w:t>
            </w:r>
            <w:r>
              <w:rPr>
                <w:rFonts w:ascii="Arial" w:hAnsi="Arial" w:cs="Arial" w:eastAsia="华文细黑"/>
                <w:sz w:val="18"/>
                <w:szCs w:val="18"/>
              </w:rPr>
              <w:t>月</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2024</w:t>
            </w:r>
            <w:r>
              <w:rPr>
                <w:rFonts w:ascii="Arial" w:hAnsi="Arial" w:cs="Arial" w:eastAsia="华文细黑"/>
                <w:sz w:val="18"/>
                <w:szCs w:val="18"/>
              </w:rPr>
              <w:t>年</w:t>
            </w:r>
            <w:r>
              <w:rPr>
                <w:rFonts w:eastAsia="华文细黑" w:cs="Arial" w:ascii="Arial" w:hAnsi="Arial"/>
                <w:sz w:val="18"/>
                <w:szCs w:val="18"/>
              </w:rPr>
              <w:t>7</w:t>
            </w:r>
            <w:r>
              <w:rPr>
                <w:rFonts w:ascii="Arial" w:hAnsi="Arial" w:cs="Arial" w:eastAsia="华文细黑"/>
                <w:sz w:val="18"/>
                <w:szCs w:val="18"/>
              </w:rPr>
              <w:t>月</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2024</w:t>
            </w:r>
            <w:r>
              <w:rPr>
                <w:rFonts w:ascii="Arial" w:hAnsi="Arial" w:cs="Arial" w:eastAsia="华文细黑"/>
                <w:sz w:val="18"/>
                <w:szCs w:val="18"/>
              </w:rPr>
              <w:t>年</w:t>
            </w:r>
            <w:r>
              <w:rPr>
                <w:rFonts w:eastAsia="华文细黑" w:cs="Arial" w:ascii="Arial" w:hAnsi="Arial"/>
                <w:sz w:val="18"/>
                <w:szCs w:val="18"/>
              </w:rPr>
              <w:t>7</w:t>
            </w:r>
            <w:r>
              <w:rPr>
                <w:rFonts w:ascii="Arial" w:hAnsi="Arial" w:cs="Arial" w:eastAsia="华文细黑"/>
                <w:sz w:val="18"/>
                <w:szCs w:val="18"/>
              </w:rPr>
              <w:t>月</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2024</w:t>
            </w:r>
            <w:r>
              <w:rPr>
                <w:rFonts w:ascii="Arial" w:hAnsi="Arial" w:cs="Arial" w:eastAsia="华文细黑"/>
                <w:sz w:val="18"/>
                <w:szCs w:val="18"/>
              </w:rPr>
              <w:t>年</w:t>
            </w:r>
            <w:r>
              <w:rPr>
                <w:rFonts w:eastAsia="华文细黑" w:cs="Arial" w:ascii="Arial" w:hAnsi="Arial"/>
                <w:sz w:val="18"/>
                <w:szCs w:val="18"/>
              </w:rPr>
              <w:t>7</w:t>
            </w:r>
            <w:r>
              <w:rPr>
                <w:rFonts w:ascii="Arial" w:hAnsi="Arial" w:cs="Arial" w:eastAsia="华文细黑"/>
                <w:sz w:val="18"/>
                <w:szCs w:val="18"/>
              </w:rPr>
              <w:t>月</w:t>
            </w:r>
          </w:p>
        </w:tc>
      </w:tr>
      <w:tr>
        <w:trPr>
          <w:cantSplit w:val="true"/>
        </w:trPr>
        <w:tc>
          <w:tcPr>
            <w:tcW w:w="2882"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交易情况</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正常</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正常</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正常</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挂牌</w:t>
            </w:r>
          </w:p>
        </w:tc>
      </w:tr>
      <w:tr>
        <w:trPr>
          <w:cantSplit w:val="true"/>
        </w:trPr>
        <w:tc>
          <w:tcPr>
            <w:tcW w:w="993"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权益状况</w:t>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用途</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产权式酒店（别墅）</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产权式酒店（别墅）</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产权式酒店（别墅）</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产权式酒店（别墅）</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土地年限</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20-30</w:t>
            </w:r>
            <w:r>
              <w:rPr>
                <w:rFonts w:ascii="Arial" w:hAnsi="Arial" w:cs="Arial" w:eastAsia="华文细黑"/>
                <w:sz w:val="18"/>
                <w:szCs w:val="18"/>
              </w:rPr>
              <w:t>年</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30-40</w:t>
            </w:r>
            <w:r>
              <w:rPr>
                <w:rFonts w:ascii="Arial" w:hAnsi="Arial" w:cs="Arial" w:eastAsia="华文细黑"/>
                <w:sz w:val="18"/>
                <w:szCs w:val="18"/>
              </w:rPr>
              <w:t>年</w:t>
            </w:r>
          </w:p>
        </w:tc>
        <w:tc>
          <w:tcPr>
            <w:tcW w:w="160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30-40</w:t>
            </w:r>
            <w:r>
              <w:rPr>
                <w:rFonts w:ascii="Arial" w:hAnsi="Arial" w:cs="Arial" w:eastAsia="华文细黑"/>
                <w:sz w:val="18"/>
                <w:szCs w:val="18"/>
              </w:rPr>
              <w:t>年</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20-30</w:t>
            </w:r>
            <w:r>
              <w:rPr>
                <w:rFonts w:ascii="Arial" w:hAnsi="Arial" w:cs="Arial" w:eastAsia="华文细黑"/>
                <w:sz w:val="18"/>
                <w:szCs w:val="18"/>
              </w:rPr>
              <w:t>年</w:t>
            </w:r>
          </w:p>
        </w:tc>
      </w:tr>
      <w:tr>
        <w:trPr>
          <w:cantSplit w:val="true"/>
        </w:trPr>
        <w:tc>
          <w:tcPr>
            <w:tcW w:w="993"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区位状况</w:t>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居住社区成熟度</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估价对象周边</w:t>
            </w:r>
            <w:r>
              <w:rPr>
                <w:rFonts w:eastAsia="华文细黑" w:cs="Arial" w:ascii="Arial" w:hAnsi="Arial"/>
                <w:sz w:val="18"/>
                <w:szCs w:val="18"/>
              </w:rPr>
              <w:t>1</w:t>
            </w:r>
            <w:r>
              <w:rPr>
                <w:rFonts w:ascii="Arial" w:hAnsi="Arial" w:cs="Arial" w:eastAsia="华文细黑"/>
                <w:sz w:val="18"/>
                <w:szCs w:val="18"/>
              </w:rPr>
              <w:t>公里范围内有晨晖帝景、夏威夷海岸、宝通花园、美锦熙海、天利龙腾湾等居住小区，社区规模和发展完善程度一般；综合评价居住社区成熟度一般。</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1</w:t>
            </w:r>
            <w:r>
              <w:rPr>
                <w:rFonts w:ascii="Arial" w:hAnsi="Arial" w:cs="Arial" w:eastAsia="华文细黑"/>
                <w:sz w:val="18"/>
                <w:szCs w:val="18"/>
              </w:rPr>
              <w:t>公里范围内有泰达</w:t>
            </w:r>
            <w:r>
              <w:rPr>
                <w:rFonts w:eastAsia="华文细黑" w:cs="Arial" w:ascii="Arial" w:hAnsi="Arial"/>
                <w:sz w:val="18"/>
                <w:szCs w:val="18"/>
              </w:rPr>
              <w:t>31</w:t>
            </w:r>
            <w:r>
              <w:rPr>
                <w:rFonts w:ascii="Arial" w:hAnsi="Arial" w:cs="Arial" w:eastAsia="华文细黑"/>
                <w:sz w:val="18"/>
                <w:szCs w:val="18"/>
              </w:rPr>
              <w:t>湾、阳光西海岸、蔚蓝海岸、西雅图丽湾等居住小区，社区规模和发展完善程度一般；综合评价居住社区成熟度一般。</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1</w:t>
            </w:r>
            <w:r>
              <w:rPr>
                <w:rFonts w:ascii="Arial" w:hAnsi="Arial" w:cs="Arial" w:eastAsia="华文细黑"/>
                <w:sz w:val="18"/>
                <w:szCs w:val="18"/>
              </w:rPr>
              <w:t>公里范围内有海口鲁能海蓝公馆、万科浪琴湾、东方海域阳光等居住小区，社区规模和发展完善程度一般；综合评价居住社区成熟度一般。</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1</w:t>
            </w:r>
            <w:r>
              <w:rPr>
                <w:rFonts w:ascii="Arial" w:hAnsi="Arial" w:cs="Arial" w:eastAsia="华文细黑"/>
                <w:sz w:val="18"/>
                <w:szCs w:val="18"/>
              </w:rPr>
              <w:t>公里范围内有玉海金华、溢盈海岸、海鹏比邻湾、金螺湾、海悦天伦产权式酒店（别墅）等居住小区，社区规模和发展完善程度一般；综合评价居住社区成熟度一般。</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交通便捷度</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估价对象周边</w:t>
            </w:r>
            <w:r>
              <w:rPr>
                <w:rFonts w:eastAsia="华文细黑" w:cs="Arial" w:ascii="Arial" w:hAnsi="Arial"/>
                <w:sz w:val="18"/>
                <w:szCs w:val="18"/>
              </w:rPr>
              <w:t>1</w:t>
            </w:r>
            <w:r>
              <w:rPr>
                <w:rFonts w:ascii="Arial" w:hAnsi="Arial" w:cs="Arial" w:eastAsia="华文细黑"/>
                <w:sz w:val="18"/>
                <w:szCs w:val="18"/>
              </w:rPr>
              <w:t>公里范围内有</w:t>
            </w:r>
            <w:r>
              <w:rPr>
                <w:rFonts w:eastAsia="华文细黑" w:cs="Arial" w:ascii="Arial" w:hAnsi="Arial"/>
                <w:sz w:val="18"/>
                <w:szCs w:val="18"/>
              </w:rPr>
              <w:t>2</w:t>
            </w:r>
            <w:r>
              <w:rPr>
                <w:rFonts w:ascii="Arial" w:hAnsi="Arial" w:cs="Arial" w:eastAsia="华文细黑"/>
                <w:sz w:val="18"/>
                <w:szCs w:val="18"/>
              </w:rPr>
              <w:t>路、</w:t>
            </w:r>
            <w:r>
              <w:rPr>
                <w:rFonts w:eastAsia="华文细黑" w:cs="Arial" w:ascii="Arial" w:hAnsi="Arial"/>
                <w:sz w:val="18"/>
                <w:szCs w:val="18"/>
              </w:rPr>
              <w:t>94</w:t>
            </w:r>
            <w:r>
              <w:rPr>
                <w:rFonts w:ascii="Arial" w:hAnsi="Arial" w:cs="Arial" w:eastAsia="华文细黑"/>
                <w:sz w:val="18"/>
                <w:szCs w:val="18"/>
              </w:rPr>
              <w:t>路、</w:t>
            </w:r>
            <w:r>
              <w:rPr>
                <w:rFonts w:eastAsia="华文细黑" w:cs="Arial" w:ascii="Arial" w:hAnsi="Arial"/>
                <w:sz w:val="18"/>
                <w:szCs w:val="18"/>
              </w:rPr>
              <w:t>G37</w:t>
            </w:r>
            <w:r>
              <w:rPr>
                <w:rFonts w:ascii="Arial" w:hAnsi="Arial" w:cs="Arial" w:eastAsia="华文细黑"/>
                <w:sz w:val="18"/>
                <w:szCs w:val="18"/>
              </w:rPr>
              <w:t>路、</w:t>
            </w:r>
            <w:r>
              <w:rPr>
                <w:rFonts w:eastAsia="华文细黑" w:cs="Arial" w:ascii="Arial" w:hAnsi="Arial"/>
                <w:sz w:val="18"/>
                <w:szCs w:val="18"/>
              </w:rPr>
              <w:t>J2</w:t>
            </w:r>
            <w:r>
              <w:rPr>
                <w:rFonts w:ascii="Arial" w:hAnsi="Arial" w:cs="Arial" w:eastAsia="华文细黑"/>
                <w:sz w:val="18"/>
                <w:szCs w:val="18"/>
              </w:rPr>
              <w:t>路、</w:t>
            </w:r>
            <w:r>
              <w:rPr>
                <w:rFonts w:eastAsia="华文细黑" w:cs="Arial" w:ascii="Arial" w:hAnsi="Arial"/>
                <w:sz w:val="18"/>
                <w:szCs w:val="18"/>
              </w:rPr>
              <w:t>K35</w:t>
            </w:r>
            <w:r>
              <w:rPr>
                <w:rFonts w:ascii="Arial" w:hAnsi="Arial" w:cs="Arial" w:eastAsia="华文细黑"/>
                <w:sz w:val="18"/>
                <w:szCs w:val="18"/>
              </w:rPr>
              <w:t>路等公交线路，停车便捷程度一般，路网密集程度一般；综合评价估价对象交通便捷度一般。</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1</w:t>
            </w:r>
            <w:r>
              <w:rPr>
                <w:rFonts w:ascii="Arial" w:hAnsi="Arial" w:cs="Arial" w:eastAsia="华文细黑"/>
                <w:sz w:val="18"/>
                <w:szCs w:val="18"/>
              </w:rPr>
              <w:t>公里范围内有</w:t>
            </w:r>
            <w:r>
              <w:rPr>
                <w:rFonts w:eastAsia="华文细黑" w:cs="Arial" w:ascii="Arial" w:hAnsi="Arial"/>
                <w:sz w:val="18"/>
                <w:szCs w:val="18"/>
              </w:rPr>
              <w:t>G37</w:t>
            </w:r>
            <w:r>
              <w:rPr>
                <w:rFonts w:ascii="Arial" w:hAnsi="Arial" w:cs="Arial" w:eastAsia="华文细黑"/>
                <w:sz w:val="18"/>
                <w:szCs w:val="18"/>
              </w:rPr>
              <w:t>路、</w:t>
            </w:r>
            <w:r>
              <w:rPr>
                <w:rFonts w:eastAsia="华文细黑" w:cs="Arial" w:ascii="Arial" w:hAnsi="Arial"/>
                <w:sz w:val="18"/>
                <w:szCs w:val="18"/>
              </w:rPr>
              <w:t>J2</w:t>
            </w:r>
            <w:r>
              <w:rPr>
                <w:rFonts w:ascii="Arial" w:hAnsi="Arial" w:cs="Arial" w:eastAsia="华文细黑"/>
                <w:sz w:val="18"/>
                <w:szCs w:val="18"/>
              </w:rPr>
              <w:t>路、</w:t>
            </w:r>
            <w:r>
              <w:rPr>
                <w:rFonts w:eastAsia="华文细黑" w:cs="Arial" w:ascii="Arial" w:hAnsi="Arial"/>
                <w:sz w:val="18"/>
                <w:szCs w:val="18"/>
              </w:rPr>
              <w:t>K35</w:t>
            </w:r>
            <w:r>
              <w:rPr>
                <w:rFonts w:ascii="Arial" w:hAnsi="Arial" w:cs="Arial" w:eastAsia="华文细黑"/>
                <w:sz w:val="18"/>
                <w:szCs w:val="18"/>
              </w:rPr>
              <w:t>路、机场</w:t>
            </w:r>
            <w:r>
              <w:rPr>
                <w:rFonts w:eastAsia="华文细黑" w:cs="Arial" w:ascii="Arial" w:hAnsi="Arial"/>
                <w:sz w:val="18"/>
                <w:szCs w:val="18"/>
              </w:rPr>
              <w:t>3</w:t>
            </w:r>
            <w:r>
              <w:rPr>
                <w:rFonts w:ascii="Arial" w:hAnsi="Arial" w:cs="Arial" w:eastAsia="华文细黑"/>
                <w:sz w:val="18"/>
                <w:szCs w:val="18"/>
              </w:rPr>
              <w:t>路等公交线路，停车便捷程度一般，路网密集程度一般；综合评价估价对象交通便捷度一般。</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1</w:t>
            </w:r>
            <w:r>
              <w:rPr>
                <w:rFonts w:ascii="Arial" w:hAnsi="Arial" w:cs="Arial" w:eastAsia="华文细黑"/>
                <w:sz w:val="18"/>
                <w:szCs w:val="18"/>
              </w:rPr>
              <w:t>公里范围内有</w:t>
            </w:r>
            <w:r>
              <w:rPr>
                <w:rFonts w:eastAsia="华文细黑" w:cs="Arial" w:ascii="Arial" w:hAnsi="Arial"/>
                <w:sz w:val="18"/>
                <w:szCs w:val="18"/>
              </w:rPr>
              <w:t>624</w:t>
            </w:r>
            <w:r>
              <w:rPr>
                <w:rFonts w:ascii="Arial" w:hAnsi="Arial" w:cs="Arial" w:eastAsia="华文细黑"/>
                <w:sz w:val="18"/>
                <w:szCs w:val="18"/>
              </w:rPr>
              <w:t>路、</w:t>
            </w:r>
            <w:r>
              <w:rPr>
                <w:rFonts w:eastAsia="华文细黑" w:cs="Arial" w:ascii="Arial" w:hAnsi="Arial"/>
                <w:sz w:val="18"/>
                <w:szCs w:val="18"/>
              </w:rPr>
              <w:t>625</w:t>
            </w:r>
            <w:r>
              <w:rPr>
                <w:rFonts w:ascii="Arial" w:hAnsi="Arial" w:cs="Arial" w:eastAsia="华文细黑"/>
                <w:sz w:val="18"/>
                <w:szCs w:val="18"/>
              </w:rPr>
              <w:t>路、</w:t>
            </w:r>
            <w:r>
              <w:rPr>
                <w:rFonts w:eastAsia="华文细黑" w:cs="Arial" w:ascii="Arial" w:hAnsi="Arial"/>
                <w:sz w:val="18"/>
                <w:szCs w:val="18"/>
              </w:rPr>
              <w:t>K35</w:t>
            </w:r>
            <w:r>
              <w:rPr>
                <w:rFonts w:ascii="Arial" w:hAnsi="Arial" w:cs="Arial" w:eastAsia="华文细黑"/>
                <w:sz w:val="18"/>
                <w:szCs w:val="18"/>
              </w:rPr>
              <w:t>路、</w:t>
            </w:r>
            <w:r>
              <w:rPr>
                <w:rFonts w:eastAsia="华文细黑" w:cs="Arial" w:ascii="Arial" w:hAnsi="Arial"/>
                <w:sz w:val="18"/>
                <w:szCs w:val="18"/>
              </w:rPr>
              <w:t>J2</w:t>
            </w:r>
            <w:r>
              <w:rPr>
                <w:rFonts w:ascii="Arial" w:hAnsi="Arial" w:cs="Arial" w:eastAsia="华文细黑"/>
                <w:sz w:val="18"/>
                <w:szCs w:val="18"/>
              </w:rPr>
              <w:t>路、等公交线路，停车便捷程度一般，路网密集程度一般；综合评价估价对象交通便捷度一般。</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1</w:t>
            </w:r>
            <w:r>
              <w:rPr>
                <w:rFonts w:ascii="Arial" w:hAnsi="Arial" w:cs="Arial" w:eastAsia="华文细黑"/>
                <w:sz w:val="18"/>
                <w:szCs w:val="18"/>
              </w:rPr>
              <w:t>公里范围内仅有</w:t>
            </w:r>
            <w:r>
              <w:rPr>
                <w:rFonts w:eastAsia="华文细黑" w:cs="Arial" w:ascii="Arial" w:hAnsi="Arial"/>
                <w:sz w:val="18"/>
                <w:szCs w:val="18"/>
              </w:rPr>
              <w:t>2</w:t>
            </w:r>
            <w:r>
              <w:rPr>
                <w:rFonts w:ascii="Arial" w:hAnsi="Arial" w:cs="Arial" w:eastAsia="华文细黑"/>
                <w:sz w:val="18"/>
                <w:szCs w:val="18"/>
              </w:rPr>
              <w:t>路、澄迈</w:t>
            </w:r>
            <w:r>
              <w:rPr>
                <w:rFonts w:eastAsia="华文细黑" w:cs="Arial" w:ascii="Arial" w:hAnsi="Arial"/>
                <w:sz w:val="18"/>
                <w:szCs w:val="18"/>
              </w:rPr>
              <w:t>10</w:t>
            </w:r>
            <w:r>
              <w:rPr>
                <w:rFonts w:ascii="Arial" w:hAnsi="Arial" w:cs="Arial" w:eastAsia="华文细黑"/>
                <w:sz w:val="18"/>
                <w:szCs w:val="18"/>
              </w:rPr>
              <w:t>路公交线路，停车便捷程度较差，路网密集程度较差；综合评价估价对象交通便捷度较差。</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公共配套设施</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pPr>
            <w:r>
              <w:rPr>
                <w:rFonts w:ascii="Arial" w:hAnsi="Arial" w:cs="Arial" w:eastAsia="华文细黑"/>
                <w:sz w:val="18"/>
                <w:szCs w:val="18"/>
              </w:rPr>
              <w:t>估价对象周边</w:t>
            </w:r>
            <w:r>
              <w:rPr>
                <w:rFonts w:eastAsia="华文细黑" w:cs="Arial" w:ascii="Arial" w:hAnsi="Arial"/>
                <w:sz w:val="18"/>
                <w:szCs w:val="18"/>
              </w:rPr>
              <w:t>2</w:t>
            </w:r>
            <w:r>
              <w:rPr>
                <w:rFonts w:ascii="Arial" w:hAnsi="Arial" w:cs="Arial" w:eastAsia="华文细黑"/>
                <w:sz w:val="18"/>
                <w:szCs w:val="18"/>
              </w:rPr>
              <w:t>公里范围内有银行（民生银行、中国银行、光大银行）、购物场所（远大购物广场、</w:t>
            </w:r>
            <w:r>
              <w:rPr>
                <w:rFonts w:eastAsia="华文细黑" w:cs="Arial" w:ascii="Arial" w:hAnsi="Arial"/>
                <w:sz w:val="18"/>
                <w:szCs w:val="18"/>
              </w:rPr>
              <w:t>S+MALL</w:t>
            </w:r>
            <w:r>
              <w:rPr>
                <w:rFonts w:ascii="Arial" w:hAnsi="Arial" w:cs="Arial" w:eastAsia="华文细黑"/>
                <w:sz w:val="18"/>
                <w:szCs w:val="18"/>
              </w:rPr>
              <w:t>星茂购物中心）、学校（星河幼儿园海岸分园、海口市五源河学校）、医院（长滨社区卫生服务站、海南省肿瘤医院）、餐饮等公共服务配套设施；综合评价公共配套设施齐备程度一般。</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2</w:t>
            </w:r>
            <w:r>
              <w:rPr>
                <w:rFonts w:ascii="Arial" w:hAnsi="Arial" w:cs="Arial" w:eastAsia="华文细黑"/>
                <w:sz w:val="18"/>
                <w:szCs w:val="18"/>
              </w:rPr>
              <w:t>公里范围内有银行（工商银行、建设银行）、购物场所（京东便利店、博梓安便利店）、学校（西海岸幼儿园、海口市秀英区英伦洛克国际幼儿园）、医院（海南省儿童医院）、餐饮等公共服务配套设施；综合评价公共配套设施齐备程度一般。</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2</w:t>
            </w:r>
            <w:r>
              <w:rPr>
                <w:rFonts w:ascii="Arial" w:hAnsi="Arial" w:cs="Arial" w:eastAsia="华文细黑"/>
                <w:sz w:val="18"/>
                <w:szCs w:val="18"/>
              </w:rPr>
              <w:t>公里范围内有银行（工商银行、建设银行）、购物场所（京东便利店、博梓安便利店）、学校（西海岸幼儿园、海口市秀英区英伦洛克国际幼儿园）、医院（海南省儿童医院）、餐饮等公共服务配套设施；综合评价公共配套设施齐备程度一般。</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案例周边</w:t>
            </w:r>
            <w:r>
              <w:rPr>
                <w:rFonts w:eastAsia="华文细黑" w:cs="Arial" w:ascii="Arial" w:hAnsi="Arial"/>
                <w:sz w:val="18"/>
                <w:szCs w:val="18"/>
              </w:rPr>
              <w:t>2</w:t>
            </w:r>
            <w:r>
              <w:rPr>
                <w:rFonts w:ascii="Arial" w:hAnsi="Arial" w:cs="Arial" w:eastAsia="华文细黑"/>
                <w:sz w:val="18"/>
                <w:szCs w:val="18"/>
              </w:rPr>
              <w:t>公里范围内银行、购物场所、医院、学校、餐饮等公共配套设施较少且分散；综合评价公共配套设施齐备程度较差。</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基础设施水平</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自然及人文环境</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估价对象所在区域内有海口西海岸挺秀公园、五源河国家湿地公园等，绿化较好，自然环境较好，有海南国际会议展览中心等人文设施，人文环境一般；且估价对象紧邻琼州海峡，综合评价自然及人文环境状况较好。</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所在区域内有五源河国家湿地公园、西海岸带状公园、西海岸高尔夫球会等，绿化较好，自然环境较好，有海南国际会议展览中心等人文设施，人文环境一般；且估价对象紧邻海域，综合评价自然及人文环境状况较好。</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所在区域内有五源河国家湿地公园、西海岸带状公园、西海岸高尔夫球会等，绿化较好，自然环境较好，有海南国际会议展览中心等人文设施，人文环境一般；且估价对象紧邻海域，综合评价自然及人文环境状况较好。</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案例所在区域内有仅海南月亮湾高尔夫球会，绿化一般，自然环境一般，有永庆寺，无科技馆、博物馆、体育馆、高等学府等人文设施，人文环境较差；但估价对象紧邻海域，综合评价自然及人文环境状况一般。</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临海距离</w:t>
            </w:r>
          </w:p>
        </w:tc>
        <w:tc>
          <w:tcPr>
            <w:tcW w:w="1604" w:type="dxa"/>
            <w:tcBorders>
              <w:top w:val="single" w:sz="2" w:space="0" w:color="404040"/>
              <w:left w:val="single" w:sz="2" w:space="0" w:color="404040"/>
              <w:bottom w:val="single" w:sz="2" w:space="0" w:color="404040"/>
            </w:tcBorders>
            <w:shd w:fill="auto" w:val="clear"/>
          </w:tcPr>
          <w:p>
            <w:pPr>
              <w:pStyle w:val="Normal"/>
              <w:jc w:val="center"/>
              <w:rPr>
                <w:rFonts w:ascii="Arial" w:hAnsi="Arial" w:eastAsia="华文细黑" w:cs="Arial"/>
                <w:sz w:val="18"/>
                <w:szCs w:val="18"/>
              </w:rPr>
            </w:pPr>
            <w:r>
              <w:rPr>
                <w:rFonts w:eastAsia="华文细黑" w:cs="Arial" w:ascii="Arial" w:hAnsi="Arial"/>
                <w:sz w:val="18"/>
                <w:szCs w:val="18"/>
              </w:rPr>
              <w:t>0-500</w:t>
            </w:r>
            <w:r>
              <w:rPr>
                <w:rFonts w:ascii="Arial" w:hAnsi="Arial" w:cs="Arial" w:eastAsia="华文细黑"/>
                <w:sz w:val="18"/>
                <w:szCs w:val="18"/>
              </w:rPr>
              <w:t>米</w:t>
            </w:r>
          </w:p>
        </w:tc>
        <w:tc>
          <w:tcPr>
            <w:tcW w:w="1604" w:type="dxa"/>
            <w:tcBorders>
              <w:top w:val="single" w:sz="2" w:space="0" w:color="404040"/>
              <w:left w:val="single" w:sz="2" w:space="0" w:color="404040"/>
              <w:bottom w:val="single" w:sz="2" w:space="0" w:color="404040"/>
            </w:tcBorders>
            <w:shd w:fill="auto" w:val="clear"/>
          </w:tcPr>
          <w:p>
            <w:pPr>
              <w:pStyle w:val="Normal"/>
              <w:jc w:val="center"/>
              <w:rPr>
                <w:rFonts w:ascii="Arial" w:hAnsi="Arial" w:eastAsia="华文细黑" w:cs="Arial"/>
                <w:sz w:val="18"/>
                <w:szCs w:val="18"/>
              </w:rPr>
            </w:pPr>
            <w:r>
              <w:rPr>
                <w:rFonts w:eastAsia="华文细黑" w:cs="Arial" w:ascii="Arial" w:hAnsi="Arial"/>
                <w:sz w:val="18"/>
                <w:szCs w:val="18"/>
              </w:rPr>
              <w:t>0-500</w:t>
            </w:r>
            <w:r>
              <w:rPr>
                <w:rFonts w:ascii="Arial" w:hAnsi="Arial" w:cs="Arial" w:eastAsia="华文细黑"/>
                <w:sz w:val="18"/>
                <w:szCs w:val="18"/>
              </w:rPr>
              <w:t>米</w:t>
            </w:r>
          </w:p>
        </w:tc>
        <w:tc>
          <w:tcPr>
            <w:tcW w:w="1604" w:type="dxa"/>
            <w:tcBorders>
              <w:top w:val="single" w:sz="2" w:space="0" w:color="404040"/>
              <w:left w:val="single" w:sz="2" w:space="0" w:color="404040"/>
              <w:bottom w:val="single" w:sz="2" w:space="0" w:color="404040"/>
            </w:tcBorders>
            <w:shd w:fill="auto" w:val="clear"/>
          </w:tcPr>
          <w:p>
            <w:pPr>
              <w:pStyle w:val="Normal"/>
              <w:jc w:val="center"/>
              <w:rPr>
                <w:rFonts w:ascii="Arial" w:hAnsi="Arial" w:eastAsia="华文细黑" w:cs="Arial"/>
                <w:sz w:val="18"/>
                <w:szCs w:val="18"/>
              </w:rPr>
            </w:pPr>
            <w:r>
              <w:rPr>
                <w:rFonts w:eastAsia="华文细黑" w:cs="Arial" w:ascii="Arial" w:hAnsi="Arial"/>
                <w:sz w:val="18"/>
                <w:szCs w:val="18"/>
              </w:rPr>
              <w:t>0-500</w:t>
            </w:r>
            <w:r>
              <w:rPr>
                <w:rFonts w:ascii="Arial" w:hAnsi="Arial" w:cs="Arial" w:eastAsia="华文细黑"/>
                <w:sz w:val="18"/>
                <w:szCs w:val="18"/>
              </w:rPr>
              <w:t>米</w:t>
            </w:r>
          </w:p>
        </w:tc>
        <w:tc>
          <w:tcPr>
            <w:tcW w:w="1610" w:type="dxa"/>
            <w:tcBorders>
              <w:top w:val="single" w:sz="2" w:space="0" w:color="404040"/>
              <w:left w:val="single" w:sz="2" w:space="0" w:color="404040"/>
              <w:bottom w:val="single" w:sz="2" w:space="0" w:color="404040"/>
              <w:right w:val="single" w:sz="2" w:space="0" w:color="404040"/>
            </w:tcBorders>
            <w:shd w:fill="auto" w:val="clear"/>
          </w:tcPr>
          <w:p>
            <w:pPr>
              <w:pStyle w:val="Normal"/>
              <w:jc w:val="center"/>
              <w:rPr>
                <w:rFonts w:ascii="Arial" w:hAnsi="Arial" w:eastAsia="华文细黑" w:cs="Arial"/>
                <w:sz w:val="18"/>
                <w:szCs w:val="18"/>
              </w:rPr>
            </w:pPr>
            <w:r>
              <w:rPr>
                <w:rFonts w:eastAsia="华文细黑" w:cs="Arial" w:ascii="Arial" w:hAnsi="Arial"/>
                <w:sz w:val="18"/>
                <w:szCs w:val="18"/>
              </w:rPr>
              <w:t>0-500</w:t>
            </w:r>
            <w:r>
              <w:rPr>
                <w:rFonts w:ascii="Arial" w:hAnsi="Arial" w:cs="Arial" w:eastAsia="华文细黑"/>
                <w:sz w:val="18"/>
                <w:szCs w:val="18"/>
              </w:rPr>
              <w:t>米</w:t>
            </w:r>
          </w:p>
        </w:tc>
      </w:tr>
      <w:tr>
        <w:trPr>
          <w:cantSplit w:val="true"/>
        </w:trPr>
        <w:tc>
          <w:tcPr>
            <w:tcW w:w="993"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实物状况</w:t>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建筑类型</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独栋产权式酒店（别墅）</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独栋产权式酒店（别墅）</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独栋产权式酒店（别墅）</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独栋产权式酒店（别墅）</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建筑结构</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钢混</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钢混</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钢混</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钢混</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成新度</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90%</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95%</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85%</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物业管理</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专业</w:t>
            </w:r>
            <w:r>
              <w:rPr>
                <w:rFonts w:ascii="Arial" w:hAnsi="Arial" w:cs="Arial" w:eastAsia="华文细黑"/>
                <w:sz w:val="18"/>
                <w:szCs w:val="18"/>
              </w:rPr>
              <w:t>物业管理</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专业</w:t>
            </w:r>
            <w:r>
              <w:rPr>
                <w:rFonts w:ascii="Arial" w:hAnsi="Arial" w:cs="Arial" w:eastAsia="华文细黑"/>
                <w:sz w:val="18"/>
                <w:szCs w:val="18"/>
              </w:rPr>
              <w:t>物业管理</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专业</w:t>
            </w:r>
            <w:r>
              <w:rPr>
                <w:rFonts w:ascii="Arial" w:hAnsi="Arial" w:cs="Arial" w:eastAsia="华文细黑"/>
                <w:sz w:val="18"/>
                <w:szCs w:val="18"/>
              </w:rPr>
              <w:t>物业管理</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专业</w:t>
            </w:r>
            <w:r>
              <w:rPr>
                <w:rFonts w:ascii="Arial" w:hAnsi="Arial" w:cs="Arial" w:eastAsia="华文细黑"/>
                <w:sz w:val="18"/>
                <w:szCs w:val="18"/>
              </w:rPr>
              <w:t>物业管理</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市政基础设施</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六通</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单套建筑面积（㎡）</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300-700</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300-700</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700-1000</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eastAsia="华文细黑" w:cs="Arial" w:ascii="Arial" w:hAnsi="Arial"/>
                <w:sz w:val="18"/>
                <w:szCs w:val="18"/>
              </w:rPr>
              <w:t>200-300</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内部装修</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毛坯</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毛坯</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毛坯</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精装修</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内部装修维护情况</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较差</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较好</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较好</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较好</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地下层数</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地下一层</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地下一层</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commentRangeStart w:id="22"/>
            <w:r>
              <w:rPr>
                <w:rFonts w:ascii="Arial" w:hAnsi="Arial" w:cs="Arial" w:eastAsia="华文细黑"/>
                <w:sz w:val="18"/>
                <w:szCs w:val="18"/>
              </w:rPr>
              <w:t>无地下</w:t>
            </w:r>
            <w:commentRangeEnd w:id="22"/>
            <w:r>
              <w:commentReference w:id="22"/>
            </w:r>
            <w:r>
              <w:rPr>
                <w:rFonts w:ascii="Arial" w:hAnsi="Arial" w:cs="Arial" w:eastAsia="华文细黑"/>
                <w:sz w:val="18"/>
                <w:szCs w:val="18"/>
              </w:rPr>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无地下</w:t>
            </w:r>
          </w:p>
        </w:tc>
      </w:tr>
      <w:tr>
        <w:trPr>
          <w:cantSplit w:val="true"/>
        </w:trPr>
        <w:tc>
          <w:tcPr>
            <w:tcW w:w="993"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1889"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交易类型</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一手房</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一手房</w:t>
            </w:r>
          </w:p>
        </w:tc>
        <w:tc>
          <w:tcPr>
            <w:tcW w:w="160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一手房</w:t>
            </w:r>
          </w:p>
        </w:tc>
        <w:tc>
          <w:tcPr>
            <w:tcW w:w="161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二手房</w:t>
            </w:r>
          </w:p>
        </w:tc>
      </w:tr>
    </w:tbl>
    <w:p>
      <w:pPr>
        <w:pStyle w:val="Normal"/>
        <w:rPr>
          <w:rFonts w:ascii="Arial" w:hAnsi="Arial" w:eastAsia="华文细黑" w:cs="Arial"/>
          <w:sz w:val="10"/>
          <w:szCs w:val="10"/>
        </w:rPr>
      </w:pPr>
      <w:r>
        <w:rPr>
          <w:rFonts w:eastAsia="华文细黑" w:cs="Arial" w:ascii="Arial" w:hAnsi="Arial"/>
          <w:sz w:val="10"/>
          <w:szCs w:val="10"/>
        </w:rPr>
      </w:r>
    </w:p>
    <w:p>
      <w:pPr>
        <w:pStyle w:val="Normal"/>
        <w:overflowPunct w:val="false"/>
        <w:spacing w:lineRule="auto" w:line="480"/>
        <w:ind w:firstLine="420"/>
        <w:rPr>
          <w:rFonts w:ascii="Arial" w:hAnsi="Arial" w:cs="Arial"/>
          <w:sz w:val="21"/>
          <w:szCs w:val="21"/>
        </w:rPr>
      </w:pPr>
      <w:r>
        <w:rPr>
          <w:rFonts w:cs="Arial" w:ascii="Arial" w:hAnsi="Arial"/>
          <w:sz w:val="21"/>
          <w:szCs w:val="21"/>
        </w:rPr>
        <w:t>2.</w:t>
      </w:r>
      <w:r>
        <w:rPr>
          <w:rFonts w:ascii="Arial" w:hAnsi="Arial" w:cs="Arial"/>
          <w:sz w:val="21"/>
          <w:szCs w:val="21"/>
        </w:rPr>
        <w:t>编制因素修正及调整系数表（见表</w:t>
      </w:r>
      <w:r>
        <w:rPr>
          <w:rFonts w:cs="Arial" w:ascii="Arial" w:hAnsi="Arial"/>
          <w:sz w:val="21"/>
          <w:szCs w:val="21"/>
        </w:rPr>
        <w:t>2</w:t>
      </w:r>
      <w:r>
        <w:rPr>
          <w:rFonts w:ascii="Arial" w:hAnsi="Arial" w:cs="Arial"/>
          <w:sz w:val="21"/>
          <w:szCs w:val="21"/>
        </w:rPr>
        <w:t>）</w:t>
      </w:r>
    </w:p>
    <w:p>
      <w:pPr>
        <w:pStyle w:val="Normal"/>
        <w:overflowPunct w:val="false"/>
        <w:spacing w:lineRule="auto" w:line="480"/>
        <w:ind w:firstLine="420"/>
        <w:rPr>
          <w:rFonts w:ascii="Arial" w:hAnsi="Arial" w:cs="Arial"/>
          <w:sz w:val="21"/>
          <w:szCs w:val="21"/>
        </w:rPr>
      </w:pPr>
      <w:r>
        <w:rPr>
          <w:rFonts w:ascii="Arial" w:hAnsi="Arial" w:cs="Arial"/>
          <w:sz w:val="21"/>
          <w:szCs w:val="21"/>
        </w:rPr>
        <w:t>各因素条件指数确定说明如下：</w:t>
      </w:r>
    </w:p>
    <w:p>
      <w:pPr>
        <w:pStyle w:val="Normal"/>
        <w:overflowPunct w:val="false"/>
        <w:spacing w:lineRule="auto" w:line="480"/>
        <w:ind w:firstLine="420"/>
        <w:rPr>
          <w:rFonts w:ascii="Arial" w:hAnsi="Arial" w:cs="Arial"/>
          <w:sz w:val="21"/>
          <w:szCs w:val="21"/>
        </w:rPr>
      </w:pPr>
      <w:r>
        <w:rPr>
          <w:rFonts w:ascii="Arial" w:hAnsi="Arial" w:cs="Arial"/>
          <w:sz w:val="21"/>
          <w:szCs w:val="21"/>
        </w:rPr>
        <w:t>（</w:t>
      </w:r>
      <w:r>
        <w:rPr>
          <w:rFonts w:cs="Arial" w:ascii="Arial" w:hAnsi="Arial"/>
          <w:sz w:val="21"/>
          <w:szCs w:val="21"/>
        </w:rPr>
        <w:t>1</w:t>
      </w:r>
      <w:r>
        <w:rPr>
          <w:rFonts w:ascii="Arial" w:hAnsi="Arial" w:cs="Arial"/>
          <w:sz w:val="21"/>
          <w:szCs w:val="21"/>
        </w:rPr>
        <w:t>）交易情况修正指数的确定</w:t>
      </w:r>
    </w:p>
    <w:p>
      <w:pPr>
        <w:pStyle w:val="Normal"/>
        <w:overflowPunct w:val="false"/>
        <w:spacing w:lineRule="auto" w:line="480"/>
        <w:ind w:firstLine="420"/>
        <w:rPr>
          <w:rFonts w:ascii="Arial" w:hAnsi="Arial" w:cs="Arial"/>
          <w:sz w:val="21"/>
          <w:szCs w:val="21"/>
        </w:rPr>
      </w:pPr>
      <w:r>
        <w:rPr>
          <w:rFonts w:ascii="Arial" w:hAnsi="Arial" w:cs="Arial"/>
          <w:sz w:val="21"/>
          <w:szCs w:val="21"/>
        </w:rPr>
        <w:t>由于估价对象和案例</w:t>
      </w:r>
      <w:r>
        <w:rPr>
          <w:rFonts w:cs="Arial" w:ascii="Arial" w:hAnsi="Arial"/>
          <w:sz w:val="21"/>
          <w:szCs w:val="21"/>
        </w:rPr>
        <w:t>A</w:t>
      </w:r>
      <w:r>
        <w:rPr>
          <w:rFonts w:ascii="Arial" w:hAnsi="Arial" w:cs="Arial"/>
          <w:sz w:val="21"/>
          <w:szCs w:val="21"/>
        </w:rPr>
        <w:t>、</w:t>
      </w:r>
      <w:r>
        <w:rPr>
          <w:rFonts w:cs="Arial" w:ascii="Arial" w:hAnsi="Arial"/>
          <w:sz w:val="21"/>
          <w:szCs w:val="21"/>
        </w:rPr>
        <w:t>B</w:t>
      </w:r>
      <w:r>
        <w:rPr>
          <w:rFonts w:ascii="Arial" w:hAnsi="Arial" w:cs="Arial"/>
          <w:sz w:val="21"/>
          <w:szCs w:val="21"/>
        </w:rPr>
        <w:t>交易情况相同，均为正常交易，修正系数均为</w:t>
      </w:r>
      <w:r>
        <w:rPr>
          <w:rFonts w:cs="Arial" w:ascii="Arial" w:hAnsi="Arial"/>
          <w:sz w:val="21"/>
          <w:szCs w:val="21"/>
        </w:rPr>
        <w:t>100</w:t>
      </w:r>
      <w:r>
        <w:rPr>
          <w:rFonts w:ascii="Arial" w:hAnsi="Arial" w:cs="Arial"/>
          <w:sz w:val="21"/>
          <w:szCs w:val="21"/>
        </w:rPr>
        <w:t>；案例</w:t>
      </w:r>
      <w:r>
        <w:rPr>
          <w:rFonts w:cs="Arial" w:ascii="Arial" w:hAnsi="Arial"/>
          <w:sz w:val="21"/>
          <w:szCs w:val="21"/>
        </w:rPr>
        <w:t>C</w:t>
      </w:r>
      <w:r>
        <w:rPr>
          <w:rFonts w:ascii="Arial" w:hAnsi="Arial" w:cs="Arial"/>
          <w:sz w:val="21"/>
          <w:szCs w:val="21"/>
        </w:rPr>
        <w:t>为挂牌价，有议价空间，修正系数取</w:t>
      </w:r>
      <w:r>
        <w:rPr>
          <w:rFonts w:cs="Arial" w:ascii="Arial" w:hAnsi="Arial"/>
          <w:sz w:val="21"/>
          <w:szCs w:val="21"/>
        </w:rPr>
        <w:t>105</w:t>
      </w:r>
      <w:r>
        <w:rPr>
          <w:rFonts w:ascii="Arial" w:hAnsi="Arial" w:cs="Arial"/>
          <w:sz w:val="21"/>
          <w:szCs w:val="21"/>
        </w:rPr>
        <w:t>。</w:t>
      </w:r>
    </w:p>
    <w:p>
      <w:pPr>
        <w:pStyle w:val="Normal"/>
        <w:overflowPunct w:val="false"/>
        <w:spacing w:lineRule="auto" w:line="480"/>
        <w:ind w:firstLine="420"/>
        <w:rPr>
          <w:rFonts w:ascii="Arial" w:hAnsi="Arial" w:cs="Arial"/>
          <w:sz w:val="21"/>
          <w:szCs w:val="21"/>
        </w:rPr>
      </w:pPr>
      <w:r>
        <w:rPr>
          <w:rFonts w:ascii="Arial" w:hAnsi="Arial" w:cs="Arial"/>
          <w:sz w:val="21"/>
          <w:szCs w:val="21"/>
        </w:rPr>
        <w:t>（</w:t>
      </w:r>
      <w:r>
        <w:rPr>
          <w:rFonts w:cs="Arial" w:ascii="Arial" w:hAnsi="Arial"/>
          <w:sz w:val="21"/>
          <w:szCs w:val="21"/>
        </w:rPr>
        <w:t>2</w:t>
      </w:r>
      <w:r>
        <w:rPr>
          <w:rFonts w:ascii="Arial" w:hAnsi="Arial" w:cs="Arial"/>
          <w:sz w:val="21"/>
          <w:szCs w:val="21"/>
        </w:rPr>
        <w:t>）市场状况调整</w:t>
      </w:r>
    </w:p>
    <w:p>
      <w:pPr>
        <w:pStyle w:val="Normal"/>
        <w:overflowPunct w:val="false"/>
        <w:spacing w:lineRule="auto" w:line="480"/>
        <w:ind w:firstLine="420"/>
        <w:rPr>
          <w:rFonts w:ascii="Arial" w:hAnsi="Arial" w:cs="Arial"/>
          <w:sz w:val="21"/>
          <w:szCs w:val="21"/>
        </w:rPr>
      </w:pPr>
      <w:r>
        <w:rPr>
          <w:rFonts w:ascii="Arial" w:hAnsi="Arial" w:cs="Arial"/>
          <w:sz w:val="21"/>
          <w:szCs w:val="21"/>
        </w:rPr>
        <w:t>由于估价对象和各案例交易时间相同，均为</w:t>
      </w:r>
      <w:r>
        <w:rPr>
          <w:rFonts w:cs="Arial" w:ascii="Arial" w:hAnsi="Arial"/>
          <w:sz w:val="21"/>
          <w:szCs w:val="21"/>
        </w:rPr>
        <w:t>2024</w:t>
      </w:r>
      <w:r>
        <w:rPr>
          <w:rFonts w:ascii="Arial" w:hAnsi="Arial" w:cs="Arial"/>
          <w:sz w:val="21"/>
          <w:szCs w:val="21"/>
        </w:rPr>
        <w:t>年</w:t>
      </w:r>
      <w:r>
        <w:rPr>
          <w:rFonts w:cs="Arial" w:ascii="Arial" w:hAnsi="Arial"/>
          <w:sz w:val="21"/>
          <w:szCs w:val="21"/>
        </w:rPr>
        <w:t>7</w:t>
      </w:r>
      <w:r>
        <w:rPr>
          <w:rFonts w:ascii="Arial" w:hAnsi="Arial" w:cs="Arial"/>
          <w:sz w:val="21"/>
          <w:szCs w:val="21"/>
        </w:rPr>
        <w:t>月，修正系数为</w:t>
      </w:r>
      <w:r>
        <w:rPr>
          <w:rFonts w:cs="Arial" w:ascii="Arial" w:hAnsi="Arial"/>
          <w:sz w:val="21"/>
          <w:szCs w:val="21"/>
        </w:rPr>
        <w:t>100</w:t>
      </w:r>
      <w:r>
        <w:rPr>
          <w:rFonts w:ascii="Arial" w:hAnsi="Arial" w:cs="Arial"/>
          <w:sz w:val="21"/>
          <w:szCs w:val="21"/>
        </w:rPr>
        <w:t>。</w:t>
      </w:r>
    </w:p>
    <w:p>
      <w:pPr>
        <w:pStyle w:val="Normal"/>
        <w:autoSpaceDE w:val="false"/>
        <w:spacing w:lineRule="auto" w:line="480"/>
        <w:ind w:firstLine="420"/>
        <w:rPr>
          <w:rFonts w:ascii="楷体_GB2312;楷体" w:hAnsi="楷体_GB2312;楷体" w:eastAsia="楷体_GB2312;楷体" w:cs="Arial"/>
          <w:sz w:val="21"/>
          <w:szCs w:val="21"/>
        </w:rPr>
      </w:pPr>
      <w:r>
        <w:rPr>
          <w:rFonts w:ascii="Arial" w:hAnsi="Arial" w:cs="Arial"/>
          <w:sz w:val="21"/>
          <w:szCs w:val="21"/>
        </w:rPr>
        <w:t>（</w:t>
      </w:r>
      <w:r>
        <w:rPr>
          <w:rFonts w:cs="Arial" w:ascii="Arial" w:hAnsi="Arial"/>
          <w:sz w:val="21"/>
          <w:szCs w:val="21"/>
        </w:rPr>
        <w:t>3</w:t>
      </w:r>
      <w:r>
        <w:rPr>
          <w:rFonts w:ascii="Arial" w:hAnsi="Arial" w:cs="Arial"/>
          <w:sz w:val="21"/>
          <w:szCs w:val="21"/>
        </w:rPr>
        <w:t>）房地产状况调整</w:t>
      </w:r>
    </w:p>
    <w:p>
      <w:pPr>
        <w:pStyle w:val="Normal"/>
        <w:overflowPunct w:val="false"/>
        <w:spacing w:lineRule="auto" w:line="480"/>
        <w:ind w:firstLine="420"/>
        <w:rPr>
          <w:rFonts w:ascii="Arial" w:hAnsi="Arial" w:cs="Arial"/>
          <w:sz w:val="21"/>
          <w:szCs w:val="21"/>
        </w:rPr>
      </w:pPr>
      <w:r>
        <w:rPr>
          <w:rFonts w:cs="Arial" w:ascii="Arial" w:hAnsi="Arial"/>
          <w:sz w:val="21"/>
          <w:szCs w:val="21"/>
        </w:rPr>
        <w:t>1</w:t>
      </w:r>
      <w:r>
        <w:rPr>
          <w:rFonts w:ascii="Arial" w:hAnsi="Arial" w:cs="Arial"/>
          <w:sz w:val="21"/>
          <w:szCs w:val="21"/>
        </w:rPr>
        <w:t>）权益状况</w:t>
      </w:r>
    </w:p>
    <w:p>
      <w:pPr>
        <w:pStyle w:val="Normal"/>
        <w:autoSpaceDE w:val="false"/>
        <w:jc w:val="center"/>
        <w:rPr>
          <w:rFonts w:ascii="Arial" w:hAnsi="Arial" w:eastAsia="方正黑体简体;微软雅黑" w:cs="Arial"/>
          <w:sz w:val="21"/>
          <w:szCs w:val="24"/>
        </w:rPr>
      </w:pPr>
      <w:r>
        <w:rPr>
          <w:rFonts w:eastAsia="方正黑体简体;微软雅黑" w:cs="Arial" w:ascii="Arial" w:hAnsi="Arial"/>
          <w:sz w:val="21"/>
          <w:szCs w:val="24"/>
        </w:rPr>
      </w:r>
    </w:p>
    <w:p>
      <w:pPr>
        <w:pStyle w:val="Normal"/>
        <w:autoSpaceDE w:val="false"/>
        <w:jc w:val="center"/>
        <w:rPr>
          <w:rFonts w:ascii="Arial" w:hAnsi="Arial" w:eastAsia="方正黑体简体;微软雅黑" w:cs="Arial"/>
          <w:szCs w:val="24"/>
        </w:rPr>
      </w:pPr>
      <w:r>
        <w:rPr>
          <w:rFonts w:eastAsia="方正黑体简体;微软雅黑" w:cs="Arial" w:ascii="Arial" w:hAnsi="Arial"/>
          <w:szCs w:val="24"/>
        </w:rPr>
      </w:r>
    </w:p>
    <w:p>
      <w:pPr>
        <w:pStyle w:val="Normal"/>
        <w:autoSpaceDE w:val="false"/>
        <w:jc w:val="center"/>
        <w:rPr>
          <w:rFonts w:ascii="Arial" w:hAnsi="Arial" w:eastAsia="方正黑体简体;微软雅黑" w:cs="Arial"/>
          <w:szCs w:val="24"/>
        </w:rPr>
      </w:pPr>
      <w:r>
        <w:rPr>
          <w:rFonts w:ascii="Arial" w:hAnsi="Arial" w:cs="Arial" w:eastAsia="方正黑体简体;微软雅黑"/>
          <w:szCs w:val="24"/>
        </w:rPr>
        <w:t>权益状况等级说明表</w:t>
      </w:r>
    </w:p>
    <w:tbl>
      <w:tblPr>
        <w:tblW w:w="9304" w:type="dxa"/>
        <w:jc w:val="center"/>
        <w:tblInd w:w="0" w:type="dxa"/>
        <w:tblCellMar>
          <w:top w:w="57" w:type="dxa"/>
          <w:left w:w="57" w:type="dxa"/>
          <w:bottom w:w="57" w:type="dxa"/>
          <w:right w:w="57" w:type="dxa"/>
        </w:tblCellMar>
      </w:tblPr>
      <w:tblGrid>
        <w:gridCol w:w="1414"/>
        <w:gridCol w:w="1965"/>
        <w:gridCol w:w="2040"/>
        <w:gridCol w:w="2805"/>
        <w:gridCol w:w="1080"/>
      </w:tblGrid>
      <w:tr>
        <w:trPr>
          <w:cantSplit w:val="true"/>
        </w:trPr>
        <w:tc>
          <w:tcPr>
            <w:tcW w:w="141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权益状况</w:t>
            </w:r>
          </w:p>
        </w:tc>
        <w:tc>
          <w:tcPr>
            <w:tcW w:w="6810" w:type="dxa"/>
            <w:gridSpan w:val="3"/>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等级划分</w:t>
            </w:r>
          </w:p>
        </w:tc>
        <w:tc>
          <w:tcPr>
            <w:tcW w:w="108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每等级向下调整幅度</w:t>
            </w:r>
          </w:p>
        </w:tc>
      </w:tr>
      <w:tr>
        <w:trPr>
          <w:cantSplit w:val="true"/>
        </w:trPr>
        <w:tc>
          <w:tcPr>
            <w:tcW w:w="141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用途</w:t>
            </w:r>
          </w:p>
        </w:tc>
        <w:tc>
          <w:tcPr>
            <w:tcW w:w="6810" w:type="dxa"/>
            <w:gridSpan w:val="3"/>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估价对象与交易案例用途均为产权式酒店（别墅）</w:t>
            </w:r>
          </w:p>
        </w:tc>
        <w:tc>
          <w:tcPr>
            <w:tcW w:w="108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5%</w:t>
            </w:r>
          </w:p>
        </w:tc>
      </w:tr>
      <w:tr>
        <w:trPr>
          <w:cantSplit w:val="true"/>
        </w:trPr>
        <w:tc>
          <w:tcPr>
            <w:tcW w:w="1414"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土地年限</w:t>
            </w:r>
          </w:p>
        </w:tc>
        <w:tc>
          <w:tcPr>
            <w:tcW w:w="1965"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30-40</w:t>
            </w:r>
            <w:r>
              <w:rPr>
                <w:rFonts w:ascii="Arial" w:hAnsi="Arial" w:cs="Arial" w:eastAsia="华文细黑"/>
                <w:sz w:val="18"/>
                <w:szCs w:val="18"/>
              </w:rPr>
              <w:t>（含）</w:t>
            </w:r>
          </w:p>
        </w:tc>
        <w:tc>
          <w:tcPr>
            <w:tcW w:w="2040" w:type="dxa"/>
            <w:tcBorders>
              <w:top w:val="single" w:sz="2" w:space="0" w:color="404040"/>
              <w:left w:val="single" w:sz="4" w:space="0" w:color="00000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20-30</w:t>
            </w:r>
            <w:r>
              <w:rPr>
                <w:rFonts w:ascii="Arial" w:hAnsi="Arial" w:cs="Arial" w:eastAsia="华文细黑"/>
                <w:sz w:val="18"/>
                <w:szCs w:val="18"/>
              </w:rPr>
              <w:t>（含）</w:t>
            </w:r>
          </w:p>
        </w:tc>
        <w:tc>
          <w:tcPr>
            <w:tcW w:w="2805" w:type="dxa"/>
            <w:tcBorders>
              <w:top w:val="single" w:sz="2" w:space="0" w:color="404040"/>
              <w:left w:val="single" w:sz="4" w:space="0" w:color="00000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w:t>
            </w:r>
            <w:r>
              <w:rPr>
                <w:rFonts w:ascii="Arial" w:hAnsi="Arial" w:cs="Arial" w:eastAsia="华文细黑"/>
                <w:sz w:val="18"/>
                <w:szCs w:val="18"/>
              </w:rPr>
              <w:t>年以下</w:t>
            </w:r>
          </w:p>
        </w:tc>
        <w:tc>
          <w:tcPr>
            <w:tcW w:w="1080"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5%</w:t>
            </w:r>
          </w:p>
        </w:tc>
      </w:tr>
    </w:tbl>
    <w:p>
      <w:pPr>
        <w:pStyle w:val="Normal"/>
        <w:autoSpaceDE w:val="false"/>
        <w:spacing w:lineRule="exact" w:line="500"/>
        <w:ind w:firstLine="420"/>
        <w:rPr>
          <w:rFonts w:ascii="Arial" w:hAnsi="Arial" w:cs="Arial"/>
          <w:sz w:val="21"/>
          <w:szCs w:val="21"/>
        </w:rPr>
      </w:pPr>
      <w:r>
        <w:rPr>
          <w:rFonts w:cs="Arial" w:ascii="Arial" w:hAnsi="Arial"/>
          <w:sz w:val="21"/>
          <w:szCs w:val="21"/>
        </w:rPr>
        <w:t>2</w:t>
      </w:r>
      <w:r>
        <w:rPr>
          <w:rFonts w:ascii="Arial" w:hAnsi="Arial" w:cs="Arial"/>
          <w:sz w:val="21"/>
          <w:szCs w:val="21"/>
        </w:rPr>
        <w:t>）区位状况</w:t>
      </w:r>
    </w:p>
    <w:p>
      <w:pPr>
        <w:pStyle w:val="Normal"/>
        <w:autoSpaceDE w:val="false"/>
        <w:jc w:val="center"/>
        <w:rPr>
          <w:rFonts w:ascii="Arial" w:hAnsi="Arial" w:eastAsia="方正黑体简体;微软雅黑" w:cs="Arial"/>
          <w:szCs w:val="24"/>
        </w:rPr>
      </w:pPr>
      <w:r>
        <w:rPr>
          <w:rFonts w:ascii="Arial" w:hAnsi="Arial" w:cs="Arial" w:eastAsia="方正黑体简体;微软雅黑"/>
          <w:szCs w:val="24"/>
        </w:rPr>
        <w:t>区位状况等级说明表</w:t>
      </w:r>
    </w:p>
    <w:tbl>
      <w:tblPr>
        <w:tblW w:w="9304" w:type="dxa"/>
        <w:jc w:val="center"/>
        <w:tblInd w:w="0" w:type="dxa"/>
        <w:tblCellMar>
          <w:top w:w="57" w:type="dxa"/>
          <w:left w:w="57" w:type="dxa"/>
          <w:bottom w:w="57" w:type="dxa"/>
          <w:right w:w="57" w:type="dxa"/>
        </w:tblCellMar>
      </w:tblPr>
      <w:tblGrid>
        <w:gridCol w:w="1560"/>
        <w:gridCol w:w="1333"/>
        <w:gridCol w:w="1333"/>
        <w:gridCol w:w="1333"/>
        <w:gridCol w:w="1333"/>
        <w:gridCol w:w="1334"/>
        <w:gridCol w:w="1078"/>
      </w:tblGrid>
      <w:tr>
        <w:trPr>
          <w:cantSplit w:val="true"/>
        </w:trPr>
        <w:tc>
          <w:tcPr>
            <w:tcW w:w="1560"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区位状况</w:t>
            </w:r>
          </w:p>
        </w:tc>
        <w:tc>
          <w:tcPr>
            <w:tcW w:w="6666"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等级划分</w:t>
            </w:r>
          </w:p>
        </w:tc>
        <w:tc>
          <w:tcPr>
            <w:tcW w:w="1078"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每等级向下调整幅度</w:t>
            </w:r>
          </w:p>
        </w:tc>
      </w:tr>
      <w:tr>
        <w:trPr>
          <w:cantSplit w:val="true"/>
        </w:trPr>
        <w:tc>
          <w:tcPr>
            <w:tcW w:w="1560"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居住社区成熟度</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一般</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较差</w:t>
            </w:r>
          </w:p>
        </w:tc>
        <w:tc>
          <w:tcPr>
            <w:tcW w:w="13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差</w:t>
            </w:r>
          </w:p>
        </w:tc>
        <w:tc>
          <w:tcPr>
            <w:tcW w:w="1078"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2</w:t>
            </w:r>
            <w:r>
              <w:rPr>
                <w:rFonts w:eastAsia="华文细黑" w:cs="Arial" w:ascii="Arial" w:hAnsi="Arial"/>
                <w:sz w:val="18"/>
                <w:szCs w:val="18"/>
              </w:rPr>
              <w:t>%</w:t>
            </w:r>
          </w:p>
        </w:tc>
      </w:tr>
      <w:tr>
        <w:trPr>
          <w:cantSplit w:val="true"/>
        </w:trPr>
        <w:tc>
          <w:tcPr>
            <w:tcW w:w="1560"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交通便捷度</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一般</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较差</w:t>
            </w:r>
          </w:p>
        </w:tc>
        <w:tc>
          <w:tcPr>
            <w:tcW w:w="13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差</w:t>
            </w:r>
          </w:p>
        </w:tc>
        <w:tc>
          <w:tcPr>
            <w:tcW w:w="1078"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2</w:t>
            </w:r>
            <w:r>
              <w:rPr>
                <w:rFonts w:eastAsia="华文细黑" w:cs="Arial" w:ascii="Arial" w:hAnsi="Arial"/>
                <w:sz w:val="18"/>
                <w:szCs w:val="18"/>
              </w:rPr>
              <w:t>%</w:t>
            </w:r>
          </w:p>
        </w:tc>
      </w:tr>
      <w:tr>
        <w:trPr>
          <w:cantSplit w:val="true"/>
        </w:trPr>
        <w:tc>
          <w:tcPr>
            <w:tcW w:w="1560"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公共配套设施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一般</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较差</w:t>
            </w:r>
          </w:p>
        </w:tc>
        <w:tc>
          <w:tcPr>
            <w:tcW w:w="13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差</w:t>
            </w:r>
          </w:p>
        </w:tc>
        <w:tc>
          <w:tcPr>
            <w:tcW w:w="1078"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2</w:t>
            </w:r>
            <w:r>
              <w:rPr>
                <w:rFonts w:eastAsia="华文细黑" w:cs="Arial" w:ascii="Arial" w:hAnsi="Arial"/>
                <w:sz w:val="18"/>
                <w:szCs w:val="18"/>
              </w:rPr>
              <w:t>%</w:t>
            </w:r>
          </w:p>
        </w:tc>
      </w:tr>
      <w:tr>
        <w:trPr>
          <w:cantSplit w:val="true"/>
        </w:trPr>
        <w:tc>
          <w:tcPr>
            <w:tcW w:w="1560"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基础设施水平</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七通</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五通</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四通</w:t>
            </w:r>
          </w:p>
        </w:tc>
        <w:tc>
          <w:tcPr>
            <w:tcW w:w="13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三通</w:t>
            </w:r>
          </w:p>
        </w:tc>
        <w:tc>
          <w:tcPr>
            <w:tcW w:w="1078"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w:t>
            </w:r>
            <w:r>
              <w:rPr>
                <w:rFonts w:eastAsia="华文细黑" w:cs="Arial" w:ascii="Arial" w:hAnsi="Arial"/>
                <w:sz w:val="18"/>
                <w:szCs w:val="18"/>
              </w:rPr>
              <w:t>%</w:t>
            </w:r>
          </w:p>
        </w:tc>
      </w:tr>
      <w:tr>
        <w:trPr>
          <w:cantSplit w:val="true"/>
        </w:trPr>
        <w:tc>
          <w:tcPr>
            <w:tcW w:w="1560"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自然及人文环境</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较好</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一般</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较差</w:t>
            </w:r>
          </w:p>
        </w:tc>
        <w:tc>
          <w:tcPr>
            <w:tcW w:w="13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差</w:t>
            </w:r>
          </w:p>
        </w:tc>
        <w:tc>
          <w:tcPr>
            <w:tcW w:w="1078"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2</w:t>
            </w:r>
            <w:r>
              <w:rPr>
                <w:rFonts w:eastAsia="华文细黑" w:cs="Arial" w:ascii="Arial" w:hAnsi="Arial"/>
                <w:sz w:val="18"/>
                <w:szCs w:val="18"/>
              </w:rPr>
              <w:t>%</w:t>
            </w:r>
          </w:p>
        </w:tc>
      </w:tr>
      <w:tr>
        <w:trPr>
          <w:cantSplit w:val="true"/>
        </w:trPr>
        <w:tc>
          <w:tcPr>
            <w:tcW w:w="1560" w:type="dxa"/>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临海距离</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0-500</w:t>
            </w:r>
            <w:r>
              <w:rPr>
                <w:rFonts w:ascii="Arial" w:hAnsi="Arial" w:cs="Arial" w:eastAsia="华文细黑"/>
                <w:sz w:val="18"/>
                <w:szCs w:val="18"/>
              </w:rPr>
              <w:t>米</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500-1000</w:t>
            </w:r>
            <w:r>
              <w:rPr>
                <w:rFonts w:ascii="Arial" w:hAnsi="Arial" w:cs="Arial" w:eastAsia="华文细黑"/>
                <w:sz w:val="18"/>
                <w:szCs w:val="18"/>
              </w:rPr>
              <w:t>米</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1000-1500</w:t>
            </w:r>
            <w:r>
              <w:rPr>
                <w:rFonts w:ascii="Arial" w:hAnsi="Arial" w:cs="Arial" w:eastAsia="华文细黑"/>
                <w:sz w:val="18"/>
                <w:szCs w:val="18"/>
              </w:rPr>
              <w:t>米</w:t>
            </w:r>
          </w:p>
        </w:tc>
        <w:tc>
          <w:tcPr>
            <w:tcW w:w="133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1500-2000</w:t>
            </w:r>
            <w:r>
              <w:rPr>
                <w:rFonts w:ascii="Arial" w:hAnsi="Arial" w:cs="Arial" w:eastAsia="华文细黑"/>
                <w:sz w:val="18"/>
                <w:szCs w:val="18"/>
              </w:rPr>
              <w:t>米</w:t>
            </w:r>
          </w:p>
        </w:tc>
        <w:tc>
          <w:tcPr>
            <w:tcW w:w="13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2000</w:t>
            </w:r>
            <w:r>
              <w:rPr>
                <w:rFonts w:ascii="Arial" w:hAnsi="Arial" w:cs="Arial" w:eastAsia="华文细黑"/>
                <w:sz w:val="18"/>
                <w:szCs w:val="18"/>
              </w:rPr>
              <w:t>米以上</w:t>
            </w:r>
          </w:p>
        </w:tc>
        <w:tc>
          <w:tcPr>
            <w:tcW w:w="1078"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w:t>
            </w:r>
          </w:p>
        </w:tc>
      </w:tr>
    </w:tbl>
    <w:p>
      <w:pPr>
        <w:pStyle w:val="Normal"/>
        <w:autoSpaceDE w:val="false"/>
        <w:spacing w:lineRule="exact" w:line="500"/>
        <w:ind w:firstLine="420"/>
        <w:rPr>
          <w:rFonts w:ascii="Arial" w:hAnsi="Arial" w:cs="Arial"/>
          <w:sz w:val="21"/>
          <w:szCs w:val="21"/>
        </w:rPr>
      </w:pPr>
      <w:r>
        <w:rPr>
          <w:rFonts w:cs="Arial" w:ascii="Arial" w:hAnsi="Arial"/>
          <w:sz w:val="21"/>
          <w:szCs w:val="21"/>
        </w:rPr>
        <w:t>3</w:t>
      </w:r>
      <w:r>
        <w:rPr>
          <w:rFonts w:ascii="Arial" w:hAnsi="Arial" w:cs="Arial"/>
          <w:sz w:val="21"/>
          <w:szCs w:val="21"/>
        </w:rPr>
        <w:t>）实物状况</w:t>
      </w:r>
    </w:p>
    <w:p>
      <w:pPr>
        <w:pStyle w:val="Normal"/>
        <w:autoSpaceDE w:val="false"/>
        <w:jc w:val="center"/>
        <w:rPr>
          <w:rFonts w:ascii="Arial" w:hAnsi="Arial" w:eastAsia="方正黑体简体;微软雅黑" w:cs="Arial"/>
          <w:szCs w:val="24"/>
        </w:rPr>
      </w:pPr>
      <w:r>
        <w:rPr>
          <w:rFonts w:ascii="Arial" w:hAnsi="Arial" w:cs="Arial" w:eastAsia="方正黑体简体;微软雅黑"/>
          <w:szCs w:val="24"/>
        </w:rPr>
        <w:t>实物状况等级说明表</w:t>
      </w:r>
    </w:p>
    <w:tbl>
      <w:tblPr>
        <w:tblW w:w="9304" w:type="dxa"/>
        <w:jc w:val="center"/>
        <w:tblInd w:w="0" w:type="dxa"/>
        <w:tblCellMar>
          <w:top w:w="57" w:type="dxa"/>
          <w:left w:w="57" w:type="dxa"/>
          <w:bottom w:w="57" w:type="dxa"/>
          <w:right w:w="57" w:type="dxa"/>
        </w:tblCellMar>
      </w:tblPr>
      <w:tblGrid>
        <w:gridCol w:w="1843"/>
        <w:gridCol w:w="1134"/>
        <w:gridCol w:w="139"/>
        <w:gridCol w:w="321"/>
        <w:gridCol w:w="246"/>
        <w:gridCol w:w="285"/>
        <w:gridCol w:w="168"/>
        <w:gridCol w:w="681"/>
        <w:gridCol w:w="215"/>
        <w:gridCol w:w="465"/>
        <w:gridCol w:w="454"/>
        <w:gridCol w:w="144"/>
        <w:gridCol w:w="423"/>
        <w:gridCol w:w="109"/>
        <w:gridCol w:w="231"/>
        <w:gridCol w:w="1364"/>
        <w:gridCol w:w="1082"/>
      </w:tblGrid>
      <w:tr>
        <w:trPr>
          <w:tblHeader w:val="true"/>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实物状况</w:t>
            </w:r>
          </w:p>
        </w:tc>
        <w:tc>
          <w:tcPr>
            <w:tcW w:w="6379" w:type="dxa"/>
            <w:gridSpan w:val="1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等级划分</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每等级向下调整幅度</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建筑类型</w:t>
            </w:r>
          </w:p>
        </w:tc>
        <w:tc>
          <w:tcPr>
            <w:tcW w:w="1594" w:type="dxa"/>
            <w:gridSpan w:val="3"/>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独栋</w:t>
            </w:r>
          </w:p>
        </w:tc>
        <w:tc>
          <w:tcPr>
            <w:tcW w:w="1595"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双拼</w:t>
            </w:r>
          </w:p>
        </w:tc>
        <w:tc>
          <w:tcPr>
            <w:tcW w:w="1595"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联排</w:t>
            </w:r>
          </w:p>
        </w:tc>
        <w:tc>
          <w:tcPr>
            <w:tcW w:w="1595"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叠拼</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3</w:t>
            </w:r>
            <w:r>
              <w:rPr>
                <w:rFonts w:eastAsia="华文细黑" w:cs="Arial" w:ascii="Arial" w:hAnsi="Arial"/>
                <w:sz w:val="18"/>
                <w:szCs w:val="18"/>
              </w:rPr>
              <w:t>%</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建筑结构</w:t>
            </w:r>
          </w:p>
        </w:tc>
        <w:tc>
          <w:tcPr>
            <w:tcW w:w="1840" w:type="dxa"/>
            <w:gridSpan w:val="4"/>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钢结构</w:t>
            </w:r>
          </w:p>
        </w:tc>
        <w:tc>
          <w:tcPr>
            <w:tcW w:w="2268" w:type="dxa"/>
            <w:gridSpan w:val="6"/>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钢混结构</w:t>
            </w:r>
          </w:p>
        </w:tc>
        <w:tc>
          <w:tcPr>
            <w:tcW w:w="2271"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砖混结构</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1</w:t>
            </w:r>
            <w:r>
              <w:rPr>
                <w:rFonts w:eastAsia="华文细黑" w:cs="Arial" w:ascii="Arial" w:hAnsi="Arial"/>
                <w:sz w:val="18"/>
                <w:szCs w:val="18"/>
              </w:rPr>
              <w:t>%</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成新度</w:t>
            </w:r>
          </w:p>
        </w:tc>
        <w:tc>
          <w:tcPr>
            <w:tcW w:w="11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90%-100%</w:t>
            </w:r>
            <w:r>
              <w:rPr>
                <w:rFonts w:ascii="Arial" w:hAnsi="Arial" w:cs="Arial" w:eastAsia="华文细黑"/>
                <w:sz w:val="18"/>
                <w:szCs w:val="18"/>
              </w:rPr>
              <w:t>（含）</w:t>
            </w:r>
          </w:p>
        </w:tc>
        <w:tc>
          <w:tcPr>
            <w:tcW w:w="1159"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80%-90%</w:t>
            </w:r>
            <w:r>
              <w:rPr>
                <w:rFonts w:ascii="Arial" w:hAnsi="Arial" w:cs="Arial" w:eastAsia="华文细黑"/>
                <w:sz w:val="18"/>
                <w:szCs w:val="18"/>
              </w:rPr>
              <w:t>（含）</w:t>
            </w:r>
          </w:p>
        </w:tc>
        <w:tc>
          <w:tcPr>
            <w:tcW w:w="1361" w:type="dxa"/>
            <w:gridSpan w:val="3"/>
            <w:tcBorders>
              <w:top w:val="single" w:sz="2" w:space="0" w:color="404040"/>
              <w:left w:val="single" w:sz="2" w:space="0" w:color="404040"/>
              <w:bottom w:val="single" w:sz="2" w:space="0" w:color="404040"/>
            </w:tcBorders>
            <w:shd w:fill="auto" w:val="clear"/>
          </w:tcPr>
          <w:p>
            <w:pPr>
              <w:pStyle w:val="Normal"/>
              <w:rPr/>
            </w:pPr>
            <w:r>
              <w:rPr>
                <w:rFonts w:eastAsia="华文细黑" w:cs="Arial" w:ascii="Arial" w:hAnsi="Arial"/>
                <w:sz w:val="18"/>
                <w:szCs w:val="18"/>
              </w:rPr>
              <w:t>70%-80%</w:t>
            </w:r>
            <w:r>
              <w:rPr>
                <w:rFonts w:ascii="Arial" w:hAnsi="Arial" w:cs="Arial" w:eastAsia="华文细黑"/>
                <w:sz w:val="18"/>
                <w:szCs w:val="18"/>
              </w:rPr>
              <w:t>（含）</w:t>
            </w:r>
          </w:p>
        </w:tc>
        <w:tc>
          <w:tcPr>
            <w:tcW w:w="1361" w:type="dxa"/>
            <w:gridSpan w:val="5"/>
            <w:tcBorders>
              <w:top w:val="single" w:sz="2" w:space="0" w:color="404040"/>
              <w:left w:val="single" w:sz="2" w:space="0" w:color="404040"/>
              <w:bottom w:val="single" w:sz="2" w:space="0" w:color="404040"/>
            </w:tcBorders>
            <w:shd w:fill="auto" w:val="clear"/>
          </w:tcPr>
          <w:p>
            <w:pPr>
              <w:pStyle w:val="Normal"/>
              <w:rPr/>
            </w:pPr>
            <w:r>
              <w:rPr>
                <w:rFonts w:eastAsia="华文细黑" w:cs="Arial" w:ascii="Arial" w:hAnsi="Arial"/>
                <w:sz w:val="18"/>
                <w:szCs w:val="18"/>
              </w:rPr>
              <w:t>60%-70%</w:t>
            </w:r>
            <w:r>
              <w:rPr>
                <w:rFonts w:ascii="Arial" w:hAnsi="Arial" w:cs="Arial" w:eastAsia="华文细黑"/>
                <w:sz w:val="18"/>
                <w:szCs w:val="18"/>
              </w:rPr>
              <w:t>（含）</w:t>
            </w:r>
          </w:p>
        </w:tc>
        <w:tc>
          <w:tcPr>
            <w:tcW w:w="1364" w:type="dxa"/>
            <w:tcBorders>
              <w:top w:val="single" w:sz="2" w:space="0" w:color="404040"/>
              <w:left w:val="single" w:sz="2" w:space="0" w:color="404040"/>
              <w:bottom w:val="single" w:sz="2" w:space="0" w:color="404040"/>
            </w:tcBorders>
            <w:shd w:fill="auto" w:val="clear"/>
          </w:tcPr>
          <w:p>
            <w:pPr>
              <w:pStyle w:val="Normal"/>
              <w:rPr/>
            </w:pPr>
            <w:r>
              <w:rPr>
                <w:rFonts w:eastAsia="华文细黑" w:cs="Arial" w:ascii="Arial" w:hAnsi="Arial"/>
                <w:sz w:val="18"/>
                <w:szCs w:val="18"/>
              </w:rPr>
              <w:t>60%</w:t>
            </w:r>
            <w:r>
              <w:rPr>
                <w:rFonts w:ascii="Arial" w:hAnsi="Arial" w:cs="Arial" w:eastAsia="华文细黑"/>
                <w:sz w:val="18"/>
                <w:szCs w:val="18"/>
              </w:rPr>
              <w:t>（含）以下</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2</w:t>
            </w:r>
            <w:r>
              <w:rPr>
                <w:rFonts w:eastAsia="华文细黑" w:cs="Arial" w:ascii="Arial" w:hAnsi="Arial"/>
                <w:sz w:val="18"/>
                <w:szCs w:val="18"/>
              </w:rPr>
              <w:t>%</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物业管理</w:t>
            </w:r>
          </w:p>
        </w:tc>
        <w:tc>
          <w:tcPr>
            <w:tcW w:w="2974" w:type="dxa"/>
            <w:gridSpan w:val="7"/>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品牌</w:t>
            </w:r>
          </w:p>
        </w:tc>
        <w:tc>
          <w:tcPr>
            <w:tcW w:w="3405" w:type="dxa"/>
            <w:gridSpan w:val="8"/>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专业</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1</w:t>
            </w:r>
            <w:r>
              <w:rPr>
                <w:rFonts w:eastAsia="华文细黑" w:cs="Arial" w:ascii="Arial" w:hAnsi="Arial"/>
                <w:sz w:val="18"/>
                <w:szCs w:val="18"/>
              </w:rPr>
              <w:t>%</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市政基础设施</w:t>
            </w:r>
          </w:p>
        </w:tc>
        <w:tc>
          <w:tcPr>
            <w:tcW w:w="113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七通</w:t>
            </w:r>
          </w:p>
        </w:tc>
        <w:tc>
          <w:tcPr>
            <w:tcW w:w="1159"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六通</w:t>
            </w:r>
          </w:p>
        </w:tc>
        <w:tc>
          <w:tcPr>
            <w:tcW w:w="1361" w:type="dxa"/>
            <w:gridSpan w:val="3"/>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五通</w:t>
            </w:r>
          </w:p>
        </w:tc>
        <w:tc>
          <w:tcPr>
            <w:tcW w:w="1361"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四通</w:t>
            </w:r>
          </w:p>
        </w:tc>
        <w:tc>
          <w:tcPr>
            <w:tcW w:w="1364"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三通</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1</w:t>
            </w:r>
            <w:r>
              <w:rPr>
                <w:rFonts w:eastAsia="华文细黑" w:cs="Arial" w:ascii="Arial" w:hAnsi="Arial"/>
                <w:sz w:val="18"/>
                <w:szCs w:val="18"/>
              </w:rPr>
              <w:t>%</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pPr>
            <w:r>
              <w:rPr>
                <w:rFonts w:ascii="Arial" w:hAnsi="Arial" w:cs="Arial" w:eastAsia="华文细黑"/>
                <w:sz w:val="18"/>
                <w:szCs w:val="18"/>
              </w:rPr>
              <w:t>单套建筑面积（㎡）</w:t>
            </w:r>
          </w:p>
        </w:tc>
        <w:tc>
          <w:tcPr>
            <w:tcW w:w="1273"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0-200</w:t>
            </w:r>
          </w:p>
        </w:tc>
        <w:tc>
          <w:tcPr>
            <w:tcW w:w="1701"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200-300</w:t>
            </w:r>
          </w:p>
        </w:tc>
        <w:tc>
          <w:tcPr>
            <w:tcW w:w="1701"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300-700</w:t>
            </w:r>
          </w:p>
        </w:tc>
        <w:tc>
          <w:tcPr>
            <w:tcW w:w="1704" w:type="dxa"/>
            <w:gridSpan w:val="3"/>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700-1000</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内部装修</w:t>
            </w:r>
          </w:p>
        </w:tc>
        <w:tc>
          <w:tcPr>
            <w:tcW w:w="1273"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精装修</w:t>
            </w:r>
          </w:p>
        </w:tc>
        <w:tc>
          <w:tcPr>
            <w:tcW w:w="1701"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普通装修</w:t>
            </w:r>
          </w:p>
        </w:tc>
        <w:tc>
          <w:tcPr>
            <w:tcW w:w="1701"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简单装修</w:t>
            </w:r>
          </w:p>
        </w:tc>
        <w:tc>
          <w:tcPr>
            <w:tcW w:w="1704" w:type="dxa"/>
            <w:gridSpan w:val="3"/>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毛坯</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1</w:t>
            </w:r>
            <w:r>
              <w:rPr>
                <w:rFonts w:eastAsia="华文细黑" w:cs="Arial" w:ascii="Arial" w:hAnsi="Arial"/>
                <w:sz w:val="18"/>
                <w:szCs w:val="18"/>
              </w:rPr>
              <w:t>%</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内部装修维护情况</w:t>
            </w:r>
          </w:p>
        </w:tc>
        <w:tc>
          <w:tcPr>
            <w:tcW w:w="2125" w:type="dxa"/>
            <w:gridSpan w:val="5"/>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较好</w:t>
            </w:r>
          </w:p>
        </w:tc>
        <w:tc>
          <w:tcPr>
            <w:tcW w:w="2127" w:type="dxa"/>
            <w:gridSpan w:val="6"/>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一般</w:t>
            </w:r>
          </w:p>
        </w:tc>
        <w:tc>
          <w:tcPr>
            <w:tcW w:w="2127" w:type="dxa"/>
            <w:gridSpan w:val="4"/>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较差</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5</w:t>
            </w:r>
            <w:r>
              <w:rPr>
                <w:rFonts w:eastAsia="华文细黑" w:cs="Arial" w:ascii="Arial" w:hAnsi="Arial"/>
                <w:sz w:val="18"/>
                <w:szCs w:val="18"/>
              </w:rPr>
              <w:t>%</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地下层数</w:t>
            </w:r>
          </w:p>
        </w:tc>
        <w:tc>
          <w:tcPr>
            <w:tcW w:w="3189" w:type="dxa"/>
            <w:gridSpan w:val="8"/>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无地下</w:t>
            </w:r>
          </w:p>
        </w:tc>
        <w:tc>
          <w:tcPr>
            <w:tcW w:w="3190" w:type="dxa"/>
            <w:gridSpan w:val="7"/>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地下一层</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5%</w:t>
            </w:r>
          </w:p>
        </w:tc>
      </w:tr>
      <w:tr>
        <w:trPr>
          <w:cantSplit w:val="true"/>
        </w:trPr>
        <w:tc>
          <w:tcPr>
            <w:tcW w:w="1843"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交易类型</w:t>
            </w:r>
          </w:p>
        </w:tc>
        <w:tc>
          <w:tcPr>
            <w:tcW w:w="3189" w:type="dxa"/>
            <w:gridSpan w:val="8"/>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一手房</w:t>
            </w:r>
          </w:p>
        </w:tc>
        <w:tc>
          <w:tcPr>
            <w:tcW w:w="3190" w:type="dxa"/>
            <w:gridSpan w:val="7"/>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二手房</w:t>
            </w:r>
          </w:p>
        </w:tc>
        <w:tc>
          <w:tcPr>
            <w:tcW w:w="108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2%</w:t>
            </w:r>
          </w:p>
        </w:tc>
      </w:tr>
    </w:tbl>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eastAsia="方正黑体简体;微软雅黑" w:cs="Arial" w:ascii="Arial" w:hAnsi="Arial"/>
          <w:bCs/>
          <w:szCs w:val="24"/>
        </w:rPr>
      </w:r>
    </w:p>
    <w:p>
      <w:pPr>
        <w:pStyle w:val="Normal"/>
        <w:spacing w:lineRule="auto" w:line="360"/>
        <w:jc w:val="center"/>
        <w:rPr>
          <w:rFonts w:ascii="Arial" w:hAnsi="Arial" w:eastAsia="方正黑体简体;微软雅黑" w:cs="Arial"/>
          <w:bCs/>
          <w:szCs w:val="24"/>
        </w:rPr>
      </w:pPr>
      <w:r>
        <w:rPr>
          <w:rFonts w:ascii="Arial" w:hAnsi="Arial" w:cs="Arial" w:eastAsia="方正黑体简体;微软雅黑"/>
          <w:bCs/>
          <w:szCs w:val="24"/>
        </w:rPr>
        <w:t>表</w:t>
      </w:r>
      <w:r>
        <w:rPr>
          <w:rFonts w:eastAsia="方正黑体简体;微软雅黑" w:cs="Arial" w:ascii="Arial" w:hAnsi="Arial"/>
          <w:bCs/>
          <w:szCs w:val="24"/>
        </w:rPr>
        <w:t>2</w:t>
      </w:r>
      <w:r>
        <w:rPr>
          <w:rFonts w:ascii="Arial" w:hAnsi="Arial" w:cs="Arial" w:eastAsia="方正黑体简体;微软雅黑"/>
          <w:bCs/>
          <w:szCs w:val="24"/>
        </w:rPr>
        <w:t>：比较因素条件指数表</w:t>
      </w:r>
    </w:p>
    <w:tbl>
      <w:tblPr>
        <w:tblW w:w="9304" w:type="dxa"/>
        <w:jc w:val="left"/>
        <w:tblInd w:w="34" w:type="dxa"/>
        <w:tblCellMar>
          <w:top w:w="57" w:type="dxa"/>
          <w:left w:w="57" w:type="dxa"/>
          <w:bottom w:w="57" w:type="dxa"/>
          <w:right w:w="57" w:type="dxa"/>
        </w:tblCellMar>
      </w:tblPr>
      <w:tblGrid>
        <w:gridCol w:w="957"/>
        <w:gridCol w:w="1954"/>
        <w:gridCol w:w="1597"/>
        <w:gridCol w:w="1597"/>
        <w:gridCol w:w="1597"/>
        <w:gridCol w:w="1602"/>
      </w:tblGrid>
      <w:tr>
        <w:trPr>
          <w:cantSplit w:val="true"/>
        </w:trPr>
        <w:tc>
          <w:tcPr>
            <w:tcW w:w="2911"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比较因素</w:t>
            </w:r>
          </w:p>
        </w:tc>
        <w:tc>
          <w:tcPr>
            <w:tcW w:w="1597"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估价对象</w:t>
            </w:r>
            <w:r>
              <w:rPr>
                <w:rFonts w:eastAsia="华文细黑" w:cs="Arial" w:ascii="Arial" w:hAnsi="Arial"/>
                <w:sz w:val="18"/>
                <w:szCs w:val="18"/>
              </w:rPr>
              <w:t>1</w:t>
            </w:r>
          </w:p>
        </w:tc>
        <w:tc>
          <w:tcPr>
            <w:tcW w:w="1597"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pPr>
            <w:r>
              <w:rPr>
                <w:rFonts w:ascii="Arial" w:hAnsi="Arial" w:cs="Arial" w:eastAsia="华文细黑"/>
                <w:sz w:val="18"/>
                <w:szCs w:val="18"/>
              </w:rPr>
              <w:t>案例：</w:t>
            </w:r>
            <w:r>
              <w:rPr>
                <w:rFonts w:eastAsia="华文细黑" w:cs="Arial" w:ascii="Arial" w:hAnsi="Arial"/>
                <w:sz w:val="18"/>
                <w:szCs w:val="18"/>
              </w:rPr>
              <w:t>A</w:t>
            </w:r>
          </w:p>
        </w:tc>
        <w:tc>
          <w:tcPr>
            <w:tcW w:w="1597"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pPr>
            <w:r>
              <w:rPr>
                <w:rFonts w:ascii="Arial" w:hAnsi="Arial" w:cs="Arial" w:eastAsia="华文细黑"/>
                <w:sz w:val="18"/>
                <w:szCs w:val="18"/>
              </w:rPr>
              <w:t>案例：</w:t>
            </w:r>
            <w:r>
              <w:rPr>
                <w:rFonts w:eastAsia="华文细黑" w:cs="Arial" w:ascii="Arial" w:hAnsi="Arial"/>
                <w:sz w:val="18"/>
                <w:szCs w:val="18"/>
              </w:rPr>
              <w:t>B</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auto" w:line="240"/>
              <w:rPr/>
            </w:pPr>
            <w:r>
              <w:rPr>
                <w:rFonts w:ascii="Arial" w:hAnsi="Arial" w:cs="Arial" w:eastAsia="华文细黑"/>
                <w:sz w:val="18"/>
                <w:szCs w:val="18"/>
              </w:rPr>
              <w:t>案例：</w:t>
            </w:r>
            <w:r>
              <w:rPr>
                <w:rFonts w:eastAsia="华文细黑" w:cs="Arial" w:ascii="Arial" w:hAnsi="Arial"/>
                <w:sz w:val="18"/>
                <w:szCs w:val="18"/>
              </w:rPr>
              <w:t>C</w:t>
            </w:r>
          </w:p>
        </w:tc>
      </w:tr>
      <w:tr>
        <w:trPr>
          <w:cantSplit w:val="true"/>
        </w:trPr>
        <w:tc>
          <w:tcPr>
            <w:tcW w:w="2911"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交易时间</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2911"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交易情况</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w:t>
            </w:r>
            <w:r>
              <w:rPr>
                <w:rFonts w:eastAsia="华文细黑" w:cs="Arial" w:ascii="Arial" w:hAnsi="Arial"/>
                <w:sz w:val="18"/>
                <w:szCs w:val="18"/>
              </w:rPr>
              <w:t>5</w:t>
            </w:r>
          </w:p>
        </w:tc>
      </w:tr>
      <w:tr>
        <w:trPr>
          <w:cantSplit w:val="true"/>
        </w:trPr>
        <w:tc>
          <w:tcPr>
            <w:tcW w:w="957"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权益状况</w:t>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用途</w:t>
            </w:r>
          </w:p>
        </w:tc>
        <w:tc>
          <w:tcPr>
            <w:tcW w:w="1597" w:type="dxa"/>
            <w:tcBorders>
              <w:top w:val="single" w:sz="2" w:space="0" w:color="404040"/>
              <w:left w:val="single" w:sz="4" w:space="0" w:color="00000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土地年限</w:t>
            </w:r>
          </w:p>
        </w:tc>
        <w:tc>
          <w:tcPr>
            <w:tcW w:w="1597" w:type="dxa"/>
            <w:tcBorders>
              <w:top w:val="single" w:sz="2" w:space="0" w:color="404040"/>
              <w:left w:val="single" w:sz="4" w:space="0" w:color="00000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105</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105</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区位状况</w:t>
            </w:r>
          </w:p>
        </w:tc>
        <w:tc>
          <w:tcPr>
            <w:tcW w:w="1954" w:type="dxa"/>
            <w:tcBorders>
              <w:top w:val="single" w:sz="2" w:space="0" w:color="404040"/>
              <w:left w:val="single" w:sz="2" w:space="0" w:color="404040"/>
              <w:bottom w:val="single" w:sz="2" w:space="0" w:color="404040"/>
            </w:tcBorders>
            <w:shd w:fill="auto" w:val="clea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居住社区成熟度</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交通便捷度</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98</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公共配套设施</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98</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基础设施水平</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自然及人文环境</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98</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临海距离</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实物状况</w:t>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建筑类型</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建筑结构</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pPr>
            <w:r>
              <w:rPr>
                <w:rFonts w:eastAsia="华文细黑" w:cs="Arial" w:ascii="Arial" w:hAnsi="Arial"/>
                <w:sz w:val="18"/>
                <w:szCs w:val="18"/>
              </w:rPr>
              <w:t>10</w:t>
            </w:r>
            <w:r>
              <w:rPr>
                <w:rFonts w:eastAsia="华文细黑" w:cs="Arial" w:ascii="Arial" w:hAnsi="Arial"/>
                <w:sz w:val="18"/>
                <w:szCs w:val="18"/>
              </w:rPr>
              <w:t>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成新度</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102</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102</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物业管理</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市政基础设施</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pPr>
            <w:r>
              <w:rPr>
                <w:rFonts w:ascii="Arial" w:hAnsi="Arial" w:cs="Arial" w:eastAsia="华文细黑"/>
                <w:sz w:val="18"/>
                <w:szCs w:val="18"/>
              </w:rPr>
              <w:t>单套建筑面积（㎡）</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99</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101</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内部装修</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103</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内部装修维护情况</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110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110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110</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地下层数</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105</w:t>
            </w:r>
          </w:p>
        </w:tc>
      </w:tr>
      <w:tr>
        <w:trPr>
          <w:cantSplit w:val="true"/>
        </w:trPr>
        <w:tc>
          <w:tcPr>
            <w:tcW w:w="957"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auto" w:line="240"/>
              <w:rPr>
                <w:rFonts w:ascii="Arial" w:hAnsi="Arial" w:eastAsia="华文细黑" w:cs="Arial"/>
                <w:sz w:val="18"/>
                <w:szCs w:val="18"/>
              </w:rPr>
            </w:pPr>
            <w:r>
              <w:rPr>
                <w:rFonts w:eastAsia="华文细黑" w:cs="Arial" w:ascii="Arial" w:hAnsi="Arial"/>
                <w:sz w:val="18"/>
                <w:szCs w:val="18"/>
              </w:rPr>
            </w:r>
          </w:p>
        </w:tc>
        <w:tc>
          <w:tcPr>
            <w:tcW w:w="1954"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rPr>
                <w:rFonts w:ascii="Arial" w:hAnsi="Arial" w:eastAsia="华文细黑" w:cs="Arial"/>
                <w:sz w:val="18"/>
                <w:szCs w:val="18"/>
              </w:rPr>
            </w:pPr>
            <w:r>
              <w:rPr>
                <w:rFonts w:ascii="Arial" w:hAnsi="Arial" w:cs="Arial" w:eastAsia="华文细黑"/>
                <w:sz w:val="18"/>
                <w:szCs w:val="18"/>
              </w:rPr>
              <w:t>交易类型</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597" w:type="dxa"/>
            <w:tcBorders>
              <w:top w:val="single" w:sz="2" w:space="0" w:color="404040"/>
              <w:left w:val="single" w:sz="2" w:space="0" w:color="404040"/>
              <w:bottom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100</w:t>
            </w:r>
          </w:p>
        </w:tc>
        <w:tc>
          <w:tcPr>
            <w:tcW w:w="160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auto" w:line="240"/>
              <w:rPr>
                <w:rFonts w:ascii="Arial" w:hAnsi="Arial" w:eastAsia="华文细黑" w:cs="Arial"/>
                <w:sz w:val="18"/>
                <w:szCs w:val="18"/>
              </w:rPr>
            </w:pPr>
            <w:r>
              <w:rPr>
                <w:rFonts w:eastAsia="华文细黑" w:cs="Arial" w:ascii="Arial" w:hAnsi="Arial"/>
                <w:sz w:val="18"/>
                <w:szCs w:val="18"/>
              </w:rPr>
              <w:t>98</w:t>
            </w:r>
          </w:p>
        </w:tc>
      </w:tr>
    </w:tbl>
    <w:p>
      <w:pPr>
        <w:pStyle w:val="Normal"/>
        <w:spacing w:lineRule="auto" w:line="240"/>
        <w:ind w:firstLine="420"/>
        <w:rPr>
          <w:rFonts w:ascii="Arial" w:hAnsi="Arial" w:cs="Arial"/>
          <w:sz w:val="21"/>
          <w:szCs w:val="21"/>
        </w:rPr>
      </w:pPr>
      <w:r>
        <w:rPr>
          <w:rFonts w:cs="Arial" w:ascii="Arial" w:hAnsi="Arial"/>
          <w:sz w:val="21"/>
          <w:szCs w:val="21"/>
        </w:rPr>
      </w:r>
    </w:p>
    <w:p>
      <w:pPr>
        <w:pStyle w:val="Normal"/>
        <w:spacing w:lineRule="auto" w:line="480"/>
        <w:ind w:firstLine="420"/>
        <w:rPr>
          <w:rFonts w:ascii="Arial" w:hAnsi="Arial" w:cs="Arial"/>
          <w:sz w:val="21"/>
          <w:szCs w:val="21"/>
        </w:rPr>
      </w:pPr>
      <w:r>
        <w:rPr>
          <w:rFonts w:cs="Arial" w:ascii="Arial" w:hAnsi="Arial"/>
          <w:sz w:val="21"/>
          <w:szCs w:val="21"/>
        </w:rPr>
        <w:t>3.</w:t>
      </w:r>
      <w:r>
        <w:rPr>
          <w:rFonts w:ascii="Arial" w:hAnsi="Arial" w:cs="Arial"/>
          <w:sz w:val="21"/>
          <w:szCs w:val="21"/>
        </w:rPr>
        <w:t>因素修正及调整</w:t>
      </w:r>
    </w:p>
    <w:p>
      <w:pPr>
        <w:pStyle w:val="Normal"/>
        <w:spacing w:lineRule="auto" w:line="480"/>
        <w:ind w:firstLine="420"/>
        <w:rPr>
          <w:rFonts w:ascii="Arial" w:hAnsi="Arial" w:cs="Arial"/>
          <w:sz w:val="21"/>
          <w:szCs w:val="21"/>
        </w:rPr>
      </w:pPr>
      <w:r>
        <w:rPr>
          <w:rFonts w:ascii="Arial" w:hAnsi="Arial" w:cs="Arial"/>
          <w:sz w:val="21"/>
          <w:szCs w:val="21"/>
        </w:rPr>
        <w:t>在各因素条件指数表的基础上，进行交易情况修正、市场状况及房地产状况调整，即估价对象的因素条件指数与比较实例的因素条件进行比较，得到各因素修正及调整系数，计算得出估价对象楼面单价</w:t>
      </w:r>
      <w:r>
        <w:rPr>
          <w:rFonts w:cs="Arial" w:ascii="Arial" w:hAnsi="Arial"/>
          <w:sz w:val="21"/>
          <w:szCs w:val="21"/>
        </w:rPr>
        <w:t>(</w:t>
      </w:r>
      <w:r>
        <w:rPr>
          <w:rFonts w:ascii="Arial" w:hAnsi="Arial" w:cs="Arial"/>
          <w:sz w:val="21"/>
          <w:szCs w:val="21"/>
        </w:rPr>
        <w:t>见表</w:t>
      </w:r>
      <w:r>
        <w:rPr>
          <w:rFonts w:cs="Arial" w:ascii="Arial" w:hAnsi="Arial"/>
          <w:sz w:val="21"/>
          <w:szCs w:val="21"/>
        </w:rPr>
        <w:t>3)</w:t>
      </w:r>
      <w:r>
        <w:rPr>
          <w:rFonts w:ascii="Arial" w:hAnsi="Arial" w:cs="Arial"/>
          <w:sz w:val="21"/>
          <w:szCs w:val="21"/>
        </w:rPr>
        <w:t>：</w:t>
      </w:r>
    </w:p>
    <w:p>
      <w:pPr>
        <w:pStyle w:val="Normal"/>
        <w:jc w:val="center"/>
        <w:rPr>
          <w:rFonts w:ascii="Arial" w:hAnsi="Arial" w:eastAsia="方正黑体简体;微软雅黑" w:cs="Arial"/>
          <w:bCs/>
          <w:szCs w:val="24"/>
        </w:rPr>
      </w:pPr>
      <w:r>
        <w:rPr>
          <w:rFonts w:ascii="Arial" w:hAnsi="Arial" w:cs="Arial" w:eastAsia="方正黑体简体;微软雅黑"/>
          <w:bCs/>
          <w:szCs w:val="24"/>
        </w:rPr>
        <w:t>表</w:t>
      </w:r>
      <w:r>
        <w:rPr>
          <w:rFonts w:eastAsia="方正黑体简体;微软雅黑" w:cs="Arial" w:ascii="Arial" w:hAnsi="Arial"/>
          <w:bCs/>
          <w:szCs w:val="24"/>
        </w:rPr>
        <w:t>3</w:t>
      </w:r>
      <w:r>
        <w:rPr>
          <w:rFonts w:ascii="Arial" w:hAnsi="Arial" w:cs="Arial" w:eastAsia="方正黑体简体;微软雅黑"/>
          <w:bCs/>
          <w:szCs w:val="24"/>
        </w:rPr>
        <w:t>：因素修正及调整系数表</w:t>
      </w:r>
    </w:p>
    <w:tbl>
      <w:tblPr>
        <w:tblW w:w="9262" w:type="dxa"/>
        <w:jc w:val="center"/>
        <w:tblInd w:w="0" w:type="dxa"/>
        <w:tblCellMar>
          <w:top w:w="57" w:type="dxa"/>
          <w:left w:w="28" w:type="dxa"/>
          <w:bottom w:w="57" w:type="dxa"/>
          <w:right w:w="57" w:type="dxa"/>
        </w:tblCellMar>
      </w:tblPr>
      <w:tblGrid>
        <w:gridCol w:w="1255"/>
        <w:gridCol w:w="2251"/>
        <w:gridCol w:w="522"/>
        <w:gridCol w:w="1449"/>
        <w:gridCol w:w="456"/>
        <w:gridCol w:w="1447"/>
        <w:gridCol w:w="537"/>
        <w:gridCol w:w="1345"/>
      </w:tblGrid>
      <w:tr>
        <w:trPr/>
        <w:tc>
          <w:tcPr>
            <w:tcW w:w="3506"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比较因素</w:t>
            </w:r>
          </w:p>
        </w:tc>
        <w:tc>
          <w:tcPr>
            <w:tcW w:w="1971"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pPr>
            <w:r>
              <w:rPr>
                <w:rFonts w:ascii="Arial" w:hAnsi="Arial" w:cs="Arial" w:eastAsia="华文细黑"/>
                <w:sz w:val="18"/>
                <w:szCs w:val="18"/>
              </w:rPr>
              <w:t>案例：</w:t>
            </w:r>
            <w:r>
              <w:rPr>
                <w:rFonts w:eastAsia="华文细黑" w:cs="Arial" w:ascii="Arial" w:hAnsi="Arial"/>
                <w:sz w:val="18"/>
                <w:szCs w:val="18"/>
              </w:rPr>
              <w:t>A</w:t>
            </w:r>
          </w:p>
        </w:tc>
        <w:tc>
          <w:tcPr>
            <w:tcW w:w="1903"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pPr>
            <w:r>
              <w:rPr>
                <w:rFonts w:ascii="Arial" w:hAnsi="Arial" w:cs="Arial" w:eastAsia="华文细黑"/>
                <w:sz w:val="18"/>
                <w:szCs w:val="18"/>
              </w:rPr>
              <w:t>案例：</w:t>
            </w:r>
            <w:r>
              <w:rPr>
                <w:rFonts w:eastAsia="华文细黑" w:cs="Arial" w:ascii="Arial" w:hAnsi="Arial"/>
                <w:sz w:val="18"/>
                <w:szCs w:val="18"/>
              </w:rPr>
              <w:t>B</w:t>
            </w:r>
          </w:p>
        </w:tc>
        <w:tc>
          <w:tcPr>
            <w:tcW w:w="1882" w:type="dxa"/>
            <w:gridSpan w:val="2"/>
            <w:tcBorders>
              <w:top w:val="single" w:sz="2" w:space="0" w:color="404040"/>
              <w:left w:val="single" w:sz="2" w:space="0" w:color="404040"/>
              <w:bottom w:val="single" w:sz="2" w:space="0" w:color="404040"/>
              <w:right w:val="single" w:sz="2" w:space="0" w:color="404040"/>
            </w:tcBorders>
            <w:shd w:fill="auto" w:val="clear"/>
            <w:vAlign w:val="center"/>
          </w:tcPr>
          <w:p>
            <w:pPr>
              <w:pStyle w:val="Normal"/>
              <w:widowControl/>
              <w:spacing w:lineRule="exact" w:line="240"/>
              <w:jc w:val="both"/>
              <w:rPr/>
            </w:pPr>
            <w:r>
              <w:rPr>
                <w:rFonts w:ascii="Arial" w:hAnsi="Arial" w:cs="Arial" w:eastAsia="华文细黑"/>
                <w:sz w:val="18"/>
                <w:szCs w:val="18"/>
              </w:rPr>
              <w:t>案例：</w:t>
            </w:r>
            <w:r>
              <w:rPr>
                <w:rFonts w:eastAsia="华文细黑" w:cs="Arial" w:ascii="Arial" w:hAnsi="Arial"/>
                <w:sz w:val="18"/>
                <w:szCs w:val="18"/>
              </w:rPr>
              <w:t>C</w:t>
            </w:r>
          </w:p>
        </w:tc>
      </w:tr>
      <w:tr>
        <w:trPr/>
        <w:tc>
          <w:tcPr>
            <w:tcW w:w="3506"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交易时间</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3506"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交易情况</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105</w:t>
            </w:r>
          </w:p>
        </w:tc>
      </w:tr>
      <w:tr>
        <w:trPr/>
        <w:tc>
          <w:tcPr>
            <w:tcW w:w="1255"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权益状况</w:t>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用途</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土地年限</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105</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105</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区位状况</w:t>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居住社区成熟度</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交通便捷度</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98</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公共配套设施</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98</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基础设施水平</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自然及人文环境</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98</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ascii="Arial" w:hAnsi="Arial" w:cs="Arial" w:eastAsia="华文细黑"/>
                <w:sz w:val="18"/>
                <w:szCs w:val="18"/>
              </w:rPr>
              <w:t>临海距离</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restart"/>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实物状况</w:t>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建筑类型</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建筑结构</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w:t>
            </w:r>
            <w:r>
              <w:rPr>
                <w:rFonts w:eastAsia="华文细黑" w:cs="Arial" w:ascii="Arial" w:hAnsi="Arial"/>
                <w:sz w:val="18"/>
                <w:szCs w:val="18"/>
              </w:rPr>
              <w:t>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成新度</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102</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102</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物业管理</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市政基础设施</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pPr>
            <w:r>
              <w:rPr>
                <w:rFonts w:ascii="Arial" w:hAnsi="Arial" w:cs="Arial" w:eastAsia="华文细黑"/>
                <w:sz w:val="18"/>
                <w:szCs w:val="18"/>
              </w:rPr>
              <w:t>单套建筑面积（㎡）</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99</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101</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内部装修</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103</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内部装修维护情况</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110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110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110</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地下层数</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w:t>
            </w:r>
            <w:r>
              <w:rPr>
                <w:rFonts w:eastAsia="华文细黑" w:cs="Arial" w:ascii="Arial" w:hAnsi="Arial"/>
                <w:sz w:val="18"/>
                <w:szCs w:val="18"/>
              </w:rPr>
              <w:t>5</w:t>
            </w:r>
          </w:p>
        </w:tc>
      </w:tr>
      <w:tr>
        <w:trPr/>
        <w:tc>
          <w:tcPr>
            <w:tcW w:w="1255" w:type="dxa"/>
            <w:vMerge w:val="continue"/>
            <w:tcBorders>
              <w:top w:val="single" w:sz="2" w:space="0" w:color="404040"/>
              <w:left w:val="single" w:sz="2" w:space="0" w:color="404040"/>
              <w:bottom w:val="single" w:sz="2" w:space="0" w:color="404040"/>
            </w:tcBorders>
            <w:shd w:fill="auto" w:val="clear"/>
            <w:vAlign w:val="center"/>
          </w:tcPr>
          <w:p>
            <w:pPr>
              <w:pStyle w:val="Normal"/>
              <w:widowControl/>
              <w:snapToGrid w:val="false"/>
              <w:spacing w:lineRule="exact" w:line="240"/>
              <w:jc w:val="both"/>
              <w:rPr>
                <w:rFonts w:ascii="Arial" w:hAnsi="Arial" w:eastAsia="华文细黑" w:cs="Arial"/>
                <w:sz w:val="18"/>
                <w:szCs w:val="18"/>
              </w:rPr>
            </w:pPr>
            <w:r>
              <w:rPr>
                <w:rFonts w:eastAsia="华文细黑" w:cs="Arial" w:ascii="Arial" w:hAnsi="Arial"/>
                <w:sz w:val="18"/>
                <w:szCs w:val="18"/>
              </w:rPr>
            </w:r>
          </w:p>
        </w:tc>
        <w:tc>
          <w:tcPr>
            <w:tcW w:w="2251" w:type="dxa"/>
            <w:tcBorders>
              <w:top w:val="single" w:sz="2" w:space="0" w:color="404040"/>
              <w:left w:val="single" w:sz="2" w:space="0" w:color="404040"/>
              <w:bottom w:val="single" w:sz="2" w:space="0" w:color="404040"/>
            </w:tcBorders>
            <w:shd w:fill="auto" w:val="clear"/>
            <w:vAlign w:val="center"/>
          </w:tcPr>
          <w:p>
            <w:pPr>
              <w:pStyle w:val="Normal"/>
              <w:widowControl/>
              <w:spacing w:lineRule="auto" w:line="240"/>
              <w:jc w:val="both"/>
              <w:rPr>
                <w:rFonts w:ascii="Arial" w:hAnsi="Arial" w:eastAsia="华文细黑" w:cs="Arial"/>
                <w:sz w:val="18"/>
                <w:szCs w:val="18"/>
              </w:rPr>
            </w:pPr>
            <w:r>
              <w:rPr>
                <w:rFonts w:ascii="Arial" w:hAnsi="Arial" w:cs="Arial" w:eastAsia="华文细黑"/>
                <w:sz w:val="18"/>
                <w:szCs w:val="18"/>
              </w:rPr>
              <w:t>交易类型</w:t>
            </w:r>
          </w:p>
        </w:tc>
        <w:tc>
          <w:tcPr>
            <w:tcW w:w="522"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9"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456"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447" w:type="dxa"/>
            <w:tcBorders>
              <w:top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537" w:type="dxa"/>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100/</w:t>
            </w:r>
          </w:p>
        </w:tc>
        <w:tc>
          <w:tcPr>
            <w:tcW w:w="1345" w:type="dxa"/>
            <w:tcBorders>
              <w:top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98</w:t>
            </w:r>
          </w:p>
        </w:tc>
      </w:tr>
      <w:tr>
        <w:trPr/>
        <w:tc>
          <w:tcPr>
            <w:tcW w:w="3506"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成交单价（元</w:t>
            </w:r>
            <w:r>
              <w:rPr>
                <w:rFonts w:eastAsia="华文细黑" w:cs="Arial" w:ascii="Arial" w:hAnsi="Arial"/>
                <w:sz w:val="18"/>
                <w:szCs w:val="18"/>
              </w:rPr>
              <w:t>/</w:t>
            </w:r>
            <w:r>
              <w:rPr>
                <w:rFonts w:ascii="Arial" w:hAnsi="Arial" w:cs="Arial" w:eastAsia="华文细黑"/>
                <w:sz w:val="18"/>
                <w:szCs w:val="18"/>
              </w:rPr>
              <w:t>平方米）</w:t>
            </w:r>
          </w:p>
        </w:tc>
        <w:tc>
          <w:tcPr>
            <w:tcW w:w="1971" w:type="dxa"/>
            <w:gridSpan w:val="2"/>
            <w:tcBorders>
              <w:top w:val="single" w:sz="2" w:space="0" w:color="404040"/>
              <w:left w:val="single" w:sz="2" w:space="0" w:color="404040"/>
              <w:bottom w:val="single" w:sz="2" w:space="0" w:color="404040"/>
            </w:tcBorders>
            <w:shd w:fill="auto" w:val="clear"/>
            <w:tcMar>
              <w:top w:w="85" w:type="dxa"/>
              <w:left w:w="85" w:type="dxa"/>
              <w:bottom w:w="85" w:type="dxa"/>
              <w:right w:w="85" w:type="dxa"/>
            </w:tcM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41160</w:t>
            </w:r>
          </w:p>
        </w:tc>
        <w:tc>
          <w:tcPr>
            <w:tcW w:w="1903"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46060</w:t>
            </w:r>
          </w:p>
        </w:tc>
        <w:tc>
          <w:tcPr>
            <w:tcW w:w="1882" w:type="dxa"/>
            <w:gridSpan w:val="2"/>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38900</w:t>
            </w:r>
          </w:p>
        </w:tc>
      </w:tr>
      <w:tr>
        <w:trPr/>
        <w:tc>
          <w:tcPr>
            <w:tcW w:w="3506" w:type="dxa"/>
            <w:gridSpan w:val="2"/>
            <w:tcBorders>
              <w:top w:val="single" w:sz="2" w:space="0" w:color="404040"/>
              <w:left w:val="single" w:sz="2" w:space="0" w:color="404040"/>
              <w:bottom w:val="single" w:sz="2" w:space="0" w:color="404040"/>
            </w:tcBorders>
            <w:shd w:fill="auto" w:val="clear"/>
            <w:vAlign w:val="center"/>
          </w:tcPr>
          <w:p>
            <w:pPr>
              <w:pStyle w:val="Normal"/>
              <w:widowControl/>
              <w:spacing w:lineRule="exact" w:line="240"/>
              <w:jc w:val="both"/>
              <w:rPr>
                <w:rFonts w:ascii="Arial" w:hAnsi="Arial" w:eastAsia="华文细黑" w:cs="Arial"/>
                <w:sz w:val="18"/>
                <w:szCs w:val="18"/>
              </w:rPr>
            </w:pPr>
            <w:r>
              <w:rPr>
                <w:rFonts w:ascii="Arial" w:hAnsi="Arial" w:cs="Arial" w:eastAsia="华文细黑"/>
                <w:sz w:val="18"/>
                <w:szCs w:val="18"/>
              </w:rPr>
              <w:t>比较价值（元</w:t>
            </w:r>
            <w:r>
              <w:rPr>
                <w:rFonts w:eastAsia="华文细黑" w:cs="Arial" w:ascii="Arial" w:hAnsi="Arial"/>
                <w:sz w:val="18"/>
                <w:szCs w:val="18"/>
              </w:rPr>
              <w:t>/</w:t>
            </w:r>
            <w:r>
              <w:rPr>
                <w:rFonts w:ascii="Arial" w:hAnsi="Arial" w:cs="Arial" w:eastAsia="华文细黑"/>
                <w:sz w:val="18"/>
                <w:szCs w:val="18"/>
              </w:rPr>
              <w:t>平方米）</w:t>
            </w:r>
          </w:p>
        </w:tc>
        <w:tc>
          <w:tcPr>
            <w:tcW w:w="1971" w:type="dxa"/>
            <w:gridSpan w:val="2"/>
            <w:tcBorders>
              <w:top w:val="single" w:sz="2" w:space="0" w:color="404040"/>
              <w:left w:val="single" w:sz="2" w:space="0" w:color="404040"/>
              <w:bottom w:val="single" w:sz="2" w:space="0" w:color="404040"/>
            </w:tcBorders>
            <w:shd w:fill="auto" w:val="clear"/>
            <w:tcMar>
              <w:top w:w="85" w:type="dxa"/>
              <w:left w:w="85" w:type="dxa"/>
              <w:bottom w:w="85" w:type="dxa"/>
              <w:right w:w="85" w:type="dxa"/>
            </w:tcM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34938</w:t>
            </w:r>
          </w:p>
        </w:tc>
        <w:tc>
          <w:tcPr>
            <w:tcW w:w="1903" w:type="dxa"/>
            <w:gridSpan w:val="2"/>
            <w:tcBorders>
              <w:top w:val="single" w:sz="2" w:space="0" w:color="404040"/>
              <w:left w:val="single" w:sz="2" w:space="0" w:color="404040"/>
              <w:bottom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39492</w:t>
            </w:r>
          </w:p>
        </w:tc>
        <w:tc>
          <w:tcPr>
            <w:tcW w:w="1882" w:type="dxa"/>
            <w:gridSpan w:val="2"/>
            <w:tcBorders>
              <w:top w:val="single" w:sz="2" w:space="0" w:color="404040"/>
              <w:left w:val="single" w:sz="2" w:space="0" w:color="404040"/>
              <w:bottom w:val="single" w:sz="2" w:space="0" w:color="404040"/>
              <w:right w:val="single" w:sz="2" w:space="0" w:color="404040"/>
            </w:tcBorders>
            <w:shd w:fill="auto" w:val="clear"/>
            <w:vAlign w:val="center"/>
          </w:tcPr>
          <w:p>
            <w:pPr>
              <w:pStyle w:val="Normal"/>
              <w:spacing w:lineRule="exact" w:line="240"/>
              <w:jc w:val="both"/>
              <w:rPr>
                <w:rFonts w:ascii="Arial" w:hAnsi="Arial" w:eastAsia="华文细黑" w:cs="Arial"/>
                <w:sz w:val="18"/>
                <w:szCs w:val="18"/>
              </w:rPr>
            </w:pPr>
            <w:r>
              <w:rPr>
                <w:rFonts w:eastAsia="华文细黑" w:cs="Arial" w:ascii="Arial" w:hAnsi="Arial"/>
                <w:sz w:val="18"/>
                <w:szCs w:val="18"/>
              </w:rPr>
              <w:t>33428</w:t>
            </w:r>
          </w:p>
        </w:tc>
      </w:tr>
    </w:tbl>
    <w:p>
      <w:pPr>
        <w:pStyle w:val="Normal"/>
        <w:spacing w:lineRule="auto" w:line="360"/>
        <w:rPr>
          <w:rFonts w:ascii="Arial" w:hAnsi="Arial" w:eastAsia="华文细黑" w:cs="Arial"/>
          <w:sz w:val="10"/>
          <w:szCs w:val="10"/>
        </w:rPr>
      </w:pPr>
      <w:r>
        <w:rPr>
          <w:rFonts w:eastAsia="华文细黑" w:cs="Arial" w:ascii="Arial" w:hAnsi="Arial"/>
          <w:sz w:val="10"/>
          <w:szCs w:val="10"/>
        </w:rPr>
      </w:r>
    </w:p>
    <w:p>
      <w:pPr>
        <w:pStyle w:val="Normal"/>
        <w:spacing w:lineRule="auto" w:line="480"/>
        <w:ind w:firstLine="420"/>
        <w:rPr>
          <w:rFonts w:ascii="Arial" w:hAnsi="Arial" w:cs="Arial"/>
          <w:sz w:val="21"/>
          <w:szCs w:val="21"/>
        </w:rPr>
      </w:pPr>
      <w:r>
        <w:rPr>
          <w:rFonts w:cs="Arial" w:ascii="Arial" w:hAnsi="Arial"/>
          <w:sz w:val="21"/>
          <w:szCs w:val="21"/>
        </w:rPr>
        <w:t xml:space="preserve">4. </w:t>
      </w:r>
      <w:r>
        <w:rPr>
          <w:rFonts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w:t>
      </w:r>
      <w:r>
        <w:rPr>
          <w:rFonts w:cs="Arial" w:ascii="Arial" w:hAnsi="Arial"/>
          <w:sz w:val="21"/>
          <w:szCs w:val="21"/>
        </w:rPr>
        <w:t>1</w:t>
      </w:r>
      <w:r>
        <w:rPr>
          <w:rFonts w:ascii="Arial" w:hAnsi="Arial" w:cs="Arial"/>
          <w:sz w:val="21"/>
          <w:szCs w:val="21"/>
        </w:rPr>
        <w:t>的最终结果。</w:t>
      </w:r>
    </w:p>
    <w:p>
      <w:pPr>
        <w:pStyle w:val="Normal"/>
        <w:overflowPunct w:val="false"/>
        <w:spacing w:lineRule="auto" w:line="480"/>
        <w:ind w:firstLine="420"/>
        <w:rPr>
          <w:rFonts w:ascii="Arial" w:hAnsi="Arial" w:cs="Arial"/>
          <w:sz w:val="21"/>
          <w:szCs w:val="21"/>
        </w:rPr>
      </w:pPr>
      <w:r>
        <w:rPr>
          <w:rFonts w:ascii="Arial" w:hAnsi="Arial" w:cs="Arial"/>
          <w:sz w:val="21"/>
          <w:szCs w:val="21"/>
        </w:rPr>
        <w:t>楼面单价＝</w:t>
      </w:r>
      <w:r>
        <w:rPr>
          <w:rFonts w:ascii="Arial" w:hAnsi="Arial" w:cs="Arial"/>
          <w:sz w:val="21"/>
          <w:szCs w:val="22"/>
        </w:rPr>
        <w:t>（</w:t>
      </w:r>
      <w:r>
        <w:rPr>
          <w:rFonts w:cs="Arial" w:ascii="Arial" w:hAnsi="Arial"/>
          <w:sz w:val="21"/>
          <w:szCs w:val="22"/>
        </w:rPr>
        <w:t>34938+39492+33428</w:t>
      </w:r>
      <w:r>
        <w:rPr>
          <w:rFonts w:ascii="Arial" w:hAnsi="Arial" w:cs="Arial"/>
          <w:sz w:val="21"/>
          <w:szCs w:val="22"/>
        </w:rPr>
        <w:t>）</w:t>
      </w:r>
      <w:r>
        <w:rPr>
          <w:rFonts w:cs="Arial" w:ascii="Arial" w:hAnsi="Arial"/>
          <w:sz w:val="21"/>
          <w:szCs w:val="22"/>
        </w:rPr>
        <w:t>÷3</w:t>
      </w:r>
      <w:r>
        <w:rPr>
          <w:rFonts w:ascii="Arial" w:hAnsi="Arial" w:cs="Arial"/>
          <w:sz w:val="21"/>
          <w:szCs w:val="22"/>
        </w:rPr>
        <w:t>＝</w:t>
      </w:r>
      <w:r>
        <w:rPr>
          <w:rFonts w:cs="Arial" w:ascii="Arial" w:hAnsi="Arial"/>
          <w:sz w:val="21"/>
          <w:szCs w:val="22"/>
        </w:rPr>
        <w:t>35953</w:t>
      </w:r>
      <w:r>
        <w:rPr>
          <w:rFonts w:ascii="Arial" w:hAnsi="Arial" w:cs="Arial"/>
          <w:sz w:val="21"/>
          <w:szCs w:val="22"/>
        </w:rPr>
        <w:t>（元</w:t>
      </w:r>
      <w:r>
        <w:rPr>
          <w:rFonts w:cs="Arial" w:ascii="Arial" w:hAnsi="Arial"/>
          <w:sz w:val="21"/>
          <w:szCs w:val="22"/>
        </w:rPr>
        <w:t>/</w:t>
      </w:r>
      <w:r>
        <w:rPr>
          <w:rFonts w:ascii="Arial" w:hAnsi="Arial" w:cs="Arial"/>
          <w:sz w:val="21"/>
          <w:szCs w:val="22"/>
        </w:rPr>
        <w:t>平方米）</w:t>
      </w:r>
    </w:p>
    <w:p>
      <w:pPr>
        <w:pStyle w:val="Normal1"/>
        <w:autoSpaceDE w:val="false"/>
        <w:spacing w:lineRule="auto" w:line="480"/>
        <w:ind w:firstLine="420"/>
        <w:jc w:val="both"/>
        <w:textAlignment w:val="bottom"/>
        <w:rPr>
          <w:rFonts w:ascii="Arial" w:hAnsi="Arial" w:cs="Arial"/>
          <w:b/>
          <w:b/>
          <w:sz w:val="21"/>
          <w:szCs w:val="21"/>
        </w:rPr>
      </w:pPr>
      <w:r>
        <w:rPr>
          <w:rFonts w:ascii="Arial" w:hAnsi="Arial" w:cs="Arial"/>
          <w:sz w:val="21"/>
          <w:szCs w:val="21"/>
        </w:rPr>
        <w:t>总价</w:t>
      </w:r>
      <w:r>
        <w:rPr>
          <w:rFonts w:ascii="Arial" w:hAnsi="Arial" w:cs="Arial"/>
          <w:sz w:val="21"/>
          <w:szCs w:val="21"/>
        </w:rPr>
        <w:t>＝</w:t>
      </w:r>
      <w:r>
        <w:rPr>
          <w:rFonts w:cs="Arial" w:ascii="Arial" w:hAnsi="Arial"/>
          <w:sz w:val="21"/>
          <w:szCs w:val="22"/>
        </w:rPr>
        <w:t>35953×</w:t>
      </w:r>
      <w:r>
        <w:rPr>
          <w:rFonts w:cs="Arial" w:ascii="Arial" w:hAnsi="Arial"/>
          <w:sz w:val="21"/>
          <w:szCs w:val="21"/>
        </w:rPr>
        <w:t>15260.82</w:t>
      </w:r>
      <w:r>
        <w:rPr>
          <w:rFonts w:cs="Arial" w:ascii="Arial" w:hAnsi="Arial"/>
          <w:sz w:val="21"/>
          <w:szCs w:val="22"/>
        </w:rPr>
        <w:t>÷10000</w:t>
      </w:r>
      <w:r>
        <w:rPr>
          <w:rFonts w:ascii="Arial" w:hAnsi="Arial" w:cs="Arial"/>
          <w:sz w:val="21"/>
          <w:szCs w:val="22"/>
        </w:rPr>
        <w:t>＝</w:t>
      </w:r>
      <w:r>
        <w:rPr>
          <w:rFonts w:cs="Arial" w:ascii="Arial" w:hAnsi="Arial"/>
          <w:sz w:val="21"/>
          <w:szCs w:val="22"/>
        </w:rPr>
        <w:t>54867</w:t>
      </w:r>
      <w:r>
        <w:rPr>
          <w:rFonts w:ascii="Arial" w:hAnsi="Arial" w:cs="Arial"/>
          <w:sz w:val="21"/>
          <w:szCs w:val="22"/>
        </w:rPr>
        <w:t>（</w:t>
      </w:r>
      <w:r>
        <w:rPr>
          <w:rFonts w:ascii="Arial" w:hAnsi="Arial" w:cs="Arial"/>
          <w:sz w:val="21"/>
          <w:szCs w:val="21"/>
        </w:rPr>
        <w:t>万元）</w:t>
      </w:r>
    </w:p>
    <w:p>
      <w:pPr>
        <w:pStyle w:val="Normal1"/>
        <w:autoSpaceDE w:val="false"/>
        <w:spacing w:lineRule="auto" w:line="480"/>
        <w:jc w:val="both"/>
        <w:textAlignment w:val="bottom"/>
        <w:rPr>
          <w:rFonts w:ascii="Arial" w:hAnsi="Arial" w:cs="Arial"/>
          <w:b/>
          <w:b/>
          <w:sz w:val="21"/>
          <w:szCs w:val="21"/>
        </w:rPr>
      </w:pPr>
      <w:r>
        <w:rPr>
          <w:rFonts w:ascii="Arial" w:hAnsi="Arial" w:cs="Arial"/>
          <w:b/>
          <w:sz w:val="21"/>
          <w:szCs w:val="21"/>
        </w:rPr>
        <w:t>（二）</w:t>
      </w:r>
      <w:r>
        <w:rPr>
          <w:rFonts w:ascii="Arial" w:hAnsi="Arial" w:cs="Arial"/>
          <w:b/>
          <w:sz w:val="21"/>
          <w:szCs w:val="21"/>
        </w:rPr>
        <w:t>收益法</w:t>
      </w:r>
    </w:p>
    <w:p>
      <w:pPr>
        <w:pStyle w:val="Normal"/>
        <w:overflowPunct w:val="false"/>
        <w:autoSpaceDE w:val="false"/>
        <w:spacing w:lineRule="auto" w:line="480"/>
        <w:ind w:firstLine="420"/>
        <w:jc w:val="both"/>
        <w:textAlignment w:val="auto"/>
        <w:rPr/>
      </w:pPr>
      <w:r>
        <w:rPr>
          <w:rFonts w:cs="Arial" w:ascii="Arial" w:hAnsi="Arial"/>
          <w:sz w:val="21"/>
        </w:rPr>
        <w:t>1.</w:t>
      </w:r>
      <w:r>
        <w:rPr>
          <w:rFonts w:ascii="Arial" w:hAnsi="Arial" w:cs="Arial"/>
          <w:sz w:val="21"/>
        </w:rPr>
        <w:t>求取</w:t>
      </w:r>
      <w:r>
        <w:rPr>
          <w:rFonts w:ascii="Arial" w:hAnsi="Arial" w:cs="Arial"/>
          <w:sz w:val="21"/>
          <w:szCs w:val="21"/>
        </w:rPr>
        <w:t>产权式酒店（别墅）</w:t>
      </w:r>
      <w:r>
        <w:rPr>
          <w:rFonts w:ascii="Arial" w:hAnsi="Arial" w:cs="Arial"/>
          <w:sz w:val="21"/>
        </w:rPr>
        <w:t>用房房地产未来第一年净收益</w:t>
      </w:r>
    </w:p>
    <w:p>
      <w:pPr>
        <w:pStyle w:val="Normal"/>
        <w:overflowPunct w:val="false"/>
        <w:autoSpaceDE w:val="false"/>
        <w:spacing w:lineRule="auto" w:line="480"/>
        <w:ind w:firstLine="420"/>
        <w:jc w:val="both"/>
        <w:textAlignment w:val="auto"/>
        <w:rPr>
          <w:rFonts w:ascii="Arial" w:hAnsi="Arial" w:cs="Arial"/>
          <w:sz w:val="21"/>
        </w:rPr>
      </w:pPr>
      <w:r>
        <w:rPr>
          <w:rFonts w:ascii="Arial" w:hAnsi="Arial" w:cs="Arial"/>
          <w:sz w:val="21"/>
        </w:rPr>
        <w:t>（</w:t>
      </w:r>
      <w:r>
        <w:rPr>
          <w:rFonts w:cs="Arial" w:ascii="Arial" w:hAnsi="Arial"/>
          <w:sz w:val="21"/>
        </w:rPr>
        <w:t>1</w:t>
      </w:r>
      <w:r>
        <w:rPr>
          <w:rFonts w:ascii="Arial" w:hAnsi="Arial" w:cs="Arial"/>
          <w:sz w:val="21"/>
        </w:rPr>
        <w:t>）未来第一年总收益</w:t>
      </w:r>
    </w:p>
    <w:p>
      <w:pPr>
        <w:pStyle w:val="Normal"/>
        <w:overflowPunct w:val="false"/>
        <w:autoSpaceDE w:val="false"/>
        <w:spacing w:lineRule="auto" w:line="480"/>
        <w:ind w:firstLine="420"/>
        <w:jc w:val="both"/>
        <w:textAlignment w:val="auto"/>
        <w:rPr>
          <w:rFonts w:ascii="Arial" w:hAnsi="Arial" w:cs="Arial"/>
          <w:sz w:val="21"/>
        </w:rPr>
      </w:pPr>
      <w:r>
        <w:rPr>
          <w:rFonts w:cs="Arial" w:ascii="Arial" w:hAnsi="Arial"/>
          <w:sz w:val="21"/>
        </w:rPr>
        <w:t>1</w:t>
      </w:r>
      <w:r>
        <w:rPr>
          <w:rFonts w:ascii="Arial" w:hAnsi="Arial" w:cs="Arial"/>
          <w:sz w:val="21"/>
        </w:rPr>
        <w:t>）租金收入</w:t>
      </w:r>
    </w:p>
    <w:p>
      <w:pPr>
        <w:pStyle w:val="Normal"/>
        <w:overflowPunct w:val="false"/>
        <w:autoSpaceDE w:val="false"/>
        <w:snapToGrid w:val="false"/>
        <w:spacing w:lineRule="auto" w:line="480"/>
        <w:ind w:firstLine="420"/>
        <w:jc w:val="both"/>
        <w:rPr>
          <w:rFonts w:ascii="Arial" w:hAnsi="Arial" w:cs="Arial"/>
          <w:sz w:val="21"/>
        </w:rPr>
      </w:pPr>
      <w:r>
        <w:rPr>
          <w:rFonts w:ascii="Arial" w:hAnsi="Arial" w:cs="Arial"/>
          <w:sz w:val="21"/>
        </w:rPr>
        <w:t>通过对周边</w:t>
      </w:r>
      <w:r>
        <w:rPr>
          <w:rFonts w:ascii="Arial" w:hAnsi="Arial" w:cs="Arial"/>
          <w:sz w:val="21"/>
          <w:szCs w:val="21"/>
        </w:rPr>
        <w:t>别墅</w:t>
      </w:r>
      <w:r>
        <w:rPr>
          <w:rFonts w:ascii="Arial" w:hAnsi="Arial" w:cs="Arial"/>
          <w:sz w:val="21"/>
        </w:rPr>
        <w:t>用房租赁市场的调查，租金区间在</w:t>
      </w:r>
      <w:r>
        <w:rPr>
          <w:rFonts w:cs="Arial" w:ascii="Arial" w:hAnsi="Arial"/>
          <w:bCs/>
          <w:sz w:val="21"/>
          <w:szCs w:val="28"/>
        </w:rPr>
        <w:t>2-4</w:t>
      </w:r>
      <w:r>
        <w:rPr>
          <w:rFonts w:ascii="Arial" w:hAnsi="Arial" w:cs="Arial"/>
          <w:bCs/>
          <w:sz w:val="21"/>
          <w:szCs w:val="28"/>
        </w:rPr>
        <w:t>元</w:t>
      </w:r>
      <w:r>
        <w:rPr>
          <w:rFonts w:cs="Arial" w:ascii="Arial" w:hAnsi="Arial"/>
          <w:bCs/>
          <w:sz w:val="21"/>
          <w:szCs w:val="28"/>
        </w:rPr>
        <w:t>/</w:t>
      </w:r>
      <w:r>
        <w:rPr>
          <w:rFonts w:ascii="Arial" w:hAnsi="Arial" w:cs="Arial"/>
          <w:bCs/>
          <w:sz w:val="21"/>
          <w:szCs w:val="28"/>
        </w:rPr>
        <w:t>平方米</w:t>
      </w:r>
      <w:r>
        <w:rPr>
          <w:rFonts w:cs="Arial" w:ascii="Arial" w:hAnsi="Arial"/>
          <w:bCs/>
          <w:sz w:val="21"/>
          <w:szCs w:val="28"/>
        </w:rPr>
        <w:t>·</w:t>
      </w:r>
      <w:r>
        <w:rPr>
          <w:rFonts w:ascii="Arial" w:hAnsi="Arial" w:cs="Arial"/>
          <w:bCs/>
          <w:sz w:val="21"/>
          <w:szCs w:val="28"/>
        </w:rPr>
        <w:t>天</w:t>
      </w:r>
      <w:r>
        <w:rPr>
          <w:rFonts w:ascii="Arial" w:hAnsi="Arial" w:cs="Arial"/>
          <w:sz w:val="21"/>
        </w:rPr>
        <w:t>。本次评估结合估价对象自身情况，确定其租金水平平均为</w:t>
      </w:r>
      <w:r>
        <w:rPr>
          <w:rFonts w:cs="Arial" w:ascii="Arial" w:hAnsi="Arial"/>
          <w:sz w:val="21"/>
        </w:rPr>
        <w:t>3</w:t>
      </w:r>
      <w:r>
        <w:rPr>
          <w:rFonts w:ascii="Arial" w:hAnsi="Arial" w:cs="Arial"/>
          <w:sz w:val="21"/>
        </w:rPr>
        <w:t>元</w:t>
      </w:r>
      <w:r>
        <w:rPr>
          <w:rFonts w:cs="Arial" w:ascii="Arial" w:hAnsi="Arial"/>
          <w:sz w:val="21"/>
        </w:rPr>
        <w:t>/</w:t>
      </w:r>
      <w:r>
        <w:rPr>
          <w:rFonts w:ascii="Arial" w:hAnsi="Arial" w:cs="Arial"/>
          <w:sz w:val="21"/>
        </w:rPr>
        <w:t>天</w:t>
      </w:r>
      <w:r>
        <w:rPr>
          <w:rFonts w:cs="Arial" w:ascii="Arial" w:hAnsi="Arial"/>
          <w:sz w:val="21"/>
        </w:rPr>
        <w:t>·</w:t>
      </w:r>
      <w:r>
        <w:rPr>
          <w:rFonts w:ascii="Arial" w:hAnsi="Arial" w:cs="Arial"/>
          <w:sz w:val="21"/>
        </w:rPr>
        <w:t>平方米；空置率取</w:t>
      </w:r>
      <w:r>
        <w:rPr>
          <w:rFonts w:cs="Arial" w:ascii="Arial" w:hAnsi="Arial"/>
          <w:sz w:val="21"/>
        </w:rPr>
        <w:t>15</w:t>
      </w:r>
      <w:r>
        <w:rPr>
          <w:rFonts w:cs="Arial" w:ascii="Arial" w:hAnsi="Arial"/>
          <w:sz w:val="21"/>
        </w:rPr>
        <w:t>%</w:t>
      </w:r>
      <w:r>
        <w:rPr>
          <w:rFonts w:ascii="Arial" w:hAnsi="Arial" w:cs="Arial"/>
          <w:sz w:val="21"/>
        </w:rPr>
        <w:t>；每年按</w:t>
      </w:r>
      <w:r>
        <w:rPr>
          <w:rFonts w:cs="Arial" w:ascii="Arial" w:hAnsi="Arial"/>
          <w:sz w:val="21"/>
        </w:rPr>
        <w:t>365</w:t>
      </w:r>
      <w:r>
        <w:rPr>
          <w:rFonts w:ascii="Arial" w:hAnsi="Arial" w:cs="Arial"/>
          <w:sz w:val="21"/>
        </w:rPr>
        <w:t>天计算。则有：</w:t>
      </w:r>
    </w:p>
    <w:p>
      <w:pPr>
        <w:pStyle w:val="Normal"/>
        <w:overflowPunct w:val="false"/>
        <w:autoSpaceDE w:val="false"/>
        <w:spacing w:lineRule="auto" w:line="480"/>
        <w:ind w:firstLine="420"/>
        <w:jc w:val="both"/>
        <w:textAlignment w:val="auto"/>
        <w:rPr/>
      </w:pPr>
      <w:r>
        <w:rPr>
          <w:rFonts w:ascii="Arial" w:hAnsi="Arial" w:cs="Arial"/>
          <w:sz w:val="21"/>
        </w:rPr>
        <w:t>未来第一年年租金收入＝</w:t>
      </w:r>
      <w:r>
        <w:rPr>
          <w:rFonts w:cs="Arial" w:ascii="Arial" w:hAnsi="Arial"/>
          <w:sz w:val="21"/>
        </w:rPr>
        <w:t>3</w:t>
      </w:r>
      <w:r>
        <w:rPr>
          <w:rFonts w:cs="Arial" w:ascii="Arial" w:hAnsi="Arial"/>
          <w:sz w:val="21"/>
        </w:rPr>
        <w:t>×</w:t>
      </w:r>
      <w:r>
        <w:rPr>
          <w:rFonts w:cs="Arial" w:ascii="Arial" w:hAnsi="Arial"/>
          <w:sz w:val="21"/>
          <w:szCs w:val="22"/>
        </w:rPr>
        <w:t>15260.82</w:t>
      </w:r>
      <w:r>
        <w:rPr>
          <w:rFonts w:cs="Arial" w:ascii="Arial" w:hAnsi="Arial"/>
          <w:sz w:val="21"/>
        </w:rPr>
        <w:t>×365×</w:t>
      </w:r>
      <w:r>
        <w:rPr>
          <w:rFonts w:ascii="Arial" w:hAnsi="Arial" w:cs="Arial"/>
          <w:sz w:val="21"/>
        </w:rPr>
        <w:t>（</w:t>
      </w:r>
      <w:r>
        <w:rPr>
          <w:rFonts w:cs="Arial" w:ascii="Arial" w:hAnsi="Arial"/>
          <w:sz w:val="21"/>
        </w:rPr>
        <w:t>1-</w:t>
      </w:r>
      <w:r>
        <w:rPr>
          <w:rFonts w:cs="Arial" w:ascii="Arial" w:hAnsi="Arial"/>
          <w:sz w:val="21"/>
        </w:rPr>
        <w:t>15</w:t>
      </w:r>
      <w:r>
        <w:rPr>
          <w:rFonts w:cs="Arial" w:ascii="Arial" w:hAnsi="Arial"/>
          <w:sz w:val="21"/>
        </w:rPr>
        <w:t>%</w:t>
      </w:r>
      <w:r>
        <w:rPr>
          <w:rFonts w:ascii="Arial" w:hAnsi="Arial" w:cs="Arial"/>
          <w:sz w:val="21"/>
        </w:rPr>
        <w:t>）</w:t>
      </w:r>
      <w:r>
        <w:rPr>
          <w:rFonts w:cs="Arial" w:ascii="Arial" w:hAnsi="Arial"/>
          <w:sz w:val="21"/>
          <w:szCs w:val="22"/>
        </w:rPr>
        <w:t>÷10000</w:t>
      </w:r>
      <w:r>
        <w:rPr>
          <w:rFonts w:ascii="Arial" w:hAnsi="Arial" w:cs="Arial"/>
          <w:sz w:val="21"/>
        </w:rPr>
        <w:t>＝</w:t>
      </w:r>
      <w:r>
        <w:rPr>
          <w:rFonts w:cs="Arial" w:ascii="Arial" w:hAnsi="Arial"/>
          <w:sz w:val="21"/>
        </w:rPr>
        <w:t>1420</w:t>
      </w:r>
      <w:r>
        <w:rPr>
          <w:rFonts w:ascii="Arial" w:hAnsi="Arial" w:cs="Arial"/>
          <w:sz w:val="21"/>
        </w:rPr>
        <w:t>（</w:t>
      </w:r>
      <w:r>
        <w:rPr>
          <w:rFonts w:ascii="Arial" w:hAnsi="Arial" w:cs="Arial"/>
          <w:sz w:val="21"/>
        </w:rPr>
        <w:t>万</w:t>
      </w:r>
      <w:r>
        <w:rPr>
          <w:rFonts w:ascii="Arial" w:hAnsi="Arial" w:cs="Arial"/>
          <w:sz w:val="21"/>
        </w:rPr>
        <w:t>元）</w:t>
      </w:r>
    </w:p>
    <w:p>
      <w:pPr>
        <w:pStyle w:val="Normal"/>
        <w:overflowPunct w:val="false"/>
        <w:autoSpaceDE w:val="false"/>
        <w:spacing w:lineRule="auto" w:line="480"/>
        <w:ind w:firstLine="420"/>
        <w:jc w:val="both"/>
        <w:textAlignment w:val="auto"/>
        <w:rPr/>
      </w:pPr>
      <w:r>
        <w:rPr>
          <w:rFonts w:cs="Arial" w:ascii="Arial" w:hAnsi="Arial"/>
          <w:sz w:val="21"/>
        </w:rPr>
        <w:t>2</w:t>
      </w:r>
      <w:r>
        <w:rPr>
          <w:rFonts w:ascii="Arial" w:hAnsi="Arial" w:cs="Arial"/>
          <w:sz w:val="21"/>
        </w:rPr>
        <w:t>）押金利息</w:t>
      </w:r>
    </w:p>
    <w:p>
      <w:pPr>
        <w:pStyle w:val="Normal"/>
        <w:overflowPunct w:val="false"/>
        <w:autoSpaceDE w:val="false"/>
        <w:spacing w:lineRule="auto" w:line="480"/>
        <w:ind w:firstLine="420"/>
        <w:jc w:val="both"/>
        <w:textAlignment w:val="auto"/>
        <w:rPr/>
      </w:pPr>
      <w:r>
        <w:rPr>
          <w:rFonts w:ascii="Arial" w:hAnsi="Arial" w:cs="Arial"/>
          <w:sz w:val="21"/>
        </w:rPr>
        <w:t>根据评估专业人员对于租赁市场的调查，目前与估价对象同类物业的押金通常为一个月的租金。因此，本次评估按照上述计算的年租金收入折算至月租金，并按照</w:t>
      </w:r>
      <w:r>
        <w:rPr>
          <w:rFonts w:cs="Arial" w:ascii="Arial" w:hAnsi="Arial"/>
          <w:sz w:val="21"/>
        </w:rPr>
        <w:t>1</w:t>
      </w:r>
      <w:r>
        <w:rPr>
          <w:rFonts w:ascii="Arial" w:hAnsi="Arial" w:cs="Arial"/>
          <w:sz w:val="21"/>
        </w:rPr>
        <w:t>年期存款利率</w:t>
      </w:r>
      <w:r>
        <w:rPr>
          <w:rFonts w:cs="Arial" w:ascii="Arial" w:hAnsi="Arial"/>
          <w:sz w:val="21"/>
        </w:rPr>
        <w:t>1.5%</w:t>
      </w:r>
      <w:r>
        <w:rPr>
          <w:rFonts w:ascii="Arial" w:hAnsi="Arial" w:cs="Arial"/>
          <w:sz w:val="21"/>
        </w:rPr>
        <w:t>计算押金利息。则有：</w:t>
      </w:r>
    </w:p>
    <w:p>
      <w:pPr>
        <w:pStyle w:val="Normal"/>
        <w:overflowPunct w:val="false"/>
        <w:autoSpaceDE w:val="false"/>
        <w:spacing w:lineRule="auto" w:line="480"/>
        <w:ind w:firstLine="420"/>
        <w:jc w:val="both"/>
        <w:textAlignment w:val="auto"/>
        <w:rPr/>
      </w:pPr>
      <w:r>
        <w:rPr>
          <w:rFonts w:ascii="Arial" w:hAnsi="Arial" w:cs="Arial"/>
          <w:sz w:val="21"/>
        </w:rPr>
        <w:t>押金利息收入＝</w:t>
      </w:r>
      <w:r>
        <w:rPr>
          <w:rFonts w:cs="Arial" w:ascii="Arial" w:hAnsi="Arial"/>
          <w:sz w:val="21"/>
        </w:rPr>
        <w:t>1420</w:t>
      </w:r>
      <w:r>
        <w:rPr>
          <w:rFonts w:cs="Arial" w:ascii="Arial" w:hAnsi="Arial"/>
          <w:sz w:val="21"/>
          <w:szCs w:val="21"/>
        </w:rPr>
        <w:t>÷</w:t>
      </w:r>
      <w:r>
        <w:rPr>
          <w:rFonts w:cs="Arial" w:ascii="Arial" w:hAnsi="Arial"/>
          <w:sz w:val="21"/>
          <w:szCs w:val="22"/>
        </w:rPr>
        <w:t>12</w:t>
      </w:r>
      <w:r>
        <w:rPr>
          <w:rFonts w:cs="Arial" w:ascii="Arial" w:hAnsi="Arial"/>
          <w:sz w:val="21"/>
        </w:rPr>
        <w:t>×</w:t>
      </w:r>
      <w:r>
        <w:rPr>
          <w:rFonts w:cs="Arial" w:ascii="Arial" w:hAnsi="Arial"/>
          <w:sz w:val="21"/>
        </w:rPr>
        <w:t>1.5%</w:t>
      </w:r>
      <w:r>
        <w:rPr>
          <w:rFonts w:ascii="Arial" w:hAnsi="Arial" w:cs="Arial"/>
          <w:sz w:val="21"/>
        </w:rPr>
        <w:t>＝</w:t>
      </w:r>
      <w:r>
        <w:rPr>
          <w:rFonts w:cs="Arial" w:ascii="Arial" w:hAnsi="Arial"/>
          <w:sz w:val="21"/>
        </w:rPr>
        <w:t>2</w:t>
      </w:r>
      <w:r>
        <w:rPr>
          <w:rFonts w:ascii="Arial" w:hAnsi="Arial" w:cs="Arial"/>
          <w:sz w:val="21"/>
        </w:rPr>
        <w:t>（</w:t>
      </w:r>
      <w:r>
        <w:rPr>
          <w:rFonts w:ascii="Arial" w:hAnsi="Arial" w:cs="Arial"/>
          <w:sz w:val="21"/>
        </w:rPr>
        <w:t>万</w:t>
      </w:r>
      <w:r>
        <w:rPr>
          <w:rFonts w:ascii="Arial" w:hAnsi="Arial" w:cs="Arial"/>
          <w:sz w:val="21"/>
        </w:rPr>
        <w:t>元）</w:t>
      </w:r>
    </w:p>
    <w:p>
      <w:pPr>
        <w:pStyle w:val="Normal"/>
        <w:overflowPunct w:val="false"/>
        <w:autoSpaceDE w:val="false"/>
        <w:spacing w:lineRule="auto" w:line="480"/>
        <w:ind w:firstLine="420"/>
        <w:jc w:val="both"/>
        <w:textAlignment w:val="auto"/>
        <w:rPr/>
      </w:pPr>
      <w:r>
        <w:rPr>
          <w:rFonts w:cs="Arial" w:ascii="Arial" w:hAnsi="Arial"/>
          <w:sz w:val="21"/>
        </w:rPr>
        <w:t>3</w:t>
      </w:r>
      <w:r>
        <w:rPr>
          <w:rFonts w:ascii="Arial" w:hAnsi="Arial" w:cs="Arial"/>
          <w:sz w:val="21"/>
        </w:rPr>
        <w:t>）未来第一年总收益</w:t>
      </w:r>
      <w:r>
        <w:rPr>
          <w:rFonts w:cs="Arial" w:ascii="Arial" w:hAnsi="Arial"/>
          <w:sz w:val="21"/>
        </w:rPr>
        <w:tab/>
        <w:tab/>
      </w:r>
    </w:p>
    <w:p>
      <w:pPr>
        <w:pStyle w:val="Normal"/>
        <w:overflowPunct w:val="false"/>
        <w:autoSpaceDE w:val="false"/>
        <w:spacing w:lineRule="auto" w:line="480"/>
        <w:ind w:firstLine="420"/>
        <w:jc w:val="both"/>
        <w:textAlignment w:val="auto"/>
        <w:rPr/>
      </w:pPr>
      <w:r>
        <w:rPr>
          <w:rFonts w:ascii="Arial" w:hAnsi="Arial" w:cs="Arial"/>
          <w:sz w:val="21"/>
        </w:rPr>
        <w:t>综上，估价对象未来第一年的总收益为前述</w:t>
      </w:r>
      <w:r>
        <w:rPr>
          <w:rFonts w:cs="Arial" w:ascii="Arial" w:hAnsi="Arial"/>
          <w:sz w:val="21"/>
        </w:rPr>
        <w:t>2</w:t>
      </w:r>
      <w:r>
        <w:rPr>
          <w:rFonts w:ascii="Arial" w:hAnsi="Arial" w:cs="Arial"/>
          <w:sz w:val="21"/>
        </w:rPr>
        <w:t>项之和。则有：</w:t>
      </w:r>
    </w:p>
    <w:p>
      <w:pPr>
        <w:pStyle w:val="Normal"/>
        <w:overflowPunct w:val="false"/>
        <w:autoSpaceDE w:val="false"/>
        <w:spacing w:lineRule="auto" w:line="480"/>
        <w:ind w:firstLine="420"/>
        <w:jc w:val="both"/>
        <w:textAlignment w:val="auto"/>
        <w:rPr/>
      </w:pPr>
      <w:r>
        <w:rPr>
          <w:rFonts w:ascii="Arial" w:hAnsi="Arial" w:cs="Arial"/>
          <w:sz w:val="21"/>
        </w:rPr>
        <w:t>未来第一年总收益＝</w:t>
      </w:r>
      <w:r>
        <w:rPr>
          <w:rFonts w:cs="Arial" w:ascii="Arial" w:hAnsi="Arial"/>
          <w:sz w:val="21"/>
        </w:rPr>
        <w:t>1420</w:t>
      </w:r>
      <w:r>
        <w:rPr>
          <w:rFonts w:ascii="Arial" w:hAnsi="Arial" w:cs="Arial"/>
          <w:sz w:val="21"/>
        </w:rPr>
        <w:t>＋</w:t>
      </w:r>
      <w:r>
        <w:rPr>
          <w:rFonts w:cs="Arial" w:ascii="Arial" w:hAnsi="Arial"/>
          <w:sz w:val="21"/>
        </w:rPr>
        <w:t>2</w:t>
      </w:r>
      <w:r>
        <w:rPr>
          <w:rFonts w:ascii="Arial" w:hAnsi="Arial" w:cs="Arial"/>
          <w:sz w:val="21"/>
        </w:rPr>
        <w:t>＝</w:t>
      </w:r>
      <w:r>
        <w:rPr>
          <w:rFonts w:cs="Arial" w:ascii="Arial" w:hAnsi="Arial"/>
          <w:sz w:val="21"/>
        </w:rPr>
        <w:t>1422</w:t>
      </w:r>
      <w:r>
        <w:rPr>
          <w:rFonts w:ascii="Arial" w:hAnsi="Arial" w:cs="Arial"/>
          <w:sz w:val="21"/>
        </w:rPr>
        <w:t>（</w:t>
      </w:r>
      <w:r>
        <w:rPr>
          <w:rFonts w:ascii="Arial" w:hAnsi="Arial" w:cs="Arial"/>
          <w:sz w:val="21"/>
        </w:rPr>
        <w:t>万</w:t>
      </w:r>
      <w:r>
        <w:rPr>
          <w:rFonts w:ascii="Arial" w:hAnsi="Arial" w:cs="Arial"/>
          <w:sz w:val="21"/>
        </w:rPr>
        <w:t>元）</w:t>
      </w:r>
    </w:p>
    <w:p>
      <w:pPr>
        <w:pStyle w:val="Normal"/>
        <w:overflowPunct w:val="false"/>
        <w:autoSpaceDE w:val="false"/>
        <w:spacing w:lineRule="auto" w:line="480"/>
        <w:ind w:firstLine="420"/>
        <w:jc w:val="both"/>
        <w:textAlignment w:val="auto"/>
        <w:rPr/>
      </w:pPr>
      <w:r>
        <w:rPr>
          <w:rFonts w:ascii="Arial" w:hAnsi="Arial" w:cs="Arial"/>
          <w:sz w:val="21"/>
        </w:rPr>
        <w:t>（</w:t>
      </w:r>
      <w:r>
        <w:rPr>
          <w:rFonts w:cs="Arial" w:ascii="Arial" w:hAnsi="Arial"/>
          <w:sz w:val="21"/>
        </w:rPr>
        <w:t>2</w:t>
      </w:r>
      <w:r>
        <w:rPr>
          <w:rFonts w:ascii="Arial" w:hAnsi="Arial" w:cs="Arial"/>
          <w:sz w:val="21"/>
        </w:rPr>
        <w:t>）</w:t>
      </w:r>
      <w:r>
        <w:rPr/>
        <w:t>年经营费用</w:t>
      </w:r>
    </w:p>
    <w:tbl>
      <w:tblPr>
        <w:tblW w:w="9304" w:type="dxa"/>
        <w:jc w:val="center"/>
        <w:tblInd w:w="0" w:type="dxa"/>
        <w:tblCellMar>
          <w:top w:w="28" w:type="dxa"/>
          <w:left w:w="85" w:type="dxa"/>
          <w:bottom w:w="28" w:type="dxa"/>
          <w:right w:w="85" w:type="dxa"/>
        </w:tblCellMar>
      </w:tblPr>
      <w:tblGrid>
        <w:gridCol w:w="791"/>
        <w:gridCol w:w="2116"/>
        <w:gridCol w:w="1276"/>
        <w:gridCol w:w="1984"/>
        <w:gridCol w:w="3137"/>
      </w:tblGrid>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序号</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项目名称</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总额（万元）</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相关系数</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备注</w:t>
            </w:r>
          </w:p>
        </w:tc>
      </w:tr>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1</w:t>
            </w:r>
            <w:r>
              <w:rPr>
                <w:rFonts w:ascii="Arial" w:hAnsi="Arial" w:cs="Arial" w:eastAsia="华文细黑"/>
                <w:sz w:val="18"/>
                <w:szCs w:val="21"/>
              </w:rPr>
              <w:t>）</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税费</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275</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cs="Arial"/>
              </w:rPr>
            </w:pPr>
            <w:r>
              <w:rPr>
                <w:rFonts w:ascii="华文细黑" w:hAnsi="华文细黑" w:cs="华文细黑" w:eastAsia="华文细黑"/>
                <w:sz w:val="18"/>
                <w:szCs w:val="21"/>
              </w:rPr>
              <w:t>——</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A+B+C</w:t>
            </w:r>
          </w:p>
        </w:tc>
      </w:tr>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A</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增值税及附加</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75.73</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5.</w:t>
            </w:r>
            <w:r>
              <w:rPr>
                <w:rFonts w:eastAsia="华文细黑" w:cs="Arial" w:ascii="Arial" w:hAnsi="Arial"/>
                <w:sz w:val="18"/>
                <w:szCs w:val="21"/>
              </w:rPr>
              <w:t>6</w:t>
            </w:r>
            <w:r>
              <w:rPr>
                <w:rFonts w:eastAsia="华文细黑" w:cs="Arial" w:ascii="Arial" w:hAnsi="Arial"/>
                <w:sz w:val="18"/>
                <w:szCs w:val="21"/>
              </w:rPr>
              <w:t>0%</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年租金收入</w:t>
            </w:r>
            <w:r>
              <w:rPr>
                <w:rFonts w:eastAsia="华文细黑" w:cs="Arial" w:ascii="Arial" w:hAnsi="Arial"/>
                <w:sz w:val="18"/>
                <w:szCs w:val="21"/>
              </w:rPr>
              <w:t>×</w:t>
            </w:r>
            <w:r>
              <w:rPr>
                <w:rFonts w:ascii="Arial" w:hAnsi="Arial" w:cs="Arial" w:eastAsia="华文细黑"/>
                <w:sz w:val="18"/>
                <w:szCs w:val="21"/>
              </w:rPr>
              <w:t>费率</w:t>
            </w:r>
            <w:r>
              <w:rPr>
                <w:rFonts w:eastAsia="华文细黑" w:cs="Arial" w:ascii="Arial" w:hAnsi="Arial"/>
                <w:sz w:val="18"/>
                <w:szCs w:val="21"/>
              </w:rPr>
              <w:t>/</w:t>
            </w:r>
            <w:r>
              <w:rPr>
                <w:rFonts w:ascii="Arial" w:hAnsi="Arial" w:cs="Arial" w:eastAsia="华文细黑"/>
                <w:sz w:val="18"/>
                <w:szCs w:val="21"/>
              </w:rPr>
              <w:t>（</w:t>
            </w:r>
            <w:r>
              <w:rPr>
                <w:rFonts w:eastAsia="华文细黑" w:cs="Arial" w:ascii="Arial" w:hAnsi="Arial"/>
                <w:sz w:val="18"/>
                <w:szCs w:val="21"/>
              </w:rPr>
              <w:t>1+5%</w:t>
            </w:r>
            <w:r>
              <w:rPr>
                <w:rFonts w:ascii="Arial" w:hAnsi="Arial" w:cs="Arial" w:eastAsia="华文细黑"/>
                <w:sz w:val="18"/>
                <w:szCs w:val="21"/>
              </w:rPr>
              <w:t>）</w:t>
            </w:r>
          </w:p>
        </w:tc>
      </w:tr>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B</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房产税</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162.29</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12.0%</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年租金收入</w:t>
            </w:r>
            <w:r>
              <w:rPr>
                <w:rFonts w:eastAsia="华文细黑" w:cs="Arial" w:ascii="Arial" w:hAnsi="Arial"/>
                <w:sz w:val="18"/>
                <w:szCs w:val="21"/>
              </w:rPr>
              <w:t>×</w:t>
            </w:r>
            <w:r>
              <w:rPr>
                <w:rFonts w:ascii="Arial" w:hAnsi="Arial" w:cs="Arial" w:eastAsia="华文细黑"/>
                <w:sz w:val="18"/>
                <w:szCs w:val="21"/>
              </w:rPr>
              <w:t>费率</w:t>
            </w:r>
            <w:r>
              <w:rPr>
                <w:rFonts w:eastAsia="华文细黑" w:cs="Arial" w:ascii="Arial" w:hAnsi="Arial"/>
                <w:sz w:val="18"/>
                <w:szCs w:val="21"/>
              </w:rPr>
              <w:t>/</w:t>
            </w:r>
            <w:r>
              <w:rPr>
                <w:rFonts w:ascii="Arial" w:hAnsi="Arial" w:cs="Arial" w:eastAsia="华文细黑"/>
                <w:sz w:val="18"/>
                <w:szCs w:val="21"/>
              </w:rPr>
              <w:t>（</w:t>
            </w:r>
            <w:r>
              <w:rPr>
                <w:rFonts w:eastAsia="华文细黑" w:cs="Arial" w:ascii="Arial" w:hAnsi="Arial"/>
                <w:sz w:val="18"/>
                <w:szCs w:val="21"/>
              </w:rPr>
              <w:t>1+5%</w:t>
            </w:r>
            <w:r>
              <w:rPr>
                <w:rFonts w:ascii="Arial" w:hAnsi="Arial" w:cs="Arial" w:eastAsia="华文细黑"/>
                <w:sz w:val="18"/>
                <w:szCs w:val="21"/>
              </w:rPr>
              <w:t>）</w:t>
            </w:r>
          </w:p>
        </w:tc>
      </w:tr>
      <w:tr>
        <w:trPr>
          <w:trHeight w:val="158" w:hRule="atLeast"/>
        </w:trPr>
        <w:tc>
          <w:tcPr>
            <w:tcW w:w="791" w:type="dxa"/>
            <w:vMerge w:val="restart"/>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C</w:t>
            </w:r>
          </w:p>
        </w:tc>
        <w:tc>
          <w:tcPr>
            <w:tcW w:w="2116" w:type="dxa"/>
            <w:vMerge w:val="restart"/>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城镇土地使用税</w:t>
            </w:r>
          </w:p>
        </w:tc>
        <w:tc>
          <w:tcPr>
            <w:tcW w:w="1276" w:type="dxa"/>
            <w:vMerge w:val="restart"/>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36.64</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pPr>
            <w:r>
              <w:rPr>
                <w:rFonts w:ascii="Arial" w:hAnsi="Arial" w:cs="Arial" w:eastAsia="华文细黑"/>
                <w:sz w:val="18"/>
                <w:szCs w:val="21"/>
              </w:rPr>
              <w:t>纳税标准：</w:t>
            </w:r>
            <w:r>
              <w:rPr>
                <w:rFonts w:eastAsia="华文细黑" w:cs="Arial" w:ascii="Arial" w:hAnsi="Arial"/>
                <w:sz w:val="18"/>
                <w:szCs w:val="21"/>
              </w:rPr>
              <w:t>18</w:t>
            </w:r>
            <w:r>
              <w:rPr>
                <w:rFonts w:ascii="Arial" w:hAnsi="Arial" w:cs="Arial" w:eastAsia="华文细黑"/>
                <w:sz w:val="18"/>
                <w:szCs w:val="21"/>
              </w:rPr>
              <w:t>元</w:t>
            </w:r>
            <w:r>
              <w:rPr>
                <w:rFonts w:eastAsia="华文细黑" w:cs="Arial" w:ascii="Arial" w:hAnsi="Arial"/>
                <w:sz w:val="18"/>
                <w:szCs w:val="21"/>
              </w:rPr>
              <w:t>/</w:t>
            </w:r>
            <w:r>
              <w:rPr>
                <w:rFonts w:ascii="Arial" w:hAnsi="Arial" w:cs="Arial" w:eastAsia="华文细黑"/>
                <w:sz w:val="18"/>
                <w:szCs w:val="21"/>
              </w:rPr>
              <w:t>㎡</w:t>
            </w:r>
          </w:p>
        </w:tc>
        <w:tc>
          <w:tcPr>
            <w:tcW w:w="3137" w:type="dxa"/>
            <w:vMerge w:val="restart"/>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土地面积</w:t>
            </w:r>
            <w:r>
              <w:rPr>
                <w:rFonts w:eastAsia="华文细黑" w:cs="Arial" w:ascii="Arial" w:hAnsi="Arial"/>
                <w:sz w:val="18"/>
                <w:szCs w:val="21"/>
              </w:rPr>
              <w:t>×</w:t>
            </w:r>
            <w:r>
              <w:rPr>
                <w:rFonts w:ascii="Arial" w:hAnsi="Arial" w:cs="Arial" w:eastAsia="华文细黑"/>
                <w:sz w:val="18"/>
                <w:szCs w:val="21"/>
              </w:rPr>
              <w:t>纳税标准</w:t>
            </w:r>
          </w:p>
        </w:tc>
      </w:tr>
      <w:tr>
        <w:trPr>
          <w:trHeight w:val="157" w:hRule="atLeast"/>
        </w:trPr>
        <w:tc>
          <w:tcPr>
            <w:tcW w:w="791" w:type="dxa"/>
            <w:vMerge w:val="continue"/>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napToGrid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r>
          </w:p>
        </w:tc>
        <w:tc>
          <w:tcPr>
            <w:tcW w:w="2116" w:type="dxa"/>
            <w:vMerge w:val="continue"/>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napToGrid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r>
          </w:p>
        </w:tc>
        <w:tc>
          <w:tcPr>
            <w:tcW w:w="1276" w:type="dxa"/>
            <w:vMerge w:val="continue"/>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napToGrid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土地面积：</w:t>
            </w:r>
            <w:r>
              <w:rPr>
                <w:rFonts w:eastAsia="华文细黑" w:cs="Arial" w:ascii="Arial" w:hAnsi="Arial"/>
                <w:sz w:val="18"/>
                <w:szCs w:val="21"/>
              </w:rPr>
              <w:t>20358.14</w:t>
            </w:r>
            <w:r>
              <w:rPr>
                <w:rFonts w:ascii="Arial" w:hAnsi="Arial" w:cs="Arial" w:eastAsia="华文细黑"/>
                <w:sz w:val="18"/>
                <w:szCs w:val="21"/>
              </w:rPr>
              <w:t>㎡</w:t>
            </w:r>
          </w:p>
        </w:tc>
        <w:tc>
          <w:tcPr>
            <w:tcW w:w="3137" w:type="dxa"/>
            <w:vMerge w:val="continue"/>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napToGrid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r>
          </w:p>
        </w:tc>
      </w:tr>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2</w:t>
            </w:r>
            <w:r>
              <w:rPr>
                <w:rFonts w:ascii="Arial" w:hAnsi="Arial" w:cs="Arial" w:eastAsia="华文细黑"/>
                <w:sz w:val="18"/>
                <w:szCs w:val="21"/>
              </w:rPr>
              <w:t>）</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维修费</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44</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pPr>
            <w:r>
              <w:rPr>
                <w:rFonts w:eastAsia="华文细黑" w:cs="Arial" w:ascii="Arial" w:hAnsi="Arial"/>
                <w:sz w:val="18"/>
                <w:szCs w:val="21"/>
              </w:rPr>
              <w:t>0.50</w:t>
            </w:r>
            <w:r>
              <w:rPr>
                <w:rFonts w:eastAsia="华文细黑" w:cs="Arial" w:ascii="Arial" w:hAnsi="Arial"/>
                <w:sz w:val="18"/>
                <w:szCs w:val="21"/>
              </w:rPr>
              <w:t>%</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建筑物重置价值</w:t>
            </w:r>
            <w:r>
              <w:rPr>
                <w:rFonts w:eastAsia="华文细黑" w:cs="Arial" w:ascii="Arial" w:hAnsi="Arial"/>
                <w:sz w:val="18"/>
                <w:szCs w:val="21"/>
              </w:rPr>
              <w:t>×</w:t>
            </w:r>
            <w:r>
              <w:rPr>
                <w:rFonts w:ascii="Arial" w:hAnsi="Arial" w:cs="Arial" w:eastAsia="华文细黑"/>
                <w:sz w:val="18"/>
                <w:szCs w:val="21"/>
              </w:rPr>
              <w:t>维修费率</w:t>
            </w:r>
          </w:p>
        </w:tc>
      </w:tr>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3</w:t>
            </w:r>
            <w:r>
              <w:rPr>
                <w:rFonts w:ascii="Arial" w:hAnsi="Arial" w:cs="Arial" w:eastAsia="华文细黑"/>
                <w:sz w:val="18"/>
                <w:szCs w:val="21"/>
              </w:rPr>
              <w:t>）</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保险费</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7.9</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pPr>
            <w:r>
              <w:rPr>
                <w:rFonts w:eastAsia="华文细黑" w:cs="Arial" w:ascii="Arial" w:hAnsi="Arial"/>
                <w:sz w:val="18"/>
                <w:szCs w:val="21"/>
              </w:rPr>
              <w:t>0.1</w:t>
            </w:r>
            <w:r>
              <w:rPr>
                <w:rFonts w:eastAsia="华文细黑" w:cs="Arial" w:ascii="Arial" w:hAnsi="Arial"/>
                <w:sz w:val="18"/>
                <w:szCs w:val="21"/>
              </w:rPr>
              <w:t>0</w:t>
            </w:r>
            <w:r>
              <w:rPr>
                <w:rFonts w:eastAsia="华文细黑" w:cs="Arial" w:ascii="Arial" w:hAnsi="Arial"/>
                <w:sz w:val="18"/>
                <w:szCs w:val="21"/>
              </w:rPr>
              <w:t>0%</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建筑物现值</w:t>
            </w:r>
            <w:r>
              <w:rPr>
                <w:rFonts w:eastAsia="华文细黑" w:cs="Arial" w:ascii="Arial" w:hAnsi="Arial"/>
                <w:sz w:val="18"/>
                <w:szCs w:val="21"/>
              </w:rPr>
              <w:t>×</w:t>
            </w:r>
            <w:r>
              <w:rPr>
                <w:rFonts w:ascii="Arial" w:hAnsi="Arial" w:cs="Arial" w:eastAsia="华文细黑"/>
                <w:sz w:val="18"/>
                <w:szCs w:val="21"/>
              </w:rPr>
              <w:t>保险费率</w:t>
            </w:r>
          </w:p>
        </w:tc>
      </w:tr>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4</w:t>
            </w:r>
            <w:r>
              <w:rPr>
                <w:rFonts w:ascii="Arial" w:hAnsi="Arial" w:cs="Arial" w:eastAsia="华文细黑"/>
                <w:sz w:val="18"/>
                <w:szCs w:val="21"/>
              </w:rPr>
              <w:t>）</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管理费用</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7.1</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pPr>
            <w:r>
              <w:rPr>
                <w:rFonts w:eastAsia="华文细黑" w:cs="Arial" w:ascii="Arial" w:hAnsi="Arial"/>
                <w:sz w:val="18"/>
                <w:szCs w:val="21"/>
              </w:rPr>
              <w:t>0.5</w:t>
            </w:r>
            <w:r>
              <w:rPr>
                <w:rFonts w:eastAsia="华文细黑" w:cs="Arial" w:ascii="Arial" w:hAnsi="Arial"/>
                <w:sz w:val="18"/>
                <w:szCs w:val="21"/>
              </w:rPr>
              <w:t>%</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年总收益</w:t>
            </w:r>
            <w:r>
              <w:rPr>
                <w:rFonts w:eastAsia="华文细黑" w:cs="Arial" w:ascii="Arial" w:hAnsi="Arial"/>
                <w:sz w:val="18"/>
                <w:szCs w:val="21"/>
              </w:rPr>
              <w:t>×</w:t>
            </w:r>
            <w:r>
              <w:rPr>
                <w:rFonts w:ascii="Arial" w:hAnsi="Arial" w:cs="Arial" w:eastAsia="华文细黑"/>
                <w:sz w:val="18"/>
                <w:szCs w:val="21"/>
              </w:rPr>
              <w:t>费率</w:t>
            </w:r>
          </w:p>
        </w:tc>
      </w:tr>
      <w:tr>
        <w:trPr>
          <w:trHeight w:val="285" w:hRule="atLeast"/>
        </w:trPr>
        <w:tc>
          <w:tcPr>
            <w:tcW w:w="791"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5</w:t>
            </w:r>
            <w:r>
              <w:rPr>
                <w:rFonts w:ascii="Arial" w:hAnsi="Arial" w:cs="Arial" w:eastAsia="华文细黑"/>
                <w:sz w:val="18"/>
                <w:szCs w:val="21"/>
              </w:rPr>
              <w:t>）</w:t>
            </w:r>
          </w:p>
        </w:tc>
        <w:tc>
          <w:tcPr>
            <w:tcW w:w="211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ascii="Arial" w:hAnsi="Arial" w:cs="Arial" w:eastAsia="华文细黑"/>
                <w:sz w:val="18"/>
                <w:szCs w:val="21"/>
              </w:rPr>
              <w:t>年经营费用</w:t>
            </w:r>
          </w:p>
        </w:tc>
        <w:tc>
          <w:tcPr>
            <w:tcW w:w="1276"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334</w:t>
            </w:r>
          </w:p>
        </w:tc>
        <w:tc>
          <w:tcPr>
            <w:tcW w:w="1984" w:type="dxa"/>
            <w:tcBorders>
              <w:top w:val="single" w:sz="2" w:space="0" w:color="404040"/>
              <w:left w:val="single" w:sz="2" w:space="0" w:color="404040"/>
              <w:bottom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cs="Arial"/>
              </w:rPr>
            </w:pPr>
            <w:r>
              <w:rPr>
                <w:rFonts w:ascii="华文细黑" w:hAnsi="华文细黑" w:cs="华文细黑" w:eastAsia="华文细黑"/>
                <w:sz w:val="18"/>
                <w:szCs w:val="21"/>
              </w:rPr>
              <w:t>——</w:t>
            </w:r>
          </w:p>
        </w:tc>
        <w:tc>
          <w:tcPr>
            <w:tcW w:w="313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t>1</w:t>
            </w:r>
            <w:r>
              <w:rPr>
                <w:rFonts w:ascii="Arial" w:hAnsi="Arial" w:cs="Arial" w:eastAsia="华文细黑"/>
                <w:sz w:val="18"/>
                <w:szCs w:val="21"/>
              </w:rPr>
              <w:t>）</w:t>
            </w:r>
            <w:r>
              <w:rPr>
                <w:rFonts w:eastAsia="华文细黑" w:cs="Arial" w:ascii="Arial" w:hAnsi="Arial"/>
                <w:sz w:val="18"/>
                <w:szCs w:val="21"/>
              </w:rPr>
              <w:t>~4</w:t>
            </w:r>
            <w:r>
              <w:rPr>
                <w:rFonts w:ascii="Arial" w:hAnsi="Arial" w:cs="Arial" w:eastAsia="华文细黑"/>
                <w:sz w:val="18"/>
                <w:szCs w:val="21"/>
              </w:rPr>
              <w:t>）项之和</w:t>
            </w:r>
          </w:p>
        </w:tc>
      </w:tr>
    </w:tbl>
    <w:p>
      <w:pPr>
        <w:pStyle w:val="Normal"/>
        <w:overflowPunct w:val="false"/>
        <w:autoSpaceDE w:val="false"/>
        <w:spacing w:lineRule="auto" w:line="240"/>
        <w:jc w:val="both"/>
        <w:textAlignment w:val="auto"/>
        <w:rPr>
          <w:rFonts w:ascii="Arial" w:hAnsi="Arial" w:eastAsia="华文细黑" w:cs="Arial"/>
          <w:sz w:val="18"/>
          <w:szCs w:val="21"/>
        </w:rPr>
      </w:pPr>
      <w:r>
        <w:rPr>
          <w:rFonts w:eastAsia="华文细黑" w:cs="Arial" w:ascii="Arial" w:hAnsi="Arial"/>
          <w:sz w:val="18"/>
          <w:szCs w:val="21"/>
        </w:rPr>
      </w:r>
    </w:p>
    <w:p>
      <w:pPr>
        <w:pStyle w:val="Normal"/>
        <w:overflowPunct w:val="false"/>
        <w:autoSpaceDE w:val="false"/>
        <w:spacing w:lineRule="auto" w:line="480"/>
        <w:ind w:firstLine="420"/>
        <w:jc w:val="both"/>
        <w:textAlignment w:val="auto"/>
        <w:rPr>
          <w:rFonts w:ascii="Arial" w:hAnsi="Arial" w:cs="Arial"/>
          <w:sz w:val="21"/>
        </w:rPr>
      </w:pPr>
      <w:r>
        <w:rPr>
          <w:rFonts w:ascii="Arial" w:hAnsi="Arial" w:cs="Arial"/>
          <w:sz w:val="21"/>
        </w:rPr>
        <w:t>注：</w:t>
      </w:r>
    </w:p>
    <w:p>
      <w:pPr>
        <w:pStyle w:val="Normal"/>
        <w:overflowPunct w:val="false"/>
        <w:autoSpaceDE w:val="false"/>
        <w:spacing w:lineRule="auto" w:line="480"/>
        <w:ind w:firstLine="420"/>
        <w:jc w:val="both"/>
        <w:textAlignment w:val="auto"/>
        <w:rPr/>
      </w:pPr>
      <w:r>
        <w:fldChar w:fldCharType="begin"/>
      </w:r>
      <w:r>
        <w:rPr>
          <w:sz w:val="21"/>
          <w:rFonts w:cs="宋体;SimSun" w:ascii="宋体;SimSun" w:hAnsi="宋体;SimSun"/>
        </w:rPr>
        <w:instrText> = 1 \* GB3 </w:instrText>
      </w:r>
      <w:r>
        <w:rPr>
          <w:sz w:val="21"/>
          <w:rFonts w:cs="宋体;SimSun" w:ascii="宋体;SimSun" w:hAnsi="宋体;SimSun"/>
        </w:rPr>
        <w:fldChar w:fldCharType="separate"/>
      </w:r>
      <w:bookmarkStart w:id="33" w:name="__Fieldmark__0_1090397687"/>
      <w:r>
        <w:rPr>
          <w:rFonts w:cs="宋体;SimSun" w:ascii="宋体;SimSun" w:hAnsi="宋体;SimSun"/>
          <w:sz w:val="21"/>
          <w:lang w:val="zh-CN" w:eastAsia="zh-CN"/>
        </w:rPr>
      </w:r>
      <w:r>
        <w:rPr>
          <w:rFonts w:cs="Arial" w:ascii="Arial" w:hAnsi="Arial"/>
          <w:sz w:val="21"/>
          <w:lang w:val="zh-CN" w:eastAsia="zh-CN"/>
        </w:rPr>
        <w:t>①</w:t>
      </w:r>
      <w:r>
        <w:rPr>
          <w:rFonts w:cs="Arial" w:ascii="Arial" w:hAnsi="Arial"/>
          <w:sz w:val="21"/>
          <w:lang w:val="zh-CN" w:eastAsia="zh-CN"/>
        </w:rPr>
      </w:r>
      <w:r>
        <w:rPr>
          <w:sz w:val="21"/>
          <w:rFonts w:cs="Arial" w:ascii="Arial" w:hAnsi="Arial"/>
        </w:rPr>
        <w:fldChar w:fldCharType="end"/>
      </w:r>
      <w:bookmarkEnd w:id="33"/>
      <w:r>
        <w:rPr>
          <w:rFonts w:cs="Arial" w:ascii="Arial" w:hAnsi="Arial"/>
          <w:sz w:val="21"/>
        </w:rPr>
        <w:t xml:space="preserve"> </w:t>
      </w:r>
      <w:r>
        <w:rPr>
          <w:rFonts w:ascii="Arial" w:hAnsi="Arial" w:cs="Arial"/>
          <w:sz w:val="21"/>
        </w:rPr>
        <w:t>增值税及附加包含增值税、城市维护建设税、教育费附加及地方教育附加，税率为</w:t>
      </w:r>
      <w:r>
        <w:rPr>
          <w:rFonts w:cs="Arial" w:ascii="Arial" w:hAnsi="Arial"/>
          <w:sz w:val="21"/>
        </w:rPr>
        <w:t>5.6%</w:t>
      </w:r>
      <w:r>
        <w:rPr>
          <w:rFonts w:ascii="Arial" w:hAnsi="Arial" w:cs="Arial"/>
          <w:sz w:val="21"/>
        </w:rPr>
        <w:t>。其中：增值税征收率为</w:t>
      </w:r>
      <w:r>
        <w:rPr>
          <w:rFonts w:cs="Arial" w:ascii="Arial" w:hAnsi="Arial"/>
          <w:sz w:val="21"/>
        </w:rPr>
        <w:t>5%</w:t>
      </w:r>
      <w:r>
        <w:rPr>
          <w:rFonts w:ascii="Arial" w:hAnsi="Arial" w:cs="Arial"/>
          <w:sz w:val="21"/>
        </w:rPr>
        <w:t>，由于增值税的计税收入为不含税收入，故以年租金收入扣除增值税税额为基数计缴；附加税费为</w:t>
      </w:r>
      <w:r>
        <w:rPr>
          <w:rFonts w:cs="Arial" w:ascii="Arial" w:hAnsi="Arial"/>
          <w:sz w:val="21"/>
        </w:rPr>
        <w:t>0.6%</w:t>
      </w:r>
      <w:r>
        <w:rPr>
          <w:rFonts w:ascii="Arial" w:hAnsi="Arial" w:cs="Arial"/>
          <w:sz w:val="21"/>
        </w:rPr>
        <w:t>：城市维护建设税</w:t>
      </w:r>
      <w:r>
        <w:rPr>
          <w:rFonts w:cs="Arial" w:ascii="Arial" w:hAnsi="Arial"/>
          <w:sz w:val="21"/>
        </w:rPr>
        <w:t>0.35%</w:t>
      </w:r>
      <w:r>
        <w:rPr>
          <w:rFonts w:ascii="Arial" w:hAnsi="Arial" w:cs="Arial"/>
          <w:sz w:val="21"/>
        </w:rPr>
        <w:t>，教育费附加</w:t>
      </w:r>
      <w:r>
        <w:rPr>
          <w:rFonts w:cs="Arial" w:ascii="Arial" w:hAnsi="Arial"/>
          <w:sz w:val="21"/>
        </w:rPr>
        <w:t>0.15%</w:t>
      </w:r>
      <w:r>
        <w:rPr>
          <w:rFonts w:ascii="Arial" w:hAnsi="Arial" w:cs="Arial"/>
          <w:sz w:val="21"/>
        </w:rPr>
        <w:t>，地方教育附加</w:t>
      </w:r>
      <w:r>
        <w:rPr>
          <w:rFonts w:cs="Arial" w:ascii="Arial" w:hAnsi="Arial"/>
          <w:sz w:val="21"/>
        </w:rPr>
        <w:t>0.1%</w:t>
      </w:r>
      <w:r>
        <w:rPr>
          <w:rFonts w:ascii="Arial" w:hAnsi="Arial" w:cs="Arial"/>
          <w:sz w:val="21"/>
        </w:rPr>
        <w:t>。城市维护建设税：根据《中华人民共和国城市维护建设建设税暂行条例》，城市维护建设税税率如下：纳税人所在地在市区的，税率为</w:t>
      </w:r>
      <w:r>
        <w:rPr>
          <w:rFonts w:cs="Arial" w:ascii="Arial" w:hAnsi="Arial"/>
          <w:sz w:val="21"/>
        </w:rPr>
        <w:t>7%</w:t>
      </w:r>
      <w:r>
        <w:rPr>
          <w:rFonts w:ascii="Arial" w:hAnsi="Arial" w:cs="Arial"/>
          <w:sz w:val="21"/>
        </w:rPr>
        <w:t>。这里所称的‘市’是指国务院批准市建制的城市，‘市区’是指按省人民政府批准的市辖区（含市郊）的区域范围。纳税人所在地在县城、镇的，税率为</w:t>
      </w:r>
      <w:r>
        <w:rPr>
          <w:rFonts w:cs="Arial" w:ascii="Arial" w:hAnsi="Arial"/>
          <w:sz w:val="21"/>
        </w:rPr>
        <w:t>5%</w:t>
      </w:r>
      <w:r>
        <w:rPr>
          <w:rFonts w:ascii="Arial" w:hAnsi="Arial" w:cs="Arial"/>
          <w:sz w:val="21"/>
        </w:rPr>
        <w:t>。这里所称的‘县城、镇’是指经省人民政府批准的县城、县属镇（区级镇），县城、县属镇的范围按县人民政府批准的城镇区域范围。纳税人所在地不在市区、县城、县属镇的，税率为</w:t>
      </w:r>
      <w:r>
        <w:rPr>
          <w:rFonts w:cs="Arial" w:ascii="Arial" w:hAnsi="Arial"/>
          <w:sz w:val="21"/>
        </w:rPr>
        <w:t>1%</w:t>
      </w:r>
      <w:r>
        <w:rPr>
          <w:rFonts w:ascii="Arial" w:hAnsi="Arial" w:cs="Arial"/>
          <w:sz w:val="21"/>
        </w:rPr>
        <w:t>。估价对象位于海南省海口市秀英区，城市维护建设税税率为</w:t>
      </w:r>
      <w:r>
        <w:rPr>
          <w:rFonts w:cs="Arial" w:ascii="Arial" w:hAnsi="Arial"/>
          <w:sz w:val="21"/>
        </w:rPr>
        <w:t>7%</w:t>
      </w:r>
      <w:r>
        <w:rPr>
          <w:rFonts w:ascii="Arial" w:hAnsi="Arial" w:cs="Arial"/>
          <w:sz w:val="21"/>
        </w:rPr>
        <w:t>，即增值税率（</w:t>
      </w:r>
      <w:r>
        <w:rPr>
          <w:rFonts w:cs="Arial" w:ascii="Arial" w:hAnsi="Arial"/>
          <w:sz w:val="21"/>
        </w:rPr>
        <w:t>5%</w:t>
      </w:r>
      <w:r>
        <w:rPr>
          <w:rFonts w:ascii="Arial" w:hAnsi="Arial" w:cs="Arial"/>
          <w:sz w:val="21"/>
        </w:rPr>
        <w:t>）</w:t>
      </w:r>
      <w:r>
        <w:rPr>
          <w:rFonts w:cs="Arial" w:ascii="Arial" w:hAnsi="Arial"/>
          <w:sz w:val="21"/>
        </w:rPr>
        <w:t>×7%</w:t>
      </w:r>
      <w:r>
        <w:rPr>
          <w:rFonts w:ascii="Arial" w:hAnsi="Arial" w:cs="Arial"/>
          <w:sz w:val="21"/>
        </w:rPr>
        <w:t>为</w:t>
      </w:r>
      <w:r>
        <w:rPr>
          <w:rFonts w:cs="Arial" w:ascii="Arial" w:hAnsi="Arial"/>
          <w:sz w:val="21"/>
        </w:rPr>
        <w:t>0.35%</w:t>
      </w:r>
      <w:r>
        <w:rPr>
          <w:rFonts w:ascii="Arial" w:hAnsi="Arial" w:cs="Arial"/>
          <w:sz w:val="21"/>
        </w:rPr>
        <w:t>；教育费附加：根据《国务院关于教育费附加征收问题的紧急通知》（国发明电〔</w:t>
      </w:r>
      <w:r>
        <w:rPr>
          <w:rFonts w:cs="Arial" w:ascii="Arial" w:hAnsi="Arial"/>
          <w:sz w:val="21"/>
        </w:rPr>
        <w:t>1994</w:t>
      </w:r>
      <w:r>
        <w:rPr>
          <w:rFonts w:ascii="Arial" w:hAnsi="Arial" w:cs="Arial"/>
          <w:sz w:val="21"/>
        </w:rPr>
        <w:t>〕</w:t>
      </w:r>
      <w:r>
        <w:rPr>
          <w:rFonts w:cs="Arial" w:ascii="Arial" w:hAnsi="Arial"/>
          <w:sz w:val="21"/>
        </w:rPr>
        <w:t>2</w:t>
      </w:r>
      <w:r>
        <w:rPr>
          <w:rFonts w:ascii="Arial" w:hAnsi="Arial" w:cs="Arial"/>
          <w:sz w:val="21"/>
        </w:rPr>
        <w:t>号）规定从</w:t>
      </w:r>
      <w:r>
        <w:rPr>
          <w:rFonts w:cs="Arial" w:ascii="Arial" w:hAnsi="Arial"/>
          <w:sz w:val="21"/>
        </w:rPr>
        <w:t>1994</w:t>
      </w:r>
      <w:r>
        <w:rPr>
          <w:rFonts w:ascii="Arial" w:hAnsi="Arial" w:cs="Arial"/>
          <w:sz w:val="21"/>
        </w:rPr>
        <w:t>年</w:t>
      </w:r>
      <w:r>
        <w:rPr>
          <w:rFonts w:cs="Arial" w:ascii="Arial" w:hAnsi="Arial"/>
          <w:sz w:val="21"/>
        </w:rPr>
        <w:t>1</w:t>
      </w:r>
      <w:r>
        <w:rPr>
          <w:rFonts w:ascii="Arial" w:hAnsi="Arial" w:cs="Arial"/>
          <w:sz w:val="21"/>
        </w:rPr>
        <w:t>月</w:t>
      </w:r>
      <w:r>
        <w:rPr>
          <w:rFonts w:cs="Arial" w:ascii="Arial" w:hAnsi="Arial"/>
          <w:sz w:val="21"/>
        </w:rPr>
        <w:t>1</w:t>
      </w:r>
      <w:r>
        <w:rPr>
          <w:rFonts w:ascii="Arial" w:hAnsi="Arial" w:cs="Arial"/>
          <w:sz w:val="21"/>
        </w:rPr>
        <w:t>日起，教育费附加税税率为</w:t>
      </w:r>
      <w:r>
        <w:rPr>
          <w:rFonts w:cs="Arial" w:ascii="Arial" w:hAnsi="Arial"/>
          <w:sz w:val="21"/>
        </w:rPr>
        <w:t>3%</w:t>
      </w:r>
      <w:r>
        <w:rPr>
          <w:rFonts w:ascii="Arial" w:hAnsi="Arial" w:cs="Arial"/>
          <w:sz w:val="21"/>
        </w:rPr>
        <w:t>，即增值税率（</w:t>
      </w:r>
      <w:r>
        <w:rPr>
          <w:rFonts w:cs="Arial" w:ascii="Arial" w:hAnsi="Arial"/>
          <w:sz w:val="21"/>
        </w:rPr>
        <w:t>5%</w:t>
      </w:r>
      <w:r>
        <w:rPr>
          <w:rFonts w:ascii="Arial" w:hAnsi="Arial" w:cs="Arial"/>
          <w:sz w:val="21"/>
        </w:rPr>
        <w:t>）</w:t>
      </w:r>
      <w:r>
        <w:rPr>
          <w:rFonts w:cs="Arial" w:ascii="Arial" w:hAnsi="Arial"/>
          <w:sz w:val="21"/>
        </w:rPr>
        <w:t>×3%</w:t>
      </w:r>
      <w:r>
        <w:rPr>
          <w:rFonts w:ascii="Arial" w:hAnsi="Arial" w:cs="Arial"/>
          <w:sz w:val="21"/>
        </w:rPr>
        <w:t>为</w:t>
      </w:r>
      <w:r>
        <w:rPr>
          <w:rFonts w:cs="Arial" w:ascii="Arial" w:hAnsi="Arial"/>
          <w:sz w:val="21"/>
        </w:rPr>
        <w:t>0.15%</w:t>
      </w:r>
      <w:r>
        <w:rPr>
          <w:rFonts w:ascii="Arial" w:hAnsi="Arial" w:cs="Arial"/>
          <w:sz w:val="21"/>
        </w:rPr>
        <w:t>；地方教育附加：根据《海南省地方教育附加征收使用管理暂行办法》，地方教育税附加税税率为</w:t>
      </w:r>
      <w:r>
        <w:rPr>
          <w:rFonts w:cs="Arial" w:ascii="Arial" w:hAnsi="Arial"/>
          <w:sz w:val="21"/>
        </w:rPr>
        <w:t>2%</w:t>
      </w:r>
      <w:r>
        <w:rPr>
          <w:rFonts w:ascii="Arial" w:hAnsi="Arial" w:cs="Arial"/>
          <w:sz w:val="21"/>
        </w:rPr>
        <w:t>，即增值税率（</w:t>
      </w:r>
      <w:r>
        <w:rPr>
          <w:rFonts w:cs="Arial" w:ascii="Arial" w:hAnsi="Arial"/>
          <w:sz w:val="21"/>
        </w:rPr>
        <w:t>5%</w:t>
      </w:r>
      <w:r>
        <w:rPr>
          <w:rFonts w:ascii="Arial" w:hAnsi="Arial" w:cs="Arial"/>
          <w:sz w:val="21"/>
        </w:rPr>
        <w:t>）</w:t>
      </w:r>
      <w:r>
        <w:rPr>
          <w:rFonts w:cs="Arial" w:ascii="Arial" w:hAnsi="Arial"/>
          <w:sz w:val="21"/>
        </w:rPr>
        <w:t>×2%</w:t>
      </w:r>
      <w:r>
        <w:rPr>
          <w:rFonts w:ascii="Arial" w:hAnsi="Arial" w:cs="Arial"/>
          <w:sz w:val="21"/>
        </w:rPr>
        <w:t>为</w:t>
      </w:r>
      <w:r>
        <w:rPr>
          <w:rFonts w:cs="Arial" w:ascii="Arial" w:hAnsi="Arial"/>
          <w:sz w:val="21"/>
        </w:rPr>
        <w:t>0.1%</w:t>
      </w:r>
      <w:r>
        <w:rPr>
          <w:rFonts w:ascii="Arial" w:hAnsi="Arial" w:cs="Arial"/>
          <w:sz w:val="21"/>
        </w:rPr>
        <w:t>；</w:t>
      </w:r>
    </w:p>
    <w:p>
      <w:pPr>
        <w:pStyle w:val="Normal"/>
        <w:overflowPunct w:val="false"/>
        <w:autoSpaceDE w:val="false"/>
        <w:spacing w:lineRule="auto" w:line="480"/>
        <w:ind w:firstLine="420"/>
        <w:jc w:val="both"/>
        <w:textAlignment w:val="auto"/>
        <w:rPr/>
      </w:pPr>
      <w:r>
        <w:fldChar w:fldCharType="begin"/>
      </w:r>
      <w:r>
        <w:rPr>
          <w:sz w:val="21"/>
          <w:rFonts w:cs="宋体;SimSun" w:ascii="宋体;SimSun" w:hAnsi="宋体;SimSun"/>
        </w:rPr>
        <w:instrText> = 2 \* GB3 </w:instrText>
      </w:r>
      <w:r>
        <w:rPr>
          <w:sz w:val="21"/>
          <w:rFonts w:cs="宋体;SimSun" w:ascii="宋体;SimSun" w:hAnsi="宋体;SimSun"/>
        </w:rPr>
        <w:fldChar w:fldCharType="separate"/>
      </w:r>
      <w:bookmarkStart w:id="34" w:name="__Fieldmark__1_1090397687"/>
      <w:r>
        <w:rPr>
          <w:rFonts w:cs="宋体;SimSun" w:ascii="宋体;SimSun" w:hAnsi="宋体;SimSun"/>
          <w:sz w:val="21"/>
          <w:lang w:val="zh-CN" w:eastAsia="zh-CN"/>
        </w:rPr>
      </w:r>
      <w:r>
        <w:rPr>
          <w:rFonts w:cs="Arial" w:ascii="Arial" w:hAnsi="Arial"/>
          <w:sz w:val="21"/>
          <w:lang w:val="zh-CN" w:eastAsia="zh-CN"/>
        </w:rPr>
        <w:t>②</w:t>
      </w:r>
      <w:r>
        <w:rPr>
          <w:rFonts w:cs="Arial" w:ascii="Arial" w:hAnsi="Arial"/>
          <w:sz w:val="21"/>
          <w:lang w:val="zh-CN" w:eastAsia="zh-CN"/>
        </w:rPr>
      </w:r>
      <w:r>
        <w:rPr>
          <w:sz w:val="21"/>
          <w:rFonts w:cs="Arial" w:ascii="Arial" w:hAnsi="Arial"/>
        </w:rPr>
        <w:fldChar w:fldCharType="end"/>
      </w:r>
      <w:bookmarkEnd w:id="34"/>
      <w:r>
        <w:rPr>
          <w:rFonts w:cs="Arial" w:ascii="Arial" w:hAnsi="Arial"/>
          <w:sz w:val="21"/>
        </w:rPr>
        <w:t xml:space="preserve"> </w:t>
      </w:r>
      <w:r>
        <w:rPr>
          <w:rFonts w:ascii="Arial" w:hAnsi="Arial" w:cs="Arial"/>
          <w:sz w:val="21"/>
        </w:rPr>
        <w:t>房产税，是以房产为征税对象，由房产所有人按有关规定向税务机关缴纳的一种财产税，依据《中华人民共和国房产暂行条例》和地方税务局的有关规定计算，按租金收入计征税率</w:t>
      </w:r>
      <w:r>
        <w:rPr>
          <w:rFonts w:cs="Arial" w:ascii="Arial" w:hAnsi="Arial"/>
          <w:sz w:val="21"/>
        </w:rPr>
        <w:t>12%</w:t>
      </w:r>
      <w:r>
        <w:rPr>
          <w:rFonts w:ascii="Arial" w:hAnsi="Arial" w:cs="Arial"/>
          <w:sz w:val="21"/>
        </w:rPr>
        <w:t>计算，由于计税收入为不含税收入，故本次评估以年租金收入扣除增值税税额为基数计缴；</w:t>
      </w:r>
    </w:p>
    <w:p>
      <w:pPr>
        <w:pStyle w:val="Normal"/>
        <w:overflowPunct w:val="false"/>
        <w:autoSpaceDE w:val="false"/>
        <w:spacing w:lineRule="auto" w:line="480"/>
        <w:ind w:firstLine="420"/>
        <w:jc w:val="both"/>
        <w:textAlignment w:val="auto"/>
        <w:rPr>
          <w:rFonts w:ascii="Arial" w:hAnsi="Arial" w:cs="Arial"/>
          <w:sz w:val="21"/>
        </w:rPr>
      </w:pPr>
      <w:r>
        <w:fldChar w:fldCharType="begin"/>
      </w:r>
      <w:r>
        <w:rPr>
          <w:sz w:val="21"/>
          <w:rFonts w:cs="宋体;SimSun" w:ascii="宋体;SimSun" w:hAnsi="宋体;SimSun"/>
        </w:rPr>
        <w:instrText> = 3 \* GB3 </w:instrText>
      </w:r>
      <w:r>
        <w:rPr>
          <w:sz w:val="21"/>
          <w:rFonts w:cs="宋体;SimSun" w:ascii="宋体;SimSun" w:hAnsi="宋体;SimSun"/>
        </w:rPr>
        <w:fldChar w:fldCharType="separate"/>
      </w:r>
      <w:bookmarkStart w:id="35" w:name="__Fieldmark__2_1090397687"/>
      <w:r>
        <w:rPr>
          <w:rFonts w:cs="宋体;SimSun" w:ascii="宋体;SimSun" w:hAnsi="宋体;SimSun"/>
          <w:sz w:val="21"/>
          <w:lang w:val="zh-CN" w:eastAsia="zh-CN"/>
        </w:rPr>
      </w:r>
      <w:r>
        <w:rPr>
          <w:rFonts w:cs="Arial" w:ascii="Arial" w:hAnsi="Arial"/>
          <w:sz w:val="21"/>
          <w:lang w:val="zh-CN" w:eastAsia="zh-CN"/>
        </w:rPr>
        <w:t>③</w:t>
      </w:r>
      <w:r>
        <w:rPr>
          <w:rFonts w:cs="Arial" w:ascii="Arial" w:hAnsi="Arial"/>
          <w:sz w:val="21"/>
          <w:lang w:val="zh-CN" w:eastAsia="zh-CN"/>
        </w:rPr>
      </w:r>
      <w:r>
        <w:rPr>
          <w:sz w:val="21"/>
          <w:rFonts w:cs="Arial" w:ascii="Arial" w:hAnsi="Arial"/>
        </w:rPr>
        <w:fldChar w:fldCharType="end"/>
      </w:r>
      <w:bookmarkEnd w:id="35"/>
      <w:r>
        <w:rPr>
          <w:rFonts w:cs="Arial" w:ascii="Arial" w:hAnsi="Arial"/>
          <w:sz w:val="21"/>
        </w:rPr>
        <w:t xml:space="preserve"> </w:t>
      </w:r>
      <w:r>
        <w:rPr>
          <w:rFonts w:ascii="Arial" w:hAnsi="Arial" w:cs="Arial"/>
          <w:sz w:val="21"/>
        </w:rPr>
        <w:t>城镇土地使用税，根据《国家税务总局海口市税务局关于公开征求调整海口市城镇土地使用税应税土地等级范围意见的公告》，估价对象土地纳税等级为海口市一级土地，纳税标准为</w:t>
      </w:r>
      <w:r>
        <w:rPr>
          <w:rFonts w:cs="Arial" w:ascii="Arial" w:hAnsi="Arial"/>
          <w:sz w:val="21"/>
        </w:rPr>
        <w:t>18</w:t>
      </w:r>
      <w:r>
        <w:rPr>
          <w:rFonts w:ascii="Arial" w:hAnsi="Arial" w:cs="Arial"/>
          <w:sz w:val="21"/>
        </w:rPr>
        <w:t>元</w:t>
      </w:r>
      <w:r>
        <w:rPr>
          <w:rFonts w:cs="Arial" w:ascii="Arial" w:hAnsi="Arial"/>
          <w:sz w:val="21"/>
        </w:rPr>
        <w:t>/</w:t>
      </w:r>
      <w:r>
        <w:rPr>
          <w:rFonts w:ascii="Arial" w:hAnsi="Arial" w:cs="Arial"/>
          <w:sz w:val="21"/>
        </w:rPr>
        <w:t>平方米；</w:t>
      </w:r>
    </w:p>
    <w:p>
      <w:pPr>
        <w:pStyle w:val="Normal"/>
        <w:overflowPunct w:val="false"/>
        <w:autoSpaceDE w:val="false"/>
        <w:spacing w:lineRule="auto" w:line="480"/>
        <w:ind w:firstLine="420"/>
        <w:jc w:val="both"/>
        <w:textAlignment w:val="auto"/>
        <w:rPr/>
      </w:pPr>
      <w:r>
        <w:fldChar w:fldCharType="begin"/>
      </w:r>
      <w:r>
        <w:rPr>
          <w:sz w:val="21"/>
          <w:rFonts w:cs="宋体;SimSun" w:ascii="宋体;SimSun" w:hAnsi="宋体;SimSun"/>
        </w:rPr>
        <w:instrText> = 4 \* GB3 </w:instrText>
      </w:r>
      <w:r>
        <w:rPr>
          <w:sz w:val="21"/>
          <w:rFonts w:cs="宋体;SimSun" w:ascii="宋体;SimSun" w:hAnsi="宋体;SimSun"/>
        </w:rPr>
        <w:fldChar w:fldCharType="separate"/>
      </w:r>
      <w:bookmarkStart w:id="36" w:name="__Fieldmark__3_1090397687"/>
      <w:r>
        <w:rPr>
          <w:rFonts w:cs="宋体;SimSun" w:ascii="宋体;SimSun" w:hAnsi="宋体;SimSun"/>
          <w:sz w:val="21"/>
        </w:rPr>
      </w:r>
      <w:r>
        <w:rPr>
          <w:rFonts w:cs="Arial" w:ascii="Arial" w:hAnsi="Arial"/>
          <w:sz w:val="21"/>
        </w:rPr>
        <w:t>④</w:t>
      </w:r>
      <w:r>
        <w:rPr>
          <w:rFonts w:cs="Arial" w:ascii="Arial" w:hAnsi="Arial"/>
          <w:sz w:val="21"/>
        </w:rPr>
      </w:r>
      <w:r>
        <w:rPr>
          <w:sz w:val="21"/>
          <w:rFonts w:cs="Arial" w:ascii="Arial" w:hAnsi="Arial"/>
        </w:rPr>
        <w:fldChar w:fldCharType="end"/>
      </w:r>
      <w:bookmarkEnd w:id="36"/>
      <w:r>
        <w:rPr>
          <w:rFonts w:cs="Arial" w:ascii="Arial" w:hAnsi="Arial"/>
          <w:sz w:val="21"/>
        </w:rPr>
        <w:t xml:space="preserve"> </w:t>
      </w:r>
      <w:r>
        <w:rPr>
          <w:rFonts w:ascii="Arial" w:hAnsi="Arial" w:cs="Arial"/>
          <w:sz w:val="21"/>
        </w:rPr>
        <w:t>维修费，指为保障房屋正常使用每年需支付的修缮费。根据项目的不同，维修保养费用一般取重置价格</w:t>
      </w:r>
      <w:r>
        <w:rPr>
          <w:rFonts w:cs="Arial" w:ascii="Arial" w:hAnsi="Arial"/>
          <w:sz w:val="21"/>
        </w:rPr>
        <w:t>0.5%-2%</w:t>
      </w:r>
      <w:r>
        <w:rPr>
          <w:rFonts w:ascii="Arial" w:hAnsi="Arial" w:cs="Arial"/>
          <w:sz w:val="21"/>
        </w:rPr>
        <w:t>。本次评估根据估价对象的品质、结构、建成年代等，维修保养费按房屋重置价的</w:t>
      </w:r>
      <w:r>
        <w:rPr>
          <w:rFonts w:cs="Arial" w:ascii="Arial" w:hAnsi="Arial"/>
          <w:sz w:val="21"/>
        </w:rPr>
        <w:t>0.5%</w:t>
      </w:r>
      <w:r>
        <w:rPr>
          <w:rFonts w:ascii="Arial" w:hAnsi="Arial" w:cs="Arial"/>
          <w:sz w:val="21"/>
        </w:rPr>
        <w:t>计算；</w:t>
      </w:r>
      <w:r>
        <w:rPr>
          <w:rFonts w:ascii="Arial" w:hAnsi="Arial" w:cs="Arial" w:eastAsia="Arial"/>
          <w:sz w:val="21"/>
        </w:rPr>
        <w:t xml:space="preserve"> </w:t>
      </w:r>
    </w:p>
    <w:p>
      <w:pPr>
        <w:pStyle w:val="Normal"/>
        <w:overflowPunct w:val="false"/>
        <w:autoSpaceDE w:val="false"/>
        <w:spacing w:lineRule="auto" w:line="480"/>
        <w:ind w:firstLine="420"/>
        <w:jc w:val="both"/>
        <w:textAlignment w:val="auto"/>
        <w:rPr/>
      </w:pPr>
      <w:r>
        <w:fldChar w:fldCharType="begin"/>
      </w:r>
      <w:r>
        <w:rPr>
          <w:sz w:val="21"/>
          <w:rFonts w:cs="宋体;SimSun" w:ascii="宋体;SimSun" w:hAnsi="宋体;SimSun"/>
        </w:rPr>
        <w:instrText> = 5 \* GB3 </w:instrText>
      </w:r>
      <w:r>
        <w:rPr>
          <w:sz w:val="21"/>
          <w:rFonts w:cs="宋体;SimSun" w:ascii="宋体;SimSun" w:hAnsi="宋体;SimSun"/>
        </w:rPr>
        <w:fldChar w:fldCharType="separate"/>
      </w:r>
      <w:bookmarkStart w:id="37" w:name="__Fieldmark__4_1090397687"/>
      <w:r>
        <w:rPr>
          <w:rFonts w:cs="宋体;SimSun" w:ascii="宋体;SimSun" w:hAnsi="宋体;SimSun"/>
          <w:sz w:val="21"/>
          <w:lang w:val="zh-CN" w:eastAsia="zh-CN"/>
        </w:rPr>
      </w:r>
      <w:r>
        <w:rPr>
          <w:rFonts w:cs="Arial" w:ascii="Arial" w:hAnsi="Arial"/>
          <w:sz w:val="21"/>
          <w:lang w:val="zh-CN" w:eastAsia="zh-CN"/>
        </w:rPr>
        <w:t>⑤</w:t>
      </w:r>
      <w:r>
        <w:rPr>
          <w:rFonts w:cs="Arial" w:ascii="Arial" w:hAnsi="Arial"/>
          <w:sz w:val="21"/>
          <w:lang w:val="zh-CN" w:eastAsia="zh-CN"/>
        </w:rPr>
      </w:r>
      <w:r>
        <w:rPr>
          <w:sz w:val="21"/>
          <w:rFonts w:cs="Arial" w:ascii="Arial" w:hAnsi="Arial"/>
        </w:rPr>
        <w:fldChar w:fldCharType="end"/>
      </w:r>
      <w:bookmarkEnd w:id="37"/>
      <w:r>
        <w:rPr>
          <w:rFonts w:cs="Arial" w:ascii="Arial" w:hAnsi="Arial"/>
          <w:sz w:val="21"/>
        </w:rPr>
        <w:t xml:space="preserve"> </w:t>
      </w:r>
      <w:r>
        <w:rPr>
          <w:rFonts w:ascii="Arial" w:hAnsi="Arial" w:cs="Arial"/>
          <w:sz w:val="21"/>
        </w:rPr>
        <w:t>保险费，指房产所有人为使自己的房产避免意外损失而向保险公司支付的费用，一般按房屋重置成新价格乘以保险费率计算，根据项目的不同，保险费率可取</w:t>
      </w:r>
      <w:r>
        <w:rPr>
          <w:rFonts w:cs="Arial" w:ascii="Arial" w:hAnsi="Arial"/>
          <w:sz w:val="21"/>
        </w:rPr>
        <w:t>0.1%-0.2%</w:t>
      </w:r>
      <w:r>
        <w:rPr>
          <w:rFonts w:ascii="Arial" w:hAnsi="Arial" w:cs="Arial"/>
          <w:sz w:val="21"/>
        </w:rPr>
        <w:t>。本次评估根据估价对象项目情况，按房屋重置成新价格（即建筑物现值）的</w:t>
      </w:r>
      <w:r>
        <w:rPr>
          <w:rFonts w:cs="Arial" w:ascii="Arial" w:hAnsi="Arial"/>
          <w:sz w:val="21"/>
        </w:rPr>
        <w:t>0.1%</w:t>
      </w:r>
      <w:r>
        <w:rPr>
          <w:rFonts w:ascii="Arial" w:hAnsi="Arial" w:cs="Arial"/>
          <w:sz w:val="21"/>
        </w:rPr>
        <w:t>计算；</w:t>
      </w:r>
    </w:p>
    <w:p>
      <w:pPr>
        <w:pStyle w:val="Normal"/>
        <w:overflowPunct w:val="false"/>
        <w:autoSpaceDE w:val="false"/>
        <w:spacing w:lineRule="auto" w:line="480"/>
        <w:ind w:firstLine="420"/>
        <w:jc w:val="both"/>
        <w:textAlignment w:val="auto"/>
        <w:rPr>
          <w:rFonts w:ascii="Arial" w:hAnsi="Arial" w:cs="Arial"/>
          <w:sz w:val="21"/>
        </w:rPr>
      </w:pPr>
      <w:r>
        <w:fldChar w:fldCharType="begin"/>
      </w:r>
      <w:r>
        <w:rPr>
          <w:sz w:val="21"/>
          <w:rFonts w:cs="宋体;SimSun" w:ascii="宋体;SimSun" w:hAnsi="宋体;SimSun"/>
        </w:rPr>
        <w:instrText> = 6 \* GB3 </w:instrText>
      </w:r>
      <w:r>
        <w:rPr>
          <w:sz w:val="21"/>
          <w:rFonts w:cs="宋体;SimSun" w:ascii="宋体;SimSun" w:hAnsi="宋体;SimSun"/>
        </w:rPr>
        <w:fldChar w:fldCharType="separate"/>
      </w:r>
      <w:bookmarkStart w:id="38" w:name="__Fieldmark__5_1090397687"/>
      <w:r>
        <w:rPr>
          <w:rFonts w:cs="宋体;SimSun" w:ascii="宋体;SimSun" w:hAnsi="宋体;SimSun"/>
          <w:sz w:val="21"/>
          <w:lang w:val="zh-CN" w:eastAsia="zh-CN"/>
        </w:rPr>
      </w:r>
      <w:r>
        <w:rPr>
          <w:rFonts w:cs="Arial" w:ascii="Arial" w:hAnsi="Arial"/>
          <w:sz w:val="21"/>
          <w:lang w:val="zh-CN" w:eastAsia="zh-CN"/>
        </w:rPr>
        <w:t>⑥</w:t>
      </w:r>
      <w:r>
        <w:rPr>
          <w:rFonts w:cs="Arial" w:ascii="Arial" w:hAnsi="Arial"/>
          <w:sz w:val="21"/>
          <w:lang w:val="zh-CN" w:eastAsia="zh-CN"/>
        </w:rPr>
      </w:r>
      <w:r>
        <w:rPr>
          <w:sz w:val="21"/>
          <w:rFonts w:cs="Arial" w:ascii="Arial" w:hAnsi="Arial"/>
        </w:rPr>
        <w:fldChar w:fldCharType="end"/>
      </w:r>
      <w:bookmarkEnd w:id="38"/>
      <w:r>
        <w:rPr>
          <w:rFonts w:cs="Arial" w:ascii="Arial" w:hAnsi="Arial"/>
          <w:sz w:val="21"/>
        </w:rPr>
        <w:t xml:space="preserve"> </w:t>
      </w:r>
      <w:r>
        <w:rPr>
          <w:rFonts w:ascii="Arial" w:hAnsi="Arial" w:cs="Arial"/>
          <w:sz w:val="21"/>
        </w:rPr>
        <w:t>管理费用，指对出租房屋进行必要的管理所需的费用，包括水费、电费及管理人员工资等，同类房地产的管理费水平一般占年收入的</w:t>
      </w:r>
      <w:r>
        <w:rPr>
          <w:rFonts w:cs="Arial" w:ascii="Arial" w:hAnsi="Arial"/>
          <w:sz w:val="21"/>
        </w:rPr>
        <w:t>0.5%-2%</w:t>
      </w:r>
      <w:r>
        <w:rPr>
          <w:rFonts w:ascii="Arial" w:hAnsi="Arial" w:cs="Arial"/>
          <w:sz w:val="21"/>
        </w:rPr>
        <w:t>。本次评估根据估价对象实际情况，按年收入的</w:t>
      </w:r>
      <w:r>
        <w:rPr>
          <w:rFonts w:cs="Arial" w:ascii="Arial" w:hAnsi="Arial"/>
          <w:sz w:val="21"/>
        </w:rPr>
        <w:t>0.5%</w:t>
      </w:r>
      <w:r>
        <w:rPr>
          <w:rFonts w:ascii="Arial" w:hAnsi="Arial" w:cs="Arial"/>
          <w:sz w:val="21"/>
        </w:rPr>
        <w:t>计算。</w:t>
      </w:r>
    </w:p>
    <w:p>
      <w:pPr>
        <w:pStyle w:val="Normal"/>
        <w:overflowPunct w:val="false"/>
        <w:autoSpaceDE w:val="false"/>
        <w:spacing w:lineRule="auto" w:line="480"/>
        <w:ind w:firstLine="420"/>
        <w:jc w:val="both"/>
        <w:textAlignment w:val="auto"/>
        <w:rPr>
          <w:rFonts w:ascii="Arial" w:hAnsi="Arial" w:cs="Arial"/>
          <w:sz w:val="21"/>
        </w:rPr>
      </w:pPr>
      <w:r>
        <w:fldChar w:fldCharType="begin"/>
      </w:r>
      <w:r>
        <w:rPr>
          <w:sz w:val="21"/>
          <w:rFonts w:cs="Arial" w:ascii="Arial" w:hAnsi="Arial"/>
        </w:rPr>
        <w:instrText> = 7 \* GB3 </w:instrText>
      </w:r>
      <w:r>
        <w:rPr>
          <w:sz w:val="21"/>
          <w:rFonts w:cs="Arial" w:ascii="Arial" w:hAnsi="Arial"/>
        </w:rPr>
        <w:fldChar w:fldCharType="separate"/>
      </w:r>
      <w:bookmarkStart w:id="39" w:name="__Fieldmark__6_1090397687"/>
      <w:r>
        <w:rPr>
          <w:rFonts w:cs="Arial" w:ascii="Arial" w:hAnsi="Arial"/>
          <w:sz w:val="21"/>
        </w:rPr>
        <w:t>⑦</w:t>
      </w:r>
      <w:r>
        <w:rPr>
          <w:rFonts w:cs="Arial" w:ascii="Arial" w:hAnsi="Arial"/>
          <w:sz w:val="21"/>
        </w:rPr>
      </w:r>
      <w:r>
        <w:rPr>
          <w:sz w:val="21"/>
          <w:rFonts w:cs="Arial" w:ascii="Arial" w:hAnsi="Arial"/>
        </w:rPr>
        <w:fldChar w:fldCharType="end"/>
      </w:r>
      <w:bookmarkEnd w:id="39"/>
      <w:r>
        <w:rPr>
          <w:rFonts w:cs="Arial" w:ascii="Arial" w:hAnsi="Arial"/>
          <w:sz w:val="21"/>
        </w:rPr>
        <w:t xml:space="preserve"> </w:t>
      </w:r>
      <w:r>
        <w:rPr>
          <w:rFonts w:ascii="Arial" w:hAnsi="Arial" w:cs="Arial"/>
          <w:sz w:val="21"/>
        </w:rPr>
        <w:t>建筑物现值及重置价值计算</w:t>
      </w:r>
    </w:p>
    <w:tbl>
      <w:tblPr>
        <w:tblW w:w="9309" w:type="dxa"/>
        <w:jc w:val="center"/>
        <w:tblInd w:w="0" w:type="dxa"/>
        <w:tblCellMar>
          <w:top w:w="57" w:type="dxa"/>
          <w:left w:w="57" w:type="dxa"/>
          <w:bottom w:w="57" w:type="dxa"/>
          <w:right w:w="57" w:type="dxa"/>
        </w:tblCellMar>
      </w:tblPr>
      <w:tblGrid>
        <w:gridCol w:w="674"/>
        <w:gridCol w:w="2029"/>
        <w:gridCol w:w="1129"/>
        <w:gridCol w:w="2832"/>
        <w:gridCol w:w="1547"/>
        <w:gridCol w:w="1098"/>
      </w:tblGrid>
      <w:tr>
        <w:trPr>
          <w:tblHeader w:val="true"/>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bCs/>
                <w:sz w:val="18"/>
                <w:szCs w:val="18"/>
              </w:rPr>
            </w:pPr>
            <w:r>
              <w:rPr>
                <w:rFonts w:ascii="Arial" w:hAnsi="Arial" w:cs="Arial" w:eastAsia="华文细黑"/>
                <w:bCs/>
                <w:sz w:val="18"/>
                <w:szCs w:val="18"/>
              </w:rPr>
              <w:t>序号</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bCs/>
                <w:sz w:val="18"/>
                <w:szCs w:val="18"/>
              </w:rPr>
            </w:pPr>
            <w:r>
              <w:rPr>
                <w:rFonts w:ascii="Arial" w:hAnsi="Arial" w:cs="Arial" w:eastAsia="华文细黑"/>
                <w:bCs/>
                <w:sz w:val="18"/>
                <w:szCs w:val="18"/>
              </w:rPr>
              <w:t>项目</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bCs/>
                <w:sz w:val="18"/>
                <w:szCs w:val="18"/>
              </w:rPr>
            </w:pPr>
            <w:r>
              <w:rPr>
                <w:rFonts w:ascii="Arial" w:hAnsi="Arial" w:cs="Arial" w:eastAsia="华文细黑"/>
                <w:bCs/>
                <w:sz w:val="18"/>
                <w:szCs w:val="18"/>
              </w:rPr>
              <w:t>数额（万元）</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计算公式</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取费标准</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bCs/>
                <w:sz w:val="18"/>
                <w:szCs w:val="18"/>
              </w:rPr>
            </w:pPr>
            <w:r>
              <w:rPr>
                <w:rFonts w:eastAsia="华文细黑" w:cs="Arial" w:ascii="Arial" w:hAnsi="Arial"/>
                <w:bCs/>
                <w:sz w:val="18"/>
                <w:szCs w:val="18"/>
              </w:rPr>
              <w:t>2</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bCs/>
                <w:sz w:val="18"/>
                <w:szCs w:val="18"/>
              </w:rPr>
            </w:pPr>
            <w:r>
              <w:rPr>
                <w:rFonts w:ascii="Arial" w:hAnsi="Arial" w:cs="Arial" w:eastAsia="华文细黑"/>
                <w:bCs/>
                <w:sz w:val="18"/>
                <w:szCs w:val="18"/>
              </w:rPr>
              <w:t>建筑物现值</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7927</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建筑物重置价值</w:t>
            </w:r>
            <w:r>
              <w:rPr>
                <w:rFonts w:eastAsia="华文细黑" w:cs="Arial" w:ascii="Arial" w:hAnsi="Arial"/>
                <w:sz w:val="18"/>
                <w:szCs w:val="18"/>
              </w:rPr>
              <w:t>×</w:t>
            </w:r>
            <w:r>
              <w:rPr>
                <w:rFonts w:ascii="Arial" w:hAnsi="Arial" w:cs="Arial" w:eastAsia="华文细黑"/>
                <w:sz w:val="18"/>
                <w:szCs w:val="18"/>
              </w:rPr>
              <w:t>成新度</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成新度（</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9</w:t>
            </w:r>
            <w:r>
              <w:rPr>
                <w:rFonts w:eastAsia="华文细黑" w:cs="Arial" w:ascii="Arial" w:hAnsi="Arial"/>
                <w:sz w:val="18"/>
                <w:szCs w:val="18"/>
              </w:rPr>
              <w:t>0</w:t>
            </w:r>
            <w:r>
              <w:rPr>
                <w:rFonts w:eastAsia="华文细黑" w:cs="Arial" w:ascii="Arial" w:hAnsi="Arial"/>
                <w:sz w:val="18"/>
                <w:szCs w:val="18"/>
              </w:rPr>
              <w:t>.0%</w:t>
            </w:r>
          </w:p>
        </w:tc>
      </w:tr>
      <w:tr>
        <w:trPr>
          <w:cantSplit w:val="true"/>
        </w:trPr>
        <w:tc>
          <w:tcPr>
            <w:tcW w:w="674"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w:t>
            </w:r>
          </w:p>
        </w:tc>
        <w:tc>
          <w:tcPr>
            <w:tcW w:w="2029"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建安费用</w:t>
            </w:r>
          </w:p>
        </w:tc>
        <w:tc>
          <w:tcPr>
            <w:tcW w:w="1129"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6104</w:t>
            </w:r>
          </w:p>
        </w:tc>
        <w:tc>
          <w:tcPr>
            <w:tcW w:w="2832" w:type="dxa"/>
            <w:vMerge w:val="restart"/>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建安单价</w:t>
            </w:r>
            <w:r>
              <w:rPr>
                <w:rFonts w:eastAsia="华文细黑" w:cs="Arial" w:ascii="Arial" w:hAnsi="Arial"/>
                <w:sz w:val="18"/>
                <w:szCs w:val="18"/>
              </w:rPr>
              <w:t>×</w:t>
            </w:r>
            <w:r>
              <w:rPr>
                <w:rFonts w:ascii="Arial" w:hAnsi="Arial" w:cs="Arial" w:eastAsia="华文细黑"/>
                <w:sz w:val="18"/>
                <w:szCs w:val="18"/>
              </w:rPr>
              <w:t>建筑面积</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建安单价（元</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bCs/>
                <w:sz w:val="18"/>
                <w:szCs w:val="18"/>
              </w:rPr>
            </w:pPr>
            <w:r>
              <w:rPr>
                <w:rFonts w:eastAsia="华文细黑" w:cs="Arial" w:ascii="Arial" w:hAnsi="Arial"/>
                <w:sz w:val="18"/>
                <w:szCs w:val="18"/>
              </w:rPr>
              <w:t>4000</w:t>
            </w:r>
          </w:p>
        </w:tc>
      </w:tr>
      <w:tr>
        <w:trPr>
          <w:cantSplit w:val="true"/>
        </w:trPr>
        <w:tc>
          <w:tcPr>
            <w:tcW w:w="674"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bCs/>
                <w:sz w:val="18"/>
                <w:szCs w:val="18"/>
              </w:rPr>
            </w:pPr>
            <w:r>
              <w:rPr>
                <w:rFonts w:eastAsia="华文细黑" w:cs="Arial" w:ascii="Arial" w:hAnsi="Arial"/>
                <w:bCs/>
                <w:sz w:val="18"/>
                <w:szCs w:val="18"/>
              </w:rPr>
            </w:r>
          </w:p>
        </w:tc>
        <w:tc>
          <w:tcPr>
            <w:tcW w:w="2029"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c>
          <w:tcPr>
            <w:tcW w:w="1129"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c>
          <w:tcPr>
            <w:tcW w:w="2832" w:type="dxa"/>
            <w:vMerge w:val="continue"/>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建筑面积（㎡）</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15260.82</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勘察设计和前期工程费</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183</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建安费用</w:t>
            </w:r>
            <w:r>
              <w:rPr>
                <w:rFonts w:eastAsia="华文细黑" w:cs="Arial" w:ascii="Arial" w:hAnsi="Arial"/>
                <w:sz w:val="18"/>
                <w:szCs w:val="18"/>
              </w:rPr>
              <w:t>×</w:t>
            </w:r>
            <w:r>
              <w:rPr>
                <w:rFonts w:ascii="Arial" w:hAnsi="Arial" w:cs="Arial" w:eastAsia="华文细黑"/>
                <w:sz w:val="18"/>
                <w:szCs w:val="18"/>
              </w:rPr>
              <w:t>费率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费率（</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pPr>
            <w:r>
              <w:rPr>
                <w:rFonts w:eastAsia="华文细黑" w:cs="Arial" w:ascii="Arial" w:hAnsi="Arial"/>
                <w:sz w:val="18"/>
                <w:szCs w:val="18"/>
              </w:rPr>
              <w:t>3</w:t>
            </w:r>
            <w:r>
              <w:rPr>
                <w:rFonts w:eastAsia="华文细黑" w:cs="Arial" w:ascii="Arial" w:hAnsi="Arial"/>
                <w:sz w:val="18"/>
                <w:szCs w:val="18"/>
              </w:rPr>
              <w:t>.0%</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3</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公共配套设施费用</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0</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建安费用</w:t>
            </w:r>
            <w:r>
              <w:rPr>
                <w:rFonts w:eastAsia="华文细黑" w:cs="Arial" w:ascii="Arial" w:hAnsi="Arial"/>
                <w:sz w:val="18"/>
                <w:szCs w:val="18"/>
              </w:rPr>
              <w:t>×</w:t>
            </w:r>
            <w:r>
              <w:rPr>
                <w:rFonts w:ascii="Arial" w:hAnsi="Arial" w:cs="Arial" w:eastAsia="华文细黑"/>
                <w:sz w:val="18"/>
                <w:szCs w:val="18"/>
              </w:rPr>
              <w:t>费率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费率（</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不计取</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4</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基础设施建设费</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305</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建筑面积</w:t>
            </w:r>
            <w:r>
              <w:rPr>
                <w:rFonts w:eastAsia="华文细黑" w:cs="Arial" w:ascii="Arial" w:hAnsi="Arial"/>
                <w:sz w:val="18"/>
                <w:szCs w:val="18"/>
              </w:rPr>
              <w:t>×</w:t>
            </w:r>
            <w:r>
              <w:rPr>
                <w:rFonts w:ascii="Arial" w:hAnsi="Arial" w:cs="Arial" w:eastAsia="华文细黑"/>
                <w:sz w:val="18"/>
                <w:szCs w:val="18"/>
              </w:rPr>
              <w:t>取费标准</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市政费用（元</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200</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5</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相关税费</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92</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建安费用</w:t>
            </w:r>
            <w:r>
              <w:rPr>
                <w:rFonts w:eastAsia="华文细黑" w:cs="Arial" w:ascii="Arial" w:hAnsi="Arial"/>
                <w:sz w:val="18"/>
                <w:szCs w:val="18"/>
              </w:rPr>
              <w:t>×</w:t>
            </w:r>
            <w:r>
              <w:rPr>
                <w:rFonts w:ascii="Arial" w:hAnsi="Arial" w:cs="Arial" w:eastAsia="华文细黑"/>
                <w:sz w:val="18"/>
                <w:szCs w:val="18"/>
              </w:rPr>
              <w:t>费率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费率（</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1.5%</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1</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建造成本</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6684</w:t>
            </w:r>
          </w:p>
        </w:tc>
        <w:tc>
          <w:tcPr>
            <w:tcW w:w="4379"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建安费用</w:t>
            </w:r>
            <w:r>
              <w:rPr>
                <w:rFonts w:eastAsia="华文细黑" w:cs="Arial" w:ascii="Arial" w:hAnsi="Arial"/>
                <w:sz w:val="18"/>
                <w:szCs w:val="18"/>
              </w:rPr>
              <w:t>+</w:t>
            </w:r>
            <w:r>
              <w:rPr>
                <w:rFonts w:ascii="Arial" w:hAnsi="Arial" w:cs="Arial" w:eastAsia="华文细黑"/>
                <w:sz w:val="18"/>
                <w:szCs w:val="18"/>
              </w:rPr>
              <w:t>公共配套设施费用</w:t>
            </w:r>
            <w:r>
              <w:rPr>
                <w:rFonts w:eastAsia="华文细黑" w:cs="Arial" w:ascii="Arial" w:hAnsi="Arial"/>
                <w:sz w:val="18"/>
                <w:szCs w:val="18"/>
              </w:rPr>
              <w:t>+</w:t>
            </w:r>
            <w:r>
              <w:rPr>
                <w:rFonts w:ascii="Arial" w:hAnsi="Arial" w:cs="Arial" w:eastAsia="华文细黑"/>
                <w:sz w:val="18"/>
                <w:szCs w:val="18"/>
              </w:rPr>
              <w:t>基础设施建设费</w:t>
            </w:r>
            <w:r>
              <w:rPr>
                <w:rFonts w:eastAsia="华文细黑" w:cs="Arial" w:ascii="Arial" w:hAnsi="Arial"/>
                <w:sz w:val="18"/>
                <w:szCs w:val="18"/>
              </w:rPr>
              <w:t>+</w:t>
            </w:r>
            <w:r>
              <w:rPr>
                <w:rFonts w:ascii="Arial" w:hAnsi="Arial" w:cs="Arial" w:eastAsia="华文细黑"/>
                <w:sz w:val="18"/>
                <w:szCs w:val="18"/>
              </w:rPr>
              <w:t>相关税费</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　</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管理费用</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134</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建造成本</w:t>
            </w:r>
            <w:r>
              <w:rPr>
                <w:rFonts w:eastAsia="华文细黑" w:cs="Arial" w:ascii="Arial" w:hAnsi="Arial"/>
                <w:sz w:val="18"/>
                <w:szCs w:val="18"/>
              </w:rPr>
              <w:t>×</w:t>
            </w:r>
            <w:r>
              <w:rPr>
                <w:rFonts w:ascii="Arial" w:hAnsi="Arial" w:cs="Arial" w:eastAsia="华文细黑"/>
                <w:sz w:val="18"/>
                <w:szCs w:val="18"/>
              </w:rPr>
              <w:t>费率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费率（</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2.0%</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销售费用</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0.025</w:t>
            </w:r>
            <w:r>
              <w:rPr>
                <w:rFonts w:eastAsia="华文细黑" w:cs="Arial" w:ascii="Arial" w:hAnsi="Arial"/>
                <w:sz w:val="18"/>
                <w:szCs w:val="18"/>
              </w:rPr>
              <w:t>V</w:t>
            </w:r>
            <w:r>
              <w:rPr>
                <w:rFonts w:ascii="Arial" w:hAnsi="Arial" w:cs="Arial" w:eastAsia="华文细黑"/>
                <w:sz w:val="18"/>
                <w:szCs w:val="18"/>
                <w:vertAlign w:val="subscript"/>
              </w:rPr>
              <w:t>建</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建筑物重置价值</w:t>
            </w:r>
            <w:r>
              <w:rPr>
                <w:rFonts w:eastAsia="华文细黑" w:cs="Arial" w:ascii="Arial" w:hAnsi="Arial"/>
                <w:sz w:val="18"/>
                <w:szCs w:val="18"/>
              </w:rPr>
              <w:t>×</w:t>
            </w:r>
            <w:r>
              <w:rPr>
                <w:rFonts w:ascii="Arial" w:hAnsi="Arial" w:cs="Arial" w:eastAsia="华文细黑"/>
                <w:sz w:val="18"/>
                <w:szCs w:val="18"/>
              </w:rPr>
              <w:t>费率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销售费率（</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2.5%</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4</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贷款利息</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cs="Arial"/>
              </w:rPr>
            </w:pPr>
            <w:r>
              <w:rPr>
                <w:rFonts w:ascii="华文细黑" w:hAnsi="华文细黑" w:cs="华文细黑" w:eastAsia="华文细黑"/>
                <w:sz w:val="18"/>
                <w:szCs w:val="18"/>
              </w:rPr>
              <w:t>——</w:t>
            </w:r>
          </w:p>
        </w:tc>
        <w:tc>
          <w:tcPr>
            <w:tcW w:w="4379" w:type="dxa"/>
            <w:gridSpan w:val="2"/>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复利计息。建造成本、管理费用、销售费用产生的利息。</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　</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1</w:t>
            </w:r>
            <w:r>
              <w:rPr>
                <w:rFonts w:ascii="Arial" w:hAnsi="Arial" w:cs="Arial" w:eastAsia="华文细黑"/>
                <w:sz w:val="18"/>
                <w:szCs w:val="18"/>
              </w:rPr>
              <w:t>）及（</w:t>
            </w:r>
            <w:r>
              <w:rPr>
                <w:rFonts w:eastAsia="华文细黑" w:cs="Arial" w:ascii="Arial" w:hAnsi="Arial"/>
                <w:sz w:val="18"/>
                <w:szCs w:val="18"/>
              </w:rPr>
              <w:t>2</w:t>
            </w:r>
            <w:r>
              <w:rPr>
                <w:rFonts w:ascii="Arial" w:hAnsi="Arial" w:cs="Arial" w:eastAsia="华文细黑"/>
                <w:sz w:val="18"/>
                <w:szCs w:val="18"/>
              </w:rPr>
              <w:t>）项产生的利息</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236</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w:t>
            </w:r>
            <w:r>
              <w:rPr>
                <w:rFonts w:ascii="Arial" w:hAnsi="Arial" w:cs="Arial" w:eastAsia="华文细黑"/>
                <w:sz w:val="18"/>
                <w:szCs w:val="18"/>
              </w:rPr>
              <w:t>建造成本</w:t>
            </w:r>
            <w:r>
              <w:rPr>
                <w:rFonts w:eastAsia="华文细黑" w:cs="Arial" w:ascii="Arial" w:hAnsi="Arial"/>
                <w:sz w:val="18"/>
                <w:szCs w:val="18"/>
              </w:rPr>
              <w:t>+</w:t>
            </w:r>
            <w:r>
              <w:rPr>
                <w:rFonts w:ascii="Arial" w:hAnsi="Arial" w:cs="Arial" w:eastAsia="华文细黑"/>
                <w:sz w:val="18"/>
                <w:szCs w:val="18"/>
              </w:rPr>
              <w:t>管理费用</w:t>
            </w:r>
            <w:r>
              <w:rPr>
                <w:rFonts w:eastAsia="华文细黑" w:cs="Arial" w:ascii="Arial" w:hAnsi="Arial"/>
                <w:sz w:val="18"/>
                <w:szCs w:val="18"/>
              </w:rPr>
              <w:t>)×((1+</w:t>
            </w:r>
            <w:r>
              <w:rPr>
                <w:rFonts w:ascii="Arial" w:hAnsi="Arial" w:cs="Arial" w:eastAsia="华文细黑"/>
                <w:sz w:val="18"/>
                <w:szCs w:val="18"/>
              </w:rPr>
              <w:t>利率</w:t>
            </w:r>
            <w:r>
              <w:rPr>
                <w:rFonts w:eastAsia="华文细黑" w:cs="Arial" w:ascii="Arial" w:hAnsi="Arial"/>
                <w:sz w:val="18"/>
                <w:szCs w:val="18"/>
              </w:rPr>
              <w:t>)^(</w:t>
            </w:r>
            <w:r>
              <w:rPr>
                <w:rFonts w:ascii="Arial" w:hAnsi="Arial" w:cs="Arial" w:eastAsia="华文细黑"/>
                <w:sz w:val="18"/>
                <w:szCs w:val="18"/>
              </w:rPr>
              <w:t>建设周期</w:t>
            </w:r>
            <w:r>
              <w:rPr>
                <w:rFonts w:eastAsia="华文细黑" w:cs="Arial" w:ascii="Arial" w:hAnsi="Arial"/>
                <w:sz w:val="18"/>
                <w:szCs w:val="18"/>
              </w:rPr>
              <w:t>÷2)-1)</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建设周期（年）</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销售费用产生的利息</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0.00</w:t>
            </w:r>
            <w:r>
              <w:rPr>
                <w:rFonts w:eastAsia="华文细黑" w:cs="Arial" w:ascii="Arial" w:hAnsi="Arial"/>
                <w:sz w:val="18"/>
                <w:szCs w:val="18"/>
              </w:rPr>
              <w:t>09</w:t>
            </w:r>
            <w:r>
              <w:rPr>
                <w:rFonts w:eastAsia="华文细黑" w:cs="Arial" w:ascii="Arial" w:hAnsi="Arial"/>
                <w:sz w:val="18"/>
                <w:szCs w:val="18"/>
              </w:rPr>
              <w:t>V</w:t>
            </w:r>
            <w:r>
              <w:rPr>
                <w:rFonts w:ascii="Arial" w:hAnsi="Arial" w:cs="Arial" w:eastAsia="华文细黑"/>
                <w:sz w:val="18"/>
                <w:szCs w:val="18"/>
                <w:vertAlign w:val="subscript"/>
              </w:rPr>
              <w:t>建</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销售费用</w:t>
            </w:r>
            <w:r>
              <w:rPr>
                <w:rFonts w:eastAsia="华文细黑" w:cs="Arial" w:ascii="Arial" w:hAnsi="Arial"/>
                <w:sz w:val="18"/>
                <w:szCs w:val="18"/>
              </w:rPr>
              <w:t>×((1+</w:t>
            </w:r>
            <w:r>
              <w:rPr>
                <w:rFonts w:ascii="Arial" w:hAnsi="Arial" w:cs="Arial" w:eastAsia="华文细黑"/>
                <w:sz w:val="18"/>
                <w:szCs w:val="18"/>
              </w:rPr>
              <w:t>利率</w:t>
            </w:r>
            <w:r>
              <w:rPr>
                <w:rFonts w:eastAsia="华文细黑" w:cs="Arial" w:ascii="Arial" w:hAnsi="Arial"/>
                <w:sz w:val="18"/>
                <w:szCs w:val="18"/>
              </w:rPr>
              <w:t>)^(</w:t>
            </w:r>
            <w:r>
              <w:rPr>
                <w:rFonts w:ascii="Arial" w:hAnsi="Arial" w:cs="Arial" w:eastAsia="华文细黑"/>
                <w:sz w:val="18"/>
                <w:szCs w:val="18"/>
              </w:rPr>
              <w:t>建设周期</w:t>
            </w:r>
            <w:r>
              <w:rPr>
                <w:rFonts w:eastAsia="华文细黑" w:cs="Arial" w:ascii="Arial" w:hAnsi="Arial"/>
                <w:sz w:val="18"/>
                <w:szCs w:val="18"/>
              </w:rPr>
              <w:t>÷2)-1)</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利息（</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3.</w:t>
            </w:r>
            <w:r>
              <w:rPr>
                <w:rFonts w:eastAsia="华文细黑" w:cs="Arial" w:ascii="Arial" w:hAnsi="Arial"/>
                <w:sz w:val="18"/>
                <w:szCs w:val="18"/>
              </w:rPr>
              <w:t>4</w:t>
            </w:r>
            <w:r>
              <w:rPr>
                <w:rFonts w:eastAsia="华文细黑" w:cs="Arial" w:ascii="Arial" w:hAnsi="Arial"/>
                <w:sz w:val="18"/>
                <w:szCs w:val="18"/>
              </w:rPr>
              <w:t>5%</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5</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利润</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华文细黑" w:hAnsi="华文细黑" w:cs="华文细黑" w:eastAsia="华文细黑"/>
                <w:sz w:val="18"/>
                <w:szCs w:val="18"/>
              </w:rPr>
              <w:t>——</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（建造成本</w:t>
            </w:r>
            <w:r>
              <w:rPr>
                <w:rFonts w:eastAsia="华文细黑" w:cs="Arial" w:ascii="Arial" w:hAnsi="Arial"/>
                <w:sz w:val="18"/>
                <w:szCs w:val="18"/>
              </w:rPr>
              <w:t>+</w:t>
            </w:r>
            <w:r>
              <w:rPr>
                <w:rFonts w:ascii="Arial" w:hAnsi="Arial" w:cs="Arial" w:eastAsia="华文细黑"/>
                <w:sz w:val="18"/>
                <w:szCs w:val="18"/>
              </w:rPr>
              <w:t>管理费用</w:t>
            </w:r>
            <w:r>
              <w:rPr>
                <w:rFonts w:eastAsia="华文细黑" w:cs="Arial" w:ascii="Arial" w:hAnsi="Arial"/>
                <w:sz w:val="18"/>
                <w:szCs w:val="18"/>
              </w:rPr>
              <w:t>+</w:t>
            </w:r>
            <w:r>
              <w:rPr>
                <w:rFonts w:ascii="Arial" w:hAnsi="Arial" w:cs="Arial" w:eastAsia="华文细黑"/>
                <w:sz w:val="18"/>
                <w:szCs w:val="18"/>
              </w:rPr>
              <w:t>销售费用）</w:t>
            </w:r>
            <w:r>
              <w:rPr>
                <w:rFonts w:eastAsia="华文细黑" w:cs="Arial" w:ascii="Arial" w:hAnsi="Arial"/>
                <w:sz w:val="18"/>
                <w:szCs w:val="18"/>
              </w:rPr>
              <w:t>×</w:t>
            </w:r>
            <w:r>
              <w:rPr>
                <w:rFonts w:ascii="Arial" w:hAnsi="Arial" w:cs="Arial" w:eastAsia="华文细黑"/>
                <w:sz w:val="18"/>
                <w:szCs w:val="18"/>
              </w:rPr>
              <w:t>利润率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1</w:t>
            </w:r>
            <w:r>
              <w:rPr>
                <w:rFonts w:ascii="Arial" w:hAnsi="Arial" w:cs="Arial" w:eastAsia="华文细黑"/>
                <w:sz w:val="18"/>
                <w:szCs w:val="18"/>
              </w:rPr>
              <w:t>）及（</w:t>
            </w:r>
            <w:r>
              <w:rPr>
                <w:rFonts w:eastAsia="华文细黑" w:cs="Arial" w:ascii="Arial" w:hAnsi="Arial"/>
                <w:sz w:val="18"/>
                <w:szCs w:val="18"/>
              </w:rPr>
              <w:t>2</w:t>
            </w:r>
            <w:r>
              <w:rPr>
                <w:rFonts w:ascii="Arial" w:hAnsi="Arial" w:cs="Arial" w:eastAsia="华文细黑"/>
                <w:sz w:val="18"/>
                <w:szCs w:val="18"/>
              </w:rPr>
              <w:t>）项产生的利润</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jc w:val="both"/>
              <w:textAlignment w:val="center"/>
              <w:rPr>
                <w:rFonts w:ascii="Arial" w:hAnsi="Arial" w:eastAsia="华文细黑" w:cs="Arial"/>
                <w:sz w:val="18"/>
                <w:szCs w:val="18"/>
              </w:rPr>
            </w:pPr>
            <w:r>
              <w:rPr>
                <w:rFonts w:eastAsia="华文细黑" w:cs="Arial" w:ascii="Arial" w:hAnsi="Arial"/>
                <w:sz w:val="18"/>
                <w:szCs w:val="18"/>
              </w:rPr>
              <w:t>1023</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（建造成本</w:t>
            </w:r>
            <w:r>
              <w:rPr>
                <w:rFonts w:eastAsia="华文细黑" w:cs="Arial" w:ascii="Arial" w:hAnsi="Arial"/>
                <w:sz w:val="18"/>
                <w:szCs w:val="18"/>
              </w:rPr>
              <w:t>+</w:t>
            </w:r>
            <w:r>
              <w:rPr>
                <w:rFonts w:ascii="Arial" w:hAnsi="Arial" w:cs="Arial" w:eastAsia="华文细黑"/>
                <w:sz w:val="18"/>
                <w:szCs w:val="18"/>
              </w:rPr>
              <w:t>管理费用）</w:t>
            </w:r>
            <w:r>
              <w:rPr>
                <w:rFonts w:eastAsia="华文细黑" w:cs="Arial" w:ascii="Arial" w:hAnsi="Arial"/>
                <w:sz w:val="18"/>
                <w:szCs w:val="18"/>
              </w:rPr>
              <w:t>×</w:t>
            </w:r>
            <w:r>
              <w:rPr>
                <w:rFonts w:ascii="Arial" w:hAnsi="Arial" w:cs="Arial" w:eastAsia="华文细黑"/>
                <w:sz w:val="18"/>
                <w:szCs w:val="18"/>
              </w:rPr>
              <w:t>利润率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利润率（</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rFonts w:ascii="Arial" w:hAnsi="Arial" w:eastAsia="华文细黑" w:cs="Arial"/>
                <w:bCs/>
                <w:sz w:val="18"/>
                <w:szCs w:val="18"/>
              </w:rPr>
            </w:pPr>
            <w:r>
              <w:rPr>
                <w:rFonts w:eastAsia="华文细黑" w:cs="Arial" w:ascii="Arial" w:hAnsi="Arial"/>
                <w:bCs/>
                <w:sz w:val="18"/>
                <w:szCs w:val="18"/>
              </w:rPr>
              <w:t>15.0%</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销售费用产生的利润</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0.00</w:t>
            </w:r>
            <w:r>
              <w:rPr>
                <w:rFonts w:eastAsia="华文细黑" w:cs="Arial" w:ascii="Arial" w:hAnsi="Arial"/>
                <w:sz w:val="18"/>
                <w:szCs w:val="18"/>
              </w:rPr>
              <w:t>38</w:t>
            </w:r>
            <w:r>
              <w:rPr>
                <w:rFonts w:eastAsia="华文细黑" w:cs="Arial" w:ascii="Arial" w:hAnsi="Arial"/>
                <w:sz w:val="18"/>
                <w:szCs w:val="18"/>
              </w:rPr>
              <w:t>V</w:t>
            </w:r>
            <w:r>
              <w:rPr>
                <w:rFonts w:ascii="Arial" w:hAnsi="Arial" w:cs="Arial" w:eastAsia="华文细黑"/>
                <w:sz w:val="18"/>
                <w:szCs w:val="18"/>
                <w:vertAlign w:val="subscript"/>
              </w:rPr>
              <w:t>建</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销售费用</w:t>
            </w:r>
            <w:r>
              <w:rPr>
                <w:rFonts w:eastAsia="华文细黑" w:cs="Arial" w:ascii="Arial" w:hAnsi="Arial"/>
                <w:sz w:val="18"/>
                <w:szCs w:val="18"/>
              </w:rPr>
              <w:t>×</w:t>
            </w:r>
            <w:r>
              <w:rPr>
                <w:rFonts w:ascii="Arial" w:hAnsi="Arial" w:cs="Arial" w:eastAsia="华文细黑"/>
                <w:sz w:val="18"/>
                <w:szCs w:val="18"/>
              </w:rPr>
              <w:t>利润率</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6</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销售税费</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0.0533V</w:t>
            </w:r>
            <w:r>
              <w:rPr>
                <w:rFonts w:ascii="Arial" w:hAnsi="Arial" w:cs="Arial" w:eastAsia="华文细黑"/>
                <w:sz w:val="18"/>
                <w:szCs w:val="18"/>
                <w:vertAlign w:val="subscript"/>
              </w:rPr>
              <w:t>建</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pPr>
            <w:r>
              <w:rPr>
                <w:rFonts w:ascii="Arial" w:hAnsi="Arial" w:cs="Arial" w:eastAsia="华文细黑"/>
                <w:sz w:val="18"/>
                <w:szCs w:val="18"/>
              </w:rPr>
              <w:t>建筑物重置价值</w:t>
            </w:r>
            <w:r>
              <w:rPr>
                <w:rFonts w:eastAsia="华文细黑" w:cs="Arial" w:ascii="Arial" w:hAnsi="Arial"/>
                <w:sz w:val="18"/>
                <w:szCs w:val="18"/>
              </w:rPr>
              <w:t>×</w:t>
            </w:r>
            <w:r>
              <w:rPr>
                <w:rFonts w:ascii="Arial" w:hAnsi="Arial" w:cs="Arial" w:eastAsia="华文细黑"/>
                <w:sz w:val="18"/>
                <w:szCs w:val="18"/>
              </w:rPr>
              <w:t>费率</w:t>
            </w:r>
            <w:r>
              <w:rPr>
                <w:rFonts w:eastAsia="华文细黑" w:cs="Arial" w:ascii="Arial" w:hAnsi="Arial"/>
                <w:sz w:val="18"/>
                <w:szCs w:val="18"/>
              </w:rPr>
              <w:t>/(1+5%)</w:t>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费率（</w:t>
            </w:r>
            <w:r>
              <w:rPr>
                <w:rFonts w:eastAsia="华文细黑" w:cs="Arial" w:ascii="Arial" w:hAnsi="Arial"/>
                <w:sz w:val="18"/>
                <w:szCs w:val="18"/>
              </w:rPr>
              <w:t>%</w:t>
            </w:r>
            <w:r>
              <w:rPr>
                <w:rFonts w:ascii="Arial" w:hAnsi="Arial" w:cs="Arial" w:eastAsia="华文细黑"/>
                <w:sz w:val="18"/>
                <w:szCs w:val="18"/>
              </w:rPr>
              <w:t>）</w:t>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240"/>
              <w:jc w:val="both"/>
              <w:textAlignment w:val="auto"/>
              <w:rPr/>
            </w:pPr>
            <w:r>
              <w:rPr>
                <w:rFonts w:eastAsia="华文细黑" w:cs="Arial" w:ascii="Arial" w:hAnsi="Arial"/>
                <w:sz w:val="18"/>
                <w:szCs w:val="18"/>
              </w:rPr>
              <w:t>5.</w:t>
            </w:r>
            <w:r>
              <w:rPr>
                <w:rFonts w:eastAsia="华文细黑" w:cs="Arial" w:ascii="Arial" w:hAnsi="Arial"/>
                <w:sz w:val="18"/>
                <w:szCs w:val="18"/>
              </w:rPr>
              <w:t>6</w:t>
            </w:r>
            <w:r>
              <w:rPr>
                <w:rFonts w:eastAsia="华文细黑" w:cs="Arial" w:ascii="Arial" w:hAnsi="Arial"/>
                <w:sz w:val="18"/>
                <w:szCs w:val="18"/>
              </w:rPr>
              <w:t>%</w:t>
            </w:r>
          </w:p>
        </w:tc>
      </w:tr>
      <w:tr>
        <w:trPr>
          <w:cantSplit w:val="true"/>
        </w:trPr>
        <w:tc>
          <w:tcPr>
            <w:tcW w:w="674"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w:t>
            </w:r>
            <w:r>
              <w:rPr>
                <w:rFonts w:eastAsia="华文细黑" w:cs="Arial" w:ascii="Arial" w:hAnsi="Arial"/>
                <w:sz w:val="18"/>
                <w:szCs w:val="18"/>
              </w:rPr>
              <w:t>7</w:t>
            </w:r>
            <w:r>
              <w:rPr>
                <w:rFonts w:ascii="Arial" w:hAnsi="Arial" w:cs="Arial" w:eastAsia="华文细黑"/>
                <w:sz w:val="18"/>
                <w:szCs w:val="18"/>
              </w:rPr>
              <w:t>）</w:t>
            </w:r>
          </w:p>
        </w:tc>
        <w:tc>
          <w:tcPr>
            <w:tcW w:w="20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ascii="Arial" w:hAnsi="Arial" w:cs="Arial" w:eastAsia="华文细黑"/>
                <w:sz w:val="18"/>
                <w:szCs w:val="18"/>
              </w:rPr>
              <w:t>建筑物重置价值（</w:t>
            </w:r>
            <w:r>
              <w:rPr>
                <w:rFonts w:eastAsia="华文细黑" w:cs="Arial" w:ascii="Arial" w:hAnsi="Arial"/>
                <w:sz w:val="18"/>
                <w:szCs w:val="18"/>
              </w:rPr>
              <w:t>V</w:t>
            </w:r>
            <w:r>
              <w:rPr>
                <w:rFonts w:ascii="Arial" w:hAnsi="Arial" w:cs="Arial" w:eastAsia="华文细黑"/>
                <w:sz w:val="18"/>
                <w:szCs w:val="18"/>
                <w:vertAlign w:val="subscript"/>
              </w:rPr>
              <w:t>建</w:t>
            </w:r>
            <w:r>
              <w:rPr>
                <w:rFonts w:ascii="Arial" w:hAnsi="Arial" w:cs="Arial" w:eastAsia="华文细黑"/>
                <w:sz w:val="18"/>
                <w:szCs w:val="18"/>
              </w:rPr>
              <w:t>）</w:t>
            </w:r>
          </w:p>
        </w:tc>
        <w:tc>
          <w:tcPr>
            <w:tcW w:w="1129"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240"/>
              <w:jc w:val="both"/>
              <w:textAlignment w:val="auto"/>
              <w:rPr>
                <w:rFonts w:ascii="Arial" w:hAnsi="Arial" w:eastAsia="华文细黑" w:cs="Arial"/>
                <w:sz w:val="18"/>
                <w:szCs w:val="18"/>
              </w:rPr>
            </w:pPr>
            <w:r>
              <w:rPr>
                <w:rFonts w:eastAsia="华文细黑" w:cs="Arial" w:ascii="Arial" w:hAnsi="Arial"/>
                <w:sz w:val="18"/>
                <w:szCs w:val="18"/>
              </w:rPr>
              <w:t>8808</w:t>
            </w:r>
          </w:p>
        </w:tc>
        <w:tc>
          <w:tcPr>
            <w:tcW w:w="2832"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c>
          <w:tcPr>
            <w:tcW w:w="1547"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c>
          <w:tcPr>
            <w:tcW w:w="10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exact" w:line="240"/>
              <w:jc w:val="both"/>
              <w:textAlignment w:val="auto"/>
              <w:rPr>
                <w:rFonts w:ascii="Arial" w:hAnsi="Arial" w:eastAsia="华文细黑" w:cs="Arial"/>
                <w:sz w:val="18"/>
                <w:szCs w:val="18"/>
              </w:rPr>
            </w:pPr>
            <w:r>
              <w:rPr>
                <w:rFonts w:eastAsia="华文细黑" w:cs="Arial" w:ascii="Arial" w:hAnsi="Arial"/>
                <w:sz w:val="18"/>
                <w:szCs w:val="18"/>
              </w:rPr>
            </w:r>
          </w:p>
        </w:tc>
      </w:tr>
    </w:tbl>
    <w:p>
      <w:pPr>
        <w:pStyle w:val="Normal"/>
        <w:widowControl/>
        <w:spacing w:lineRule="auto" w:line="240"/>
        <w:jc w:val="both"/>
        <w:textAlignment w:val="auto"/>
        <w:rPr>
          <w:rFonts w:ascii="Arial" w:hAnsi="Arial" w:eastAsia="华文细黑" w:cs="Arial"/>
          <w:sz w:val="18"/>
          <w:szCs w:val="18"/>
        </w:rPr>
      </w:pPr>
      <w:r>
        <w:rPr>
          <w:rFonts w:ascii="Arial" w:hAnsi="Arial" w:cs="Arial" w:eastAsia="华文细黑"/>
          <w:sz w:val="18"/>
          <w:szCs w:val="18"/>
        </w:rPr>
        <w:t>单位：万元</w:t>
      </w:r>
    </w:p>
    <w:p>
      <w:pPr>
        <w:pStyle w:val="Normal"/>
        <w:widowControl/>
        <w:spacing w:lineRule="auto" w:line="240"/>
        <w:jc w:val="both"/>
        <w:textAlignment w:val="auto"/>
        <w:rPr>
          <w:rFonts w:ascii="Arial" w:hAnsi="Arial" w:eastAsia="华文细黑" w:cs="Arial"/>
          <w:sz w:val="18"/>
          <w:szCs w:val="18"/>
        </w:rPr>
      </w:pPr>
      <w:r>
        <w:rPr>
          <w:rFonts w:eastAsia="华文细黑" w:cs="Arial" w:ascii="Arial" w:hAnsi="Arial"/>
          <w:sz w:val="18"/>
          <w:szCs w:val="18"/>
        </w:rPr>
      </w:r>
    </w:p>
    <w:p>
      <w:pPr>
        <w:pStyle w:val="Normal"/>
        <w:overflowPunct w:val="false"/>
        <w:autoSpaceDE w:val="false"/>
        <w:spacing w:lineRule="auto" w:line="480"/>
        <w:ind w:firstLine="420"/>
        <w:jc w:val="both"/>
        <w:textAlignment w:val="auto"/>
        <w:rPr>
          <w:rFonts w:ascii="Arial" w:hAnsi="Arial" w:cs="Arial"/>
          <w:sz w:val="21"/>
        </w:rPr>
      </w:pPr>
      <w:r>
        <w:rPr>
          <w:rFonts w:ascii="Arial" w:hAnsi="Arial" w:cs="Arial"/>
          <w:sz w:val="21"/>
        </w:rPr>
        <w:t>（</w:t>
      </w:r>
      <w:r>
        <w:rPr>
          <w:rFonts w:cs="Arial" w:ascii="Arial" w:hAnsi="Arial"/>
          <w:sz w:val="21"/>
        </w:rPr>
        <w:t>3</w:t>
      </w:r>
      <w:r>
        <w:rPr>
          <w:rFonts w:ascii="Arial" w:hAnsi="Arial" w:cs="Arial"/>
          <w:sz w:val="21"/>
        </w:rPr>
        <w:t>）房地年净收益（</w:t>
      </w:r>
      <w:r>
        <w:rPr>
          <w:rFonts w:cs="Arial" w:ascii="Arial" w:hAnsi="Arial"/>
          <w:sz w:val="21"/>
        </w:rPr>
        <w:t>A</w:t>
      </w:r>
      <w:r>
        <w:rPr>
          <w:rFonts w:ascii="Arial" w:hAnsi="Arial" w:cs="Arial"/>
          <w:sz w:val="21"/>
        </w:rPr>
        <w:t>）：</w:t>
      </w:r>
    </w:p>
    <w:p>
      <w:pPr>
        <w:pStyle w:val="Normal"/>
        <w:overflowPunct w:val="false"/>
        <w:autoSpaceDE w:val="false"/>
        <w:spacing w:lineRule="auto" w:line="480"/>
        <w:ind w:firstLine="420"/>
        <w:jc w:val="both"/>
        <w:textAlignment w:val="auto"/>
        <w:rPr>
          <w:rFonts w:ascii="Arial" w:hAnsi="Arial" w:cs="Arial"/>
          <w:sz w:val="21"/>
        </w:rPr>
      </w:pPr>
      <w:r>
        <w:rPr>
          <w:rFonts w:ascii="Arial" w:hAnsi="Arial" w:cs="Arial"/>
          <w:sz w:val="21"/>
        </w:rPr>
        <w:t>房地年净收益＝未来第一年总收益</w:t>
      </w:r>
      <w:r>
        <w:rPr>
          <w:rFonts w:ascii="宋体;SimSun" w:hAnsi="宋体;SimSun" w:cs="宋体;SimSun"/>
          <w:sz w:val="21"/>
        </w:rPr>
        <w:t>－</w:t>
      </w:r>
      <w:r>
        <w:rPr>
          <w:rFonts w:ascii="Arial" w:hAnsi="Arial" w:cs="Arial"/>
          <w:sz w:val="21"/>
        </w:rPr>
        <w:t>年经营费用</w:t>
      </w:r>
      <w:r>
        <w:rPr>
          <w:rFonts w:ascii="Arial" w:hAnsi="Arial" w:cs="Arial"/>
          <w:sz w:val="21"/>
        </w:rPr>
        <w:t>＝</w:t>
      </w:r>
      <w:r>
        <w:rPr>
          <w:rFonts w:cs="Arial" w:ascii="Arial" w:hAnsi="Arial"/>
          <w:sz w:val="21"/>
        </w:rPr>
        <w:t>1422</w:t>
      </w:r>
      <w:r>
        <w:rPr>
          <w:rFonts w:ascii="Arial" w:hAnsi="Arial" w:cs="Arial"/>
          <w:sz w:val="21"/>
        </w:rPr>
        <w:t>－</w:t>
      </w:r>
      <w:r>
        <w:rPr>
          <w:rFonts w:cs="Arial" w:ascii="Arial" w:hAnsi="Arial"/>
          <w:sz w:val="21"/>
        </w:rPr>
        <w:t>334</w:t>
      </w:r>
      <w:r>
        <w:rPr>
          <w:rFonts w:ascii="Arial" w:hAnsi="Arial" w:cs="Arial"/>
          <w:sz w:val="21"/>
        </w:rPr>
        <w:t>＝</w:t>
      </w:r>
      <w:r>
        <w:rPr>
          <w:rFonts w:cs="Arial" w:ascii="Arial" w:hAnsi="Arial"/>
          <w:sz w:val="21"/>
        </w:rPr>
        <w:t>1088</w:t>
      </w:r>
      <w:r>
        <w:rPr>
          <w:rFonts w:ascii="Arial" w:hAnsi="Arial" w:cs="Arial"/>
          <w:sz w:val="21"/>
        </w:rPr>
        <w:t>（</w:t>
      </w:r>
      <w:r>
        <w:rPr>
          <w:rFonts w:ascii="Arial" w:hAnsi="Arial" w:cs="Arial"/>
          <w:sz w:val="21"/>
        </w:rPr>
        <w:t>万</w:t>
      </w:r>
      <w:r>
        <w:rPr>
          <w:rFonts w:ascii="Arial" w:hAnsi="Arial" w:cs="Arial"/>
          <w:sz w:val="21"/>
        </w:rPr>
        <w:t>元）</w:t>
      </w:r>
    </w:p>
    <w:p>
      <w:pPr>
        <w:pStyle w:val="Normal"/>
        <w:overflowPunct w:val="false"/>
        <w:autoSpaceDE w:val="false"/>
        <w:spacing w:lineRule="auto" w:line="480"/>
        <w:ind w:firstLine="420"/>
        <w:jc w:val="both"/>
        <w:textAlignment w:val="auto"/>
        <w:rPr>
          <w:rFonts w:ascii="Arial" w:hAnsi="Arial" w:cs="Arial"/>
          <w:sz w:val="21"/>
        </w:rPr>
      </w:pPr>
      <w:r>
        <w:rPr>
          <w:rFonts w:cs="Arial" w:ascii="Arial" w:hAnsi="Arial"/>
          <w:sz w:val="21"/>
        </w:rPr>
        <w:t>2.</w:t>
      </w:r>
      <w:r>
        <w:rPr>
          <w:rFonts w:ascii="Arial" w:hAnsi="Arial" w:cs="Arial"/>
          <w:sz w:val="21"/>
        </w:rPr>
        <w:t>报酬率（</w:t>
      </w:r>
      <w:r>
        <w:rPr>
          <w:rFonts w:cs="Arial" w:ascii="Arial" w:hAnsi="Arial"/>
          <w:sz w:val="21"/>
        </w:rPr>
        <w:t>Y</w:t>
      </w:r>
      <w:r>
        <w:rPr>
          <w:rFonts w:ascii="Arial" w:hAnsi="Arial" w:cs="Arial"/>
          <w:sz w:val="21"/>
        </w:rPr>
        <w:t>）</w:t>
      </w:r>
    </w:p>
    <w:p>
      <w:pPr>
        <w:pStyle w:val="Normal"/>
        <w:overflowPunct w:val="false"/>
        <w:autoSpaceDE w:val="false"/>
        <w:spacing w:lineRule="auto" w:line="480"/>
        <w:ind w:firstLine="420"/>
        <w:jc w:val="both"/>
        <w:textAlignment w:val="auto"/>
        <w:rPr/>
      </w:pPr>
      <w:r>
        <w:rPr>
          <w:rFonts w:ascii="Arial" w:hAnsi="Arial" w:cs="Arial"/>
          <w:sz w:val="21"/>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一年期过国债年利率或中国人民银行公布的一年定期存款年利率（</w:t>
      </w:r>
      <w:r>
        <w:rPr>
          <w:rFonts w:cs="Arial" w:ascii="Arial" w:hAnsi="Arial"/>
          <w:sz w:val="21"/>
        </w:rPr>
        <w:t>1.5%</w:t>
      </w:r>
      <w:r>
        <w:rPr>
          <w:rFonts w:ascii="Arial" w:hAnsi="Arial" w:cs="Arial"/>
          <w:sz w:val="21"/>
        </w:rPr>
        <w:t>），风险调整值则可以根据估价对象所在地区的经济现状及未来预测、估价对象的用途等自身特点确定，经调查，一般为</w:t>
      </w:r>
      <w:r>
        <w:rPr>
          <w:rFonts w:cs="Arial" w:ascii="Arial" w:hAnsi="Arial"/>
          <w:sz w:val="21"/>
        </w:rPr>
        <w:t>3.5%-4.5%</w:t>
      </w:r>
      <w:r>
        <w:rPr>
          <w:rFonts w:ascii="Arial" w:hAnsi="Arial" w:cs="Arial"/>
          <w:sz w:val="21"/>
        </w:rPr>
        <w:t>之间，本次评估依据估价对象所在项目特点，取风险调整值为</w:t>
      </w:r>
      <w:r>
        <w:rPr>
          <w:rFonts w:cs="Arial" w:ascii="Arial" w:hAnsi="Arial"/>
          <w:sz w:val="21"/>
        </w:rPr>
        <w:t>4%</w:t>
      </w:r>
      <w:r>
        <w:rPr>
          <w:rFonts w:ascii="Arial" w:hAnsi="Arial" w:cs="Arial"/>
          <w:sz w:val="21"/>
        </w:rPr>
        <w:t>，则依据安全利率加风险调整值法可以得出报酬率为</w:t>
      </w:r>
      <w:r>
        <w:rPr>
          <w:rFonts w:cs="Arial" w:ascii="Arial" w:hAnsi="Arial"/>
          <w:sz w:val="21"/>
        </w:rPr>
        <w:t>5.5%</w:t>
      </w:r>
      <w:r>
        <w:rPr>
          <w:rFonts w:ascii="Arial" w:hAnsi="Arial" w:cs="Arial"/>
          <w:sz w:val="21"/>
        </w:rPr>
        <w:t>。</w:t>
      </w:r>
    </w:p>
    <w:p>
      <w:pPr>
        <w:pStyle w:val="Normal"/>
        <w:overflowPunct w:val="false"/>
        <w:autoSpaceDE w:val="false"/>
        <w:spacing w:lineRule="auto" w:line="480"/>
        <w:ind w:firstLine="420"/>
        <w:jc w:val="both"/>
        <w:textAlignment w:val="auto"/>
        <w:rPr>
          <w:rFonts w:ascii="Arial" w:hAnsi="Arial" w:cs="Arial"/>
          <w:sz w:val="21"/>
        </w:rPr>
      </w:pPr>
      <w:r>
        <w:rPr>
          <w:rFonts w:cs="Arial" w:ascii="Arial" w:hAnsi="Arial"/>
          <w:sz w:val="21"/>
        </w:rPr>
        <w:t>3.</w:t>
      </w:r>
      <w:r>
        <w:rPr>
          <w:rFonts w:ascii="Arial" w:hAnsi="Arial" w:cs="Arial"/>
          <w:sz w:val="21"/>
        </w:rPr>
        <w:t>收益年期（</w:t>
      </w:r>
      <w:r>
        <w:rPr>
          <w:rFonts w:cs="Arial" w:ascii="Arial" w:hAnsi="Arial"/>
          <w:sz w:val="21"/>
        </w:rPr>
        <w:t>n</w:t>
      </w:r>
      <w:r>
        <w:rPr>
          <w:rFonts w:ascii="Arial" w:hAnsi="Arial" w:cs="Arial"/>
          <w:sz w:val="21"/>
        </w:rPr>
        <w:t>）</w:t>
      </w:r>
    </w:p>
    <w:p>
      <w:pPr>
        <w:pStyle w:val="Normal"/>
        <w:overflowPunct w:val="false"/>
        <w:autoSpaceDE w:val="false"/>
        <w:spacing w:lineRule="auto" w:line="480"/>
        <w:ind w:firstLine="420"/>
        <w:jc w:val="both"/>
        <w:textAlignment w:val="auto"/>
        <w:rPr>
          <w:rFonts w:ascii="Arial" w:hAnsi="Arial" w:cs="Arial"/>
          <w:i/>
          <w:i/>
          <w:sz w:val="21"/>
        </w:rPr>
      </w:pPr>
      <w:r>
        <w:rPr>
          <w:rFonts w:ascii="Arial" w:hAnsi="Arial" w:cs="Arial"/>
          <w:sz w:val="21"/>
        </w:rPr>
        <w:t>估价对象土地为出让国有建设用地使用权，剩余土地使用年限为</w:t>
      </w:r>
      <w:r>
        <w:rPr>
          <w:rFonts w:cs="Arial" w:ascii="Arial" w:hAnsi="Arial"/>
          <w:sz w:val="21"/>
        </w:rPr>
        <w:t>25.37</w:t>
      </w:r>
      <w:r>
        <w:rPr>
          <w:rFonts w:ascii="Arial" w:hAnsi="Arial" w:cs="Arial"/>
          <w:sz w:val="21"/>
        </w:rPr>
        <w:t>年。估价对象为钢混结构，建成于</w:t>
      </w:r>
      <w:r>
        <w:rPr>
          <w:rFonts w:cs="Arial" w:ascii="Arial" w:hAnsi="Arial"/>
          <w:sz w:val="21"/>
        </w:rPr>
        <w:t>2018</w:t>
      </w:r>
      <w:r>
        <w:rPr>
          <w:rFonts w:ascii="Arial" w:hAnsi="Arial" w:cs="Arial"/>
          <w:sz w:val="21"/>
        </w:rPr>
        <w:t>年，经济耐用年限为</w:t>
      </w:r>
      <w:r>
        <w:rPr>
          <w:rFonts w:cs="Arial" w:ascii="Arial" w:hAnsi="Arial"/>
          <w:sz w:val="21"/>
        </w:rPr>
        <w:t>60</w:t>
      </w:r>
      <w:r>
        <w:rPr>
          <w:rFonts w:ascii="Arial" w:hAnsi="Arial" w:cs="Arial"/>
          <w:sz w:val="21"/>
        </w:rPr>
        <w:t>年，剩余经济耐用年限为</w:t>
      </w:r>
      <w:r>
        <w:rPr>
          <w:rFonts w:cs="Arial" w:ascii="Arial" w:hAnsi="Arial"/>
          <w:sz w:val="21"/>
        </w:rPr>
        <w:t>54</w:t>
      </w:r>
      <w:r>
        <w:rPr>
          <w:rFonts w:ascii="Arial" w:hAnsi="Arial" w:cs="Arial"/>
          <w:sz w:val="21"/>
        </w:rPr>
        <w:t>年。剩余土地使用年限短于建筑物剩余经济耐用年限。根据《房地产估价规范》，土地使用权剩余期限和建筑物剩余经济寿命结束时间不同时，应选取其中较短者为收益期。因此，估价对象收益年限确定为</w:t>
      </w:r>
      <w:r>
        <w:rPr>
          <w:rFonts w:cs="Arial" w:ascii="Arial" w:hAnsi="Arial"/>
          <w:sz w:val="21"/>
        </w:rPr>
        <w:t>25.37</w:t>
      </w:r>
      <w:r>
        <w:rPr>
          <w:rFonts w:ascii="Arial" w:hAnsi="Arial" w:cs="Arial"/>
          <w:sz w:val="21"/>
        </w:rPr>
        <w:t>年。</w:t>
      </w:r>
    </w:p>
    <w:p>
      <w:pPr>
        <w:pStyle w:val="Normal"/>
        <w:numPr>
          <w:ilvl w:val="0"/>
          <w:numId w:val="0"/>
        </w:numPr>
        <w:overflowPunct w:val="false"/>
        <w:autoSpaceDE w:val="false"/>
        <w:spacing w:lineRule="auto" w:line="480"/>
        <w:ind w:firstLine="420"/>
        <w:jc w:val="both"/>
        <w:textAlignment w:val="auto"/>
        <w:outlineLvl w:val="0"/>
        <w:rPr>
          <w:rFonts w:ascii="Arial" w:hAnsi="Arial" w:cs="Arial"/>
          <w:sz w:val="21"/>
        </w:rPr>
      </w:pPr>
      <w:r>
        <w:rPr>
          <w:rFonts w:cs="Arial" w:ascii="Arial" w:hAnsi="Arial"/>
          <w:sz w:val="21"/>
        </w:rPr>
        <w:t>4.</w:t>
      </w:r>
      <w:r>
        <w:rPr>
          <w:rFonts w:ascii="Arial" w:hAnsi="Arial" w:cs="Arial"/>
          <w:sz w:val="21"/>
        </w:rPr>
        <w:t>净收益逐年增长比率（</w:t>
      </w:r>
      <w:r>
        <w:rPr>
          <w:rFonts w:cs="Arial" w:ascii="Arial" w:hAnsi="Arial"/>
          <w:sz w:val="21"/>
        </w:rPr>
        <w:t>g</w:t>
      </w:r>
      <w:r>
        <w:rPr>
          <w:rFonts w:ascii="Arial" w:hAnsi="Arial" w:cs="Arial"/>
          <w:sz w:val="21"/>
        </w:rPr>
        <w:t>）</w:t>
      </w:r>
    </w:p>
    <w:p>
      <w:pPr>
        <w:pStyle w:val="Normal"/>
        <w:overflowPunct w:val="false"/>
        <w:spacing w:lineRule="auto" w:line="480"/>
        <w:ind w:firstLine="420"/>
        <w:jc w:val="both"/>
        <w:textAlignment w:val="auto"/>
        <w:rPr/>
      </w:pPr>
      <w:r>
        <w:rPr>
          <w:rFonts w:ascii="Arial" w:hAnsi="Arial" w:cs="Arial"/>
          <w:sz w:val="21"/>
        </w:rPr>
        <w:t>海口市近年来的租金水平呈增长趋势。根据评估专业人员对估价对象所在区域房地产市场的调查，该地区类似物业租金增长幅度约在</w:t>
      </w:r>
      <w:r>
        <w:rPr>
          <w:rFonts w:cs="Arial" w:ascii="Arial" w:hAnsi="Arial"/>
          <w:sz w:val="21"/>
        </w:rPr>
        <w:t>2%</w:t>
      </w:r>
      <w:r>
        <w:rPr>
          <w:rFonts w:ascii="Arial" w:hAnsi="Arial" w:cs="Arial"/>
          <w:sz w:val="21"/>
        </w:rPr>
        <w:t>～</w:t>
      </w:r>
      <w:r>
        <w:rPr>
          <w:rFonts w:cs="Arial" w:ascii="Arial" w:hAnsi="Arial"/>
          <w:sz w:val="21"/>
        </w:rPr>
        <w:t>4%</w:t>
      </w:r>
      <w:r>
        <w:rPr>
          <w:rFonts w:ascii="Arial" w:hAnsi="Arial" w:cs="Arial"/>
          <w:sz w:val="21"/>
        </w:rPr>
        <w:t>之间。估价对象地处海口市秀英区滨海大道</w:t>
      </w:r>
      <w:r>
        <w:rPr>
          <w:rFonts w:cs="Arial" w:ascii="Arial" w:hAnsi="Arial"/>
          <w:sz w:val="21"/>
        </w:rPr>
        <w:t>158</w:t>
      </w:r>
      <w:r>
        <w:rPr>
          <w:rFonts w:ascii="Arial" w:hAnsi="Arial" w:cs="Arial"/>
          <w:sz w:val="21"/>
        </w:rPr>
        <w:t>号，随着周边办公氛围的渐趋完善，未来租金具有一定的增长潜力。本次评估依据估价目的，从谨慎原则考虑确定其净收益逐年增长比率为</w:t>
      </w:r>
      <w:r>
        <w:rPr>
          <w:rFonts w:cs="Arial" w:ascii="Arial" w:hAnsi="Arial"/>
          <w:sz w:val="21"/>
        </w:rPr>
        <w:t>2%</w:t>
      </w:r>
      <w:r>
        <w:rPr>
          <w:rFonts w:ascii="Arial" w:hAnsi="Arial" w:cs="Arial"/>
          <w:sz w:val="21"/>
        </w:rPr>
        <w:t>。</w:t>
      </w:r>
    </w:p>
    <w:p>
      <w:pPr>
        <w:pStyle w:val="Normal"/>
        <w:numPr>
          <w:ilvl w:val="0"/>
          <w:numId w:val="0"/>
        </w:numPr>
        <w:overflowPunct w:val="false"/>
        <w:autoSpaceDE w:val="false"/>
        <w:spacing w:lineRule="auto" w:line="480"/>
        <w:ind w:firstLine="420"/>
        <w:jc w:val="both"/>
        <w:textAlignment w:val="auto"/>
        <w:outlineLvl w:val="0"/>
        <w:rPr>
          <w:rFonts w:ascii="Arial" w:hAnsi="Arial" w:cs="Arial"/>
          <w:sz w:val="21"/>
        </w:rPr>
      </w:pPr>
      <w:r>
        <w:rPr>
          <w:rFonts w:cs="Arial" w:ascii="Arial" w:hAnsi="Arial"/>
          <w:sz w:val="21"/>
        </w:rPr>
        <w:t>5.</w:t>
      </w:r>
      <w:r>
        <w:rPr>
          <w:rFonts w:ascii="Arial" w:hAnsi="Arial" w:cs="Arial"/>
          <w:sz w:val="21"/>
        </w:rPr>
        <w:t>收益价值</w:t>
      </w:r>
    </w:p>
    <w:p>
      <w:pPr>
        <w:pStyle w:val="Normal"/>
        <w:overflowPunct w:val="false"/>
        <w:autoSpaceDE w:val="false"/>
        <w:spacing w:lineRule="auto" w:line="480"/>
        <w:ind w:firstLine="420"/>
        <w:jc w:val="both"/>
        <w:textAlignment w:val="auto"/>
        <w:rPr/>
      </w:pPr>
      <w:r>
        <w:rPr>
          <w:rFonts w:ascii="Arial" w:hAnsi="Arial" w:cs="Arial"/>
          <w:sz w:val="21"/>
        </w:rPr>
        <w:t>由于估价对象</w:t>
      </w:r>
      <w:r>
        <w:rPr>
          <w:rFonts w:cs="Arial" w:ascii="Arial" w:hAnsi="Arial"/>
          <w:sz w:val="21"/>
        </w:rPr>
        <w:t>1</w:t>
      </w:r>
      <w:r>
        <w:rPr>
          <w:rFonts w:ascii="Arial" w:hAnsi="Arial" w:cs="Arial"/>
          <w:sz w:val="21"/>
        </w:rPr>
        <w:t>建筑物剩余经济寿命超过土地使用权剩余期限，且为出让合同约定土地使用权期间届满后无偿收回土地使用权及地上建筑物的非住宅房地产。因此，本次评估估价对象</w:t>
      </w:r>
      <w:r>
        <w:rPr>
          <w:rFonts w:cs="Arial" w:ascii="Arial" w:hAnsi="Arial"/>
          <w:sz w:val="21"/>
        </w:rPr>
        <w:t>1</w:t>
      </w:r>
      <w:r>
        <w:rPr>
          <w:rFonts w:ascii="Arial" w:hAnsi="Arial" w:cs="Arial"/>
          <w:sz w:val="21"/>
        </w:rPr>
        <w:t>收益价值应为按收益期计算的价值。则有：</w:t>
      </w:r>
    </w:p>
    <w:p>
      <w:pPr>
        <w:pStyle w:val="Normal"/>
        <w:overflowPunct w:val="false"/>
        <w:autoSpaceDE w:val="false"/>
        <w:spacing w:lineRule="auto" w:line="480"/>
        <w:ind w:firstLine="420"/>
        <w:jc w:val="both"/>
        <w:textAlignment w:val="auto"/>
        <w:rPr>
          <w:rFonts w:ascii="Arial" w:hAnsi="Arial" w:cs="Arial"/>
          <w:sz w:val="21"/>
        </w:rPr>
      </w:pPr>
      <w:r>
        <w:rPr>
          <w:rFonts w:ascii="Arial" w:hAnsi="Arial" w:cs="Arial"/>
          <w:sz w:val="21"/>
        </w:rPr>
        <w:t>收益价值</w:t>
      </w:r>
      <w:r>
        <w:rPr>
          <w:rFonts w:ascii="Arial" w:hAnsi="Arial" w:cs="Arial"/>
          <w:sz w:val="21"/>
        </w:rPr>
        <w:t>＝</w:t>
      </w:r>
      <w:r>
        <w:rPr>
          <w:rFonts w:cs="Arial" w:ascii="Arial" w:hAnsi="Arial"/>
          <w:sz w:val="21"/>
        </w:rPr>
        <w:t>A</w:t>
      </w:r>
      <w:r>
        <w:rPr>
          <w:rFonts w:cs="Arial" w:ascii="Arial" w:hAnsi="Arial"/>
          <w:sz w:val="21"/>
        </w:rPr>
        <w:t>×</w:t>
      </w:r>
      <w:r>
        <w:rPr>
          <w:rFonts w:cs="Arial" w:ascii="Arial" w:hAnsi="Arial"/>
          <w:sz w:val="21"/>
        </w:rPr>
        <w:t>{1</w:t>
      </w:r>
      <w:r>
        <w:rPr>
          <w:rFonts w:ascii="宋体;SimSun" w:hAnsi="宋体;SimSun" w:cs="宋体;SimSun"/>
          <w:sz w:val="21"/>
        </w:rPr>
        <w:t>－</w:t>
      </w:r>
      <w:r>
        <w:rPr>
          <w:rFonts w:cs="Arial" w:ascii="Arial" w:hAnsi="Arial"/>
          <w:sz w:val="21"/>
        </w:rPr>
        <w:t>[(1</w:t>
      </w:r>
      <w:r>
        <w:rPr>
          <w:rFonts w:ascii="宋体;SimSun" w:hAnsi="宋体;SimSun" w:cs="宋体;SimSun"/>
          <w:sz w:val="21"/>
        </w:rPr>
        <w:t>＋</w:t>
      </w:r>
      <w:r>
        <w:rPr>
          <w:rFonts w:cs="Arial" w:ascii="Arial" w:hAnsi="Arial"/>
          <w:sz w:val="21"/>
        </w:rPr>
        <w:t>g)</w:t>
      </w:r>
      <w:r>
        <w:rPr>
          <w:rFonts w:cs="Arial" w:ascii="宋体;SimSun" w:hAnsi="宋体;SimSun"/>
          <w:sz w:val="21"/>
          <w:szCs w:val="21"/>
        </w:rPr>
        <w:t xml:space="preserve"> ÷</w:t>
      </w:r>
      <w:r>
        <w:rPr>
          <w:rFonts w:cs="Arial" w:ascii="Arial" w:hAnsi="Arial"/>
          <w:sz w:val="21"/>
        </w:rPr>
        <w:t>(1</w:t>
      </w:r>
      <w:r>
        <w:rPr>
          <w:rFonts w:ascii="宋体;SimSun" w:hAnsi="宋体;SimSun" w:cs="宋体;SimSun"/>
          <w:sz w:val="21"/>
        </w:rPr>
        <w:t>＋</w:t>
      </w:r>
      <w:r>
        <w:rPr>
          <w:rFonts w:cs="Arial" w:ascii="Arial" w:hAnsi="Arial"/>
          <w:sz w:val="21"/>
        </w:rPr>
        <w:t>Y)]</w:t>
      </w:r>
      <w:r>
        <w:rPr>
          <w:rFonts w:cs="Arial" w:ascii="Arial" w:hAnsi="Arial"/>
          <w:sz w:val="21"/>
          <w:vertAlign w:val="superscript"/>
        </w:rPr>
        <w:t>n</w:t>
      </w:r>
      <w:r>
        <w:rPr>
          <w:rFonts w:cs="Arial" w:ascii="Arial" w:hAnsi="Arial"/>
          <w:sz w:val="21"/>
        </w:rPr>
        <w:t>}</w:t>
      </w:r>
      <w:r>
        <w:rPr>
          <w:rFonts w:cs="Arial" w:ascii="宋体;SimSun" w:hAnsi="宋体;SimSun"/>
          <w:sz w:val="21"/>
          <w:szCs w:val="21"/>
        </w:rPr>
        <w:t>÷</w:t>
      </w:r>
      <w:r>
        <w:rPr>
          <w:rFonts w:ascii="Arial" w:hAnsi="Arial" w:cs="Arial"/>
          <w:sz w:val="21"/>
        </w:rPr>
        <w:t>（</w:t>
      </w:r>
      <w:r>
        <w:rPr>
          <w:rFonts w:cs="Arial" w:ascii="Arial" w:hAnsi="Arial"/>
          <w:sz w:val="21"/>
        </w:rPr>
        <w:t>Y</w:t>
      </w:r>
      <w:r>
        <w:rPr>
          <w:rFonts w:ascii="宋体;SimSun" w:hAnsi="宋体;SimSun" w:cs="宋体;SimSun"/>
          <w:sz w:val="21"/>
        </w:rPr>
        <w:t>－</w:t>
      </w:r>
      <w:r>
        <w:rPr>
          <w:rFonts w:cs="Arial" w:ascii="Arial" w:hAnsi="Arial"/>
          <w:sz w:val="21"/>
        </w:rPr>
        <w:t>g</w:t>
      </w:r>
      <w:r>
        <w:rPr>
          <w:rFonts w:ascii="Arial" w:hAnsi="Arial" w:cs="Arial"/>
          <w:sz w:val="21"/>
        </w:rPr>
        <w:t>）＝</w:t>
      </w:r>
      <w:r>
        <w:rPr>
          <w:rFonts w:cs="Arial" w:ascii="Arial" w:hAnsi="Arial"/>
          <w:sz w:val="21"/>
        </w:rPr>
        <w:t>17878</w:t>
      </w:r>
      <w:r>
        <w:rPr>
          <w:rFonts w:ascii="Arial" w:hAnsi="Arial" w:cs="Arial"/>
          <w:sz w:val="21"/>
        </w:rPr>
        <w:t>（万元）</w:t>
      </w:r>
    </w:p>
    <w:p>
      <w:pPr>
        <w:pStyle w:val="Normal"/>
        <w:overflowPunct w:val="false"/>
        <w:autoSpaceDE w:val="false"/>
        <w:spacing w:lineRule="auto" w:line="480"/>
        <w:ind w:firstLine="420"/>
        <w:jc w:val="both"/>
        <w:textAlignment w:val="auto"/>
        <w:rPr>
          <w:rFonts w:ascii="Arial" w:hAnsi="Arial" w:cs="Arial"/>
          <w:sz w:val="21"/>
        </w:rPr>
      </w:pPr>
      <w:r>
        <w:rPr>
          <w:rFonts w:ascii="Arial" w:hAnsi="Arial" w:cs="Arial"/>
          <w:sz w:val="21"/>
        </w:rPr>
        <w:t>收益单价</w:t>
      </w:r>
      <w:r>
        <w:rPr>
          <w:rFonts w:cs="Arial" w:ascii="Arial" w:hAnsi="Arial"/>
          <w:sz w:val="21"/>
        </w:rPr>
        <w:t>=17878÷15260.82×10000=11715</w:t>
      </w:r>
      <w:r>
        <w:rPr>
          <w:rFonts w:ascii="Arial" w:hAnsi="Arial" w:cs="Arial"/>
          <w:sz w:val="21"/>
        </w:rPr>
        <w:t>（元</w:t>
      </w:r>
      <w:r>
        <w:rPr>
          <w:rFonts w:cs="Arial" w:ascii="Arial" w:hAnsi="Arial"/>
          <w:sz w:val="21"/>
        </w:rPr>
        <w:t>/</w:t>
      </w:r>
      <w:r>
        <w:rPr>
          <w:rFonts w:ascii="Arial" w:hAnsi="Arial" w:cs="Arial"/>
          <w:sz w:val="21"/>
        </w:rPr>
        <w:t>平方米）</w:t>
      </w:r>
    </w:p>
    <w:p>
      <w:pPr>
        <w:pStyle w:val="Normal"/>
        <w:spacing w:lineRule="auto" w:line="480"/>
        <w:ind w:firstLine="420"/>
        <w:jc w:val="both"/>
        <w:rPr>
          <w:rFonts w:ascii="Arial" w:hAnsi="Arial" w:cs="Arial"/>
          <w:b/>
          <w:b/>
          <w:sz w:val="21"/>
          <w:szCs w:val="21"/>
        </w:rPr>
      </w:pPr>
      <w:r>
        <w:rPr>
          <w:rFonts w:cs="Arial" w:ascii="Arial" w:hAnsi="Arial"/>
          <w:b/>
          <w:sz w:val="21"/>
          <w:szCs w:val="21"/>
        </w:rPr>
      </w:r>
    </w:p>
    <w:p>
      <w:pPr>
        <w:pStyle w:val="2"/>
        <w:numPr>
          <w:ilvl w:val="0"/>
          <w:numId w:val="0"/>
        </w:numPr>
        <w:spacing w:lineRule="auto" w:line="480"/>
        <w:ind w:left="357" w:hanging="357"/>
        <w:jc w:val="both"/>
        <w:rPr/>
      </w:pPr>
      <w:bookmarkStart w:id="40" w:name="__RefHeading___Toc162425572"/>
      <w:bookmarkEnd w:id="40"/>
      <w:r>
        <w:rPr>
          <w:rFonts w:eastAsia="宋体;SimSun"/>
          <w:kern w:val="2"/>
          <w:sz w:val="21"/>
          <w:szCs w:val="21"/>
        </w:rPr>
        <w:t>六、估价结果确定</w:t>
      </w:r>
    </w:p>
    <w:p>
      <w:pPr>
        <w:pStyle w:val="Style23"/>
        <w:spacing w:lineRule="auto" w:line="480"/>
        <w:rPr>
          <w:rFonts w:ascii="Arial" w:hAnsi="Arial" w:eastAsia="宋体;SimSun" w:cs="Arial"/>
          <w:sz w:val="21"/>
          <w:szCs w:val="21"/>
        </w:rPr>
      </w:pPr>
      <w:r>
        <w:rPr>
          <w:rFonts w:ascii="Arial" w:hAnsi="Arial" w:cs="Arial" w:eastAsia="宋体;SimSun"/>
          <w:sz w:val="21"/>
          <w:szCs w:val="21"/>
        </w:rPr>
        <w:t>（一）</w:t>
      </w:r>
      <w:r>
        <w:rPr>
          <w:rFonts w:ascii="Arial" w:hAnsi="Arial" w:cs="Arial" w:eastAsia="宋体;SimSun"/>
          <w:sz w:val="21"/>
          <w:szCs w:val="21"/>
        </w:rPr>
        <w:t>评估价值</w:t>
      </w:r>
    </w:p>
    <w:p>
      <w:pPr>
        <w:pStyle w:val="Normal"/>
        <w:spacing w:lineRule="auto" w:line="480"/>
        <w:ind w:firstLine="420"/>
        <w:jc w:val="both"/>
        <w:rPr>
          <w:rFonts w:ascii="Arial" w:hAnsi="Arial" w:cs="Arial"/>
          <w:color w:val="000000"/>
          <w:sz w:val="21"/>
          <w:szCs w:val="21"/>
        </w:rPr>
      </w:pPr>
      <w:r>
        <w:rPr>
          <w:rFonts w:ascii="Arial" w:hAnsi="Arial" w:cs="Arial"/>
          <w:color w:val="000000"/>
          <w:sz w:val="21"/>
          <w:szCs w:val="21"/>
        </w:rPr>
        <w:t>本次评估针对估价方法的适用性、数据可靠程度以及估价结果的现势性三个方面，分别对本次评估所采用的估价方法进行打分评价，按照对估价结果可靠性的影响程度，分别赋予估价方法的适用性一项为</w:t>
      </w:r>
      <w:r>
        <w:rPr>
          <w:rFonts w:cs="Arial" w:ascii="Arial" w:hAnsi="Arial"/>
          <w:color w:val="000000"/>
          <w:sz w:val="21"/>
          <w:szCs w:val="21"/>
        </w:rPr>
        <w:t>20</w:t>
      </w:r>
      <w:r>
        <w:rPr>
          <w:rFonts w:ascii="Arial" w:hAnsi="Arial" w:cs="Arial"/>
          <w:color w:val="000000"/>
          <w:sz w:val="21"/>
          <w:szCs w:val="21"/>
        </w:rPr>
        <w:t>分分值，数据可靠程度及估价结果的现势性各</w:t>
      </w:r>
      <w:r>
        <w:rPr>
          <w:rFonts w:cs="Arial" w:ascii="Arial" w:hAnsi="Arial"/>
          <w:color w:val="000000"/>
          <w:sz w:val="21"/>
          <w:szCs w:val="21"/>
        </w:rPr>
        <w:t>15</w:t>
      </w:r>
      <w:r>
        <w:rPr>
          <w:rFonts w:ascii="Arial" w:hAnsi="Arial" w:cs="Arial"/>
          <w:color w:val="000000"/>
          <w:sz w:val="21"/>
          <w:szCs w:val="21"/>
        </w:rPr>
        <w:t>分分值，其中，数据可靠程度又分为方法所要求的资料完成性、参数选取的客观性以及参数确定的时效性共三个小点，分别赋值</w:t>
      </w:r>
      <w:r>
        <w:rPr>
          <w:rFonts w:cs="Arial" w:ascii="Arial" w:hAnsi="Arial"/>
          <w:color w:val="000000"/>
          <w:sz w:val="21"/>
          <w:szCs w:val="21"/>
        </w:rPr>
        <w:t>5</w:t>
      </w:r>
      <w:r>
        <w:rPr>
          <w:rFonts w:ascii="Arial" w:hAnsi="Arial" w:cs="Arial"/>
          <w:color w:val="000000"/>
          <w:sz w:val="21"/>
          <w:szCs w:val="21"/>
        </w:rPr>
        <w:t>分。本次评估所选用的估价方法打分如下：</w:t>
      </w:r>
    </w:p>
    <w:p>
      <w:pPr>
        <w:pStyle w:val="Normal"/>
        <w:spacing w:lineRule="auto" w:line="240"/>
        <w:jc w:val="center"/>
        <w:rPr>
          <w:rFonts w:ascii="方正黑体简体;微软雅黑" w:hAnsi="方正黑体简体;微软雅黑" w:eastAsia="方正黑体简体;微软雅黑" w:cs="Arial"/>
          <w:color w:val="000000"/>
          <w:szCs w:val="24"/>
        </w:rPr>
      </w:pPr>
      <w:r>
        <w:rPr>
          <w:rFonts w:ascii="方正黑体简体;微软雅黑" w:hAnsi="方正黑体简体;微软雅黑" w:cs="Arial" w:eastAsia="方正黑体简体;微软雅黑"/>
          <w:color w:val="000000"/>
          <w:szCs w:val="24"/>
        </w:rPr>
        <w:t>估价方法打分评价体系</w:t>
      </w:r>
    </w:p>
    <w:tbl>
      <w:tblPr>
        <w:tblW w:w="9319" w:type="dxa"/>
        <w:jc w:val="center"/>
        <w:tblInd w:w="0" w:type="dxa"/>
        <w:tblCellMar>
          <w:top w:w="57" w:type="dxa"/>
          <w:left w:w="57" w:type="dxa"/>
          <w:bottom w:w="57" w:type="dxa"/>
          <w:right w:w="57" w:type="dxa"/>
        </w:tblCellMar>
      </w:tblPr>
      <w:tblGrid>
        <w:gridCol w:w="613"/>
        <w:gridCol w:w="1411"/>
        <w:gridCol w:w="528"/>
        <w:gridCol w:w="5077"/>
        <w:gridCol w:w="835"/>
        <w:gridCol w:w="855"/>
      </w:tblGrid>
      <w:tr>
        <w:trPr>
          <w:cantSplit w:val="true"/>
        </w:trPr>
        <w:tc>
          <w:tcPr>
            <w:tcW w:w="2024" w:type="dxa"/>
            <w:gridSpan w:val="2"/>
            <w:vMerge w:val="restart"/>
            <w:tcBorders>
              <w:top w:val="single" w:sz="8" w:space="0" w:color="000000"/>
              <w:left w:val="single" w:sz="8"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评价因素</w:t>
            </w:r>
          </w:p>
        </w:tc>
        <w:tc>
          <w:tcPr>
            <w:tcW w:w="528" w:type="dxa"/>
            <w:vMerge w:val="restart"/>
            <w:tcBorders>
              <w:top w:val="single" w:sz="8" w:space="0" w:color="000000"/>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标准分值</w:t>
            </w:r>
          </w:p>
        </w:tc>
        <w:tc>
          <w:tcPr>
            <w:tcW w:w="5077" w:type="dxa"/>
            <w:vMerge w:val="restart"/>
            <w:tcBorders>
              <w:top w:val="single" w:sz="8" w:space="0" w:color="000000"/>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打分考虑因素</w:t>
            </w:r>
          </w:p>
        </w:tc>
        <w:tc>
          <w:tcPr>
            <w:tcW w:w="1690" w:type="dxa"/>
            <w:gridSpan w:val="2"/>
            <w:tcBorders>
              <w:top w:val="single" w:sz="8" w:space="0" w:color="000000"/>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产权式酒店（别墅）用途</w:t>
            </w:r>
          </w:p>
        </w:tc>
      </w:tr>
      <w:tr>
        <w:trPr>
          <w:cantSplit w:val="true"/>
        </w:trPr>
        <w:tc>
          <w:tcPr>
            <w:tcW w:w="2024" w:type="dxa"/>
            <w:gridSpan w:val="2"/>
            <w:vMerge w:val="continue"/>
            <w:tcBorders>
              <w:top w:val="single" w:sz="8" w:space="0" w:color="000000"/>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top w:val="single" w:sz="8" w:space="0" w:color="000000"/>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077" w:type="dxa"/>
            <w:vMerge w:val="continue"/>
            <w:tcBorders>
              <w:top w:val="single" w:sz="8" w:space="0" w:color="000000"/>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835"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比较法</w:t>
            </w:r>
          </w:p>
        </w:tc>
        <w:tc>
          <w:tcPr>
            <w:tcW w:w="855" w:type="dxa"/>
            <w:tcBorders>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收益法</w:t>
            </w:r>
          </w:p>
        </w:tc>
      </w:tr>
      <w:tr>
        <w:trPr>
          <w:cantSplit w:val="true"/>
        </w:trPr>
        <w:tc>
          <w:tcPr>
            <w:tcW w:w="2024" w:type="dxa"/>
            <w:gridSpan w:val="2"/>
            <w:vMerge w:val="restart"/>
            <w:tcBorders>
              <w:top w:val="single" w:sz="4" w:space="0" w:color="000000"/>
              <w:left w:val="single" w:sz="8"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估价方法的适用性</w:t>
            </w:r>
          </w:p>
        </w:tc>
        <w:tc>
          <w:tcPr>
            <w:tcW w:w="528"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20</w:t>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估价方法选取分析充分、合理，取</w:t>
            </w:r>
            <w:r>
              <w:rPr>
                <w:rFonts w:eastAsia="华文细黑" w:cs="Arial" w:ascii="Arial" w:hAnsi="Arial"/>
                <w:sz w:val="18"/>
                <w:szCs w:val="18"/>
              </w:rPr>
              <w:t>20</w:t>
            </w:r>
            <w:r>
              <w:rPr>
                <w:rFonts w:ascii="Arial" w:hAnsi="Arial" w:cs="Arial" w:eastAsia="华文细黑"/>
                <w:sz w:val="18"/>
                <w:szCs w:val="18"/>
              </w:rPr>
              <w:t>分；</w:t>
            </w:r>
          </w:p>
        </w:tc>
        <w:tc>
          <w:tcPr>
            <w:tcW w:w="835"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18</w:t>
            </w:r>
          </w:p>
        </w:tc>
        <w:tc>
          <w:tcPr>
            <w:tcW w:w="855" w:type="dxa"/>
            <w:vMerge w:val="restart"/>
            <w:tcBorders>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15</w:t>
            </w:r>
          </w:p>
        </w:tc>
      </w:tr>
      <w:tr>
        <w:trPr>
          <w:cantSplit w:val="true"/>
        </w:trPr>
        <w:tc>
          <w:tcPr>
            <w:tcW w:w="2024" w:type="dxa"/>
            <w:gridSpan w:val="2"/>
            <w:vMerge w:val="continue"/>
            <w:tcBorders>
              <w:top w:val="single" w:sz="4" w:space="0" w:color="000000"/>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估价方法选取分析较充分、合理，取</w:t>
            </w:r>
            <w:r>
              <w:rPr>
                <w:rFonts w:eastAsia="华文细黑" w:cs="Arial" w:ascii="Arial" w:hAnsi="Arial"/>
                <w:sz w:val="18"/>
                <w:szCs w:val="18"/>
              </w:rPr>
              <w:t>15</w:t>
            </w:r>
            <w:r>
              <w:rPr>
                <w:rFonts w:ascii="Arial" w:hAnsi="Arial" w:cs="Arial" w:eastAsia="华文细黑"/>
                <w:sz w:val="18"/>
                <w:szCs w:val="18"/>
              </w:rPr>
              <w:t>分；</w:t>
            </w:r>
          </w:p>
        </w:tc>
        <w:tc>
          <w:tcPr>
            <w:tcW w:w="835"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855" w:type="dxa"/>
            <w:vMerge w:val="continue"/>
            <w:tcBorders>
              <w:left w:val="single" w:sz="4" w:space="0" w:color="000000"/>
              <w:bottom w:val="single" w:sz="4" w:space="0" w:color="000000"/>
              <w:right w:val="single" w:sz="8"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2024" w:type="dxa"/>
            <w:gridSpan w:val="2"/>
            <w:vMerge w:val="continue"/>
            <w:tcBorders>
              <w:top w:val="single" w:sz="4" w:space="0" w:color="000000"/>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3.</w:t>
            </w:r>
            <w:r>
              <w:rPr>
                <w:rFonts w:ascii="Arial" w:hAnsi="Arial" w:cs="Arial" w:eastAsia="华文细黑"/>
                <w:sz w:val="18"/>
                <w:szCs w:val="18"/>
              </w:rPr>
              <w:t>估价方法选取分析较不充分，取</w:t>
            </w:r>
            <w:r>
              <w:rPr>
                <w:rFonts w:eastAsia="华文细黑" w:cs="Arial" w:ascii="Arial" w:hAnsi="Arial"/>
                <w:sz w:val="18"/>
                <w:szCs w:val="18"/>
              </w:rPr>
              <w:t>5</w:t>
            </w:r>
            <w:r>
              <w:rPr>
                <w:rFonts w:ascii="Arial" w:hAnsi="Arial" w:cs="Arial" w:eastAsia="华文细黑"/>
                <w:sz w:val="18"/>
                <w:szCs w:val="18"/>
              </w:rPr>
              <w:t>分；</w:t>
            </w:r>
          </w:p>
        </w:tc>
        <w:tc>
          <w:tcPr>
            <w:tcW w:w="835"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855" w:type="dxa"/>
            <w:vMerge w:val="continue"/>
            <w:tcBorders>
              <w:left w:val="single" w:sz="4" w:space="0" w:color="000000"/>
              <w:bottom w:val="single" w:sz="4" w:space="0" w:color="000000"/>
              <w:right w:val="single" w:sz="8"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613" w:type="dxa"/>
            <w:vMerge w:val="restart"/>
            <w:tcBorders>
              <w:left w:val="single" w:sz="8"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数据可靠程度</w:t>
            </w:r>
          </w:p>
        </w:tc>
        <w:tc>
          <w:tcPr>
            <w:tcW w:w="1411"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估价方法所要求的估价资料的完整性</w:t>
            </w:r>
          </w:p>
        </w:tc>
        <w:tc>
          <w:tcPr>
            <w:tcW w:w="528"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5</w:t>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估价资料完整，来源依据充分，取</w:t>
            </w:r>
            <w:r>
              <w:rPr>
                <w:rFonts w:eastAsia="华文细黑" w:cs="Arial" w:ascii="Arial" w:hAnsi="Arial"/>
                <w:sz w:val="18"/>
                <w:szCs w:val="18"/>
              </w:rPr>
              <w:t>5</w:t>
            </w:r>
            <w:r>
              <w:rPr>
                <w:rFonts w:ascii="Arial" w:hAnsi="Arial" w:cs="Arial" w:eastAsia="华文细黑"/>
                <w:sz w:val="18"/>
                <w:szCs w:val="18"/>
              </w:rPr>
              <w:t>分；</w:t>
            </w:r>
          </w:p>
        </w:tc>
        <w:tc>
          <w:tcPr>
            <w:tcW w:w="835"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5</w:t>
            </w:r>
          </w:p>
        </w:tc>
        <w:tc>
          <w:tcPr>
            <w:tcW w:w="855" w:type="dxa"/>
            <w:vMerge w:val="restart"/>
            <w:tcBorders>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3</w:t>
            </w:r>
          </w:p>
        </w:tc>
      </w:tr>
      <w:tr>
        <w:trPr>
          <w:cantSplit w:val="true"/>
        </w:trPr>
        <w:tc>
          <w:tcPr>
            <w:tcW w:w="613" w:type="dxa"/>
            <w:vMerge w:val="continue"/>
            <w:tcBorders>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1411"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估价资料有欠缺，来源依据较不充分，取</w:t>
            </w:r>
            <w:r>
              <w:rPr>
                <w:rFonts w:eastAsia="华文细黑" w:cs="Arial" w:ascii="Arial" w:hAnsi="Arial"/>
                <w:sz w:val="18"/>
                <w:szCs w:val="18"/>
              </w:rPr>
              <w:t>3</w:t>
            </w:r>
            <w:r>
              <w:rPr>
                <w:rFonts w:ascii="Arial" w:hAnsi="Arial" w:cs="Arial" w:eastAsia="华文细黑"/>
                <w:sz w:val="18"/>
                <w:szCs w:val="18"/>
              </w:rPr>
              <w:t>分；</w:t>
            </w:r>
          </w:p>
        </w:tc>
        <w:tc>
          <w:tcPr>
            <w:tcW w:w="835"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855" w:type="dxa"/>
            <w:vMerge w:val="continue"/>
            <w:tcBorders>
              <w:left w:val="single" w:sz="4" w:space="0" w:color="000000"/>
              <w:bottom w:val="single" w:sz="4" w:space="0" w:color="000000"/>
              <w:right w:val="single" w:sz="8"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613" w:type="dxa"/>
            <w:vMerge w:val="continue"/>
            <w:tcBorders>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1411"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参数选取的客观性</w:t>
            </w:r>
          </w:p>
        </w:tc>
        <w:tc>
          <w:tcPr>
            <w:tcW w:w="528"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5</w:t>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参数从市场上获取，或从权威机构发布的信息上获取，取</w:t>
            </w:r>
            <w:r>
              <w:rPr>
                <w:rFonts w:eastAsia="华文细黑" w:cs="Arial" w:ascii="Arial" w:hAnsi="Arial"/>
                <w:sz w:val="18"/>
                <w:szCs w:val="18"/>
              </w:rPr>
              <w:t>5</w:t>
            </w:r>
            <w:r>
              <w:rPr>
                <w:rFonts w:ascii="Arial" w:hAnsi="Arial" w:cs="Arial" w:eastAsia="华文细黑"/>
                <w:sz w:val="18"/>
                <w:szCs w:val="18"/>
              </w:rPr>
              <w:t>分；</w:t>
            </w:r>
          </w:p>
        </w:tc>
        <w:tc>
          <w:tcPr>
            <w:tcW w:w="835"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5</w:t>
            </w:r>
          </w:p>
        </w:tc>
        <w:tc>
          <w:tcPr>
            <w:tcW w:w="855" w:type="dxa"/>
            <w:vMerge w:val="restart"/>
            <w:tcBorders>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3</w:t>
            </w:r>
          </w:p>
        </w:tc>
      </w:tr>
      <w:tr>
        <w:trPr>
          <w:cantSplit w:val="true"/>
        </w:trPr>
        <w:tc>
          <w:tcPr>
            <w:tcW w:w="613" w:type="dxa"/>
            <w:vMerge w:val="continue"/>
            <w:tcBorders>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1411"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部分参数为自行分析取得，理由较充分，取</w:t>
            </w:r>
            <w:r>
              <w:rPr>
                <w:rFonts w:eastAsia="华文细黑" w:cs="Arial" w:ascii="Arial" w:hAnsi="Arial"/>
                <w:sz w:val="18"/>
                <w:szCs w:val="18"/>
              </w:rPr>
              <w:t>3</w:t>
            </w:r>
            <w:r>
              <w:rPr>
                <w:rFonts w:ascii="Arial" w:hAnsi="Arial" w:cs="Arial" w:eastAsia="华文细黑"/>
                <w:sz w:val="18"/>
                <w:szCs w:val="18"/>
              </w:rPr>
              <w:t>分；</w:t>
            </w:r>
          </w:p>
        </w:tc>
        <w:tc>
          <w:tcPr>
            <w:tcW w:w="835"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855" w:type="dxa"/>
            <w:vMerge w:val="continue"/>
            <w:tcBorders>
              <w:left w:val="single" w:sz="4" w:space="0" w:color="000000"/>
              <w:bottom w:val="single" w:sz="4" w:space="0" w:color="000000"/>
              <w:right w:val="single" w:sz="8"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613" w:type="dxa"/>
            <w:vMerge w:val="continue"/>
            <w:tcBorders>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1411"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参数确定的时效性</w:t>
            </w:r>
          </w:p>
        </w:tc>
        <w:tc>
          <w:tcPr>
            <w:tcW w:w="528"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5</w:t>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参数在规定的时效范围内，且距价值时点未超过</w:t>
            </w:r>
            <w:r>
              <w:rPr>
                <w:rFonts w:eastAsia="华文细黑" w:cs="Arial" w:ascii="Arial" w:hAnsi="Arial"/>
                <w:sz w:val="18"/>
                <w:szCs w:val="18"/>
              </w:rPr>
              <w:t>1</w:t>
            </w:r>
            <w:r>
              <w:rPr>
                <w:rFonts w:ascii="Arial" w:hAnsi="Arial" w:cs="Arial" w:eastAsia="华文细黑"/>
                <w:sz w:val="18"/>
                <w:szCs w:val="18"/>
              </w:rPr>
              <w:t>年，取</w:t>
            </w:r>
            <w:r>
              <w:rPr>
                <w:rFonts w:eastAsia="华文细黑" w:cs="Arial" w:ascii="Arial" w:hAnsi="Arial"/>
                <w:sz w:val="18"/>
                <w:szCs w:val="18"/>
              </w:rPr>
              <w:t>5</w:t>
            </w:r>
            <w:r>
              <w:rPr>
                <w:rFonts w:ascii="Arial" w:hAnsi="Arial" w:cs="Arial" w:eastAsia="华文细黑"/>
                <w:sz w:val="18"/>
                <w:szCs w:val="18"/>
              </w:rPr>
              <w:t>分；</w:t>
            </w:r>
          </w:p>
        </w:tc>
        <w:tc>
          <w:tcPr>
            <w:tcW w:w="835"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5</w:t>
            </w:r>
          </w:p>
        </w:tc>
        <w:tc>
          <w:tcPr>
            <w:tcW w:w="855" w:type="dxa"/>
            <w:vMerge w:val="restart"/>
            <w:tcBorders>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3</w:t>
            </w:r>
          </w:p>
        </w:tc>
      </w:tr>
      <w:tr>
        <w:trPr>
          <w:cantSplit w:val="true"/>
        </w:trPr>
        <w:tc>
          <w:tcPr>
            <w:tcW w:w="613" w:type="dxa"/>
            <w:vMerge w:val="continue"/>
            <w:tcBorders>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1411"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参数在规定的时效范围内，但距价值时点超过</w:t>
            </w:r>
            <w:r>
              <w:rPr>
                <w:rFonts w:eastAsia="华文细黑" w:cs="Arial" w:ascii="Arial" w:hAnsi="Arial"/>
                <w:sz w:val="18"/>
                <w:szCs w:val="18"/>
              </w:rPr>
              <w:t>1</w:t>
            </w:r>
            <w:r>
              <w:rPr>
                <w:rFonts w:ascii="Arial" w:hAnsi="Arial" w:cs="Arial" w:eastAsia="华文细黑"/>
                <w:sz w:val="18"/>
                <w:szCs w:val="18"/>
              </w:rPr>
              <w:t>年未超过</w:t>
            </w:r>
            <w:r>
              <w:rPr>
                <w:rFonts w:eastAsia="华文细黑" w:cs="Arial" w:ascii="Arial" w:hAnsi="Arial"/>
                <w:sz w:val="18"/>
                <w:szCs w:val="18"/>
              </w:rPr>
              <w:t>3</w:t>
            </w:r>
            <w:r>
              <w:rPr>
                <w:rFonts w:ascii="Arial" w:hAnsi="Arial" w:cs="Arial" w:eastAsia="华文细黑"/>
                <w:sz w:val="18"/>
                <w:szCs w:val="18"/>
              </w:rPr>
              <w:t>年，取</w:t>
            </w:r>
            <w:r>
              <w:rPr>
                <w:rFonts w:eastAsia="华文细黑" w:cs="Arial" w:ascii="Arial" w:hAnsi="Arial"/>
                <w:sz w:val="18"/>
                <w:szCs w:val="18"/>
              </w:rPr>
              <w:t>3</w:t>
            </w:r>
            <w:r>
              <w:rPr>
                <w:rFonts w:ascii="Arial" w:hAnsi="Arial" w:cs="Arial" w:eastAsia="华文细黑"/>
                <w:sz w:val="18"/>
                <w:szCs w:val="18"/>
              </w:rPr>
              <w:t>分；</w:t>
            </w:r>
          </w:p>
        </w:tc>
        <w:tc>
          <w:tcPr>
            <w:tcW w:w="835"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855" w:type="dxa"/>
            <w:vMerge w:val="continue"/>
            <w:tcBorders>
              <w:left w:val="single" w:sz="4" w:space="0" w:color="000000"/>
              <w:bottom w:val="single" w:sz="4" w:space="0" w:color="000000"/>
              <w:right w:val="single" w:sz="8"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2024" w:type="dxa"/>
            <w:gridSpan w:val="2"/>
            <w:vMerge w:val="restart"/>
            <w:tcBorders>
              <w:top w:val="single" w:sz="4" w:space="0" w:color="000000"/>
              <w:left w:val="single" w:sz="8"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估价结果的现势性</w:t>
            </w:r>
          </w:p>
        </w:tc>
        <w:tc>
          <w:tcPr>
            <w:tcW w:w="528"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15</w:t>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w:t>
            </w:r>
            <w:r>
              <w:rPr>
                <w:rFonts w:ascii="Arial" w:hAnsi="Arial" w:cs="Arial" w:eastAsia="华文细黑"/>
                <w:sz w:val="18"/>
                <w:szCs w:val="18"/>
              </w:rPr>
              <w:t>、估价结果与同类用途房地产市场价格水平一致，且考虑了房地产市场发展趋势，取</w:t>
            </w:r>
            <w:r>
              <w:rPr>
                <w:rFonts w:eastAsia="华文细黑" w:cs="Arial" w:ascii="Arial" w:hAnsi="Arial"/>
                <w:sz w:val="18"/>
                <w:szCs w:val="18"/>
              </w:rPr>
              <w:t>15</w:t>
            </w:r>
            <w:r>
              <w:rPr>
                <w:rFonts w:ascii="Arial" w:hAnsi="Arial" w:cs="Arial" w:eastAsia="华文细黑"/>
                <w:sz w:val="18"/>
                <w:szCs w:val="18"/>
              </w:rPr>
              <w:t>分；</w:t>
            </w:r>
          </w:p>
        </w:tc>
        <w:tc>
          <w:tcPr>
            <w:tcW w:w="835" w:type="dxa"/>
            <w:vMerge w:val="restart"/>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1</w:t>
            </w:r>
            <w:r>
              <w:rPr>
                <w:rFonts w:eastAsia="华文细黑" w:cs="Arial" w:ascii="Arial" w:hAnsi="Arial"/>
                <w:sz w:val="18"/>
                <w:szCs w:val="18"/>
              </w:rPr>
              <w:t>0</w:t>
            </w:r>
          </w:p>
        </w:tc>
        <w:tc>
          <w:tcPr>
            <w:tcW w:w="855" w:type="dxa"/>
            <w:vMerge w:val="restart"/>
            <w:tcBorders>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5</w:t>
            </w:r>
          </w:p>
        </w:tc>
      </w:tr>
      <w:tr>
        <w:trPr>
          <w:cantSplit w:val="true"/>
        </w:trPr>
        <w:tc>
          <w:tcPr>
            <w:tcW w:w="2024" w:type="dxa"/>
            <w:gridSpan w:val="2"/>
            <w:vMerge w:val="continue"/>
            <w:tcBorders>
              <w:top w:val="single" w:sz="4" w:space="0" w:color="000000"/>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2.</w:t>
            </w:r>
            <w:r>
              <w:rPr>
                <w:rFonts w:ascii="Arial" w:hAnsi="Arial" w:cs="Arial" w:eastAsia="华文细黑"/>
                <w:sz w:val="18"/>
                <w:szCs w:val="18"/>
              </w:rPr>
              <w:t>估价结果与同类用途房地产价格水平基本一致，且适当考虑了房地产市场发展趋势，取</w:t>
            </w:r>
            <w:r>
              <w:rPr>
                <w:rFonts w:eastAsia="华文细黑" w:cs="Arial" w:ascii="Arial" w:hAnsi="Arial"/>
                <w:sz w:val="18"/>
                <w:szCs w:val="18"/>
              </w:rPr>
              <w:t>10</w:t>
            </w:r>
            <w:r>
              <w:rPr>
                <w:rFonts w:ascii="Arial" w:hAnsi="Arial" w:cs="Arial" w:eastAsia="华文细黑"/>
                <w:sz w:val="18"/>
                <w:szCs w:val="18"/>
              </w:rPr>
              <w:t>分；</w:t>
            </w:r>
          </w:p>
        </w:tc>
        <w:tc>
          <w:tcPr>
            <w:tcW w:w="835"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855" w:type="dxa"/>
            <w:vMerge w:val="continue"/>
            <w:tcBorders>
              <w:left w:val="single" w:sz="4" w:space="0" w:color="000000"/>
              <w:bottom w:val="single" w:sz="4" w:space="0" w:color="000000"/>
              <w:right w:val="single" w:sz="8"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2024" w:type="dxa"/>
            <w:gridSpan w:val="2"/>
            <w:vMerge w:val="continue"/>
            <w:tcBorders>
              <w:top w:val="single" w:sz="4" w:space="0" w:color="000000"/>
              <w:left w:val="single" w:sz="8"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宋体;SimSun"/>
                <w:sz w:val="18"/>
                <w:szCs w:val="18"/>
              </w:rPr>
            </w:pPr>
            <w:r>
              <w:rPr>
                <w:rFonts w:eastAsia="华文细黑" w:cs="宋体;SimSun" w:ascii="Arial" w:hAnsi="Arial"/>
                <w:sz w:val="18"/>
                <w:szCs w:val="18"/>
              </w:rPr>
            </w:r>
          </w:p>
        </w:tc>
        <w:tc>
          <w:tcPr>
            <w:tcW w:w="528"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3.</w:t>
            </w:r>
            <w:r>
              <w:rPr>
                <w:rFonts w:ascii="Arial" w:hAnsi="Arial" w:cs="Arial" w:eastAsia="华文细黑"/>
                <w:sz w:val="18"/>
                <w:szCs w:val="18"/>
              </w:rPr>
              <w:t>估价结果与同类用途房地产价格水平有一定差距，且适当考虑房地产市场发展趋势，取</w:t>
            </w:r>
            <w:r>
              <w:rPr>
                <w:rFonts w:eastAsia="华文细黑" w:cs="Arial" w:ascii="Arial" w:hAnsi="Arial"/>
                <w:sz w:val="18"/>
                <w:szCs w:val="18"/>
              </w:rPr>
              <w:t>5</w:t>
            </w:r>
            <w:r>
              <w:rPr>
                <w:rFonts w:ascii="Arial" w:hAnsi="Arial" w:cs="Arial" w:eastAsia="华文细黑"/>
                <w:sz w:val="18"/>
                <w:szCs w:val="18"/>
              </w:rPr>
              <w:t>分；</w:t>
            </w:r>
          </w:p>
        </w:tc>
        <w:tc>
          <w:tcPr>
            <w:tcW w:w="835" w:type="dxa"/>
            <w:vMerge w:val="continue"/>
            <w:tcBorders>
              <w:left w:val="single" w:sz="4" w:space="0" w:color="000000"/>
              <w:bottom w:val="single" w:sz="4"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c>
          <w:tcPr>
            <w:tcW w:w="855" w:type="dxa"/>
            <w:vMerge w:val="continue"/>
            <w:tcBorders>
              <w:left w:val="single" w:sz="4" w:space="0" w:color="000000"/>
              <w:bottom w:val="single" w:sz="4" w:space="0" w:color="000000"/>
              <w:right w:val="single" w:sz="8" w:space="0" w:color="000000"/>
            </w:tcBorders>
            <w:shd w:fill="auto" w:val="clear"/>
            <w:vAlign w:val="center"/>
          </w:tcPr>
          <w:p>
            <w:pPr>
              <w:pStyle w:val="Normal"/>
              <w:widowControl/>
              <w:snapToGrid w:val="false"/>
              <w:spacing w:lineRule="exact" w:line="240"/>
              <w:textAlignment w:val="auto"/>
              <w:rPr>
                <w:rFonts w:ascii="Arial" w:hAnsi="Arial" w:eastAsia="华文细黑" w:cs="Arial"/>
                <w:sz w:val="18"/>
                <w:szCs w:val="18"/>
              </w:rPr>
            </w:pPr>
            <w:r>
              <w:rPr>
                <w:rFonts w:eastAsia="华文细黑" w:cs="Arial" w:ascii="Arial" w:hAnsi="Arial"/>
                <w:sz w:val="18"/>
                <w:szCs w:val="18"/>
              </w:rPr>
            </w:r>
          </w:p>
        </w:tc>
      </w:tr>
      <w:tr>
        <w:trPr>
          <w:cantSplit w:val="true"/>
        </w:trPr>
        <w:tc>
          <w:tcPr>
            <w:tcW w:w="2024" w:type="dxa"/>
            <w:gridSpan w:val="2"/>
            <w:tcBorders>
              <w:top w:val="single" w:sz="4" w:space="0" w:color="000000"/>
              <w:left w:val="single" w:sz="8"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分值</w:t>
            </w:r>
          </w:p>
        </w:tc>
        <w:tc>
          <w:tcPr>
            <w:tcW w:w="528"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eastAsia="华文细黑" w:cs="宋体;SimSun" w:ascii="Arial" w:hAnsi="Arial"/>
                <w:sz w:val="18"/>
                <w:szCs w:val="18"/>
              </w:rPr>
              <w:t>50</w:t>
            </w:r>
          </w:p>
        </w:tc>
        <w:tc>
          <w:tcPr>
            <w:tcW w:w="5077"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eastAsia="华文细黑" w:cs="宋体;SimSun" w:ascii="Arial" w:hAnsi="Arial"/>
                <w:sz w:val="18"/>
                <w:szCs w:val="18"/>
              </w:rPr>
              <w:t>-</w:t>
            </w:r>
          </w:p>
        </w:tc>
        <w:tc>
          <w:tcPr>
            <w:tcW w:w="835" w:type="dxa"/>
            <w:tcBorders>
              <w:left w:val="single" w:sz="4" w:space="0" w:color="000000"/>
              <w:bottom w:val="single" w:sz="4"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4</w:t>
            </w:r>
            <w:r>
              <w:rPr>
                <w:rFonts w:eastAsia="华文细黑" w:cs="Arial" w:ascii="Arial" w:hAnsi="Arial"/>
                <w:sz w:val="18"/>
                <w:szCs w:val="18"/>
              </w:rPr>
              <w:t>3</w:t>
            </w:r>
          </w:p>
        </w:tc>
        <w:tc>
          <w:tcPr>
            <w:tcW w:w="855" w:type="dxa"/>
            <w:tcBorders>
              <w:left w:val="single" w:sz="4" w:space="0" w:color="000000"/>
              <w:bottom w:val="single" w:sz="4"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29</w:t>
            </w:r>
          </w:p>
        </w:tc>
      </w:tr>
      <w:tr>
        <w:trPr>
          <w:cantSplit w:val="true"/>
        </w:trPr>
        <w:tc>
          <w:tcPr>
            <w:tcW w:w="7629" w:type="dxa"/>
            <w:gridSpan w:val="4"/>
            <w:tcBorders>
              <w:top w:val="single" w:sz="4" w:space="0" w:color="000000"/>
              <w:left w:val="single" w:sz="8" w:space="0" w:color="000000"/>
              <w:bottom w:val="single" w:sz="8" w:space="0" w:color="000000"/>
            </w:tcBorders>
            <w:shd w:fill="auto" w:val="clear"/>
            <w:vAlign w:val="center"/>
          </w:tcPr>
          <w:p>
            <w:pPr>
              <w:pStyle w:val="Normal"/>
              <w:widowControl/>
              <w:spacing w:lineRule="exact" w:line="240"/>
              <w:textAlignment w:val="auto"/>
              <w:rPr>
                <w:rFonts w:ascii="Arial" w:hAnsi="Arial" w:eastAsia="华文细黑" w:cs="宋体;SimSun"/>
                <w:sz w:val="18"/>
                <w:szCs w:val="18"/>
              </w:rPr>
            </w:pPr>
            <w:r>
              <w:rPr>
                <w:rFonts w:ascii="Arial" w:hAnsi="Arial" w:cs="宋体;SimSun" w:eastAsia="华文细黑"/>
                <w:sz w:val="18"/>
                <w:szCs w:val="18"/>
              </w:rPr>
              <w:t>权重</w:t>
            </w:r>
          </w:p>
        </w:tc>
        <w:tc>
          <w:tcPr>
            <w:tcW w:w="835" w:type="dxa"/>
            <w:tcBorders>
              <w:left w:val="single" w:sz="4" w:space="0" w:color="000000"/>
              <w:bottom w:val="single" w:sz="8" w:space="0" w:color="000000"/>
            </w:tcBorders>
            <w:shd w:fill="auto" w:val="clear"/>
            <w:vAlign w:val="center"/>
          </w:tcPr>
          <w:p>
            <w:pPr>
              <w:pStyle w:val="Normal"/>
              <w:widowControl/>
              <w:spacing w:lineRule="exact" w:line="240"/>
              <w:textAlignment w:val="auto"/>
              <w:rPr/>
            </w:pPr>
            <w:r>
              <w:rPr>
                <w:rFonts w:eastAsia="华文细黑" w:cs="Arial" w:ascii="Arial" w:hAnsi="Arial"/>
                <w:sz w:val="18"/>
                <w:szCs w:val="18"/>
              </w:rPr>
              <w:t>60</w:t>
            </w:r>
            <w:r>
              <w:rPr>
                <w:rFonts w:eastAsia="华文细黑" w:cs="Arial" w:ascii="Arial" w:hAnsi="Arial"/>
                <w:sz w:val="18"/>
                <w:szCs w:val="18"/>
              </w:rPr>
              <w:t>%</w:t>
            </w:r>
          </w:p>
        </w:tc>
        <w:tc>
          <w:tcPr>
            <w:tcW w:w="855" w:type="dxa"/>
            <w:tcBorders>
              <w:left w:val="single" w:sz="4" w:space="0" w:color="000000"/>
              <w:bottom w:val="single" w:sz="8" w:space="0" w:color="000000"/>
              <w:right w:val="single" w:sz="8" w:space="0" w:color="000000"/>
            </w:tcBorders>
            <w:shd w:fill="auto" w:val="clear"/>
            <w:vAlign w:val="center"/>
          </w:tcPr>
          <w:p>
            <w:pPr>
              <w:pStyle w:val="Normal"/>
              <w:widowControl/>
              <w:spacing w:lineRule="exact" w:line="240"/>
              <w:textAlignment w:val="auto"/>
              <w:rPr>
                <w:rFonts w:ascii="Arial" w:hAnsi="Arial" w:eastAsia="华文细黑" w:cs="Arial"/>
                <w:sz w:val="18"/>
                <w:szCs w:val="18"/>
              </w:rPr>
            </w:pPr>
            <w:r>
              <w:rPr>
                <w:rFonts w:eastAsia="华文细黑" w:cs="Arial" w:ascii="Arial" w:hAnsi="Arial"/>
                <w:sz w:val="18"/>
                <w:szCs w:val="18"/>
              </w:rPr>
              <w:t>40%</w:t>
            </w:r>
          </w:p>
        </w:tc>
      </w:tr>
    </w:tbl>
    <w:p>
      <w:pPr>
        <w:pStyle w:val="Normal"/>
        <w:widowControl/>
        <w:spacing w:lineRule="exact" w:line="240"/>
        <w:textAlignment w:val="auto"/>
        <w:rPr>
          <w:rFonts w:ascii="Arial" w:hAnsi="Arial" w:eastAsia="华文细黑" w:cs="宋体;SimSun"/>
          <w:color w:val="000000"/>
          <w:sz w:val="18"/>
          <w:szCs w:val="18"/>
        </w:rPr>
      </w:pPr>
      <w:r>
        <w:rPr>
          <w:rFonts w:eastAsia="华文细黑" w:cs="宋体;SimSun" w:ascii="Arial" w:hAnsi="Arial"/>
          <w:color w:val="000000"/>
          <w:sz w:val="18"/>
          <w:szCs w:val="18"/>
        </w:rPr>
      </w:r>
    </w:p>
    <w:p>
      <w:pPr>
        <w:pStyle w:val="Normal"/>
        <w:spacing w:lineRule="auto" w:line="480"/>
        <w:ind w:firstLine="420"/>
        <w:jc w:val="both"/>
        <w:rPr>
          <w:rFonts w:ascii="Arial" w:hAnsi="Arial" w:cs="Arial"/>
          <w:b/>
          <w:b/>
          <w:sz w:val="21"/>
          <w:szCs w:val="21"/>
        </w:rPr>
      </w:pPr>
      <w:r>
        <w:rPr>
          <w:rFonts w:ascii="Arial" w:hAnsi="Arial" w:cs="Arial"/>
          <w:sz w:val="21"/>
          <w:szCs w:val="21"/>
        </w:rPr>
        <w:t>经测算，比较法估价结果为</w:t>
      </w:r>
      <w:r>
        <w:rPr>
          <w:rFonts w:cs="Arial" w:ascii="Arial" w:hAnsi="Arial"/>
          <w:sz w:val="21"/>
          <w:szCs w:val="21"/>
        </w:rPr>
        <w:t>54867</w:t>
      </w:r>
      <w:r>
        <w:rPr>
          <w:rFonts w:ascii="Arial" w:hAnsi="Arial" w:cs="Arial"/>
          <w:sz w:val="21"/>
          <w:szCs w:val="21"/>
        </w:rPr>
        <w:t>万元，收益法估价结果为</w:t>
      </w:r>
      <w:r>
        <w:rPr>
          <w:rFonts w:cs="Arial" w:ascii="Arial" w:hAnsi="Arial"/>
          <w:sz w:val="21"/>
          <w:szCs w:val="21"/>
        </w:rPr>
        <w:t>17878</w:t>
      </w:r>
      <w:r>
        <w:rPr>
          <w:rFonts w:ascii="Arial" w:hAnsi="Arial" w:cs="Arial"/>
          <w:sz w:val="21"/>
          <w:szCs w:val="21"/>
        </w:rPr>
        <w:t>万元，比较法结果高于收益法结果。按上表所列打分评价结果，比较法分值为</w:t>
      </w:r>
      <w:r>
        <w:rPr>
          <w:rFonts w:cs="Arial" w:ascii="Arial" w:hAnsi="Arial"/>
          <w:sz w:val="21"/>
          <w:szCs w:val="21"/>
        </w:rPr>
        <w:t>43</w:t>
      </w:r>
      <w:r>
        <w:rPr>
          <w:rFonts w:ascii="Arial" w:hAnsi="Arial" w:cs="Arial"/>
          <w:sz w:val="21"/>
          <w:szCs w:val="21"/>
        </w:rPr>
        <w:t>分，收益法分值为</w:t>
      </w:r>
      <w:r>
        <w:rPr>
          <w:rFonts w:cs="Arial" w:ascii="Arial" w:hAnsi="Arial"/>
          <w:sz w:val="21"/>
          <w:szCs w:val="21"/>
        </w:rPr>
        <w:t>29</w:t>
      </w:r>
      <w:r>
        <w:rPr>
          <w:rFonts w:ascii="Arial" w:hAnsi="Arial" w:cs="Arial"/>
          <w:sz w:val="21"/>
          <w:szCs w:val="21"/>
        </w:rPr>
        <w:t>分，比较法结果的可靠性优于收益法。本次评估采用加权算术平均法计算最终评估价值，综合以上分析，取比较法权重</w:t>
      </w:r>
      <w:r>
        <w:rPr>
          <w:rFonts w:cs="Arial" w:ascii="Arial" w:hAnsi="Arial"/>
          <w:sz w:val="21"/>
          <w:szCs w:val="21"/>
        </w:rPr>
        <w:t>60%</w:t>
      </w:r>
      <w:r>
        <w:rPr>
          <w:rFonts w:ascii="Arial" w:hAnsi="Arial" w:cs="Arial"/>
          <w:sz w:val="21"/>
          <w:szCs w:val="21"/>
        </w:rPr>
        <w:t>，收益法权重</w:t>
      </w:r>
      <w:r>
        <w:rPr>
          <w:rFonts w:cs="Arial" w:ascii="Arial" w:hAnsi="Arial"/>
          <w:sz w:val="21"/>
          <w:szCs w:val="21"/>
        </w:rPr>
        <w:t>40%</w:t>
      </w:r>
      <w:r>
        <w:rPr>
          <w:rFonts w:ascii="Arial" w:hAnsi="Arial" w:cs="Arial"/>
          <w:sz w:val="21"/>
          <w:szCs w:val="21"/>
        </w:rPr>
        <w:t>。</w:t>
      </w:r>
      <w:r>
        <w:rPr>
          <w:rFonts w:ascii="Arial" w:hAnsi="Arial" w:cs="Arial"/>
          <w:sz w:val="21"/>
          <w:szCs w:val="21"/>
        </w:rPr>
        <w:t>则有：</w:t>
      </w:r>
    </w:p>
    <w:p>
      <w:pPr>
        <w:pStyle w:val="Normal"/>
        <w:spacing w:lineRule="auto" w:line="480"/>
        <w:ind w:firstLine="420"/>
        <w:jc w:val="both"/>
        <w:rPr/>
      </w:pPr>
      <w:r>
        <w:rPr>
          <w:rFonts w:ascii="Arial" w:hAnsi="Arial" w:cs="Arial"/>
          <w:sz w:val="21"/>
          <w:szCs w:val="21"/>
        </w:rPr>
        <w:t>评估价值</w:t>
      </w:r>
    </w:p>
    <w:p>
      <w:pPr>
        <w:pStyle w:val="Normal"/>
        <w:spacing w:lineRule="auto" w:line="480"/>
        <w:ind w:firstLine="420"/>
        <w:jc w:val="both"/>
        <w:rPr>
          <w:rFonts w:ascii="Arial" w:hAnsi="Arial" w:cs="Arial"/>
          <w:sz w:val="21"/>
          <w:szCs w:val="21"/>
        </w:rPr>
      </w:pPr>
      <w:r>
        <w:rPr>
          <w:rFonts w:ascii="Arial" w:hAnsi="Arial" w:cs="Arial"/>
          <w:sz w:val="21"/>
          <w:szCs w:val="21"/>
        </w:rPr>
        <w:t>总价</w:t>
      </w:r>
      <w:r>
        <w:rPr>
          <w:rFonts w:ascii="Arial" w:hAnsi="Arial" w:cs="Arial"/>
          <w:sz w:val="21"/>
          <w:szCs w:val="21"/>
        </w:rPr>
        <w:t>＝</w:t>
      </w:r>
      <w:r>
        <w:rPr>
          <w:rFonts w:cs="Arial" w:ascii="Arial" w:hAnsi="Arial"/>
          <w:sz w:val="21"/>
          <w:szCs w:val="21"/>
        </w:rPr>
        <w:t>54867</w:t>
      </w:r>
      <w:r>
        <w:rPr>
          <w:rFonts w:cs="Arial"/>
          <w:sz w:val="21"/>
          <w:szCs w:val="21"/>
        </w:rPr>
        <w:t>×60</w:t>
      </w:r>
      <w:r>
        <w:rPr>
          <w:rFonts w:cs="Arial" w:ascii="Arial" w:hAnsi="Arial"/>
          <w:sz w:val="21"/>
          <w:szCs w:val="21"/>
        </w:rPr>
        <w:t>%</w:t>
      </w:r>
      <w:r>
        <w:rPr>
          <w:rFonts w:ascii="Arial" w:hAnsi="Arial" w:cs="Arial"/>
          <w:sz w:val="21"/>
          <w:szCs w:val="21"/>
        </w:rPr>
        <w:t>＋</w:t>
      </w:r>
      <w:r>
        <w:rPr>
          <w:rFonts w:cs="Arial" w:ascii="Arial" w:hAnsi="Arial"/>
          <w:sz w:val="21"/>
          <w:szCs w:val="21"/>
        </w:rPr>
        <w:t>17878</w:t>
      </w:r>
      <w:r>
        <w:rPr>
          <w:rFonts w:cs="Arial"/>
          <w:sz w:val="21"/>
          <w:szCs w:val="21"/>
        </w:rPr>
        <w:t>×40</w:t>
      </w:r>
      <w:r>
        <w:rPr>
          <w:rFonts w:cs="Arial" w:ascii="Arial" w:hAnsi="Arial"/>
          <w:sz w:val="21"/>
          <w:szCs w:val="21"/>
        </w:rPr>
        <w:t>%</w:t>
      </w:r>
      <w:r>
        <w:rPr>
          <w:rFonts w:ascii="Arial" w:hAnsi="Arial" w:cs="Arial"/>
          <w:sz w:val="21"/>
          <w:szCs w:val="21"/>
        </w:rPr>
        <w:t>＝</w:t>
      </w:r>
      <w:r>
        <w:rPr>
          <w:rFonts w:cs="Arial" w:ascii="Arial" w:hAnsi="Arial"/>
          <w:sz w:val="21"/>
          <w:szCs w:val="21"/>
        </w:rPr>
        <w:t>40071</w:t>
      </w:r>
      <w:r>
        <w:rPr>
          <w:rFonts w:ascii="Arial" w:hAnsi="Arial" w:cs="Arial"/>
          <w:sz w:val="21"/>
          <w:szCs w:val="21"/>
        </w:rPr>
        <w:t>（万元）</w:t>
      </w:r>
    </w:p>
    <w:p>
      <w:pPr>
        <w:pStyle w:val="Normal"/>
        <w:spacing w:lineRule="auto" w:line="480"/>
        <w:ind w:firstLine="420"/>
        <w:jc w:val="both"/>
        <w:rPr/>
      </w:pPr>
      <w:r>
        <w:rPr>
          <w:rFonts w:ascii="Arial" w:hAnsi="Arial" w:cs="Arial"/>
          <w:sz w:val="21"/>
          <w:szCs w:val="21"/>
        </w:rPr>
        <w:t>楼面单价＝</w:t>
      </w:r>
      <w:r>
        <w:rPr>
          <w:rFonts w:cs="Arial" w:ascii="Arial" w:hAnsi="Arial"/>
          <w:sz w:val="21"/>
          <w:szCs w:val="21"/>
        </w:rPr>
        <w:t>40071</w:t>
      </w:r>
      <w:r>
        <w:rPr>
          <w:rFonts w:cs="Arial"/>
          <w:sz w:val="21"/>
          <w:szCs w:val="21"/>
        </w:rPr>
        <w:t>×</w:t>
      </w:r>
      <w:r>
        <w:rPr>
          <w:rFonts w:cs="Arial" w:ascii="Arial" w:hAnsi="Arial"/>
          <w:sz w:val="21"/>
          <w:szCs w:val="21"/>
        </w:rPr>
        <w:t>10000</w:t>
      </w:r>
      <w:r>
        <w:rPr>
          <w:rFonts w:cs="Arial"/>
          <w:sz w:val="21"/>
          <w:szCs w:val="21"/>
        </w:rPr>
        <w:t>÷</w:t>
      </w:r>
      <w:r>
        <w:rPr>
          <w:rFonts w:cs="Arial" w:ascii="Arial" w:hAnsi="Arial"/>
          <w:sz w:val="21"/>
          <w:szCs w:val="21"/>
        </w:rPr>
        <w:t>15260.82</w:t>
      </w:r>
      <w:r>
        <w:rPr>
          <w:rFonts w:ascii="Arial" w:hAnsi="Arial" w:cs="Arial"/>
          <w:sz w:val="21"/>
          <w:szCs w:val="21"/>
        </w:rPr>
        <w:t>＝</w:t>
      </w:r>
      <w:r>
        <w:rPr>
          <w:rFonts w:cs="Arial" w:ascii="Arial" w:hAnsi="Arial"/>
          <w:sz w:val="21"/>
          <w:szCs w:val="21"/>
        </w:rPr>
        <w:t>26257</w:t>
      </w:r>
      <w:r>
        <w:rPr>
          <w:rFonts w:ascii="Arial" w:hAnsi="Arial" w:cs="Arial"/>
          <w:sz w:val="21"/>
          <w:szCs w:val="21"/>
        </w:rPr>
        <w:t>（元</w:t>
      </w:r>
      <w:r>
        <w:rPr>
          <w:rFonts w:cs="Arial" w:ascii="Arial" w:hAnsi="Arial"/>
          <w:sz w:val="21"/>
          <w:szCs w:val="21"/>
        </w:rPr>
        <w:t>/</w:t>
      </w:r>
      <w:r>
        <w:rPr>
          <w:rFonts w:ascii="Arial" w:hAnsi="Arial" w:cs="Arial"/>
          <w:sz w:val="21"/>
          <w:szCs w:val="21"/>
        </w:rPr>
        <w:t>平方米）</w:t>
      </w:r>
    </w:p>
    <w:p>
      <w:pPr>
        <w:pStyle w:val="Normal"/>
        <w:spacing w:lineRule="auto" w:line="480"/>
        <w:jc w:val="both"/>
        <w:rPr>
          <w:rFonts w:ascii="Arial" w:hAnsi="Arial" w:cs="Arial"/>
          <w:b/>
          <w:b/>
          <w:sz w:val="21"/>
          <w:szCs w:val="21"/>
        </w:rPr>
      </w:pPr>
      <w:r>
        <w:rPr>
          <w:rFonts w:ascii="Arial" w:hAnsi="Arial" w:cs="Arial"/>
          <w:b/>
          <w:sz w:val="21"/>
          <w:szCs w:val="21"/>
        </w:rPr>
        <w:t>（</w:t>
      </w:r>
      <w:r>
        <w:rPr>
          <w:rFonts w:ascii="Arial" w:hAnsi="Arial" w:cs="Arial"/>
          <w:b/>
          <w:sz w:val="21"/>
          <w:szCs w:val="21"/>
        </w:rPr>
        <w:t>二</w:t>
      </w:r>
      <w:r>
        <w:rPr>
          <w:rFonts w:ascii="Arial" w:hAnsi="Arial" w:cs="Arial"/>
          <w:b/>
          <w:sz w:val="21"/>
          <w:szCs w:val="21"/>
        </w:rPr>
        <w:t>）</w:t>
      </w:r>
      <w:r>
        <w:rPr>
          <w:rFonts w:ascii="Arial" w:hAnsi="Arial" w:cs="Arial"/>
          <w:b/>
          <w:sz w:val="21"/>
          <w:szCs w:val="21"/>
        </w:rPr>
        <w:t>快速变现价值说明</w:t>
      </w:r>
    </w:p>
    <w:p>
      <w:pPr>
        <w:pStyle w:val="Normal"/>
        <w:spacing w:lineRule="auto" w:line="480"/>
        <w:ind w:firstLine="420"/>
        <w:jc w:val="both"/>
        <w:rPr/>
      </w:pPr>
      <w:r>
        <w:rPr>
          <w:rFonts w:ascii="Arial" w:hAnsi="Arial" w:cs="Arial"/>
          <w:sz w:val="21"/>
          <w:szCs w:val="21"/>
        </w:rPr>
        <w:t>本次估价的“快速变现价值”是指估价对象在没有充足的时间进行营销情况下的价值</w:t>
      </w:r>
      <w:r>
        <w:rPr>
          <w:rFonts w:ascii="Arial" w:hAnsi="Arial" w:cs="Arial"/>
          <w:sz w:val="21"/>
          <w:szCs w:val="21"/>
        </w:rPr>
        <w:t>。因存在短期内强制处分、潜在购买群体受到限制及心理排斥等因素的影响，</w:t>
      </w:r>
      <w:r>
        <w:rPr>
          <w:rFonts w:ascii="Arial" w:hAnsi="Arial" w:cs="Arial"/>
          <w:sz w:val="21"/>
          <w:szCs w:val="21"/>
        </w:rPr>
        <w:t>“快速变现价值”通常低于市场价值。</w:t>
      </w:r>
    </w:p>
    <w:p>
      <w:pPr>
        <w:pStyle w:val="Normal"/>
        <w:spacing w:lineRule="auto" w:line="480"/>
        <w:ind w:firstLine="420"/>
        <w:jc w:val="both"/>
        <w:rPr/>
      </w:pPr>
      <w:r>
        <w:rPr>
          <w:rFonts w:ascii="Arial" w:hAnsi="Arial" w:cs="Arial"/>
          <w:sz w:val="21"/>
          <w:szCs w:val="21"/>
        </w:rPr>
        <w:t>根据《</w:t>
      </w:r>
      <w:r>
        <w:rPr>
          <w:rFonts w:ascii="Arial" w:hAnsi="Arial" w:cs="Arial"/>
          <w:sz w:val="21"/>
          <w:szCs w:val="21"/>
        </w:rPr>
        <w:t>最高人民法院关于人民法院网络司法拍卖若干问题的规定》</w:t>
      </w:r>
      <w:r>
        <w:rPr>
          <w:rFonts w:cs="Arial" w:ascii="Arial" w:hAnsi="Arial"/>
          <w:sz w:val="21"/>
          <w:szCs w:val="21"/>
        </w:rPr>
        <w:t>[</w:t>
      </w:r>
      <w:r>
        <w:rPr>
          <w:rFonts w:ascii="Arial" w:hAnsi="Arial" w:cs="Arial"/>
          <w:sz w:val="21"/>
          <w:szCs w:val="21"/>
        </w:rPr>
        <w:t>法释〔</w:t>
      </w:r>
      <w:r>
        <w:rPr>
          <w:rFonts w:cs="Arial" w:ascii="Arial" w:hAnsi="Arial"/>
          <w:sz w:val="21"/>
          <w:szCs w:val="21"/>
        </w:rPr>
        <w:t>2016</w:t>
      </w:r>
      <w:r>
        <w:rPr>
          <w:rFonts w:ascii="Arial" w:hAnsi="Arial" w:cs="Arial"/>
          <w:sz w:val="21"/>
          <w:szCs w:val="21"/>
        </w:rPr>
        <w:t>〕</w:t>
      </w:r>
      <w:r>
        <w:rPr>
          <w:rFonts w:cs="Arial" w:ascii="Arial" w:hAnsi="Arial"/>
          <w:sz w:val="21"/>
          <w:szCs w:val="21"/>
        </w:rPr>
        <w:t>18</w:t>
      </w:r>
      <w:r>
        <w:rPr>
          <w:rFonts w:ascii="Arial" w:hAnsi="Arial" w:cs="Arial"/>
          <w:sz w:val="21"/>
          <w:szCs w:val="21"/>
        </w:rPr>
        <w:t>号</w:t>
      </w:r>
      <w:r>
        <w:rPr>
          <w:rFonts w:cs="Arial" w:ascii="Arial" w:hAnsi="Arial"/>
          <w:sz w:val="21"/>
          <w:szCs w:val="21"/>
        </w:rPr>
        <w:t>]</w:t>
      </w:r>
      <w:r>
        <w:rPr>
          <w:rFonts w:ascii="Arial" w:hAnsi="Arial" w:cs="Arial"/>
          <w:sz w:val="21"/>
          <w:szCs w:val="21"/>
        </w:rPr>
        <w:t>，人民法院以拍卖方式处置财产的，应当采取网络司法拍卖方式。网络司法拍卖应当确定保留价，拍卖保留价即为起拍价。起拍价由人民法院参照评估价确定；未作评估的，参照市价确定，并征询当事人意见。起拍价不得低于评估价或者市价的百分之七十。网络司法拍卖竞价期间无人出价的，本次拍卖流拍。流拍后应当在三十日内在同一网络司法拍卖平台再次拍卖。再次拍卖的起拍价降价幅度不得超过前次起拍价的百分之二十。再次拍卖流拍的，可以依法在同一网络司法拍卖平台变卖。</w:t>
      </w:r>
    </w:p>
    <w:p>
      <w:pPr>
        <w:pStyle w:val="Normal"/>
        <w:spacing w:lineRule="auto" w:line="480"/>
        <w:ind w:firstLine="420"/>
        <w:jc w:val="both"/>
        <w:rPr>
          <w:rFonts w:ascii="Arial" w:hAnsi="Arial" w:cs="Arial"/>
          <w:sz w:val="21"/>
          <w:szCs w:val="21"/>
        </w:rPr>
      </w:pPr>
      <w:r>
        <w:rPr>
          <w:rFonts w:ascii="Arial" w:hAnsi="Arial" w:cs="Arial"/>
          <w:sz w:val="21"/>
          <w:szCs w:val="21"/>
        </w:rPr>
        <w:t>评估专业人员通过查询阿里资产网、京东拍卖网，近五年内已结束的评估值在</w:t>
      </w:r>
      <w:r>
        <w:rPr>
          <w:rFonts w:cs="Arial" w:ascii="Arial" w:hAnsi="Arial"/>
          <w:sz w:val="21"/>
          <w:szCs w:val="21"/>
        </w:rPr>
        <w:t>5</w:t>
      </w:r>
      <w:r>
        <w:rPr>
          <w:rFonts w:cs="Arial" w:ascii="Arial" w:hAnsi="Arial"/>
          <w:sz w:val="21"/>
          <w:szCs w:val="21"/>
        </w:rPr>
        <w:t>000</w:t>
      </w:r>
      <w:r>
        <w:rPr>
          <w:rFonts w:ascii="Arial" w:hAnsi="Arial" w:cs="Arial"/>
          <w:sz w:val="21"/>
          <w:szCs w:val="21"/>
        </w:rPr>
        <w:t>万以上的房地产拍卖项目成交详细情况见下表：</w:t>
      </w:r>
    </w:p>
    <w:p>
      <w:pPr>
        <w:pStyle w:val="Normal"/>
        <w:spacing w:lineRule="auto" w:line="480"/>
        <w:ind w:firstLine="420"/>
        <w:jc w:val="both"/>
        <w:rPr>
          <w:rFonts w:ascii="Arial" w:hAnsi="Arial" w:cs="Arial"/>
          <w:sz w:val="21"/>
          <w:szCs w:val="21"/>
        </w:rPr>
      </w:pPr>
      <w:r>
        <w:rPr>
          <w:rFonts w:cs="Arial" w:ascii="Arial" w:hAnsi="Arial"/>
          <w:sz w:val="21"/>
          <w:szCs w:val="21"/>
        </w:rPr>
      </w:r>
    </w:p>
    <w:p>
      <w:pPr>
        <w:pStyle w:val="Normal"/>
        <w:spacing w:lineRule="auto" w:line="480"/>
        <w:ind w:firstLine="200"/>
        <w:jc w:val="both"/>
        <w:rPr>
          <w:rFonts w:ascii="Arial" w:hAnsi="Arial" w:cs="Arial"/>
          <w:sz w:val="10"/>
          <w:szCs w:val="10"/>
        </w:rPr>
      </w:pPr>
      <w:r>
        <w:rPr>
          <w:rFonts w:cs="Arial" w:ascii="Arial" w:hAnsi="Arial"/>
          <w:sz w:val="10"/>
          <w:szCs w:val="10"/>
        </w:rPr>
      </w:r>
    </w:p>
    <w:tbl>
      <w:tblPr>
        <w:tblW w:w="5000" w:type="pct"/>
        <w:jc w:val="center"/>
        <w:tblInd w:w="0" w:type="dxa"/>
        <w:tblCellMar>
          <w:top w:w="0" w:type="dxa"/>
          <w:left w:w="108" w:type="dxa"/>
          <w:bottom w:w="0" w:type="dxa"/>
          <w:right w:w="108" w:type="dxa"/>
        </w:tblCellMar>
      </w:tblPr>
      <w:tblGrid>
        <w:gridCol w:w="658"/>
        <w:gridCol w:w="3737"/>
        <w:gridCol w:w="691"/>
        <w:gridCol w:w="1385"/>
        <w:gridCol w:w="1383"/>
        <w:gridCol w:w="692"/>
        <w:gridCol w:w="752"/>
      </w:tblGrid>
      <w:tr>
        <w:trPr>
          <w:trHeight w:val="27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序号</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名称</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拍卖流程</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评估价（元）</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起拍价（元）</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折扣</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结果</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海南省三亚市海棠区海棠北路三亚海棠湾君悦酒店</w:t>
            </w:r>
            <w:r>
              <w:rPr>
                <w:rFonts w:eastAsia="华文细黑" w:cs="Arial" w:ascii="Arial" w:hAnsi="Arial"/>
                <w:color w:val="333333"/>
                <w:sz w:val="18"/>
                <w:szCs w:val="18"/>
              </w:rPr>
              <w:t>48#</w:t>
            </w:r>
            <w:r>
              <w:rPr>
                <w:rFonts w:ascii="Arial" w:hAnsi="Arial" w:cs="Arial" w:eastAsia="华文细黑"/>
                <w:color w:val="333333"/>
                <w:sz w:val="18"/>
                <w:szCs w:val="18"/>
              </w:rPr>
              <w:t>独栋低层酒店</w:t>
            </w:r>
            <w:r>
              <w:rPr>
                <w:rFonts w:eastAsia="华文细黑" w:cs="Arial" w:ascii="Arial" w:hAnsi="Arial"/>
                <w:color w:val="333333"/>
                <w:sz w:val="18"/>
                <w:szCs w:val="18"/>
              </w:rPr>
              <w:t>B</w:t>
            </w:r>
            <w:r>
              <w:rPr>
                <w:rFonts w:ascii="Arial" w:hAnsi="Arial" w:cs="Arial" w:eastAsia="华文细黑"/>
                <w:color w:val="333333"/>
                <w:sz w:val="18"/>
                <w:szCs w:val="18"/>
              </w:rPr>
              <w:t>型及室内家私家电等物品</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一拍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162419748</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162419748</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100%</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2</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海南省三亚市海棠区海棠北路三亚海棠湾君悦酒店</w:t>
            </w:r>
            <w:r>
              <w:rPr>
                <w:rFonts w:eastAsia="华文细黑" w:cs="Arial" w:ascii="Arial" w:hAnsi="Arial"/>
                <w:color w:val="333333"/>
                <w:sz w:val="18"/>
                <w:szCs w:val="18"/>
              </w:rPr>
              <w:t>48#</w:t>
            </w:r>
            <w:r>
              <w:rPr>
                <w:rFonts w:ascii="Arial" w:hAnsi="Arial" w:cs="Arial" w:eastAsia="华文细黑"/>
                <w:color w:val="333333"/>
                <w:sz w:val="18"/>
                <w:szCs w:val="18"/>
              </w:rPr>
              <w:t>独栋低层酒店</w:t>
            </w:r>
            <w:r>
              <w:rPr>
                <w:rFonts w:eastAsia="华文细黑" w:cs="Arial" w:ascii="Arial" w:hAnsi="Arial"/>
                <w:color w:val="333333"/>
                <w:sz w:val="18"/>
                <w:szCs w:val="18"/>
              </w:rPr>
              <w:t>B</w:t>
            </w:r>
            <w:r>
              <w:rPr>
                <w:rFonts w:ascii="Arial" w:hAnsi="Arial" w:cs="Arial" w:eastAsia="华文细黑"/>
                <w:color w:val="333333"/>
                <w:sz w:val="18"/>
                <w:szCs w:val="18"/>
              </w:rPr>
              <w:t>型及室内家私家电等物品</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二拍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162419748</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129935799</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80%</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3</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海南省三亚市吉阳区凤凰路山水国际蓝悦湾</w:t>
            </w:r>
            <w:r>
              <w:rPr>
                <w:rFonts w:eastAsia="华文细黑" w:cs="Arial" w:ascii="Arial" w:hAnsi="Arial"/>
                <w:color w:val="333333"/>
                <w:sz w:val="18"/>
                <w:szCs w:val="18"/>
              </w:rPr>
              <w:t>A1</w:t>
            </w:r>
            <w:r>
              <w:rPr>
                <w:rFonts w:ascii="Arial" w:hAnsi="Arial" w:cs="Arial" w:eastAsia="华文细黑"/>
                <w:color w:val="333333"/>
                <w:sz w:val="18"/>
                <w:szCs w:val="18"/>
              </w:rPr>
              <w:t>栋（</w:t>
            </w:r>
            <w:r>
              <w:rPr>
                <w:rFonts w:eastAsia="华文细黑" w:cs="Arial" w:ascii="Arial" w:hAnsi="Arial"/>
                <w:color w:val="333333"/>
                <w:sz w:val="18"/>
                <w:szCs w:val="18"/>
              </w:rPr>
              <w:t>500</w:t>
            </w:r>
            <w:r>
              <w:rPr>
                <w:rFonts w:ascii="Arial" w:hAnsi="Arial" w:cs="Arial" w:eastAsia="华文细黑"/>
                <w:color w:val="333333"/>
                <w:sz w:val="18"/>
                <w:szCs w:val="18"/>
              </w:rPr>
              <w:t>）型的住宅</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一拍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80110700</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56077490</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70%</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4</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海南三亚市亚龙湾开发区石溪墅底层度假公寓</w:t>
            </w:r>
            <w:r>
              <w:rPr>
                <w:rFonts w:eastAsia="华文细黑" w:cs="Arial" w:ascii="Arial" w:hAnsi="Arial"/>
                <w:color w:val="333333"/>
                <w:sz w:val="18"/>
                <w:szCs w:val="18"/>
              </w:rPr>
              <w:t>0829</w:t>
            </w:r>
            <w:r>
              <w:rPr>
                <w:rFonts w:ascii="Arial" w:hAnsi="Arial" w:cs="Arial" w:eastAsia="华文细黑"/>
                <w:color w:val="333333"/>
                <w:sz w:val="18"/>
                <w:szCs w:val="18"/>
              </w:rPr>
              <w:t>栋（甲</w:t>
            </w:r>
            <w:r>
              <w:rPr>
                <w:rFonts w:eastAsia="华文细黑" w:cs="Arial" w:ascii="Arial" w:hAnsi="Arial"/>
                <w:color w:val="333333"/>
                <w:sz w:val="18"/>
                <w:szCs w:val="18"/>
              </w:rPr>
              <w:t>5</w:t>
            </w:r>
            <w:r>
              <w:rPr>
                <w:rFonts w:ascii="Arial" w:hAnsi="Arial" w:cs="Arial" w:eastAsia="华文细黑"/>
                <w:color w:val="333333"/>
                <w:sz w:val="18"/>
                <w:szCs w:val="18"/>
              </w:rPr>
              <w:t>型）房产及对应土地使用权</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变卖</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87033927.6</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70497481.5</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81%</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3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5</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cs="Arial"/>
                <w:color w:val="333333"/>
                <w:sz w:val="18"/>
                <w:szCs w:val="18"/>
              </w:rPr>
            </w:pPr>
            <w:r>
              <w:rPr>
                <w:rFonts w:ascii="Arial" w:hAnsi="Arial" w:cs="Arial" w:eastAsia="华文细黑"/>
                <w:color w:val="333333"/>
                <w:sz w:val="18"/>
                <w:szCs w:val="18"/>
              </w:rPr>
              <w:t> </w:t>
            </w:r>
            <w:r>
              <w:rPr>
                <w:rFonts w:ascii="Arial" w:hAnsi="Arial" w:cs="Arial" w:eastAsia="华文细黑"/>
                <w:color w:val="333333"/>
                <w:sz w:val="18"/>
                <w:szCs w:val="18"/>
              </w:rPr>
              <w:t>五指山市河北沿西路</w:t>
            </w:r>
            <w:r>
              <w:rPr>
                <w:rFonts w:eastAsia="华文细黑" w:cs="Arial" w:ascii="Arial" w:hAnsi="Arial"/>
                <w:color w:val="333333"/>
                <w:sz w:val="18"/>
                <w:szCs w:val="18"/>
              </w:rPr>
              <w:t>2</w:t>
            </w:r>
            <w:r>
              <w:rPr>
                <w:rFonts w:ascii="Arial" w:hAnsi="Arial" w:cs="Arial" w:eastAsia="华文细黑"/>
                <w:color w:val="333333"/>
                <w:sz w:val="18"/>
                <w:szCs w:val="18"/>
              </w:rPr>
              <w:t>号水晶国际佳苑</w:t>
            </w:r>
            <w:r>
              <w:rPr>
                <w:rFonts w:ascii="Arial" w:hAnsi="Arial" w:cs="Arial" w:eastAsia="Arial"/>
                <w:color w:val="333333"/>
                <w:sz w:val="18"/>
                <w:szCs w:val="18"/>
              </w:rPr>
              <w:t xml:space="preserve"> </w:t>
            </w:r>
            <w:r>
              <w:rPr>
                <w:rFonts w:eastAsia="华文细黑" w:cs="Arial" w:ascii="Arial" w:hAnsi="Arial"/>
                <w:color w:val="333333"/>
                <w:sz w:val="18"/>
                <w:szCs w:val="18"/>
              </w:rPr>
              <w:t>A</w:t>
            </w:r>
            <w:r>
              <w:rPr>
                <w:rFonts w:ascii="Arial" w:hAnsi="Arial" w:cs="Arial" w:eastAsia="华文细黑"/>
                <w:color w:val="333333"/>
                <w:sz w:val="18"/>
                <w:szCs w:val="18"/>
              </w:rPr>
              <w:t>栋</w:t>
            </w:r>
            <w:r>
              <w:rPr>
                <w:rFonts w:eastAsia="华文细黑" w:cs="Arial" w:ascii="Arial" w:hAnsi="Arial"/>
                <w:color w:val="333333"/>
                <w:sz w:val="18"/>
                <w:szCs w:val="18"/>
              </w:rPr>
              <w:t>211</w:t>
            </w:r>
            <w:r>
              <w:rPr>
                <w:rFonts w:ascii="Arial" w:hAnsi="Arial" w:cs="Arial" w:eastAsia="华文细黑"/>
                <w:color w:val="333333"/>
                <w:sz w:val="18"/>
                <w:szCs w:val="18"/>
              </w:rPr>
              <w:t>套</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变卖</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124516266</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69729108</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56%</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6</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海南省三亚市吉阳区亚龙湾的三亚瑞吉度假酒店别墅</w:t>
            </w:r>
            <w:r>
              <w:rPr>
                <w:rFonts w:eastAsia="华文细黑" w:cs="Arial" w:ascii="Arial" w:hAnsi="Arial"/>
                <w:color w:val="333333"/>
                <w:sz w:val="18"/>
                <w:szCs w:val="18"/>
              </w:rPr>
              <w:t>M17</w:t>
            </w:r>
            <w:r>
              <w:rPr>
                <w:rFonts w:ascii="Arial" w:hAnsi="Arial" w:cs="Arial" w:eastAsia="华文细黑"/>
                <w:color w:val="333333"/>
                <w:sz w:val="18"/>
                <w:szCs w:val="18"/>
              </w:rPr>
              <w:t>栋的房产</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一拍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56562949</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50906654</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90%</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7</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 </w:t>
            </w:r>
            <w:r>
              <w:rPr>
                <w:rFonts w:ascii="Arial" w:hAnsi="Arial" w:cs="Arial" w:eastAsia="华文细黑"/>
                <w:color w:val="333333"/>
                <w:sz w:val="18"/>
                <w:szCs w:val="18"/>
              </w:rPr>
              <w:t>海南省陵水县绿城蓝湾小镇澄庐</w:t>
            </w:r>
            <w:r>
              <w:rPr>
                <w:rFonts w:eastAsia="华文细黑" w:cs="Arial" w:ascii="Arial" w:hAnsi="Arial"/>
                <w:color w:val="333333"/>
                <w:sz w:val="18"/>
                <w:szCs w:val="18"/>
              </w:rPr>
              <w:t>10</w:t>
            </w:r>
            <w:r>
              <w:rPr>
                <w:rFonts w:ascii="Arial" w:hAnsi="Arial" w:cs="Arial" w:eastAsia="华文细黑"/>
                <w:color w:val="333333"/>
                <w:sz w:val="18"/>
                <w:szCs w:val="18"/>
              </w:rPr>
              <w:t>号房及相应分摊的土地使用权（别墅）</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二拍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74855165</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47907306</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64%</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成交</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（刑）三亚市吉阳区亚龙大道石溪墅底层度假公寓</w:t>
            </w:r>
            <w:r>
              <w:rPr>
                <w:rFonts w:eastAsia="华文细黑" w:cs="Arial" w:ascii="Arial" w:hAnsi="Arial"/>
                <w:color w:val="333333"/>
                <w:sz w:val="18"/>
                <w:szCs w:val="18"/>
              </w:rPr>
              <w:t>0829</w:t>
            </w:r>
            <w:r>
              <w:rPr>
                <w:rFonts w:ascii="Arial" w:hAnsi="Arial" w:cs="Arial" w:eastAsia="华文细黑"/>
                <w:color w:val="333333"/>
                <w:sz w:val="18"/>
                <w:szCs w:val="18"/>
              </w:rPr>
              <w:t>栋房产</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二拍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87033927</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58747901</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68%</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9</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（刑）三亚市吉阳区亚龙大道石溪墅底层度假公寓</w:t>
            </w:r>
            <w:r>
              <w:rPr>
                <w:rFonts w:eastAsia="华文细黑" w:cs="Arial" w:ascii="Arial" w:hAnsi="Arial"/>
                <w:color w:val="333333"/>
                <w:sz w:val="18"/>
                <w:szCs w:val="18"/>
              </w:rPr>
              <w:t>0829</w:t>
            </w:r>
            <w:r>
              <w:rPr>
                <w:rFonts w:ascii="Arial" w:hAnsi="Arial" w:cs="Arial" w:eastAsia="华文细黑"/>
                <w:color w:val="333333"/>
                <w:sz w:val="18"/>
                <w:szCs w:val="18"/>
              </w:rPr>
              <w:t>栋房产</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一拍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87033927</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65275446</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75%</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9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10</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 </w:t>
            </w:r>
            <w:r>
              <w:rPr>
                <w:rFonts w:ascii="Arial" w:hAnsi="Arial" w:cs="Arial" w:eastAsia="华文细黑"/>
                <w:color w:val="333333"/>
                <w:sz w:val="18"/>
                <w:szCs w:val="18"/>
              </w:rPr>
              <w:t>海南省陵水黎族自治县清水湾旅游度假区</w:t>
            </w:r>
            <w:r>
              <w:rPr>
                <w:rFonts w:eastAsia="华文细黑" w:cs="Arial" w:ascii="Arial" w:hAnsi="Arial"/>
                <w:color w:val="333333"/>
                <w:sz w:val="18"/>
                <w:szCs w:val="18"/>
              </w:rPr>
              <w:t>C</w:t>
            </w:r>
            <w:r>
              <w:rPr>
                <w:rFonts w:ascii="Arial" w:hAnsi="Arial" w:cs="Arial" w:eastAsia="华文细黑"/>
                <w:color w:val="333333"/>
                <w:sz w:val="18"/>
                <w:szCs w:val="18"/>
              </w:rPr>
              <w:t>区绿城蓝湾小镇澄庐</w:t>
            </w:r>
            <w:r>
              <w:rPr>
                <w:rFonts w:eastAsia="华文细黑" w:cs="Arial" w:ascii="Arial" w:hAnsi="Arial"/>
                <w:color w:val="333333"/>
                <w:sz w:val="18"/>
                <w:szCs w:val="18"/>
              </w:rPr>
              <w:t>09</w:t>
            </w:r>
            <w:r>
              <w:rPr>
                <w:rFonts w:ascii="Arial" w:hAnsi="Arial" w:cs="Arial" w:eastAsia="华文细黑"/>
                <w:color w:val="333333"/>
                <w:sz w:val="18"/>
                <w:szCs w:val="18"/>
              </w:rPr>
              <w:t>号房</w:t>
            </w:r>
            <w:r>
              <w:rPr>
                <w:rFonts w:eastAsia="华文细黑" w:cs="Arial" w:ascii="Arial" w:hAnsi="Arial"/>
                <w:color w:val="333333"/>
                <w:sz w:val="18"/>
                <w:szCs w:val="18"/>
              </w:rPr>
              <w:t>[</w:t>
            </w:r>
            <w:r>
              <w:rPr>
                <w:rFonts w:ascii="Arial" w:hAnsi="Arial" w:cs="Arial" w:eastAsia="华文细黑"/>
                <w:color w:val="333333"/>
                <w:sz w:val="18"/>
                <w:szCs w:val="18"/>
              </w:rPr>
              <w:t>产权证号：琼（</w:t>
            </w:r>
            <w:r>
              <w:rPr>
                <w:rFonts w:eastAsia="华文细黑" w:cs="Arial" w:ascii="Arial" w:hAnsi="Arial"/>
                <w:color w:val="333333"/>
                <w:sz w:val="18"/>
                <w:szCs w:val="18"/>
              </w:rPr>
              <w:t>2019</w:t>
            </w:r>
            <w:r>
              <w:rPr>
                <w:rFonts w:ascii="Arial" w:hAnsi="Arial" w:cs="Arial" w:eastAsia="华文细黑"/>
                <w:color w:val="333333"/>
                <w:sz w:val="18"/>
                <w:szCs w:val="18"/>
              </w:rPr>
              <w:t>）陵水县不动产权第</w:t>
            </w:r>
            <w:r>
              <w:rPr>
                <w:rFonts w:eastAsia="华文细黑" w:cs="Arial" w:ascii="Arial" w:hAnsi="Arial"/>
                <w:color w:val="333333"/>
                <w:sz w:val="18"/>
                <w:szCs w:val="18"/>
              </w:rPr>
              <w:t>0001518</w:t>
            </w:r>
            <w:r>
              <w:rPr>
                <w:rFonts w:ascii="Arial" w:hAnsi="Arial" w:cs="Arial" w:eastAsia="华文细黑"/>
                <w:color w:val="333333"/>
                <w:sz w:val="18"/>
                <w:szCs w:val="18"/>
              </w:rPr>
              <w:t>号</w:t>
            </w:r>
            <w:r>
              <w:rPr>
                <w:rFonts w:eastAsia="华文细黑" w:cs="Arial" w:ascii="Arial" w:hAnsi="Arial"/>
                <w:color w:val="333333"/>
                <w:sz w:val="18"/>
                <w:szCs w:val="18"/>
              </w:rPr>
              <w:t>]</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一拍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81747184</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65397747</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80%</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9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11</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海南省陵水黎族自治县清水湾旅游度假区</w:t>
            </w:r>
            <w:r>
              <w:rPr>
                <w:rFonts w:eastAsia="华文细黑" w:cs="Arial" w:ascii="Arial" w:hAnsi="Arial"/>
                <w:color w:val="333333"/>
                <w:sz w:val="18"/>
                <w:szCs w:val="18"/>
              </w:rPr>
              <w:t>C</w:t>
            </w:r>
            <w:r>
              <w:rPr>
                <w:rFonts w:ascii="Arial" w:hAnsi="Arial" w:cs="Arial" w:eastAsia="华文细黑"/>
                <w:color w:val="333333"/>
                <w:sz w:val="18"/>
                <w:szCs w:val="18"/>
              </w:rPr>
              <w:t>区绿城蓝湾小镇澄庐</w:t>
            </w:r>
            <w:r>
              <w:rPr>
                <w:rFonts w:eastAsia="华文细黑" w:cs="Arial" w:ascii="Arial" w:hAnsi="Arial"/>
                <w:color w:val="333333"/>
                <w:sz w:val="18"/>
                <w:szCs w:val="18"/>
              </w:rPr>
              <w:t>09</w:t>
            </w:r>
            <w:r>
              <w:rPr>
                <w:rFonts w:ascii="Arial" w:hAnsi="Arial" w:cs="Arial" w:eastAsia="华文细黑"/>
                <w:color w:val="333333"/>
                <w:sz w:val="18"/>
                <w:szCs w:val="18"/>
              </w:rPr>
              <w:t>号房</w:t>
            </w:r>
            <w:r>
              <w:rPr>
                <w:rFonts w:eastAsia="华文细黑" w:cs="Arial" w:ascii="Arial" w:hAnsi="Arial"/>
                <w:color w:val="333333"/>
                <w:sz w:val="18"/>
                <w:szCs w:val="18"/>
              </w:rPr>
              <w:t>[</w:t>
            </w:r>
            <w:r>
              <w:rPr>
                <w:rFonts w:ascii="Arial" w:hAnsi="Arial" w:cs="Arial" w:eastAsia="华文细黑"/>
                <w:color w:val="333333"/>
                <w:sz w:val="18"/>
                <w:szCs w:val="18"/>
              </w:rPr>
              <w:t>产权证号：琼（</w:t>
            </w:r>
            <w:r>
              <w:rPr>
                <w:rFonts w:eastAsia="华文细黑" w:cs="Arial" w:ascii="Arial" w:hAnsi="Arial"/>
                <w:color w:val="333333"/>
                <w:sz w:val="18"/>
                <w:szCs w:val="18"/>
              </w:rPr>
              <w:t>2019</w:t>
            </w:r>
            <w:r>
              <w:rPr>
                <w:rFonts w:ascii="Arial" w:hAnsi="Arial" w:cs="Arial" w:eastAsia="华文细黑"/>
                <w:color w:val="333333"/>
                <w:sz w:val="18"/>
                <w:szCs w:val="18"/>
              </w:rPr>
              <w:t>）陵水县不动产权第</w:t>
            </w:r>
            <w:r>
              <w:rPr>
                <w:rFonts w:eastAsia="华文细黑" w:cs="Arial" w:ascii="Arial" w:hAnsi="Arial"/>
                <w:color w:val="333333"/>
                <w:sz w:val="18"/>
                <w:szCs w:val="18"/>
              </w:rPr>
              <w:t>0001518</w:t>
            </w:r>
            <w:r>
              <w:rPr>
                <w:rFonts w:ascii="Arial" w:hAnsi="Arial" w:cs="Arial" w:eastAsia="华文细黑"/>
                <w:color w:val="333333"/>
                <w:sz w:val="18"/>
                <w:szCs w:val="18"/>
              </w:rPr>
              <w:t>号</w:t>
            </w:r>
            <w:r>
              <w:rPr>
                <w:rFonts w:eastAsia="华文细黑" w:cs="Arial" w:ascii="Arial" w:hAnsi="Arial"/>
                <w:color w:val="333333"/>
                <w:sz w:val="18"/>
                <w:szCs w:val="18"/>
              </w:rPr>
              <w:t>]</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二拍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81747184</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52318197</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64%</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成交</w:t>
            </w:r>
          </w:p>
        </w:tc>
      </w:tr>
      <w:tr>
        <w:trPr>
          <w:trHeight w:val="6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12</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整体拍卖海南省陵水县英州镇清水湾旅游度假区</w:t>
            </w:r>
            <w:r>
              <w:rPr>
                <w:rFonts w:eastAsia="华文细黑" w:cs="Arial" w:ascii="Arial" w:hAnsi="Arial"/>
                <w:color w:val="333333"/>
                <w:sz w:val="18"/>
                <w:szCs w:val="18"/>
              </w:rPr>
              <w:t>A09</w:t>
            </w:r>
            <w:r>
              <w:rPr>
                <w:rFonts w:ascii="Arial" w:hAnsi="Arial" w:cs="Arial" w:eastAsia="华文细黑"/>
                <w:color w:val="333333"/>
                <w:sz w:val="18"/>
                <w:szCs w:val="18"/>
              </w:rPr>
              <w:t>区一期</w:t>
            </w:r>
            <w:r>
              <w:rPr>
                <w:rFonts w:eastAsia="华文细黑" w:cs="Arial" w:ascii="Arial" w:hAnsi="Arial"/>
                <w:color w:val="333333"/>
                <w:sz w:val="18"/>
                <w:szCs w:val="18"/>
              </w:rPr>
              <w:t>SB1</w:t>
            </w:r>
            <w:r>
              <w:rPr>
                <w:rFonts w:ascii="Arial" w:hAnsi="Arial" w:cs="Arial" w:eastAsia="华文细黑"/>
                <w:color w:val="333333"/>
                <w:sz w:val="18"/>
                <w:szCs w:val="18"/>
              </w:rPr>
              <w:t>一幢</w:t>
            </w:r>
            <w:r>
              <w:rPr>
                <w:rFonts w:eastAsia="华文细黑" w:cs="Arial" w:ascii="Arial" w:hAnsi="Arial"/>
                <w:color w:val="333333"/>
                <w:sz w:val="18"/>
                <w:szCs w:val="18"/>
              </w:rPr>
              <w:t>2</w:t>
            </w:r>
            <w:r>
              <w:rPr>
                <w:rFonts w:ascii="Arial" w:hAnsi="Arial" w:cs="Arial" w:eastAsia="华文细黑"/>
                <w:color w:val="333333"/>
                <w:sz w:val="18"/>
                <w:szCs w:val="18"/>
              </w:rPr>
              <w:t>座等</w:t>
            </w:r>
            <w:r>
              <w:rPr>
                <w:rFonts w:eastAsia="华文细黑" w:cs="Arial" w:ascii="Arial" w:hAnsi="Arial"/>
                <w:color w:val="333333"/>
                <w:sz w:val="18"/>
                <w:szCs w:val="18"/>
              </w:rPr>
              <w:t>56</w:t>
            </w:r>
            <w:r>
              <w:rPr>
                <w:rFonts w:ascii="Arial" w:hAnsi="Arial" w:cs="Arial" w:eastAsia="华文细黑"/>
                <w:color w:val="333333"/>
                <w:sz w:val="18"/>
                <w:szCs w:val="18"/>
              </w:rPr>
              <w:t>套房产</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变卖</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242935034</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pPr>
            <w:r>
              <w:rPr>
                <w:rFonts w:eastAsia="华文细黑" w:cs="Arial" w:ascii="Arial" w:hAnsi="Arial"/>
                <w:color w:val="000000"/>
                <w:sz w:val="18"/>
                <w:szCs w:val="18"/>
              </w:rPr>
              <w:t>194348027</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80%</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r>
        <w:trPr>
          <w:trHeight w:val="900" w:hRule="atLeast"/>
        </w:trPr>
        <w:tc>
          <w:tcPr>
            <w:tcW w:w="658"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13</w:t>
            </w:r>
          </w:p>
        </w:tc>
        <w:tc>
          <w:tcPr>
            <w:tcW w:w="3737"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333333"/>
                <w:sz w:val="18"/>
                <w:szCs w:val="18"/>
              </w:rPr>
            </w:pPr>
            <w:r>
              <w:rPr>
                <w:rFonts w:ascii="Arial" w:hAnsi="Arial" w:cs="Arial" w:eastAsia="华文细黑"/>
                <w:color w:val="333333"/>
                <w:sz w:val="18"/>
                <w:szCs w:val="18"/>
              </w:rPr>
              <w:t>整体拍卖海南省陵水县英州镇清水湾旅游度假区</w:t>
            </w:r>
            <w:r>
              <w:rPr>
                <w:rFonts w:eastAsia="华文细黑" w:cs="Arial" w:ascii="Arial" w:hAnsi="Arial"/>
                <w:color w:val="333333"/>
                <w:sz w:val="18"/>
                <w:szCs w:val="18"/>
              </w:rPr>
              <w:t>A09</w:t>
            </w:r>
            <w:r>
              <w:rPr>
                <w:rFonts w:ascii="Arial" w:hAnsi="Arial" w:cs="Arial" w:eastAsia="华文细黑"/>
                <w:color w:val="333333"/>
                <w:sz w:val="18"/>
                <w:szCs w:val="18"/>
              </w:rPr>
              <w:t>区一期洋房</w:t>
            </w:r>
            <w:r>
              <w:rPr>
                <w:rFonts w:eastAsia="华文细黑" w:cs="Arial" w:ascii="Arial" w:hAnsi="Arial"/>
                <w:color w:val="333333"/>
                <w:sz w:val="18"/>
                <w:szCs w:val="18"/>
              </w:rPr>
              <w:t>SB1</w:t>
            </w:r>
            <w:r>
              <w:rPr>
                <w:rFonts w:ascii="Arial" w:hAnsi="Arial" w:cs="Arial" w:eastAsia="华文细黑"/>
                <w:color w:val="333333"/>
                <w:sz w:val="18"/>
                <w:szCs w:val="18"/>
              </w:rPr>
              <w:t>一幢</w:t>
            </w:r>
            <w:r>
              <w:rPr>
                <w:rFonts w:eastAsia="华文细黑" w:cs="Arial" w:ascii="Arial" w:hAnsi="Arial"/>
                <w:color w:val="333333"/>
                <w:sz w:val="18"/>
                <w:szCs w:val="18"/>
              </w:rPr>
              <w:t>2</w:t>
            </w:r>
            <w:r>
              <w:rPr>
                <w:rFonts w:ascii="Arial" w:hAnsi="Arial" w:cs="Arial" w:eastAsia="华文细黑"/>
                <w:color w:val="333333"/>
                <w:sz w:val="18"/>
                <w:szCs w:val="18"/>
              </w:rPr>
              <w:t>座</w:t>
            </w:r>
            <w:r>
              <w:rPr>
                <w:rFonts w:eastAsia="华文细黑" w:cs="Arial" w:ascii="Arial" w:hAnsi="Arial"/>
                <w:color w:val="333333"/>
                <w:sz w:val="18"/>
                <w:szCs w:val="18"/>
              </w:rPr>
              <w:t>101-103</w:t>
            </w:r>
            <w:r>
              <w:rPr>
                <w:rFonts w:ascii="Arial" w:hAnsi="Arial" w:cs="Arial" w:eastAsia="华文细黑"/>
                <w:color w:val="333333"/>
                <w:sz w:val="18"/>
                <w:szCs w:val="18"/>
              </w:rPr>
              <w:t>号、</w:t>
            </w:r>
            <w:r>
              <w:rPr>
                <w:rFonts w:eastAsia="华文细黑" w:cs="Arial" w:ascii="Arial" w:hAnsi="Arial"/>
                <w:color w:val="333333"/>
                <w:sz w:val="18"/>
                <w:szCs w:val="18"/>
              </w:rPr>
              <w:t>105</w:t>
            </w:r>
            <w:r>
              <w:rPr>
                <w:rFonts w:ascii="Arial" w:hAnsi="Arial" w:cs="Arial" w:eastAsia="华文细黑"/>
                <w:color w:val="333333"/>
                <w:sz w:val="18"/>
                <w:szCs w:val="18"/>
              </w:rPr>
              <w:t>号、</w:t>
            </w:r>
            <w:r>
              <w:rPr>
                <w:rFonts w:eastAsia="华文细黑" w:cs="Arial" w:ascii="Arial" w:hAnsi="Arial"/>
                <w:color w:val="333333"/>
                <w:sz w:val="18"/>
                <w:szCs w:val="18"/>
              </w:rPr>
              <w:t>201-203</w:t>
            </w:r>
            <w:r>
              <w:rPr>
                <w:rFonts w:ascii="Arial" w:hAnsi="Arial" w:cs="Arial" w:eastAsia="华文细黑"/>
                <w:color w:val="333333"/>
                <w:sz w:val="18"/>
                <w:szCs w:val="18"/>
              </w:rPr>
              <w:t>号、</w:t>
            </w:r>
            <w:r>
              <w:rPr>
                <w:rFonts w:eastAsia="华文细黑" w:cs="Arial" w:ascii="Arial" w:hAnsi="Arial"/>
                <w:color w:val="333333"/>
                <w:sz w:val="18"/>
                <w:szCs w:val="18"/>
              </w:rPr>
              <w:t>205</w:t>
            </w:r>
            <w:r>
              <w:rPr>
                <w:rFonts w:ascii="Arial" w:hAnsi="Arial" w:cs="Arial" w:eastAsia="华文细黑"/>
                <w:color w:val="333333"/>
                <w:sz w:val="18"/>
                <w:szCs w:val="18"/>
              </w:rPr>
              <w:t>号、</w:t>
            </w:r>
            <w:r>
              <w:rPr>
                <w:rFonts w:eastAsia="华文细黑" w:cs="Arial" w:ascii="Arial" w:hAnsi="Arial"/>
                <w:color w:val="333333"/>
                <w:sz w:val="18"/>
                <w:szCs w:val="18"/>
              </w:rPr>
              <w:t>301-303</w:t>
            </w:r>
            <w:r>
              <w:rPr>
                <w:rFonts w:ascii="Arial" w:hAnsi="Arial" w:cs="Arial" w:eastAsia="华文细黑"/>
                <w:color w:val="333333"/>
                <w:sz w:val="18"/>
                <w:szCs w:val="18"/>
              </w:rPr>
              <w:t>号、</w:t>
            </w:r>
            <w:r>
              <w:rPr>
                <w:rFonts w:eastAsia="华文细黑" w:cs="Arial" w:ascii="Arial" w:hAnsi="Arial"/>
                <w:color w:val="333333"/>
                <w:sz w:val="18"/>
                <w:szCs w:val="18"/>
              </w:rPr>
              <w:t>305</w:t>
            </w:r>
            <w:r>
              <w:rPr>
                <w:rFonts w:ascii="Arial" w:hAnsi="Arial" w:cs="Arial" w:eastAsia="华文细黑"/>
                <w:color w:val="333333"/>
                <w:sz w:val="18"/>
                <w:szCs w:val="18"/>
              </w:rPr>
              <w:t>号、</w:t>
            </w:r>
            <w:r>
              <w:rPr>
                <w:rFonts w:eastAsia="华文细黑" w:cs="Arial" w:ascii="Arial" w:hAnsi="Arial"/>
                <w:color w:val="333333"/>
                <w:sz w:val="18"/>
                <w:szCs w:val="18"/>
              </w:rPr>
              <w:t>402-403</w:t>
            </w:r>
            <w:r>
              <w:rPr>
                <w:rFonts w:ascii="Arial" w:hAnsi="Arial" w:cs="Arial" w:eastAsia="华文细黑"/>
                <w:color w:val="333333"/>
                <w:sz w:val="18"/>
                <w:szCs w:val="18"/>
              </w:rPr>
              <w:t>号等</w:t>
            </w:r>
            <w:r>
              <w:rPr>
                <w:rFonts w:eastAsia="华文细黑" w:cs="Arial" w:ascii="Arial" w:hAnsi="Arial"/>
                <w:color w:val="333333"/>
                <w:sz w:val="18"/>
                <w:szCs w:val="18"/>
              </w:rPr>
              <w:t>56</w:t>
            </w:r>
            <w:r>
              <w:rPr>
                <w:rFonts w:ascii="Arial" w:hAnsi="Arial" w:cs="Arial" w:eastAsia="华文细黑"/>
                <w:color w:val="333333"/>
                <w:sz w:val="18"/>
                <w:szCs w:val="18"/>
              </w:rPr>
              <w:t>套房产</w:t>
            </w:r>
          </w:p>
        </w:tc>
        <w:tc>
          <w:tcPr>
            <w:tcW w:w="691"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二拍</w:t>
            </w:r>
          </w:p>
        </w:tc>
        <w:tc>
          <w:tcPr>
            <w:tcW w:w="1385"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242935034</w:t>
            </w:r>
          </w:p>
        </w:tc>
        <w:tc>
          <w:tcPr>
            <w:tcW w:w="1383"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194348027</w:t>
            </w:r>
          </w:p>
        </w:tc>
        <w:tc>
          <w:tcPr>
            <w:tcW w:w="692" w:type="dxa"/>
            <w:tcBorders>
              <w:top w:val="single" w:sz="4" w:space="0" w:color="000000"/>
              <w:left w:val="single" w:sz="4" w:space="0" w:color="000000"/>
              <w:bottom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eastAsia="华文细黑" w:cs="Arial" w:ascii="Arial" w:hAnsi="Arial"/>
                <w:color w:val="000000"/>
                <w:sz w:val="18"/>
                <w:szCs w:val="18"/>
              </w:rPr>
              <w:t>80%</w:t>
            </w:r>
          </w:p>
        </w:tc>
        <w:tc>
          <w:tcPr>
            <w:tcW w:w="7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uto" w:line="240"/>
              <w:jc w:val="center"/>
              <w:textAlignment w:val="auto"/>
              <w:rPr>
                <w:rFonts w:ascii="Arial" w:hAnsi="Arial" w:eastAsia="华文细黑" w:cs="Arial"/>
                <w:color w:val="000000"/>
                <w:sz w:val="18"/>
                <w:szCs w:val="18"/>
              </w:rPr>
            </w:pPr>
            <w:r>
              <w:rPr>
                <w:rFonts w:ascii="Arial" w:hAnsi="Arial" w:cs="Arial" w:eastAsia="华文细黑"/>
                <w:color w:val="000000"/>
                <w:sz w:val="18"/>
                <w:szCs w:val="18"/>
              </w:rPr>
              <w:t>流拍</w:t>
            </w:r>
          </w:p>
        </w:tc>
      </w:tr>
    </w:tbl>
    <w:p>
      <w:pPr>
        <w:pStyle w:val="Normal"/>
        <w:spacing w:lineRule="exact" w:line="240"/>
        <w:ind w:firstLine="420"/>
        <w:jc w:val="both"/>
        <w:rPr>
          <w:rFonts w:ascii="Arial" w:hAnsi="Arial" w:cs="Arial"/>
          <w:sz w:val="21"/>
          <w:szCs w:val="21"/>
        </w:rPr>
      </w:pPr>
      <w:r>
        <w:rPr>
          <w:rFonts w:cs="Arial" w:ascii="Arial" w:hAnsi="Arial"/>
          <w:sz w:val="21"/>
          <w:szCs w:val="21"/>
        </w:rPr>
      </w:r>
    </w:p>
    <w:p>
      <w:pPr>
        <w:pStyle w:val="Normal"/>
        <w:spacing w:lineRule="auto" w:line="480"/>
        <w:ind w:firstLine="420"/>
        <w:jc w:val="both"/>
        <w:rPr>
          <w:rFonts w:ascii="Arial" w:hAnsi="Arial" w:cs="Arial"/>
          <w:sz w:val="21"/>
          <w:szCs w:val="21"/>
        </w:rPr>
      </w:pPr>
      <w:r>
        <w:rPr>
          <w:rFonts w:ascii="Arial" w:hAnsi="Arial" w:cs="Arial"/>
          <w:sz w:val="21"/>
          <w:szCs w:val="21"/>
        </w:rPr>
        <w:t>按照前述拍卖市场数据，类似估价对象规模项目的一拍流拍现象较常发生。一般来说，一拍的起拍价会比市场价值低</w:t>
      </w:r>
      <w:r>
        <w:rPr>
          <w:rFonts w:cs="Arial" w:ascii="Arial" w:hAnsi="Arial"/>
          <w:sz w:val="21"/>
          <w:szCs w:val="21"/>
        </w:rPr>
        <w:t>20-30%</w:t>
      </w:r>
      <w:r>
        <w:rPr>
          <w:rFonts w:ascii="Arial" w:hAnsi="Arial" w:cs="Arial"/>
          <w:sz w:val="21"/>
          <w:szCs w:val="21"/>
        </w:rPr>
        <w:t>，以此作为降价点。</w:t>
      </w:r>
      <w:r>
        <w:rPr>
          <w:rFonts w:ascii="Arial" w:hAnsi="Arial" w:cs="Arial"/>
          <w:sz w:val="21"/>
          <w:szCs w:val="21"/>
        </w:rPr>
        <w:t>综合估价对象自身情况，</w:t>
      </w:r>
      <w:r>
        <w:rPr>
          <w:rFonts w:ascii="Arial" w:hAnsi="Arial" w:cs="Arial"/>
          <w:sz w:val="21"/>
          <w:szCs w:val="21"/>
        </w:rPr>
        <w:t>估价对象整体快速变现，体量大、价值高，拍卖涉及巨额资金，有资金实力的竞买人少。故本次评估按照房地产价值的七折确定估价对象“快速变现价值”，</w:t>
      </w:r>
      <w:r>
        <w:rPr>
          <w:rFonts w:ascii="Arial" w:hAnsi="Arial" w:cs="Arial"/>
          <w:sz w:val="21"/>
          <w:szCs w:val="21"/>
        </w:rPr>
        <w:t>即：</w:t>
      </w:r>
    </w:p>
    <w:p>
      <w:pPr>
        <w:pStyle w:val="Normal"/>
        <w:overflowPunct w:val="false"/>
        <w:spacing w:lineRule="auto" w:line="480"/>
        <w:ind w:firstLine="420"/>
        <w:rPr>
          <w:rFonts w:ascii="Arial" w:hAnsi="Arial" w:cs="Arial"/>
          <w:sz w:val="21"/>
          <w:szCs w:val="21"/>
        </w:rPr>
      </w:pPr>
      <w:r>
        <w:rPr>
          <w:rFonts w:ascii="Arial" w:hAnsi="Arial" w:cs="Arial"/>
          <w:bCs/>
          <w:sz w:val="21"/>
          <w:szCs w:val="21"/>
        </w:rPr>
        <w:t>估价对象</w:t>
      </w:r>
      <w:r>
        <w:rPr>
          <w:rFonts w:ascii="Arial" w:hAnsi="Arial" w:cs="Arial"/>
          <w:sz w:val="21"/>
          <w:szCs w:val="21"/>
        </w:rPr>
        <w:t>快速变现价值</w:t>
      </w:r>
      <w:r>
        <w:rPr>
          <w:rFonts w:cs="Arial" w:ascii="Arial" w:hAnsi="Arial"/>
          <w:sz w:val="21"/>
          <w:szCs w:val="21"/>
        </w:rPr>
        <w:t>=40071×70%=28050</w:t>
      </w:r>
      <w:r>
        <w:rPr>
          <w:rFonts w:ascii="Arial" w:hAnsi="Arial" w:cs="Arial"/>
          <w:sz w:val="21"/>
          <w:szCs w:val="21"/>
        </w:rPr>
        <w:t>（万元）</w:t>
      </w:r>
    </w:p>
    <w:p>
      <w:pPr>
        <w:pStyle w:val="Normal"/>
        <w:overflowPunct w:val="false"/>
        <w:spacing w:lineRule="auto" w:line="480"/>
        <w:ind w:firstLine="420"/>
        <w:rPr>
          <w:rFonts w:ascii="Arial" w:hAnsi="Arial" w:cs="Arial"/>
          <w:sz w:val="21"/>
          <w:szCs w:val="21"/>
        </w:rPr>
      </w:pPr>
      <w:r>
        <w:rPr>
          <w:rFonts w:ascii="Arial" w:hAnsi="Arial" w:cs="Arial"/>
          <w:sz w:val="21"/>
          <w:szCs w:val="21"/>
        </w:rPr>
        <w:t>本次评估价值仅供参考，因市场情况复杂，实际成交价格将受交易双方对项目心理预期的影响，会在一定范围内的上下浮动。</w:t>
      </w:r>
    </w:p>
    <w:p>
      <w:pPr>
        <w:pStyle w:val="Normal"/>
        <w:spacing w:lineRule="auto" w:line="480"/>
        <w:ind w:firstLine="309"/>
        <w:jc w:val="both"/>
        <w:rPr>
          <w:rFonts w:ascii="Arial" w:hAnsi="Arial" w:cs="Arial"/>
          <w:b/>
          <w:b/>
          <w:sz w:val="21"/>
          <w:szCs w:val="21"/>
        </w:rPr>
      </w:pPr>
      <w:r>
        <w:rPr>
          <w:rFonts w:ascii="Arial" w:hAnsi="Arial" w:cs="Arial"/>
          <w:b/>
          <w:sz w:val="21"/>
          <w:szCs w:val="21"/>
        </w:rPr>
        <w:t>（三）估价结果</w:t>
      </w:r>
    </w:p>
    <w:p>
      <w:pPr>
        <w:pStyle w:val="Normal"/>
        <w:overflowPunct w:val="false"/>
        <w:spacing w:lineRule="auto" w:line="480"/>
        <w:ind w:firstLine="420"/>
        <w:jc w:val="both"/>
        <w:textAlignment w:val="auto"/>
        <w:rPr/>
      </w:pPr>
      <w:r>
        <w:rPr>
          <w:rFonts w:ascii="Arial" w:hAnsi="Arial" w:cs="Arial"/>
          <w:sz w:val="21"/>
          <w:szCs w:val="21"/>
        </w:rPr>
        <w:t>评估专业人员根据估价的目的，按照估价的程序，采用科学的估价方法，在认真分析现有资料的基础上，结合本次评估的要求，通过仔细测算和认真分析各种影响房地产价格的因素，确定估价对象在价值时点的</w:t>
      </w:r>
      <w:r>
        <w:rPr>
          <w:rFonts w:ascii="Arial" w:hAnsi="Arial" w:cs="Arial"/>
          <w:color w:val="000000"/>
          <w:sz w:val="21"/>
          <w:szCs w:val="21"/>
        </w:rPr>
        <w:t>房地产评估价值，详见估价结果一览表（币种</w:t>
      </w:r>
      <w:r>
        <w:rPr>
          <w:rFonts w:ascii="Arial" w:hAnsi="Arial" w:cs="Arial"/>
          <w:color w:val="000000"/>
          <w:sz w:val="21"/>
          <w:szCs w:val="21"/>
        </w:rPr>
        <w:t>：</w:t>
      </w:r>
      <w:r>
        <w:rPr>
          <w:rFonts w:ascii="Arial" w:hAnsi="Arial" w:cs="Arial"/>
          <w:color w:val="000000"/>
          <w:sz w:val="21"/>
          <w:szCs w:val="21"/>
        </w:rPr>
        <w:t>人</w:t>
      </w:r>
      <w:r>
        <w:rPr>
          <w:rFonts w:ascii="Arial" w:hAnsi="Arial" w:cs="Arial"/>
          <w:sz w:val="21"/>
          <w:szCs w:val="21"/>
        </w:rPr>
        <w:t>民币）。</w:t>
      </w:r>
    </w:p>
    <w:p>
      <w:pPr>
        <w:pStyle w:val="Normal"/>
        <w:spacing w:lineRule="auto" w:line="240"/>
        <w:jc w:val="center"/>
        <w:rPr>
          <w:rFonts w:ascii="Arial" w:hAnsi="Arial" w:eastAsia="方正黑体简体;微软雅黑" w:cs="Arial"/>
        </w:rPr>
      </w:pPr>
      <w:r>
        <w:rPr>
          <w:rFonts w:ascii="Arial" w:hAnsi="Arial" w:cs="Arial" w:eastAsia="方正黑体简体;微软雅黑"/>
        </w:rPr>
        <w:t>估价结果一览表</w:t>
      </w:r>
    </w:p>
    <w:tbl>
      <w:tblPr>
        <w:tblW w:w="9304" w:type="dxa"/>
        <w:jc w:val="center"/>
        <w:tblInd w:w="0" w:type="dxa"/>
        <w:tblCellMar>
          <w:top w:w="57" w:type="dxa"/>
          <w:left w:w="57" w:type="dxa"/>
          <w:bottom w:w="57" w:type="dxa"/>
          <w:right w:w="57" w:type="dxa"/>
        </w:tblCellMar>
      </w:tblPr>
      <w:tblGrid>
        <w:gridCol w:w="1843"/>
        <w:gridCol w:w="2553"/>
        <w:gridCol w:w="1275"/>
        <w:gridCol w:w="1843"/>
        <w:gridCol w:w="1790"/>
      </w:tblGrid>
      <w:tr>
        <w:trPr>
          <w:trHeight w:val="23" w:hRule="atLeast"/>
          <w:cantSplit w:val="true"/>
        </w:trPr>
        <w:tc>
          <w:tcPr>
            <w:tcW w:w="5671" w:type="dxa"/>
            <w:gridSpan w:val="3"/>
            <w:vMerge w:val="restart"/>
            <w:tcBorders>
              <w:top w:val="thickThinSmallGap" w:sz="12" w:space="0" w:color="404040"/>
              <w:left w:val="dotted" w:sz="2" w:space="0" w:color="404040"/>
              <w:bottom w:val="dotted" w:sz="2" w:space="0" w:color="404040"/>
            </w:tcBorders>
            <w:shd w:fill="auto" w:val="clear"/>
            <w:vAlign w:val="center"/>
          </w:tcPr>
          <w:p>
            <w:pPr>
              <w:pStyle w:val="Normal"/>
              <w:widowControl/>
              <w:spacing w:lineRule="exact" w:line="240"/>
              <w:ind w:firstLine="2806"/>
              <w:jc w:val="right"/>
              <w:rPr>
                <w:rFonts w:ascii="Arial" w:hAnsi="Arial" w:eastAsia="华文细黑" w:cs="宋体;SimSun"/>
                <w:sz w:val="18"/>
                <w:szCs w:val="18"/>
              </w:rPr>
            </w:pPr>
            <w:r>
              <w:rPr>
                <w:rFonts w:ascii="Arial" w:hAnsi="Arial" w:cs="宋体;SimSun" w:eastAsia="华文细黑"/>
                <w:sz w:val="18"/>
                <w:szCs w:val="18"/>
              </w:rPr>
              <w:t>估价方法及结果</w:t>
            </w:r>
          </w:p>
          <w:p>
            <w:pPr>
              <w:pStyle w:val="Normal"/>
              <w:spacing w:lineRule="exact" w:line="240"/>
              <w:jc w:val="both"/>
              <w:rPr>
                <w:rFonts w:ascii="Arial" w:hAnsi="Arial" w:cs="Arial"/>
                <w:b/>
                <w:b/>
                <w:bCs/>
                <w:sz w:val="21"/>
                <w:szCs w:val="21"/>
              </w:rPr>
            </w:pPr>
            <w:r>
              <w:rPr>
                <w:rFonts w:ascii="Arial" w:hAnsi="Arial" w:cs="宋体;SimSun" w:eastAsia="华文细黑"/>
                <w:sz w:val="18"/>
                <w:szCs w:val="18"/>
              </w:rPr>
              <w:t>估价对象及结果</w:t>
            </w:r>
          </w:p>
        </w:tc>
        <w:tc>
          <w:tcPr>
            <w:tcW w:w="3633" w:type="dxa"/>
            <w:gridSpan w:val="2"/>
            <w:tcBorders>
              <w:top w:val="thickThinSmallGap" w:sz="1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测算结果</w:t>
            </w:r>
          </w:p>
        </w:tc>
      </w:tr>
      <w:tr>
        <w:trPr>
          <w:trHeight w:val="23" w:hRule="atLeast"/>
          <w:cantSplit w:val="true"/>
        </w:trPr>
        <w:tc>
          <w:tcPr>
            <w:tcW w:w="5671" w:type="dxa"/>
            <w:gridSpan w:val="3"/>
            <w:vMerge w:val="continue"/>
            <w:tcBorders>
              <w:top w:val="thickThinSmallGap" w:sz="1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Arial"/>
                <w:b/>
                <w:b/>
                <w:bCs/>
                <w:sz w:val="21"/>
                <w:szCs w:val="21"/>
              </w:rPr>
            </w:pPr>
            <w:r>
              <w:rPr>
                <w:rFonts w:eastAsia="华文细黑" w:cs="Arial" w:ascii="Arial" w:hAnsi="Arial"/>
                <w:b/>
                <w:bCs/>
                <w:sz w:val="21"/>
                <w:szCs w:val="21"/>
              </w:rPr>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比较法</w:t>
            </w:r>
          </w:p>
        </w:tc>
        <w:tc>
          <w:tcPr>
            <w:tcW w:w="1790" w:type="dxa"/>
            <w:tcBorders>
              <w:top w:val="dotted" w:sz="4" w:space="0" w:color="000000"/>
              <w:left w:val="dotted" w:sz="2" w:space="0" w:color="404040"/>
              <w:bottom w:val="dotted" w:sz="2" w:space="0" w:color="404040"/>
              <w:right w:val="dotted" w:sz="2" w:space="0" w:color="404040"/>
            </w:tcBorders>
            <w:shd w:fill="auto" w:val="clear"/>
            <w:vAlign w:val="center"/>
          </w:tcPr>
          <w:p>
            <w:pPr>
              <w:pStyle w:val="Normal"/>
              <w:spacing w:lineRule="exact" w:line="240"/>
              <w:jc w:val="both"/>
              <w:rPr>
                <w:rFonts w:ascii="Arial" w:hAnsi="Arial" w:eastAsia="华文细黑" w:cs="宋体;SimSun"/>
                <w:sz w:val="18"/>
                <w:szCs w:val="18"/>
              </w:rPr>
            </w:pPr>
            <w:r>
              <w:rPr>
                <w:rFonts w:ascii="Arial" w:hAnsi="Arial" w:cs="宋体;SimSun" w:eastAsia="华文细黑"/>
                <w:sz w:val="18"/>
                <w:szCs w:val="18"/>
              </w:rPr>
              <w:t>收益法</w:t>
            </w:r>
          </w:p>
        </w:tc>
      </w:tr>
      <w:tr>
        <w:trPr>
          <w:trHeight w:val="23" w:hRule="atLeast"/>
          <w:cantSplit w:val="true"/>
        </w:trPr>
        <w:tc>
          <w:tcPr>
            <w:tcW w:w="4396" w:type="dxa"/>
            <w:gridSpan w:val="2"/>
            <w:vMerge w:val="restart"/>
            <w:tcBorders>
              <w:top w:val="dotted" w:sz="2" w:space="0" w:color="404040"/>
              <w:left w:val="dotted" w:sz="2" w:space="0" w:color="404040"/>
              <w:bottom w:val="dotted" w:sz="2" w:space="0" w:color="404040"/>
            </w:tcBorders>
            <w:shd w:fill="auto" w:val="clear"/>
            <w:vAlign w:val="center"/>
          </w:tcPr>
          <w:p>
            <w:pPr>
              <w:pStyle w:val="Normal"/>
              <w:spacing w:lineRule="exact" w:line="240"/>
              <w:jc w:val="both"/>
              <w:rPr>
                <w:rFonts w:ascii="Arial" w:hAnsi="Arial" w:eastAsia="华文细黑" w:cs="宋体;SimSun"/>
                <w:sz w:val="18"/>
                <w:szCs w:val="18"/>
              </w:rPr>
            </w:pPr>
            <w:r>
              <w:rPr>
                <w:rFonts w:ascii="Arial" w:hAnsi="Arial" w:cs="宋体;SimSun" w:eastAsia="华文细黑"/>
                <w:sz w:val="18"/>
                <w:szCs w:val="18"/>
              </w:rPr>
              <w:t>海南省海口市秀英区滨海大道</w:t>
            </w:r>
            <w:r>
              <w:rPr>
                <w:rFonts w:eastAsia="华文细黑" w:cs="宋体;SimSun" w:ascii="Arial" w:hAnsi="Arial"/>
                <w:sz w:val="18"/>
                <w:szCs w:val="18"/>
              </w:rPr>
              <w:t>158</w:t>
            </w:r>
            <w:r>
              <w:rPr>
                <w:rFonts w:ascii="Arial" w:hAnsi="Arial" w:cs="宋体;SimSun" w:eastAsia="华文细黑"/>
                <w:sz w:val="18"/>
                <w:szCs w:val="18"/>
              </w:rPr>
              <w:t>号琼珠海岸生态度假村暨全国政协（海南）会议培训中心北区项目</w:t>
            </w:r>
            <w:r>
              <w:rPr>
                <w:rFonts w:eastAsia="华文细黑" w:cs="宋体;SimSun" w:ascii="Arial" w:hAnsi="Arial"/>
                <w:sz w:val="18"/>
                <w:szCs w:val="18"/>
              </w:rPr>
              <w:t>1</w:t>
            </w:r>
            <w:r>
              <w:rPr>
                <w:rFonts w:ascii="Arial" w:hAnsi="Arial" w:cs="宋体;SimSun" w:eastAsia="华文细黑"/>
                <w:sz w:val="18"/>
                <w:szCs w:val="18"/>
              </w:rPr>
              <w:t>号楼等</w:t>
            </w:r>
            <w:r>
              <w:rPr>
                <w:rFonts w:eastAsia="华文细黑" w:cs="宋体;SimSun" w:ascii="Arial" w:hAnsi="Arial"/>
                <w:sz w:val="18"/>
                <w:szCs w:val="18"/>
              </w:rPr>
              <w:t>34</w:t>
            </w:r>
            <w:r>
              <w:rPr>
                <w:rFonts w:ascii="Arial" w:hAnsi="Arial" w:cs="宋体;SimSun" w:eastAsia="华文细黑"/>
                <w:sz w:val="18"/>
                <w:szCs w:val="18"/>
              </w:rPr>
              <w:t>套产权式酒店（别墅）用房房地产</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54867</w:t>
            </w:r>
          </w:p>
        </w:tc>
        <w:tc>
          <w:tcPr>
            <w:tcW w:w="1790" w:type="dxa"/>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17878</w:t>
            </w:r>
          </w:p>
        </w:tc>
      </w:tr>
      <w:tr>
        <w:trPr>
          <w:trHeight w:val="23" w:hRule="atLeast"/>
          <w:cantSplit w:val="true"/>
        </w:trPr>
        <w:tc>
          <w:tcPr>
            <w:tcW w:w="4396" w:type="dxa"/>
            <w:gridSpan w:val="2"/>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sz w:val="18"/>
                <w:szCs w:val="18"/>
              </w:rPr>
            </w:pPr>
            <w:r>
              <w:rPr>
                <w:rFonts w:eastAsia="华文细黑" w:cs="宋体;SimSun" w:ascii="Arial" w:hAnsi="Arial"/>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1843"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35953</w:t>
            </w:r>
          </w:p>
        </w:tc>
        <w:tc>
          <w:tcPr>
            <w:tcW w:w="1790" w:type="dxa"/>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11715</w:t>
            </w:r>
          </w:p>
        </w:tc>
      </w:tr>
      <w:tr>
        <w:trPr>
          <w:trHeight w:val="23" w:hRule="atLeast"/>
          <w:cantSplit w:val="true"/>
        </w:trPr>
        <w:tc>
          <w:tcPr>
            <w:tcW w:w="184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评估价值</w:t>
            </w:r>
          </w:p>
        </w:tc>
        <w:tc>
          <w:tcPr>
            <w:tcW w:w="255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房地产价值</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40071</w:t>
            </w:r>
          </w:p>
        </w:tc>
      </w:tr>
      <w:tr>
        <w:trPr>
          <w:trHeight w:val="23" w:hRule="atLeast"/>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大写金额</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肆亿零柒拾壹万元整</w:t>
            </w:r>
          </w:p>
        </w:tc>
      </w:tr>
      <w:tr>
        <w:trPr>
          <w:trHeight w:val="23" w:hRule="atLeast"/>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26257</w:t>
            </w:r>
          </w:p>
        </w:tc>
      </w:tr>
      <w:tr>
        <w:trPr>
          <w:trHeight w:val="23" w:hRule="atLeast"/>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restart"/>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b/>
                <w:b/>
                <w:sz w:val="18"/>
                <w:szCs w:val="18"/>
              </w:rPr>
            </w:pPr>
            <w:r>
              <w:rPr>
                <w:rFonts w:ascii="Arial" w:hAnsi="Arial" w:cs="宋体;SimSun" w:eastAsia="华文细黑"/>
                <w:b/>
                <w:sz w:val="18"/>
                <w:szCs w:val="18"/>
              </w:rPr>
              <w:t>快速变现价值</w:t>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总价</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28050</w:t>
            </w:r>
          </w:p>
        </w:tc>
      </w:tr>
      <w:tr>
        <w:trPr>
          <w:trHeight w:val="23" w:hRule="atLeast"/>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大写金额</w:t>
            </w:r>
          </w:p>
        </w:tc>
        <w:tc>
          <w:tcPr>
            <w:tcW w:w="3633" w:type="dxa"/>
            <w:gridSpan w:val="2"/>
            <w:tcBorders>
              <w:top w:val="dotted" w:sz="2" w:space="0" w:color="404040"/>
              <w:left w:val="dotted" w:sz="2" w:space="0" w:color="404040"/>
              <w:bottom w:val="dotted" w:sz="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贰亿捌仟零伍拾万</w:t>
            </w:r>
            <w:r>
              <w:rPr>
                <w:rFonts w:ascii="Arial" w:hAnsi="Arial" w:cs="宋体;SimSun" w:eastAsia="华文细黑"/>
                <w:sz w:val="18"/>
                <w:szCs w:val="18"/>
              </w:rPr>
              <w:t>元整</w:t>
            </w:r>
          </w:p>
        </w:tc>
      </w:tr>
      <w:tr>
        <w:trPr>
          <w:trHeight w:val="23" w:hRule="atLeast"/>
          <w:cantSplit w:val="true"/>
        </w:trPr>
        <w:tc>
          <w:tcPr>
            <w:tcW w:w="184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2553" w:type="dxa"/>
            <w:vMerge w:val="continue"/>
            <w:tcBorders>
              <w:top w:val="dotted" w:sz="2" w:space="0" w:color="404040"/>
              <w:left w:val="dotted" w:sz="2" w:space="0" w:color="404040"/>
              <w:bottom w:val="dotted" w:sz="2" w:space="0" w:color="404040"/>
            </w:tcBorders>
            <w:shd w:fill="auto" w:val="clear"/>
            <w:vAlign w:val="center"/>
          </w:tcPr>
          <w:p>
            <w:pPr>
              <w:pStyle w:val="Normal"/>
              <w:widowControl/>
              <w:snapToGrid w:val="false"/>
              <w:spacing w:lineRule="exact" w:line="240"/>
              <w:jc w:val="both"/>
              <w:rPr>
                <w:rFonts w:ascii="Arial" w:hAnsi="Arial" w:eastAsia="华文细黑" w:cs="宋体;SimSun"/>
                <w:b/>
                <w:b/>
                <w:sz w:val="18"/>
                <w:szCs w:val="18"/>
              </w:rPr>
            </w:pPr>
            <w:r>
              <w:rPr>
                <w:rFonts w:eastAsia="华文细黑" w:cs="宋体;SimSun" w:ascii="Arial" w:hAnsi="Arial"/>
                <w:b/>
                <w:sz w:val="18"/>
                <w:szCs w:val="18"/>
              </w:rPr>
            </w:r>
          </w:p>
        </w:tc>
        <w:tc>
          <w:tcPr>
            <w:tcW w:w="1275" w:type="dxa"/>
            <w:tcBorders>
              <w:top w:val="dotted" w:sz="2" w:space="0" w:color="404040"/>
              <w:left w:val="dotted" w:sz="2" w:space="0" w:color="404040"/>
              <w:bottom w:val="thickThinSmallGap" w:sz="1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ascii="Arial" w:hAnsi="Arial" w:cs="宋体;SimSun" w:eastAsia="华文细黑"/>
                <w:sz w:val="18"/>
                <w:szCs w:val="18"/>
              </w:rPr>
              <w:t>单价</w:t>
            </w:r>
          </w:p>
        </w:tc>
        <w:tc>
          <w:tcPr>
            <w:tcW w:w="3633" w:type="dxa"/>
            <w:gridSpan w:val="2"/>
            <w:tcBorders>
              <w:top w:val="dotted" w:sz="2" w:space="0" w:color="404040"/>
              <w:left w:val="dotted" w:sz="2" w:space="0" w:color="404040"/>
              <w:bottom w:val="thickThinSmallGap" w:sz="12" w:space="0" w:color="404040"/>
              <w:right w:val="dotted" w:sz="2" w:space="0" w:color="404040"/>
            </w:tcBorders>
            <w:shd w:fill="auto" w:val="clear"/>
            <w:vAlign w:val="center"/>
          </w:tcPr>
          <w:p>
            <w:pPr>
              <w:pStyle w:val="Normal"/>
              <w:widowControl/>
              <w:spacing w:lineRule="exact" w:line="240"/>
              <w:jc w:val="both"/>
              <w:rPr>
                <w:rFonts w:ascii="Arial" w:hAnsi="Arial" w:eastAsia="华文细黑" w:cs="宋体;SimSun"/>
                <w:sz w:val="18"/>
                <w:szCs w:val="18"/>
              </w:rPr>
            </w:pPr>
            <w:r>
              <w:rPr>
                <w:rFonts w:eastAsia="华文细黑" w:cs="宋体;SimSun" w:ascii="Arial" w:hAnsi="Arial"/>
                <w:sz w:val="18"/>
                <w:szCs w:val="18"/>
              </w:rPr>
              <w:t>18380</w:t>
            </w:r>
          </w:p>
        </w:tc>
      </w:tr>
    </w:tbl>
    <w:p>
      <w:pPr>
        <w:pStyle w:val="Normal"/>
        <w:spacing w:lineRule="auto" w:line="360"/>
        <w:rPr>
          <w:rFonts w:ascii="Arial" w:hAnsi="Arial" w:eastAsia="华文细黑" w:cs="Arial"/>
          <w:sz w:val="18"/>
        </w:rPr>
      </w:pPr>
      <w:r>
        <w:rPr>
          <w:rFonts w:ascii="Arial" w:hAnsi="Arial" w:cs="Arial" w:eastAsia="华文细黑"/>
          <w:sz w:val="18"/>
        </w:rPr>
        <w:t>单位：万元、元</w:t>
      </w:r>
      <w:r>
        <w:rPr>
          <w:rFonts w:eastAsia="华文细黑" w:cs="Arial" w:ascii="Arial" w:hAnsi="Arial"/>
          <w:sz w:val="18"/>
        </w:rPr>
        <w:t>/</w:t>
      </w:r>
      <w:r>
        <w:rPr>
          <w:rFonts w:ascii="Arial" w:hAnsi="Arial" w:cs="Arial" w:eastAsia="华文细黑"/>
          <w:sz w:val="18"/>
        </w:rPr>
        <w:t>平方米（币种：人民币）</w:t>
      </w:r>
    </w:p>
    <w:p>
      <w:pPr>
        <w:pStyle w:val="Normal"/>
        <w:spacing w:lineRule="auto" w:line="360"/>
        <w:rPr>
          <w:rFonts w:ascii="Arial" w:hAnsi="Arial" w:eastAsia="华文细黑" w:cs="Arial"/>
          <w:sz w:val="18"/>
        </w:rPr>
      </w:pPr>
      <w:r>
        <w:rPr>
          <w:rFonts w:eastAsia="华文细黑" w:cs="Arial" w:ascii="Arial" w:hAnsi="Arial"/>
          <w:sz w:val="18"/>
        </w:rPr>
      </w:r>
    </w:p>
    <w:p>
      <w:pPr>
        <w:pStyle w:val="Normal"/>
        <w:spacing w:lineRule="auto" w:line="480"/>
        <w:jc w:val="both"/>
        <w:rPr>
          <w:rFonts w:ascii="Arial" w:hAnsi="Arial" w:cs="Arial"/>
          <w:b/>
          <w:b/>
          <w:sz w:val="21"/>
          <w:szCs w:val="21"/>
        </w:rPr>
      </w:pPr>
      <w:r>
        <w:rPr>
          <w:rFonts w:ascii="Arial" w:hAnsi="Arial" w:cs="Arial"/>
          <w:b/>
          <w:sz w:val="21"/>
          <w:szCs w:val="21"/>
        </w:rPr>
        <w:t>（四）处置过程相关税费说明（包含但不限于以下税费）</w:t>
      </w:r>
    </w:p>
    <w:p>
      <w:pPr>
        <w:pStyle w:val="Normal"/>
        <w:overflowPunct w:val="false"/>
        <w:spacing w:lineRule="auto" w:line="480"/>
        <w:ind w:firstLine="420"/>
        <w:jc w:val="both"/>
        <w:textAlignment w:val="auto"/>
        <w:rPr/>
      </w:pPr>
      <w:r>
        <w:rPr>
          <w:rFonts w:ascii="Arial" w:hAnsi="Arial" w:cs="Arial"/>
          <w:sz w:val="21"/>
          <w:szCs w:val="21"/>
        </w:rPr>
        <w:t>（</w:t>
      </w:r>
      <w:r>
        <w:rPr>
          <w:rFonts w:cs="Arial" w:ascii="Arial" w:hAnsi="Arial"/>
          <w:sz w:val="21"/>
          <w:szCs w:val="21"/>
        </w:rPr>
        <w:t>1</w:t>
      </w:r>
      <w:r>
        <w:rPr>
          <w:rFonts w:ascii="Arial" w:hAnsi="Arial" w:cs="Arial"/>
          <w:sz w:val="21"/>
          <w:szCs w:val="21"/>
        </w:rPr>
        <w:t>）设定最终由第三方按本次评估市场价值</w:t>
      </w:r>
      <w:r>
        <w:rPr>
          <w:rFonts w:cs="Arial" w:ascii="Arial" w:hAnsi="Arial"/>
          <w:sz w:val="21"/>
          <w:szCs w:val="21"/>
        </w:rPr>
        <w:t>40071</w:t>
      </w:r>
      <w:r>
        <w:rPr>
          <w:rFonts w:ascii="Arial" w:hAnsi="Arial" w:cs="Arial"/>
          <w:sz w:val="21"/>
          <w:szCs w:val="21"/>
        </w:rPr>
        <w:t>万元购入房地产，可能产生的相关税费如下：</w:t>
      </w:r>
    </w:p>
    <w:p>
      <w:pPr>
        <w:pStyle w:val="Normal"/>
        <w:overflowPunct w:val="false"/>
        <w:spacing w:lineRule="auto" w:line="480"/>
        <w:ind w:firstLine="420"/>
        <w:jc w:val="both"/>
        <w:textAlignment w:val="auto"/>
        <w:rPr/>
      </w:pPr>
      <w:r>
        <w:rPr/>
        <w:t>1</w:t>
      </w:r>
      <w:r>
        <w:rPr/>
        <w:t>）卖方缴纳税费</w:t>
      </w:r>
    </w:p>
    <w:tbl>
      <w:tblPr>
        <w:tblW w:w="9319" w:type="dxa"/>
        <w:jc w:val="center"/>
        <w:tblInd w:w="0" w:type="dxa"/>
        <w:tblCellMar>
          <w:top w:w="57" w:type="dxa"/>
          <w:left w:w="57" w:type="dxa"/>
          <w:bottom w:w="57" w:type="dxa"/>
          <w:right w:w="57" w:type="dxa"/>
        </w:tblCellMar>
      </w:tblPr>
      <w:tblGrid>
        <w:gridCol w:w="568"/>
        <w:gridCol w:w="1418"/>
        <w:gridCol w:w="1416"/>
        <w:gridCol w:w="1985"/>
        <w:gridCol w:w="3932"/>
      </w:tblGrid>
      <w:tr>
        <w:trPr>
          <w:cantSplit w:val="true"/>
        </w:trPr>
        <w:tc>
          <w:tcPr>
            <w:tcW w:w="568"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b/>
                <w:b/>
                <w:bCs/>
                <w:color w:val="000000"/>
                <w:sz w:val="18"/>
                <w:szCs w:val="18"/>
              </w:rPr>
            </w:pPr>
            <w:r>
              <w:rPr>
                <w:rFonts w:ascii="Arial" w:hAnsi="Arial" w:cs="宋体;SimSun" w:eastAsia="华文细黑"/>
                <w:b/>
                <w:bCs/>
                <w:color w:val="000000"/>
                <w:sz w:val="18"/>
                <w:szCs w:val="18"/>
              </w:rPr>
              <w:t>序号</w:t>
            </w:r>
          </w:p>
        </w:tc>
        <w:tc>
          <w:tcPr>
            <w:tcW w:w="1418"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b/>
                <w:b/>
                <w:bCs/>
                <w:color w:val="000000"/>
                <w:sz w:val="18"/>
                <w:szCs w:val="18"/>
              </w:rPr>
            </w:pPr>
            <w:r>
              <w:rPr>
                <w:rFonts w:ascii="Arial" w:hAnsi="Arial" w:cs="宋体;SimSun" w:eastAsia="华文细黑"/>
                <w:b/>
                <w:bCs/>
                <w:color w:val="000000"/>
                <w:sz w:val="18"/>
                <w:szCs w:val="18"/>
              </w:rPr>
              <w:t>税（费）种</w:t>
            </w:r>
          </w:p>
        </w:tc>
        <w:tc>
          <w:tcPr>
            <w:tcW w:w="1416"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b/>
                <w:b/>
                <w:bCs/>
                <w:color w:val="000000"/>
                <w:sz w:val="18"/>
                <w:szCs w:val="18"/>
              </w:rPr>
            </w:pPr>
            <w:r>
              <w:rPr>
                <w:rFonts w:ascii="Arial" w:hAnsi="Arial" w:cs="宋体;SimSun" w:eastAsia="华文细黑"/>
                <w:b/>
                <w:bCs/>
                <w:color w:val="000000"/>
                <w:sz w:val="18"/>
                <w:szCs w:val="18"/>
              </w:rPr>
              <w:t>预估金额（万元）</w:t>
            </w:r>
          </w:p>
        </w:tc>
        <w:tc>
          <w:tcPr>
            <w:tcW w:w="1985"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b/>
                <w:b/>
                <w:bCs/>
                <w:color w:val="000000"/>
                <w:sz w:val="18"/>
                <w:szCs w:val="18"/>
              </w:rPr>
            </w:pPr>
            <w:r>
              <w:rPr>
                <w:rFonts w:ascii="Arial" w:hAnsi="Arial" w:cs="宋体;SimSun" w:eastAsia="华文细黑"/>
                <w:b/>
                <w:bCs/>
                <w:color w:val="000000"/>
                <w:sz w:val="18"/>
                <w:szCs w:val="18"/>
              </w:rPr>
              <w:t>计算方法</w:t>
            </w:r>
          </w:p>
        </w:tc>
        <w:tc>
          <w:tcPr>
            <w:tcW w:w="3932"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b/>
                <w:b/>
                <w:bCs/>
                <w:color w:val="000000"/>
                <w:sz w:val="18"/>
                <w:szCs w:val="18"/>
              </w:rPr>
            </w:pPr>
            <w:r>
              <w:rPr>
                <w:rFonts w:ascii="Arial" w:hAnsi="Arial" w:cs="宋体;SimSun" w:eastAsia="华文细黑"/>
                <w:b/>
                <w:bCs/>
                <w:color w:val="000000"/>
                <w:sz w:val="18"/>
                <w:szCs w:val="18"/>
              </w:rPr>
              <w:t>税（费）率</w:t>
            </w:r>
          </w:p>
        </w:tc>
      </w:tr>
      <w:tr>
        <w:trPr>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增值税及附加</w:t>
            </w:r>
          </w:p>
        </w:tc>
        <w:tc>
          <w:tcPr>
            <w:tcW w:w="1416"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2137</w:t>
            </w:r>
          </w:p>
        </w:tc>
        <w:tc>
          <w:tcPr>
            <w:tcW w:w="1985"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销售额</w:t>
            </w:r>
            <w:r>
              <w:rPr>
                <w:rFonts w:eastAsia="华文细黑" w:cs="Arial" w:ascii="Arial" w:hAnsi="Arial"/>
                <w:color w:val="000000"/>
                <w:sz w:val="18"/>
                <w:szCs w:val="18"/>
              </w:rPr>
              <w:t>×</w:t>
            </w:r>
            <w:r>
              <w:rPr>
                <w:rFonts w:ascii="Arial" w:hAnsi="Arial" w:cs="宋体;SimSun" w:eastAsia="华文细黑"/>
                <w:color w:val="000000"/>
                <w:sz w:val="18"/>
                <w:szCs w:val="18"/>
              </w:rPr>
              <w:t>税（费）率</w:t>
            </w:r>
          </w:p>
        </w:tc>
        <w:tc>
          <w:tcPr>
            <w:tcW w:w="3932"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5.60%</w:t>
            </w:r>
          </w:p>
        </w:tc>
      </w:tr>
      <w:tr>
        <w:trPr>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印花税</w:t>
            </w:r>
          </w:p>
        </w:tc>
        <w:tc>
          <w:tcPr>
            <w:tcW w:w="1416"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eastAsia="华文细黑" w:cs="宋体;SimSun" w:ascii="Arial" w:hAnsi="Arial"/>
                <w:color w:val="000000"/>
                <w:sz w:val="18"/>
                <w:szCs w:val="18"/>
              </w:rPr>
              <w:t>20</w:t>
            </w:r>
          </w:p>
        </w:tc>
        <w:tc>
          <w:tcPr>
            <w:tcW w:w="1985"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销售额</w:t>
            </w:r>
            <w:r>
              <w:rPr>
                <w:rFonts w:eastAsia="华文细黑" w:cs="Arial" w:ascii="Arial" w:hAnsi="Arial"/>
                <w:color w:val="000000"/>
                <w:sz w:val="18"/>
                <w:szCs w:val="18"/>
              </w:rPr>
              <w:t>×</w:t>
            </w:r>
            <w:r>
              <w:rPr>
                <w:rFonts w:ascii="Arial" w:hAnsi="Arial" w:cs="宋体;SimSun" w:eastAsia="华文细黑"/>
                <w:color w:val="000000"/>
                <w:sz w:val="18"/>
                <w:szCs w:val="18"/>
              </w:rPr>
              <w:t>税（费）率</w:t>
            </w:r>
          </w:p>
        </w:tc>
        <w:tc>
          <w:tcPr>
            <w:tcW w:w="3932"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0.05%</w:t>
            </w:r>
          </w:p>
        </w:tc>
      </w:tr>
      <w:tr>
        <w:trPr>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3</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土地增值税</w:t>
            </w:r>
          </w:p>
        </w:tc>
        <w:tc>
          <w:tcPr>
            <w:tcW w:w="1416"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11251</w:t>
            </w:r>
          </w:p>
        </w:tc>
        <w:tc>
          <w:tcPr>
            <w:tcW w:w="1985"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增值额</w:t>
            </w:r>
            <w:r>
              <w:rPr>
                <w:rFonts w:eastAsia="华文细黑" w:cs="Arial" w:ascii="Arial" w:hAnsi="Arial"/>
                <w:color w:val="000000"/>
                <w:sz w:val="18"/>
                <w:szCs w:val="18"/>
              </w:rPr>
              <w:t>×</w:t>
            </w:r>
            <w:r>
              <w:rPr>
                <w:rFonts w:ascii="Arial" w:hAnsi="Arial" w:cs="宋体;SimSun" w:eastAsia="华文细黑"/>
                <w:color w:val="000000"/>
                <w:sz w:val="18"/>
                <w:szCs w:val="18"/>
              </w:rPr>
              <w:t>税（费）率</w:t>
            </w:r>
          </w:p>
        </w:tc>
        <w:tc>
          <w:tcPr>
            <w:tcW w:w="3932"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pPr>
            <w:r>
              <w:rPr>
                <w:rFonts w:ascii="Arial" w:hAnsi="Arial" w:cs="宋体;SimSun" w:eastAsia="华文细黑"/>
                <w:color w:val="000000"/>
                <w:sz w:val="18"/>
                <w:szCs w:val="18"/>
              </w:rPr>
              <w:t>差额累进税率，增值额</w:t>
            </w:r>
            <w:r>
              <w:rPr>
                <w:rFonts w:eastAsia="华文细黑" w:cs="Arial" w:ascii="Arial" w:hAnsi="Arial"/>
                <w:color w:val="000000"/>
                <w:sz w:val="18"/>
                <w:szCs w:val="18"/>
              </w:rPr>
              <w:t>=</w:t>
            </w:r>
            <w:r>
              <w:rPr>
                <w:rFonts w:ascii="Arial" w:hAnsi="Arial" w:cs="宋体;SimSun" w:eastAsia="华文细黑"/>
                <w:color w:val="000000"/>
                <w:sz w:val="18"/>
                <w:szCs w:val="18"/>
              </w:rPr>
              <w:t>转让收入</w:t>
            </w:r>
            <w:r>
              <w:rPr>
                <w:rFonts w:eastAsia="华文细黑" w:cs="Arial" w:ascii="Arial" w:hAnsi="Arial"/>
                <w:color w:val="000000"/>
                <w:sz w:val="18"/>
                <w:szCs w:val="18"/>
              </w:rPr>
              <w:t>-</w:t>
            </w:r>
            <w:r>
              <w:rPr>
                <w:rFonts w:ascii="Arial" w:hAnsi="Arial" w:cs="宋体;SimSun" w:eastAsia="华文细黑"/>
                <w:color w:val="000000"/>
                <w:sz w:val="18"/>
                <w:szCs w:val="18"/>
              </w:rPr>
              <w:t>扣除项合计（包含土地取得成本、土地开发费、建造成本、开发费用扣除、转让税金支出、加计扣除金额）</w:t>
            </w:r>
          </w:p>
        </w:tc>
      </w:tr>
      <w:tr>
        <w:trPr>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4</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拍卖佣金</w:t>
            </w:r>
          </w:p>
        </w:tc>
        <w:tc>
          <w:tcPr>
            <w:tcW w:w="1416"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eastAsia="华文细黑" w:cs="宋体;SimSun" w:ascii="Arial" w:hAnsi="Arial"/>
                <w:color w:val="000000"/>
                <w:sz w:val="18"/>
                <w:szCs w:val="18"/>
              </w:rPr>
              <w:t>314.36</w:t>
            </w:r>
          </w:p>
        </w:tc>
        <w:tc>
          <w:tcPr>
            <w:tcW w:w="1985"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差额累进税率</w:t>
            </w:r>
          </w:p>
        </w:tc>
        <w:tc>
          <w:tcPr>
            <w:tcW w:w="3932" w:type="dxa"/>
            <w:tcBorders>
              <w:left w:val="single" w:sz="8" w:space="0" w:color="000000"/>
              <w:bottom w:val="single" w:sz="8" w:space="0" w:color="000000"/>
              <w:right w:val="single" w:sz="8" w:space="0" w:color="000000"/>
            </w:tcBorders>
            <w:shd w:fill="auto" w:val="clear"/>
            <w:vAlign w:val="bottom"/>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200</w:t>
            </w:r>
            <w:r>
              <w:rPr>
                <w:rFonts w:ascii="Arial" w:hAnsi="Arial" w:cs="Arial" w:eastAsia="华文细黑"/>
                <w:color w:val="000000"/>
                <w:sz w:val="18"/>
                <w:szCs w:val="18"/>
              </w:rPr>
              <w:t>万部分，</w:t>
            </w:r>
            <w:r>
              <w:rPr>
                <w:rFonts w:ascii="Arial" w:hAnsi="Arial" w:cs="Arial"/>
                <w:color w:val="000000"/>
                <w:sz w:val="18"/>
                <w:szCs w:val="18"/>
              </w:rPr>
              <w:t>≤</w:t>
            </w:r>
            <w:r>
              <w:rPr>
                <w:rFonts w:cs="Arial" w:ascii="Arial" w:hAnsi="Arial"/>
                <w:color w:val="000000"/>
                <w:sz w:val="18"/>
                <w:szCs w:val="18"/>
              </w:rPr>
              <w:t>5%</w:t>
            </w:r>
            <w:r>
              <w:rPr>
                <w:rFonts w:ascii="Arial" w:hAnsi="Arial" w:cs="Arial" w:eastAsia="华文细黑"/>
                <w:color w:val="000000"/>
                <w:sz w:val="18"/>
                <w:szCs w:val="18"/>
              </w:rPr>
              <w:t>；</w:t>
            </w:r>
            <w:r>
              <w:rPr>
                <w:rFonts w:cs="Arial" w:ascii="Arial" w:hAnsi="Arial"/>
                <w:color w:val="000000"/>
                <w:sz w:val="18"/>
                <w:szCs w:val="18"/>
              </w:rPr>
              <w:t>200-1000</w:t>
            </w:r>
            <w:r>
              <w:rPr>
                <w:rFonts w:ascii="Arial" w:hAnsi="Arial" w:cs="Arial" w:eastAsia="华文细黑"/>
                <w:color w:val="000000"/>
                <w:sz w:val="18"/>
                <w:szCs w:val="18"/>
              </w:rPr>
              <w:t>万部分，</w:t>
            </w:r>
            <w:r>
              <w:rPr>
                <w:rFonts w:ascii="Arial" w:hAnsi="Arial" w:cs="Arial"/>
                <w:color w:val="000000"/>
                <w:sz w:val="18"/>
                <w:szCs w:val="18"/>
              </w:rPr>
              <w:t>≤</w:t>
            </w:r>
            <w:r>
              <w:rPr>
                <w:rFonts w:cs="Arial" w:ascii="Arial" w:hAnsi="Arial"/>
                <w:color w:val="000000"/>
                <w:sz w:val="18"/>
                <w:szCs w:val="18"/>
              </w:rPr>
              <w:t>3%</w:t>
            </w:r>
            <w:r>
              <w:rPr>
                <w:rFonts w:ascii="Arial" w:hAnsi="Arial" w:cs="Arial" w:eastAsia="华文细黑"/>
                <w:color w:val="000000"/>
                <w:sz w:val="18"/>
                <w:szCs w:val="18"/>
              </w:rPr>
              <w:t>；</w:t>
            </w:r>
            <w:r>
              <w:rPr>
                <w:rFonts w:cs="Arial" w:ascii="Arial" w:hAnsi="Arial"/>
                <w:color w:val="000000"/>
                <w:sz w:val="18"/>
                <w:szCs w:val="18"/>
              </w:rPr>
              <w:t>1000-5000</w:t>
            </w:r>
            <w:r>
              <w:rPr>
                <w:rFonts w:ascii="Arial" w:hAnsi="Arial" w:cs="Arial" w:eastAsia="华文细黑"/>
                <w:color w:val="000000"/>
                <w:sz w:val="18"/>
                <w:szCs w:val="18"/>
              </w:rPr>
              <w:t>万部分，</w:t>
            </w:r>
            <w:r>
              <w:rPr>
                <w:rFonts w:ascii="Arial" w:hAnsi="Arial" w:cs="Arial"/>
                <w:color w:val="000000"/>
                <w:sz w:val="18"/>
                <w:szCs w:val="18"/>
              </w:rPr>
              <w:t>≤</w:t>
            </w:r>
            <w:r>
              <w:rPr>
                <w:rFonts w:cs="Arial" w:ascii="Arial" w:hAnsi="Arial"/>
                <w:color w:val="000000"/>
                <w:sz w:val="18"/>
                <w:szCs w:val="18"/>
              </w:rPr>
              <w:t>2%</w:t>
            </w:r>
            <w:r>
              <w:rPr>
                <w:rFonts w:ascii="Arial" w:hAnsi="Arial" w:cs="Arial" w:eastAsia="华文细黑"/>
                <w:color w:val="000000"/>
                <w:sz w:val="18"/>
                <w:szCs w:val="18"/>
              </w:rPr>
              <w:t>；</w:t>
            </w:r>
            <w:r>
              <w:rPr>
                <w:rFonts w:cs="Arial" w:ascii="Arial" w:hAnsi="Arial"/>
                <w:color w:val="000000"/>
                <w:sz w:val="18"/>
                <w:szCs w:val="18"/>
              </w:rPr>
              <w:t>5000</w:t>
            </w:r>
            <w:r>
              <w:rPr>
                <w:rFonts w:ascii="Arial" w:hAnsi="Arial" w:cs="Arial" w:eastAsia="华文细黑"/>
                <w:color w:val="000000"/>
                <w:sz w:val="18"/>
                <w:szCs w:val="18"/>
              </w:rPr>
              <w:t>万</w:t>
            </w:r>
            <w:r>
              <w:rPr>
                <w:rFonts w:cs="Arial" w:ascii="Arial" w:hAnsi="Arial"/>
                <w:color w:val="000000"/>
                <w:sz w:val="18"/>
                <w:szCs w:val="18"/>
              </w:rPr>
              <w:t>-1</w:t>
            </w:r>
            <w:r>
              <w:rPr>
                <w:rFonts w:ascii="Arial" w:hAnsi="Arial" w:cs="Arial" w:eastAsia="华文细黑"/>
                <w:color w:val="000000"/>
                <w:sz w:val="18"/>
                <w:szCs w:val="18"/>
              </w:rPr>
              <w:t>亿部分</w:t>
            </w:r>
            <w:r>
              <w:rPr>
                <w:rFonts w:ascii="Arial" w:hAnsi="Arial" w:cs="Arial"/>
                <w:color w:val="000000"/>
                <w:sz w:val="18"/>
                <w:szCs w:val="18"/>
              </w:rPr>
              <w:t>≤</w:t>
            </w:r>
            <w:r>
              <w:rPr>
                <w:rFonts w:cs="Arial" w:ascii="Arial" w:hAnsi="Arial"/>
                <w:color w:val="000000"/>
                <w:sz w:val="18"/>
                <w:szCs w:val="18"/>
              </w:rPr>
              <w:t>1%</w:t>
            </w:r>
            <w:r>
              <w:rPr>
                <w:rFonts w:ascii="Arial" w:hAnsi="Arial" w:cs="Arial" w:eastAsia="华文细黑"/>
                <w:color w:val="000000"/>
                <w:sz w:val="18"/>
                <w:szCs w:val="18"/>
              </w:rPr>
              <w:t>；超过</w:t>
            </w:r>
            <w:r>
              <w:rPr>
                <w:rFonts w:cs="Arial" w:ascii="Arial" w:hAnsi="Arial"/>
                <w:color w:val="000000"/>
                <w:sz w:val="18"/>
                <w:szCs w:val="18"/>
              </w:rPr>
              <w:t>1</w:t>
            </w:r>
            <w:r>
              <w:rPr>
                <w:rFonts w:ascii="Arial" w:hAnsi="Arial" w:cs="Arial" w:eastAsia="华文细黑"/>
                <w:color w:val="000000"/>
                <w:sz w:val="18"/>
                <w:szCs w:val="18"/>
              </w:rPr>
              <w:t>亿部分，</w:t>
            </w:r>
            <w:r>
              <w:rPr>
                <w:rFonts w:ascii="Arial" w:hAnsi="Arial" w:cs="Arial"/>
                <w:color w:val="000000"/>
                <w:sz w:val="18"/>
                <w:szCs w:val="18"/>
              </w:rPr>
              <w:t>≤</w:t>
            </w:r>
            <w:r>
              <w:rPr>
                <w:rFonts w:cs="Arial" w:ascii="Arial" w:hAnsi="Arial"/>
                <w:color w:val="000000"/>
                <w:sz w:val="18"/>
                <w:szCs w:val="18"/>
              </w:rPr>
              <w:t>0.5%</w:t>
            </w:r>
            <w:r>
              <w:rPr>
                <w:rFonts w:ascii="Arial" w:hAnsi="Arial" w:cs="Arial" w:eastAsia="华文细黑"/>
                <w:color w:val="000000"/>
                <w:sz w:val="18"/>
                <w:szCs w:val="18"/>
              </w:rPr>
              <w:t>。阿里法拍通常佣金</w:t>
            </w:r>
            <w:r>
              <w:rPr>
                <w:rFonts w:cs="Arial" w:ascii="Arial" w:hAnsi="Arial"/>
                <w:color w:val="000000"/>
                <w:sz w:val="18"/>
                <w:szCs w:val="18"/>
              </w:rPr>
              <w:t>0.25-2%</w:t>
            </w:r>
            <w:r>
              <w:rPr>
                <w:rFonts w:ascii="Arial" w:hAnsi="Arial" w:cs="Arial" w:eastAsia="华文细黑"/>
                <w:color w:val="000000"/>
                <w:sz w:val="18"/>
                <w:szCs w:val="18"/>
              </w:rPr>
              <w:t>。本次测算按照差额累计税率计算。</w:t>
            </w:r>
          </w:p>
        </w:tc>
      </w:tr>
      <w:tr>
        <w:trPr>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5</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评估费</w:t>
            </w:r>
          </w:p>
        </w:tc>
        <w:tc>
          <w:tcPr>
            <w:tcW w:w="1416"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eastAsia="华文细黑" w:cs="宋体;SimSun" w:ascii="Arial" w:hAnsi="Arial"/>
                <w:color w:val="000000"/>
                <w:sz w:val="18"/>
                <w:szCs w:val="18"/>
              </w:rPr>
              <w:t>11.26</w:t>
            </w:r>
          </w:p>
        </w:tc>
        <w:tc>
          <w:tcPr>
            <w:tcW w:w="1985"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差额累进税率</w:t>
            </w:r>
          </w:p>
        </w:tc>
        <w:tc>
          <w:tcPr>
            <w:tcW w:w="3932"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100</w:t>
            </w:r>
            <w:r>
              <w:rPr>
                <w:rFonts w:ascii="Arial" w:hAnsi="Arial" w:cs="Arial" w:eastAsia="华文细黑"/>
                <w:color w:val="000000"/>
                <w:sz w:val="18"/>
                <w:szCs w:val="18"/>
              </w:rPr>
              <w:t>万部分，</w:t>
            </w:r>
            <w:r>
              <w:rPr>
                <w:rFonts w:cs="Arial" w:ascii="Arial" w:hAnsi="Arial"/>
                <w:color w:val="000000"/>
                <w:sz w:val="18"/>
                <w:szCs w:val="18"/>
              </w:rPr>
              <w:t>5‰</w:t>
            </w:r>
            <w:r>
              <w:rPr>
                <w:rFonts w:ascii="Arial" w:hAnsi="Arial" w:cs="Arial" w:eastAsia="华文细黑"/>
                <w:color w:val="000000"/>
                <w:sz w:val="18"/>
                <w:szCs w:val="18"/>
              </w:rPr>
              <w:t>；</w:t>
            </w:r>
            <w:r>
              <w:rPr>
                <w:rFonts w:cs="Arial" w:ascii="Arial" w:hAnsi="Arial"/>
                <w:color w:val="000000"/>
                <w:sz w:val="18"/>
                <w:szCs w:val="18"/>
              </w:rPr>
              <w:t>100-1000</w:t>
            </w:r>
            <w:r>
              <w:rPr>
                <w:rFonts w:ascii="Arial" w:hAnsi="Arial" w:cs="Arial" w:eastAsia="华文细黑"/>
                <w:color w:val="000000"/>
                <w:sz w:val="18"/>
                <w:szCs w:val="18"/>
              </w:rPr>
              <w:t>万部分，</w:t>
            </w:r>
            <w:r>
              <w:rPr>
                <w:rFonts w:ascii="Arial" w:hAnsi="Arial" w:cs="Arial" w:eastAsia="Arial"/>
                <w:color w:val="000000"/>
                <w:sz w:val="18"/>
                <w:szCs w:val="18"/>
              </w:rPr>
              <w:t xml:space="preserve"> </w:t>
            </w:r>
            <w:r>
              <w:rPr>
                <w:rFonts w:cs="Arial" w:ascii="Arial" w:hAnsi="Arial"/>
                <w:color w:val="000000"/>
                <w:sz w:val="18"/>
                <w:szCs w:val="18"/>
              </w:rPr>
              <w:t>2.5‰</w:t>
            </w:r>
            <w:r>
              <w:rPr>
                <w:rFonts w:ascii="Arial" w:hAnsi="Arial" w:cs="Arial" w:eastAsia="华文细黑"/>
                <w:color w:val="000000"/>
                <w:sz w:val="18"/>
                <w:szCs w:val="18"/>
              </w:rPr>
              <w:t>；</w:t>
            </w:r>
            <w:r>
              <w:rPr>
                <w:rFonts w:cs="Arial" w:ascii="Arial" w:hAnsi="Arial"/>
                <w:color w:val="000000"/>
                <w:sz w:val="18"/>
                <w:szCs w:val="18"/>
              </w:rPr>
              <w:t>1000-2000</w:t>
            </w:r>
            <w:r>
              <w:rPr>
                <w:rFonts w:ascii="Arial" w:hAnsi="Arial" w:cs="Arial" w:eastAsia="华文细黑"/>
                <w:color w:val="000000"/>
                <w:sz w:val="18"/>
                <w:szCs w:val="18"/>
              </w:rPr>
              <w:t>万部分，</w:t>
            </w:r>
            <w:r>
              <w:rPr>
                <w:rFonts w:ascii="Arial" w:hAnsi="Arial" w:cs="Arial" w:eastAsia="Arial"/>
                <w:color w:val="000000"/>
                <w:sz w:val="18"/>
                <w:szCs w:val="18"/>
              </w:rPr>
              <w:t xml:space="preserve"> </w:t>
            </w:r>
            <w:r>
              <w:rPr>
                <w:rFonts w:cs="Arial" w:ascii="Arial" w:hAnsi="Arial"/>
                <w:color w:val="000000"/>
                <w:sz w:val="18"/>
                <w:szCs w:val="18"/>
              </w:rPr>
              <w:t>1.5‰</w:t>
            </w:r>
            <w:r>
              <w:rPr>
                <w:rFonts w:ascii="Arial" w:hAnsi="Arial" w:cs="Arial" w:eastAsia="华文细黑"/>
                <w:color w:val="000000"/>
                <w:sz w:val="18"/>
                <w:szCs w:val="18"/>
              </w:rPr>
              <w:t>；</w:t>
            </w:r>
            <w:r>
              <w:rPr>
                <w:rFonts w:cs="Arial" w:ascii="Arial" w:hAnsi="Arial"/>
                <w:color w:val="000000"/>
                <w:sz w:val="18"/>
                <w:szCs w:val="18"/>
              </w:rPr>
              <w:t>2000-5000</w:t>
            </w:r>
            <w:r>
              <w:rPr>
                <w:rFonts w:ascii="Arial" w:hAnsi="Arial" w:cs="Arial" w:eastAsia="华文细黑"/>
                <w:color w:val="000000"/>
                <w:sz w:val="18"/>
                <w:szCs w:val="18"/>
              </w:rPr>
              <w:t>万部分，</w:t>
            </w:r>
            <w:r>
              <w:rPr>
                <w:rFonts w:ascii="Arial" w:hAnsi="Arial" w:cs="Arial" w:eastAsia="Arial"/>
                <w:color w:val="000000"/>
                <w:sz w:val="18"/>
                <w:szCs w:val="18"/>
              </w:rPr>
              <w:t xml:space="preserve"> </w:t>
            </w:r>
            <w:r>
              <w:rPr>
                <w:rFonts w:cs="Arial" w:ascii="Arial" w:hAnsi="Arial"/>
                <w:color w:val="000000"/>
                <w:sz w:val="18"/>
                <w:szCs w:val="18"/>
              </w:rPr>
              <w:t>0.8‰</w:t>
            </w:r>
            <w:r>
              <w:rPr>
                <w:rFonts w:ascii="Arial" w:hAnsi="Arial" w:cs="Arial" w:eastAsia="华文细黑"/>
                <w:color w:val="000000"/>
                <w:sz w:val="18"/>
                <w:szCs w:val="18"/>
              </w:rPr>
              <w:t>；</w:t>
            </w:r>
            <w:r>
              <w:rPr>
                <w:rFonts w:cs="Arial" w:ascii="Arial" w:hAnsi="Arial"/>
                <w:color w:val="000000"/>
                <w:sz w:val="18"/>
                <w:szCs w:val="18"/>
              </w:rPr>
              <w:t>5000</w:t>
            </w:r>
            <w:r>
              <w:rPr>
                <w:rFonts w:ascii="Arial" w:hAnsi="Arial" w:cs="Arial" w:eastAsia="华文细黑"/>
                <w:color w:val="000000"/>
                <w:sz w:val="18"/>
                <w:szCs w:val="18"/>
              </w:rPr>
              <w:t>万</w:t>
            </w:r>
            <w:r>
              <w:rPr>
                <w:rFonts w:cs="Arial" w:ascii="Arial" w:hAnsi="Arial"/>
                <w:color w:val="000000"/>
                <w:sz w:val="18"/>
                <w:szCs w:val="18"/>
              </w:rPr>
              <w:t>-8000</w:t>
            </w:r>
            <w:r>
              <w:rPr>
                <w:rFonts w:ascii="Arial" w:hAnsi="Arial" w:cs="Arial" w:eastAsia="华文细黑"/>
                <w:color w:val="000000"/>
                <w:sz w:val="18"/>
                <w:szCs w:val="18"/>
              </w:rPr>
              <w:t>万部分，</w:t>
            </w:r>
            <w:r>
              <w:rPr>
                <w:rFonts w:cs="Arial" w:ascii="Arial" w:hAnsi="Arial"/>
                <w:color w:val="000000"/>
                <w:sz w:val="18"/>
                <w:szCs w:val="18"/>
              </w:rPr>
              <w:t>0.4‰</w:t>
            </w:r>
            <w:r>
              <w:rPr>
                <w:rFonts w:ascii="Arial" w:hAnsi="Arial" w:cs="Arial" w:eastAsia="华文细黑"/>
                <w:color w:val="000000"/>
                <w:sz w:val="18"/>
                <w:szCs w:val="18"/>
              </w:rPr>
              <w:t>；</w:t>
            </w:r>
            <w:r>
              <w:rPr>
                <w:rFonts w:cs="Arial" w:ascii="Arial" w:hAnsi="Arial"/>
                <w:color w:val="000000"/>
                <w:sz w:val="18"/>
                <w:szCs w:val="18"/>
              </w:rPr>
              <w:t>8000</w:t>
            </w:r>
            <w:r>
              <w:rPr>
                <w:rFonts w:ascii="Arial" w:hAnsi="Arial" w:cs="Arial" w:eastAsia="华文细黑"/>
                <w:color w:val="000000"/>
                <w:sz w:val="18"/>
                <w:szCs w:val="18"/>
              </w:rPr>
              <w:t>万</w:t>
            </w:r>
            <w:r>
              <w:rPr>
                <w:rFonts w:cs="Arial" w:ascii="Arial" w:hAnsi="Arial"/>
                <w:color w:val="000000"/>
                <w:sz w:val="18"/>
                <w:szCs w:val="18"/>
              </w:rPr>
              <w:t>-1</w:t>
            </w:r>
            <w:r>
              <w:rPr>
                <w:rFonts w:ascii="Arial" w:hAnsi="Arial" w:cs="Arial" w:eastAsia="华文细黑"/>
                <w:color w:val="000000"/>
                <w:sz w:val="18"/>
                <w:szCs w:val="18"/>
              </w:rPr>
              <w:t>亿部分</w:t>
            </w:r>
            <w:r>
              <w:rPr>
                <w:rFonts w:cs="Arial" w:ascii="Arial" w:hAnsi="Arial"/>
                <w:color w:val="000000"/>
                <w:sz w:val="18"/>
                <w:szCs w:val="18"/>
              </w:rPr>
              <w:t>,0.2‰</w:t>
            </w:r>
            <w:r>
              <w:rPr>
                <w:rFonts w:ascii="Arial" w:hAnsi="Arial" w:cs="Arial" w:eastAsia="华文细黑"/>
                <w:color w:val="000000"/>
                <w:sz w:val="18"/>
                <w:szCs w:val="18"/>
              </w:rPr>
              <w:t>；超过</w:t>
            </w:r>
            <w:r>
              <w:rPr>
                <w:rFonts w:cs="Arial" w:ascii="Arial" w:hAnsi="Arial"/>
                <w:color w:val="000000"/>
                <w:sz w:val="18"/>
                <w:szCs w:val="18"/>
              </w:rPr>
              <w:t>1</w:t>
            </w:r>
            <w:r>
              <w:rPr>
                <w:rFonts w:ascii="Arial" w:hAnsi="Arial" w:cs="Arial" w:eastAsia="华文细黑"/>
                <w:color w:val="000000"/>
                <w:sz w:val="18"/>
                <w:szCs w:val="18"/>
              </w:rPr>
              <w:t>亿部分，</w:t>
            </w:r>
            <w:r>
              <w:rPr>
                <w:rFonts w:ascii="Arial" w:hAnsi="Arial" w:cs="Arial" w:eastAsia="Arial"/>
                <w:color w:val="000000"/>
                <w:sz w:val="18"/>
                <w:szCs w:val="18"/>
              </w:rPr>
              <w:t xml:space="preserve"> </w:t>
            </w:r>
            <w:r>
              <w:rPr>
                <w:rFonts w:cs="Arial" w:ascii="Arial" w:hAnsi="Arial"/>
                <w:color w:val="000000"/>
                <w:sz w:val="18"/>
                <w:szCs w:val="18"/>
              </w:rPr>
              <w:t>0.1‰</w:t>
            </w:r>
            <w:r>
              <w:rPr>
                <w:rFonts w:ascii="Arial" w:hAnsi="Arial" w:cs="Arial" w:eastAsia="华文细黑"/>
                <w:color w:val="000000"/>
                <w:sz w:val="18"/>
                <w:szCs w:val="18"/>
              </w:rPr>
              <w:t>。</w:t>
            </w:r>
          </w:p>
        </w:tc>
      </w:tr>
      <w:tr>
        <w:trPr>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6</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可能存在的其他手续费</w:t>
            </w:r>
          </w:p>
        </w:tc>
        <w:tc>
          <w:tcPr>
            <w:tcW w:w="1416"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eastAsia="华文细黑" w:cs="宋体;SimSun" w:ascii="Arial" w:hAnsi="Arial"/>
                <w:color w:val="000000"/>
                <w:sz w:val="18"/>
                <w:szCs w:val="18"/>
              </w:rPr>
              <w:t>400.71</w:t>
            </w:r>
          </w:p>
        </w:tc>
        <w:tc>
          <w:tcPr>
            <w:tcW w:w="1985"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销售额</w:t>
            </w:r>
            <w:r>
              <w:rPr>
                <w:rFonts w:eastAsia="华文细黑" w:cs="宋体;SimSun" w:ascii="Arial" w:hAnsi="Arial"/>
                <w:color w:val="000000"/>
                <w:sz w:val="18"/>
                <w:szCs w:val="18"/>
              </w:rPr>
              <w:t>×</w:t>
            </w:r>
            <w:r>
              <w:rPr>
                <w:rFonts w:ascii="Arial" w:hAnsi="Arial" w:cs="宋体;SimSun" w:eastAsia="华文细黑"/>
                <w:color w:val="000000"/>
                <w:sz w:val="18"/>
                <w:szCs w:val="18"/>
              </w:rPr>
              <w:t>税（费）率</w:t>
            </w:r>
          </w:p>
        </w:tc>
        <w:tc>
          <w:tcPr>
            <w:tcW w:w="3932"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w:t>
            </w:r>
          </w:p>
        </w:tc>
      </w:tr>
      <w:tr>
        <w:trPr>
          <w:cantSplit w:val="true"/>
        </w:trPr>
        <w:tc>
          <w:tcPr>
            <w:tcW w:w="1986" w:type="dxa"/>
            <w:gridSpan w:val="2"/>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eastAsia="华文细黑" w:cs="宋体;SimSun"/>
                <w:color w:val="000000"/>
                <w:sz w:val="18"/>
                <w:szCs w:val="18"/>
              </w:rPr>
            </w:pPr>
            <w:r>
              <w:rPr>
                <w:rFonts w:ascii="Arial" w:hAnsi="Arial" w:cs="宋体;SimSun" w:eastAsia="华文细黑"/>
                <w:color w:val="000000"/>
                <w:sz w:val="18"/>
                <w:szCs w:val="18"/>
              </w:rPr>
              <w:t>合计</w:t>
            </w:r>
          </w:p>
        </w:tc>
        <w:tc>
          <w:tcPr>
            <w:tcW w:w="1416" w:type="dxa"/>
            <w:tcBorders>
              <w:left w:val="single" w:sz="8" w:space="0" w:color="000000"/>
              <w:bottom w:val="single" w:sz="8" w:space="0" w:color="000000"/>
            </w:tcBorders>
            <w:shd w:fill="auto" w:val="clear"/>
            <w:vAlign w:val="center"/>
          </w:tcPr>
          <w:p>
            <w:pPr>
              <w:pStyle w:val="Normal"/>
              <w:spacing w:lineRule="exact" w:line="240"/>
              <w:jc w:val="both"/>
              <w:rPr>
                <w:rFonts w:ascii="Arial" w:hAnsi="Arial" w:cs="Arial"/>
                <w:color w:val="000000"/>
                <w:sz w:val="18"/>
                <w:szCs w:val="18"/>
              </w:rPr>
            </w:pPr>
            <w:r>
              <w:rPr>
                <w:rFonts w:cs="Arial" w:ascii="Arial" w:hAnsi="Arial"/>
                <w:color w:val="000000"/>
                <w:sz w:val="18"/>
                <w:szCs w:val="18"/>
              </w:rPr>
              <w:t>14134.33</w:t>
            </w:r>
          </w:p>
        </w:tc>
        <w:tc>
          <w:tcPr>
            <w:tcW w:w="1985"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ascii="Arial" w:hAnsi="Arial" w:cs="Arial"/>
                <w:color w:val="000000"/>
                <w:sz w:val="18"/>
                <w:szCs w:val="18"/>
              </w:rPr>
              <w:t>——</w:t>
            </w:r>
          </w:p>
        </w:tc>
        <w:tc>
          <w:tcPr>
            <w:tcW w:w="3932" w:type="dxa"/>
            <w:tcBorders>
              <w:left w:val="single" w:sz="8" w:space="0" w:color="000000"/>
              <w:bottom w:val="single" w:sz="8" w:space="0" w:color="000000"/>
              <w:right w:val="single" w:sz="8" w:space="0" w:color="000000"/>
            </w:tcBorders>
            <w:shd w:fill="auto" w:val="clear"/>
            <w:vAlign w:val="center"/>
          </w:tcPr>
          <w:p>
            <w:pPr>
              <w:pStyle w:val="Normal"/>
              <w:widowControl/>
              <w:snapToGrid w:val="false"/>
              <w:spacing w:lineRule="exact" w:line="240"/>
              <w:jc w:val="both"/>
              <w:textAlignment w:val="auto"/>
              <w:rPr>
                <w:rFonts w:ascii="Arial" w:hAnsi="Arial" w:cs="Arial"/>
                <w:color w:val="000000"/>
                <w:sz w:val="18"/>
                <w:szCs w:val="18"/>
              </w:rPr>
            </w:pPr>
            <w:r>
              <w:rPr>
                <w:rFonts w:cs="Arial" w:ascii="Arial" w:hAnsi="Arial"/>
                <w:color w:val="000000"/>
                <w:sz w:val="18"/>
                <w:szCs w:val="18"/>
              </w:rPr>
            </w:r>
          </w:p>
        </w:tc>
      </w:tr>
    </w:tbl>
    <w:p>
      <w:pPr>
        <w:pStyle w:val="Normal"/>
        <w:overflowPunct w:val="false"/>
        <w:spacing w:lineRule="auto" w:line="240"/>
        <w:ind w:firstLine="360"/>
        <w:jc w:val="both"/>
        <w:textAlignment w:val="auto"/>
        <w:rPr>
          <w:rFonts w:ascii="Arial" w:hAnsi="Arial" w:eastAsia="华文细黑" w:cs="Arial"/>
          <w:color w:val="000000"/>
          <w:sz w:val="18"/>
          <w:szCs w:val="18"/>
        </w:rPr>
      </w:pPr>
      <w:r>
        <w:rPr>
          <w:rFonts w:ascii="Arial" w:hAnsi="Arial" w:cs="Arial" w:eastAsia="华文细黑"/>
          <w:sz w:val="18"/>
          <w:szCs w:val="18"/>
        </w:rPr>
        <w:t>备注：土地增值税测算中，涉及</w:t>
      </w:r>
      <w:r>
        <w:rPr>
          <w:rFonts w:ascii="Arial" w:hAnsi="Arial" w:cs="Arial" w:eastAsia="华文细黑"/>
          <w:color w:val="000000"/>
          <w:sz w:val="18"/>
          <w:szCs w:val="18"/>
        </w:rPr>
        <w:t>土地取得成本、土地开发费、建造成本、开发费用等，由于未能获取估价对象发生的实际数据，本次测算中未考虑土地开发费，建造成本</w:t>
      </w:r>
      <w:r>
        <w:rPr>
          <w:rFonts w:ascii="Arial" w:hAnsi="Arial" w:cs="Arial" w:eastAsia="华文细黑"/>
          <w:color w:val="000000"/>
          <w:sz w:val="18"/>
          <w:szCs w:val="18"/>
        </w:rPr>
        <w:t>扣除</w:t>
      </w:r>
      <w:r>
        <w:rPr>
          <w:rFonts w:ascii="Arial" w:hAnsi="Arial" w:cs="Arial" w:eastAsia="华文细黑"/>
          <w:color w:val="000000"/>
          <w:sz w:val="18"/>
          <w:szCs w:val="18"/>
        </w:rPr>
        <w:t>按照评估取值测算，</w:t>
      </w:r>
      <w:r>
        <w:rPr>
          <w:rFonts w:ascii="Arial" w:hAnsi="Arial" w:cs="Arial" w:eastAsia="华文细黑"/>
          <w:color w:val="000000"/>
          <w:sz w:val="18"/>
          <w:szCs w:val="18"/>
        </w:rPr>
        <w:t>若后期提供相关数据，需重新测算。具体税费以税务部门核算为准。</w:t>
      </w:r>
    </w:p>
    <w:p>
      <w:pPr>
        <w:pStyle w:val="Normal"/>
        <w:overflowPunct w:val="false"/>
        <w:spacing w:lineRule="auto" w:line="240"/>
        <w:ind w:firstLine="360"/>
        <w:jc w:val="both"/>
        <w:textAlignment w:val="auto"/>
        <w:rPr>
          <w:rFonts w:ascii="Arial" w:hAnsi="Arial" w:eastAsia="华文细黑" w:cs="Arial"/>
          <w:color w:val="000000"/>
          <w:sz w:val="18"/>
          <w:szCs w:val="18"/>
        </w:rPr>
      </w:pPr>
      <w:r>
        <w:rPr>
          <w:rFonts w:eastAsia="华文细黑" w:cs="Arial" w:ascii="Arial" w:hAnsi="Arial"/>
          <w:color w:val="000000"/>
          <w:sz w:val="18"/>
          <w:szCs w:val="18"/>
        </w:rPr>
      </w:r>
    </w:p>
    <w:p>
      <w:pPr>
        <w:pStyle w:val="Normal"/>
        <w:overflowPunct w:val="false"/>
        <w:spacing w:lineRule="auto" w:line="240"/>
        <w:ind w:firstLine="420"/>
        <w:jc w:val="both"/>
        <w:textAlignment w:val="auto"/>
        <w:rPr/>
      </w:pPr>
      <w:r>
        <w:rPr/>
        <w:t>2</w:t>
      </w:r>
      <w:r>
        <w:rPr/>
        <w:t>）买方缴纳税费</w:t>
      </w:r>
    </w:p>
    <w:tbl>
      <w:tblPr>
        <w:tblW w:w="9319" w:type="dxa"/>
        <w:jc w:val="center"/>
        <w:tblInd w:w="0" w:type="dxa"/>
        <w:tblCellMar>
          <w:top w:w="57" w:type="dxa"/>
          <w:left w:w="57" w:type="dxa"/>
          <w:bottom w:w="57" w:type="dxa"/>
          <w:right w:w="57" w:type="dxa"/>
        </w:tblCellMar>
      </w:tblPr>
      <w:tblGrid>
        <w:gridCol w:w="568"/>
        <w:gridCol w:w="3151"/>
        <w:gridCol w:w="1860"/>
        <w:gridCol w:w="1860"/>
        <w:gridCol w:w="1880"/>
      </w:tblGrid>
      <w:tr>
        <w:trPr>
          <w:trHeight w:val="23" w:hRule="atLeast"/>
          <w:cantSplit w:val="true"/>
        </w:trPr>
        <w:tc>
          <w:tcPr>
            <w:tcW w:w="568"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序号</w:t>
            </w:r>
          </w:p>
        </w:tc>
        <w:tc>
          <w:tcPr>
            <w:tcW w:w="3151"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税（费）种</w:t>
            </w:r>
          </w:p>
        </w:tc>
        <w:tc>
          <w:tcPr>
            <w:tcW w:w="1860"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预估金额（万元）</w:t>
            </w:r>
          </w:p>
        </w:tc>
        <w:tc>
          <w:tcPr>
            <w:tcW w:w="1860"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计算方法</w:t>
            </w:r>
          </w:p>
        </w:tc>
        <w:tc>
          <w:tcPr>
            <w:tcW w:w="1880"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税（费）率</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契税</w:t>
            </w:r>
          </w:p>
        </w:tc>
        <w:tc>
          <w:tcPr>
            <w:tcW w:w="1860" w:type="dxa"/>
            <w:tcBorders>
              <w:left w:val="single" w:sz="8" w:space="0" w:color="000000"/>
              <w:bottom w:val="single" w:sz="8" w:space="0" w:color="000000"/>
            </w:tcBorders>
            <w:shd w:fill="auto" w:val="clear"/>
            <w:vAlign w:val="center"/>
          </w:tcPr>
          <w:p>
            <w:pPr>
              <w:pStyle w:val="Normal"/>
              <w:spacing w:lineRule="exact" w:line="240"/>
              <w:jc w:val="both"/>
              <w:rPr>
                <w:rFonts w:ascii="Arial" w:hAnsi="Arial" w:cs="Arial"/>
                <w:color w:val="000000"/>
                <w:sz w:val="18"/>
                <w:szCs w:val="18"/>
              </w:rPr>
            </w:pPr>
            <w:r>
              <w:rPr>
                <w:rFonts w:cs="Arial" w:ascii="Arial" w:hAnsi="Arial"/>
                <w:color w:val="000000"/>
                <w:sz w:val="18"/>
                <w:szCs w:val="18"/>
              </w:rPr>
              <w:t>1202</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3%</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印花税</w:t>
            </w:r>
          </w:p>
        </w:tc>
        <w:tc>
          <w:tcPr>
            <w:tcW w:w="1860" w:type="dxa"/>
            <w:tcBorders>
              <w:left w:val="single" w:sz="8" w:space="0" w:color="000000"/>
              <w:bottom w:val="single" w:sz="8" w:space="0" w:color="000000"/>
            </w:tcBorders>
            <w:shd w:fill="auto" w:val="clear"/>
            <w:vAlign w:val="center"/>
          </w:tcPr>
          <w:p>
            <w:pPr>
              <w:pStyle w:val="Normal"/>
              <w:spacing w:lineRule="exact" w:line="240"/>
              <w:jc w:val="both"/>
              <w:rPr>
                <w:rFonts w:ascii="Arial" w:hAnsi="Arial" w:cs="Arial"/>
                <w:color w:val="000000"/>
                <w:sz w:val="18"/>
                <w:szCs w:val="18"/>
              </w:rPr>
            </w:pPr>
            <w:r>
              <w:rPr>
                <w:rFonts w:cs="Arial" w:ascii="Arial" w:hAnsi="Arial"/>
                <w:color w:val="000000"/>
                <w:sz w:val="18"/>
                <w:szCs w:val="18"/>
              </w:rPr>
              <w:t>20</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0.05%</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3</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其他可能存在的交易手续费</w:t>
            </w:r>
          </w:p>
        </w:tc>
        <w:tc>
          <w:tcPr>
            <w:tcW w:w="1860" w:type="dxa"/>
            <w:tcBorders>
              <w:left w:val="single" w:sz="8" w:space="0" w:color="000000"/>
              <w:bottom w:val="single" w:sz="8" w:space="0" w:color="000000"/>
            </w:tcBorders>
            <w:shd w:fill="auto" w:val="clear"/>
            <w:vAlign w:val="center"/>
          </w:tcPr>
          <w:p>
            <w:pPr>
              <w:pStyle w:val="Normal"/>
              <w:spacing w:lineRule="exact" w:line="240"/>
              <w:jc w:val="both"/>
              <w:rPr>
                <w:rFonts w:ascii="Arial" w:hAnsi="Arial" w:cs="Arial"/>
                <w:color w:val="000000"/>
                <w:sz w:val="18"/>
                <w:szCs w:val="18"/>
              </w:rPr>
            </w:pPr>
            <w:r>
              <w:rPr>
                <w:rFonts w:cs="Arial" w:ascii="Arial" w:hAnsi="Arial"/>
                <w:color w:val="000000"/>
                <w:sz w:val="18"/>
                <w:szCs w:val="18"/>
              </w:rPr>
              <w:t>400.71</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1.00%</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4</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合计</w:t>
            </w:r>
          </w:p>
        </w:tc>
        <w:tc>
          <w:tcPr>
            <w:tcW w:w="1860" w:type="dxa"/>
            <w:tcBorders>
              <w:left w:val="single" w:sz="8" w:space="0" w:color="000000"/>
              <w:bottom w:val="single" w:sz="8" w:space="0" w:color="000000"/>
            </w:tcBorders>
            <w:shd w:fill="auto" w:val="clear"/>
            <w:vAlign w:val="center"/>
          </w:tcPr>
          <w:p>
            <w:pPr>
              <w:pStyle w:val="Normal"/>
              <w:spacing w:lineRule="exact" w:line="240"/>
              <w:jc w:val="both"/>
              <w:rPr>
                <w:rFonts w:ascii="Arial" w:hAnsi="Arial" w:cs="Arial"/>
                <w:color w:val="000000"/>
                <w:sz w:val="18"/>
                <w:szCs w:val="18"/>
              </w:rPr>
            </w:pPr>
            <w:r>
              <w:rPr>
                <w:rFonts w:cs="Arial" w:ascii="Arial" w:hAnsi="Arial"/>
                <w:color w:val="000000"/>
                <w:sz w:val="18"/>
                <w:szCs w:val="18"/>
              </w:rPr>
              <w:t>1622.71</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ascii="Arial" w:hAnsi="Arial" w:cs="Arial"/>
                <w:color w:val="000000"/>
                <w:sz w:val="18"/>
                <w:szCs w:val="18"/>
              </w:rPr>
              <w:t>——</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ascii="Arial" w:hAnsi="Arial" w:cs="Arial"/>
                <w:color w:val="000000"/>
                <w:sz w:val="18"/>
                <w:szCs w:val="18"/>
              </w:rPr>
              <w:t>——</w:t>
            </w:r>
          </w:p>
        </w:tc>
      </w:tr>
    </w:tbl>
    <w:p>
      <w:pPr>
        <w:pStyle w:val="Normal"/>
        <w:overflowPunct w:val="false"/>
        <w:spacing w:lineRule="auto" w:line="480"/>
        <w:ind w:firstLine="420"/>
        <w:jc w:val="both"/>
        <w:textAlignment w:val="auto"/>
        <w:rPr/>
      </w:pPr>
      <w:r>
        <w:rPr>
          <w:rFonts w:ascii="Arial" w:hAnsi="Arial" w:cs="Arial"/>
          <w:sz w:val="21"/>
          <w:szCs w:val="21"/>
        </w:rPr>
        <w:t>（</w:t>
      </w:r>
      <w:r>
        <w:rPr>
          <w:rFonts w:cs="Arial" w:ascii="Arial" w:hAnsi="Arial"/>
          <w:sz w:val="21"/>
          <w:szCs w:val="21"/>
        </w:rPr>
        <w:t>2</w:t>
      </w:r>
      <w:r>
        <w:rPr>
          <w:rFonts w:ascii="Arial" w:hAnsi="Arial" w:cs="Arial"/>
          <w:sz w:val="21"/>
          <w:szCs w:val="21"/>
        </w:rPr>
        <w:t>）通过拍卖形式，设定最终由第三方按本次评估快速变现</w:t>
      </w:r>
      <w:r>
        <w:rPr>
          <w:rFonts w:cs="Arial" w:ascii="Arial" w:hAnsi="Arial"/>
          <w:sz w:val="21"/>
          <w:szCs w:val="21"/>
        </w:rPr>
        <w:t>28050</w:t>
      </w:r>
      <w:r>
        <w:rPr>
          <w:rFonts w:ascii="Arial" w:hAnsi="Arial" w:cs="Arial"/>
          <w:sz w:val="21"/>
          <w:szCs w:val="21"/>
        </w:rPr>
        <w:t>万元购入房地产，可能产生的相关税费如下：</w:t>
      </w:r>
    </w:p>
    <w:p>
      <w:pPr>
        <w:pStyle w:val="Normal"/>
        <w:overflowPunct w:val="false"/>
        <w:spacing w:lineRule="auto" w:line="480"/>
        <w:ind w:firstLine="420"/>
        <w:jc w:val="both"/>
        <w:textAlignment w:val="auto"/>
        <w:rPr/>
      </w:pPr>
      <w:r>
        <w:rPr/>
        <w:t>1</w:t>
      </w:r>
      <w:r>
        <w:rPr/>
        <w:t>）卖方缴纳税费</w:t>
      </w:r>
    </w:p>
    <w:tbl>
      <w:tblPr>
        <w:tblW w:w="9319" w:type="dxa"/>
        <w:jc w:val="center"/>
        <w:tblInd w:w="0" w:type="dxa"/>
        <w:tblCellMar>
          <w:top w:w="57" w:type="dxa"/>
          <w:left w:w="57" w:type="dxa"/>
          <w:bottom w:w="57" w:type="dxa"/>
          <w:right w:w="57" w:type="dxa"/>
        </w:tblCellMar>
      </w:tblPr>
      <w:tblGrid>
        <w:gridCol w:w="568"/>
        <w:gridCol w:w="1418"/>
        <w:gridCol w:w="1559"/>
        <w:gridCol w:w="1843"/>
        <w:gridCol w:w="3931"/>
      </w:tblGrid>
      <w:tr>
        <w:trPr>
          <w:trHeight w:val="23" w:hRule="atLeast"/>
          <w:cantSplit w:val="true"/>
        </w:trPr>
        <w:tc>
          <w:tcPr>
            <w:tcW w:w="568"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序号</w:t>
            </w:r>
          </w:p>
        </w:tc>
        <w:tc>
          <w:tcPr>
            <w:tcW w:w="1418"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税（费）种</w:t>
            </w:r>
          </w:p>
        </w:tc>
        <w:tc>
          <w:tcPr>
            <w:tcW w:w="1559"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预估金额（万元）</w:t>
            </w:r>
          </w:p>
        </w:tc>
        <w:tc>
          <w:tcPr>
            <w:tcW w:w="1843"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计算方法</w:t>
            </w:r>
          </w:p>
        </w:tc>
        <w:tc>
          <w:tcPr>
            <w:tcW w:w="3931"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税（费）率</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增值税及附加</w:t>
            </w:r>
          </w:p>
        </w:tc>
        <w:tc>
          <w:tcPr>
            <w:tcW w:w="1559"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1496</w:t>
            </w:r>
          </w:p>
        </w:tc>
        <w:tc>
          <w:tcPr>
            <w:tcW w:w="1843"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3931"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5.60%</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印花税</w:t>
            </w:r>
          </w:p>
        </w:tc>
        <w:tc>
          <w:tcPr>
            <w:tcW w:w="1559"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14</w:t>
            </w:r>
          </w:p>
        </w:tc>
        <w:tc>
          <w:tcPr>
            <w:tcW w:w="1843"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3931"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0.05%</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3</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土地增值税</w:t>
            </w:r>
          </w:p>
        </w:tc>
        <w:tc>
          <w:tcPr>
            <w:tcW w:w="1559"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5433</w:t>
            </w:r>
          </w:p>
        </w:tc>
        <w:tc>
          <w:tcPr>
            <w:tcW w:w="1843"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增值额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3931"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pPr>
            <w:r>
              <w:rPr>
                <w:rFonts w:ascii="华文细黑" w:hAnsi="华文细黑" w:cs="宋体;SimSun" w:eastAsia="华文细黑"/>
                <w:color w:val="000000"/>
                <w:sz w:val="18"/>
                <w:szCs w:val="18"/>
              </w:rPr>
              <w:t>差额累进税率，增值额</w:t>
            </w:r>
            <w:r>
              <w:rPr>
                <w:rFonts w:eastAsia="华文细黑" w:cs="Arial" w:ascii="Arial" w:hAnsi="Arial"/>
                <w:color w:val="000000"/>
                <w:sz w:val="18"/>
                <w:szCs w:val="18"/>
              </w:rPr>
              <w:t>=</w:t>
            </w:r>
            <w:r>
              <w:rPr>
                <w:rFonts w:ascii="华文细黑" w:hAnsi="华文细黑" w:cs="宋体;SimSun" w:eastAsia="华文细黑"/>
                <w:color w:val="000000"/>
                <w:sz w:val="18"/>
                <w:szCs w:val="18"/>
              </w:rPr>
              <w:t>转让收入</w:t>
            </w:r>
            <w:r>
              <w:rPr>
                <w:rFonts w:eastAsia="华文细黑" w:cs="Arial" w:ascii="Arial" w:hAnsi="Arial"/>
                <w:color w:val="000000"/>
                <w:sz w:val="18"/>
                <w:szCs w:val="18"/>
              </w:rPr>
              <w:t>-</w:t>
            </w:r>
            <w:r>
              <w:rPr>
                <w:rFonts w:ascii="华文细黑" w:hAnsi="华文细黑" w:cs="宋体;SimSun" w:eastAsia="华文细黑"/>
                <w:color w:val="000000"/>
                <w:sz w:val="18"/>
                <w:szCs w:val="18"/>
              </w:rPr>
              <w:t>扣除项合计（包含土地取得成本、土地开发费、建造成本、开发费用扣除、转让税金支出、加计扣除金额）</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4</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拍卖佣金</w:t>
            </w:r>
          </w:p>
        </w:tc>
        <w:tc>
          <w:tcPr>
            <w:tcW w:w="1559"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254.25</w:t>
            </w:r>
          </w:p>
        </w:tc>
        <w:tc>
          <w:tcPr>
            <w:tcW w:w="1843"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差额累进税率</w:t>
            </w:r>
          </w:p>
        </w:tc>
        <w:tc>
          <w:tcPr>
            <w:tcW w:w="3931" w:type="dxa"/>
            <w:tcBorders>
              <w:left w:val="single" w:sz="8" w:space="0" w:color="000000"/>
              <w:bottom w:val="single" w:sz="8" w:space="0" w:color="000000"/>
              <w:right w:val="single" w:sz="8" w:space="0" w:color="000000"/>
            </w:tcBorders>
            <w:shd w:fill="auto" w:val="clear"/>
            <w:vAlign w:val="bottom"/>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200</w:t>
            </w:r>
            <w:r>
              <w:rPr>
                <w:rFonts w:ascii="华文细黑" w:hAnsi="华文细黑" w:cs="Arial" w:eastAsia="华文细黑"/>
                <w:color w:val="000000"/>
                <w:sz w:val="18"/>
                <w:szCs w:val="18"/>
              </w:rPr>
              <w:t>万部分，</w:t>
            </w:r>
            <w:r>
              <w:rPr>
                <w:rFonts w:ascii="宋体;SimSun" w:hAnsi="宋体;SimSun" w:cs="Arial"/>
                <w:color w:val="000000"/>
                <w:sz w:val="18"/>
                <w:szCs w:val="18"/>
              </w:rPr>
              <w:t>≤</w:t>
            </w:r>
            <w:r>
              <w:rPr>
                <w:rFonts w:cs="Arial" w:ascii="Arial" w:hAnsi="Arial"/>
                <w:color w:val="000000"/>
                <w:sz w:val="18"/>
                <w:szCs w:val="18"/>
              </w:rPr>
              <w:t>5%</w:t>
            </w:r>
            <w:r>
              <w:rPr>
                <w:rFonts w:ascii="华文细黑" w:hAnsi="华文细黑" w:cs="Arial" w:eastAsia="华文细黑"/>
                <w:color w:val="000000"/>
                <w:sz w:val="18"/>
                <w:szCs w:val="18"/>
              </w:rPr>
              <w:t>；</w:t>
            </w:r>
            <w:r>
              <w:rPr>
                <w:rFonts w:cs="Arial" w:ascii="Arial" w:hAnsi="Arial"/>
                <w:color w:val="000000"/>
                <w:sz w:val="18"/>
                <w:szCs w:val="18"/>
              </w:rPr>
              <w:t>200-1000</w:t>
            </w:r>
            <w:r>
              <w:rPr>
                <w:rFonts w:ascii="华文细黑" w:hAnsi="华文细黑" w:cs="Arial" w:eastAsia="华文细黑"/>
                <w:color w:val="000000"/>
                <w:sz w:val="18"/>
                <w:szCs w:val="18"/>
              </w:rPr>
              <w:t>万部分，</w:t>
            </w:r>
            <w:r>
              <w:rPr>
                <w:rFonts w:ascii="宋体;SimSun" w:hAnsi="宋体;SimSun" w:cs="Arial"/>
                <w:color w:val="000000"/>
                <w:sz w:val="18"/>
                <w:szCs w:val="18"/>
              </w:rPr>
              <w:t>≤</w:t>
            </w:r>
            <w:r>
              <w:rPr>
                <w:rFonts w:cs="Arial" w:ascii="Arial" w:hAnsi="Arial"/>
                <w:color w:val="000000"/>
                <w:sz w:val="18"/>
                <w:szCs w:val="18"/>
              </w:rPr>
              <w:t>3%</w:t>
            </w:r>
            <w:r>
              <w:rPr>
                <w:rFonts w:ascii="华文细黑" w:hAnsi="华文细黑" w:cs="Arial" w:eastAsia="华文细黑"/>
                <w:color w:val="000000"/>
                <w:sz w:val="18"/>
                <w:szCs w:val="18"/>
              </w:rPr>
              <w:t>；</w:t>
            </w:r>
            <w:r>
              <w:rPr>
                <w:rFonts w:cs="Arial" w:ascii="Arial" w:hAnsi="Arial"/>
                <w:color w:val="000000"/>
                <w:sz w:val="18"/>
                <w:szCs w:val="18"/>
              </w:rPr>
              <w:t>1000-5000</w:t>
            </w:r>
            <w:r>
              <w:rPr>
                <w:rFonts w:ascii="华文细黑" w:hAnsi="华文细黑" w:cs="Arial" w:eastAsia="华文细黑"/>
                <w:color w:val="000000"/>
                <w:sz w:val="18"/>
                <w:szCs w:val="18"/>
              </w:rPr>
              <w:t>万部分，</w:t>
            </w:r>
            <w:r>
              <w:rPr>
                <w:rFonts w:ascii="宋体;SimSun" w:hAnsi="宋体;SimSun" w:cs="Arial"/>
                <w:color w:val="000000"/>
                <w:sz w:val="18"/>
                <w:szCs w:val="18"/>
              </w:rPr>
              <w:t>≤</w:t>
            </w:r>
            <w:r>
              <w:rPr>
                <w:rFonts w:cs="Arial" w:ascii="Arial" w:hAnsi="Arial"/>
                <w:color w:val="000000"/>
                <w:sz w:val="18"/>
                <w:szCs w:val="18"/>
              </w:rPr>
              <w:t>2%</w:t>
            </w:r>
            <w:r>
              <w:rPr>
                <w:rFonts w:ascii="华文细黑" w:hAnsi="华文细黑" w:cs="Arial" w:eastAsia="华文细黑"/>
                <w:color w:val="000000"/>
                <w:sz w:val="18"/>
                <w:szCs w:val="18"/>
              </w:rPr>
              <w:t>；</w:t>
            </w:r>
            <w:r>
              <w:rPr>
                <w:rFonts w:cs="Arial" w:ascii="Arial" w:hAnsi="Arial"/>
                <w:color w:val="000000"/>
                <w:sz w:val="18"/>
                <w:szCs w:val="18"/>
              </w:rPr>
              <w:t>5000</w:t>
            </w:r>
            <w:r>
              <w:rPr>
                <w:rFonts w:ascii="华文细黑" w:hAnsi="华文细黑" w:cs="Arial" w:eastAsia="华文细黑"/>
                <w:color w:val="000000"/>
                <w:sz w:val="18"/>
                <w:szCs w:val="18"/>
              </w:rPr>
              <w:t>万</w:t>
            </w:r>
            <w:r>
              <w:rPr>
                <w:rFonts w:cs="Arial" w:ascii="Arial" w:hAnsi="Arial"/>
                <w:color w:val="000000"/>
                <w:sz w:val="18"/>
                <w:szCs w:val="18"/>
              </w:rPr>
              <w:t>-1</w:t>
            </w:r>
            <w:r>
              <w:rPr>
                <w:rFonts w:ascii="华文细黑" w:hAnsi="华文细黑" w:cs="Arial" w:eastAsia="华文细黑"/>
                <w:color w:val="000000"/>
                <w:sz w:val="18"/>
                <w:szCs w:val="18"/>
              </w:rPr>
              <w:t>亿部分</w:t>
            </w:r>
            <w:r>
              <w:rPr>
                <w:rFonts w:ascii="宋体;SimSun" w:hAnsi="宋体;SimSun" w:cs="Arial"/>
                <w:color w:val="000000"/>
                <w:sz w:val="18"/>
                <w:szCs w:val="18"/>
              </w:rPr>
              <w:t>≤</w:t>
            </w:r>
            <w:r>
              <w:rPr>
                <w:rFonts w:cs="Arial" w:ascii="Arial" w:hAnsi="Arial"/>
                <w:color w:val="000000"/>
                <w:sz w:val="18"/>
                <w:szCs w:val="18"/>
              </w:rPr>
              <w:t>1%</w:t>
            </w:r>
            <w:r>
              <w:rPr>
                <w:rFonts w:ascii="华文细黑" w:hAnsi="华文细黑" w:cs="Arial" w:eastAsia="华文细黑"/>
                <w:color w:val="000000"/>
                <w:sz w:val="18"/>
                <w:szCs w:val="18"/>
              </w:rPr>
              <w:t>；超过</w:t>
            </w:r>
            <w:r>
              <w:rPr>
                <w:rFonts w:cs="Arial" w:ascii="Arial" w:hAnsi="Arial"/>
                <w:color w:val="000000"/>
                <w:sz w:val="18"/>
                <w:szCs w:val="18"/>
              </w:rPr>
              <w:t>1</w:t>
            </w:r>
            <w:r>
              <w:rPr>
                <w:rFonts w:ascii="华文细黑" w:hAnsi="华文细黑" w:cs="Arial" w:eastAsia="华文细黑"/>
                <w:color w:val="000000"/>
                <w:sz w:val="18"/>
                <w:szCs w:val="18"/>
              </w:rPr>
              <w:t>亿部分，</w:t>
            </w:r>
            <w:r>
              <w:rPr>
                <w:rFonts w:ascii="宋体;SimSun" w:hAnsi="宋体;SimSun" w:cs="Arial"/>
                <w:color w:val="000000"/>
                <w:sz w:val="18"/>
                <w:szCs w:val="18"/>
              </w:rPr>
              <w:t>≤</w:t>
            </w:r>
            <w:r>
              <w:rPr>
                <w:rFonts w:cs="Arial" w:ascii="Arial" w:hAnsi="Arial"/>
                <w:color w:val="000000"/>
                <w:sz w:val="18"/>
                <w:szCs w:val="18"/>
              </w:rPr>
              <w:t>0.5%</w:t>
            </w:r>
            <w:r>
              <w:rPr>
                <w:rFonts w:ascii="华文细黑" w:hAnsi="华文细黑" w:cs="Arial" w:eastAsia="华文细黑"/>
                <w:color w:val="000000"/>
                <w:sz w:val="18"/>
                <w:szCs w:val="18"/>
              </w:rPr>
              <w:t>。阿里法拍通常佣金</w:t>
            </w:r>
            <w:r>
              <w:rPr>
                <w:rFonts w:cs="Arial" w:ascii="Arial" w:hAnsi="Arial"/>
                <w:color w:val="000000"/>
                <w:sz w:val="18"/>
                <w:szCs w:val="18"/>
              </w:rPr>
              <w:t>0.25-2%</w:t>
            </w:r>
            <w:r>
              <w:rPr>
                <w:rFonts w:ascii="华文细黑" w:hAnsi="华文细黑" w:cs="Arial" w:eastAsia="华文细黑"/>
                <w:color w:val="000000"/>
                <w:sz w:val="18"/>
                <w:szCs w:val="18"/>
              </w:rPr>
              <w:t>。本次测算按照差额累计税率计算。</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5</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评估费</w:t>
            </w:r>
          </w:p>
        </w:tc>
        <w:tc>
          <w:tcPr>
            <w:tcW w:w="1559"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10.06</w:t>
            </w:r>
          </w:p>
        </w:tc>
        <w:tc>
          <w:tcPr>
            <w:tcW w:w="1843"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差额累进税率</w:t>
            </w:r>
          </w:p>
        </w:tc>
        <w:tc>
          <w:tcPr>
            <w:tcW w:w="3931"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100</w:t>
            </w:r>
            <w:r>
              <w:rPr>
                <w:rFonts w:ascii="华文细黑" w:hAnsi="华文细黑" w:cs="Arial" w:eastAsia="华文细黑"/>
                <w:color w:val="000000"/>
                <w:sz w:val="18"/>
                <w:szCs w:val="18"/>
              </w:rPr>
              <w:t>万部分，</w:t>
            </w:r>
            <w:r>
              <w:rPr>
                <w:rFonts w:cs="Arial" w:ascii="Arial" w:hAnsi="Arial"/>
                <w:color w:val="000000"/>
                <w:sz w:val="18"/>
                <w:szCs w:val="18"/>
              </w:rPr>
              <w:t>5‰</w:t>
            </w:r>
            <w:r>
              <w:rPr>
                <w:rFonts w:ascii="华文细黑" w:hAnsi="华文细黑" w:cs="Arial" w:eastAsia="华文细黑"/>
                <w:color w:val="000000"/>
                <w:sz w:val="18"/>
                <w:szCs w:val="18"/>
              </w:rPr>
              <w:t>；</w:t>
            </w:r>
            <w:r>
              <w:rPr>
                <w:rFonts w:cs="Arial" w:ascii="Arial" w:hAnsi="Arial"/>
                <w:color w:val="000000"/>
                <w:sz w:val="18"/>
                <w:szCs w:val="18"/>
              </w:rPr>
              <w:t>100-1000</w:t>
            </w:r>
            <w:r>
              <w:rPr>
                <w:rFonts w:ascii="华文细黑" w:hAnsi="华文细黑" w:cs="Arial" w:eastAsia="华文细黑"/>
                <w:color w:val="000000"/>
                <w:sz w:val="18"/>
                <w:szCs w:val="18"/>
              </w:rPr>
              <w:t>万部分，</w:t>
            </w:r>
            <w:r>
              <w:rPr>
                <w:rFonts w:ascii="Arial" w:hAnsi="Arial" w:cs="Arial" w:eastAsia="Arial"/>
                <w:color w:val="000000"/>
                <w:sz w:val="18"/>
                <w:szCs w:val="18"/>
              </w:rPr>
              <w:t xml:space="preserve"> </w:t>
            </w:r>
            <w:r>
              <w:rPr>
                <w:rFonts w:cs="Arial" w:ascii="Arial" w:hAnsi="Arial"/>
                <w:color w:val="000000"/>
                <w:sz w:val="18"/>
                <w:szCs w:val="18"/>
              </w:rPr>
              <w:t>2.5‰</w:t>
            </w:r>
            <w:r>
              <w:rPr>
                <w:rFonts w:ascii="华文细黑" w:hAnsi="华文细黑" w:cs="Arial" w:eastAsia="华文细黑"/>
                <w:color w:val="000000"/>
                <w:sz w:val="18"/>
                <w:szCs w:val="18"/>
              </w:rPr>
              <w:t>；</w:t>
            </w:r>
            <w:r>
              <w:rPr>
                <w:rFonts w:cs="Arial" w:ascii="Arial" w:hAnsi="Arial"/>
                <w:color w:val="000000"/>
                <w:sz w:val="18"/>
                <w:szCs w:val="18"/>
              </w:rPr>
              <w:t>1000-2000</w:t>
            </w:r>
            <w:r>
              <w:rPr>
                <w:rFonts w:ascii="华文细黑" w:hAnsi="华文细黑" w:cs="Arial" w:eastAsia="华文细黑"/>
                <w:color w:val="000000"/>
                <w:sz w:val="18"/>
                <w:szCs w:val="18"/>
              </w:rPr>
              <w:t>万部分，</w:t>
            </w:r>
            <w:r>
              <w:rPr>
                <w:rFonts w:ascii="Arial" w:hAnsi="Arial" w:cs="Arial" w:eastAsia="Arial"/>
                <w:color w:val="000000"/>
                <w:sz w:val="18"/>
                <w:szCs w:val="18"/>
              </w:rPr>
              <w:t xml:space="preserve"> </w:t>
            </w:r>
            <w:r>
              <w:rPr>
                <w:rFonts w:cs="Arial" w:ascii="Arial" w:hAnsi="Arial"/>
                <w:color w:val="000000"/>
                <w:sz w:val="18"/>
                <w:szCs w:val="18"/>
              </w:rPr>
              <w:t>1.5‰</w:t>
            </w:r>
            <w:r>
              <w:rPr>
                <w:rFonts w:ascii="华文细黑" w:hAnsi="华文细黑" w:cs="Arial" w:eastAsia="华文细黑"/>
                <w:color w:val="000000"/>
                <w:sz w:val="18"/>
                <w:szCs w:val="18"/>
              </w:rPr>
              <w:t>；</w:t>
            </w:r>
            <w:r>
              <w:rPr>
                <w:rFonts w:cs="Arial" w:ascii="Arial" w:hAnsi="Arial"/>
                <w:color w:val="000000"/>
                <w:sz w:val="18"/>
                <w:szCs w:val="18"/>
              </w:rPr>
              <w:t>2000-5000</w:t>
            </w:r>
            <w:r>
              <w:rPr>
                <w:rFonts w:ascii="华文细黑" w:hAnsi="华文细黑" w:cs="Arial" w:eastAsia="华文细黑"/>
                <w:color w:val="000000"/>
                <w:sz w:val="18"/>
                <w:szCs w:val="18"/>
              </w:rPr>
              <w:t>万部分，</w:t>
            </w:r>
            <w:r>
              <w:rPr>
                <w:rFonts w:ascii="Arial" w:hAnsi="Arial" w:cs="Arial" w:eastAsia="Arial"/>
                <w:color w:val="000000"/>
                <w:sz w:val="18"/>
                <w:szCs w:val="18"/>
              </w:rPr>
              <w:t xml:space="preserve"> </w:t>
            </w:r>
            <w:r>
              <w:rPr>
                <w:rFonts w:cs="Arial" w:ascii="Arial" w:hAnsi="Arial"/>
                <w:color w:val="000000"/>
                <w:sz w:val="18"/>
                <w:szCs w:val="18"/>
              </w:rPr>
              <w:t>0.8‰</w:t>
            </w:r>
            <w:r>
              <w:rPr>
                <w:rFonts w:ascii="华文细黑" w:hAnsi="华文细黑" w:cs="Arial" w:eastAsia="华文细黑"/>
                <w:color w:val="000000"/>
                <w:sz w:val="18"/>
                <w:szCs w:val="18"/>
              </w:rPr>
              <w:t>；</w:t>
            </w:r>
            <w:r>
              <w:rPr>
                <w:rFonts w:cs="Arial" w:ascii="Arial" w:hAnsi="Arial"/>
                <w:color w:val="000000"/>
                <w:sz w:val="18"/>
                <w:szCs w:val="18"/>
              </w:rPr>
              <w:t>5000</w:t>
            </w:r>
            <w:r>
              <w:rPr>
                <w:rFonts w:ascii="华文细黑" w:hAnsi="华文细黑" w:cs="Arial" w:eastAsia="华文细黑"/>
                <w:color w:val="000000"/>
                <w:sz w:val="18"/>
                <w:szCs w:val="18"/>
              </w:rPr>
              <w:t>万</w:t>
            </w:r>
            <w:r>
              <w:rPr>
                <w:rFonts w:cs="Arial" w:ascii="Arial" w:hAnsi="Arial"/>
                <w:color w:val="000000"/>
                <w:sz w:val="18"/>
                <w:szCs w:val="18"/>
              </w:rPr>
              <w:t>-8000</w:t>
            </w:r>
            <w:r>
              <w:rPr>
                <w:rFonts w:ascii="华文细黑" w:hAnsi="华文细黑" w:cs="Arial" w:eastAsia="华文细黑"/>
                <w:color w:val="000000"/>
                <w:sz w:val="18"/>
                <w:szCs w:val="18"/>
              </w:rPr>
              <w:t>万部分，</w:t>
            </w:r>
            <w:r>
              <w:rPr>
                <w:rFonts w:cs="Arial" w:ascii="Arial" w:hAnsi="Arial"/>
                <w:color w:val="000000"/>
                <w:sz w:val="18"/>
                <w:szCs w:val="18"/>
              </w:rPr>
              <w:t>0.4‰</w:t>
            </w:r>
            <w:r>
              <w:rPr>
                <w:rFonts w:ascii="华文细黑" w:hAnsi="华文细黑" w:cs="Arial" w:eastAsia="华文细黑"/>
                <w:color w:val="000000"/>
                <w:sz w:val="18"/>
                <w:szCs w:val="18"/>
              </w:rPr>
              <w:t>；</w:t>
            </w:r>
            <w:r>
              <w:rPr>
                <w:rFonts w:cs="Arial" w:ascii="Arial" w:hAnsi="Arial"/>
                <w:color w:val="000000"/>
                <w:sz w:val="18"/>
                <w:szCs w:val="18"/>
              </w:rPr>
              <w:t>8000</w:t>
            </w:r>
            <w:r>
              <w:rPr>
                <w:rFonts w:ascii="华文细黑" w:hAnsi="华文细黑" w:cs="Arial" w:eastAsia="华文细黑"/>
                <w:color w:val="000000"/>
                <w:sz w:val="18"/>
                <w:szCs w:val="18"/>
              </w:rPr>
              <w:t>万</w:t>
            </w:r>
            <w:r>
              <w:rPr>
                <w:rFonts w:cs="Arial" w:ascii="Arial" w:hAnsi="Arial"/>
                <w:color w:val="000000"/>
                <w:sz w:val="18"/>
                <w:szCs w:val="18"/>
              </w:rPr>
              <w:t>-1</w:t>
            </w:r>
            <w:r>
              <w:rPr>
                <w:rFonts w:ascii="华文细黑" w:hAnsi="华文细黑" w:cs="Arial" w:eastAsia="华文细黑"/>
                <w:color w:val="000000"/>
                <w:sz w:val="18"/>
                <w:szCs w:val="18"/>
              </w:rPr>
              <w:t>亿部分</w:t>
            </w:r>
            <w:r>
              <w:rPr>
                <w:rFonts w:cs="Arial" w:ascii="Arial" w:hAnsi="Arial"/>
                <w:color w:val="000000"/>
                <w:sz w:val="18"/>
                <w:szCs w:val="18"/>
              </w:rPr>
              <w:t>,0.2‰</w:t>
            </w:r>
            <w:r>
              <w:rPr>
                <w:rFonts w:ascii="华文细黑" w:hAnsi="华文细黑" w:cs="Arial" w:eastAsia="华文细黑"/>
                <w:color w:val="000000"/>
                <w:sz w:val="18"/>
                <w:szCs w:val="18"/>
              </w:rPr>
              <w:t>；超过</w:t>
            </w:r>
            <w:r>
              <w:rPr>
                <w:rFonts w:cs="Arial" w:ascii="Arial" w:hAnsi="Arial"/>
                <w:color w:val="000000"/>
                <w:sz w:val="18"/>
                <w:szCs w:val="18"/>
              </w:rPr>
              <w:t>1</w:t>
            </w:r>
            <w:r>
              <w:rPr>
                <w:rFonts w:ascii="华文细黑" w:hAnsi="华文细黑" w:cs="Arial" w:eastAsia="华文细黑"/>
                <w:color w:val="000000"/>
                <w:sz w:val="18"/>
                <w:szCs w:val="18"/>
              </w:rPr>
              <w:t>亿部分，</w:t>
            </w:r>
            <w:r>
              <w:rPr>
                <w:rFonts w:ascii="Arial" w:hAnsi="Arial" w:cs="Arial" w:eastAsia="Arial"/>
                <w:color w:val="000000"/>
                <w:sz w:val="18"/>
                <w:szCs w:val="18"/>
              </w:rPr>
              <w:t xml:space="preserve"> </w:t>
            </w:r>
            <w:r>
              <w:rPr>
                <w:rFonts w:cs="Arial" w:ascii="Arial" w:hAnsi="Arial"/>
                <w:color w:val="000000"/>
                <w:sz w:val="18"/>
                <w:szCs w:val="18"/>
              </w:rPr>
              <w:t>0.1‰</w:t>
            </w:r>
            <w:r>
              <w:rPr>
                <w:rFonts w:ascii="华文细黑" w:hAnsi="华文细黑" w:cs="Arial" w:eastAsia="华文细黑"/>
                <w:color w:val="000000"/>
                <w:sz w:val="18"/>
                <w:szCs w:val="18"/>
              </w:rPr>
              <w:t>。</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6</w:t>
            </w:r>
          </w:p>
        </w:tc>
        <w:tc>
          <w:tcPr>
            <w:tcW w:w="141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可能存在的其他手续费</w:t>
            </w:r>
          </w:p>
        </w:tc>
        <w:tc>
          <w:tcPr>
            <w:tcW w:w="1559"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280.5</w:t>
            </w:r>
          </w:p>
        </w:tc>
        <w:tc>
          <w:tcPr>
            <w:tcW w:w="1843"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宋体;SimSun" w:ascii="华文细黑" w:hAnsi="华文细黑"/>
                <w:color w:val="000000"/>
                <w:sz w:val="18"/>
                <w:szCs w:val="18"/>
              </w:rPr>
              <w:t>×</w:t>
            </w:r>
            <w:r>
              <w:rPr>
                <w:rFonts w:ascii="华文细黑" w:hAnsi="华文细黑" w:cs="宋体;SimSun" w:eastAsia="华文细黑"/>
                <w:color w:val="000000"/>
                <w:sz w:val="18"/>
                <w:szCs w:val="18"/>
              </w:rPr>
              <w:t>税（费）率</w:t>
            </w:r>
          </w:p>
        </w:tc>
        <w:tc>
          <w:tcPr>
            <w:tcW w:w="3931"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w:t>
            </w:r>
          </w:p>
        </w:tc>
      </w:tr>
      <w:tr>
        <w:trPr>
          <w:trHeight w:val="23" w:hRule="atLeast"/>
          <w:cantSplit w:val="true"/>
        </w:trPr>
        <w:tc>
          <w:tcPr>
            <w:tcW w:w="1986" w:type="dxa"/>
            <w:gridSpan w:val="2"/>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合计</w:t>
            </w:r>
          </w:p>
        </w:tc>
        <w:tc>
          <w:tcPr>
            <w:tcW w:w="1559" w:type="dxa"/>
            <w:tcBorders>
              <w:left w:val="single" w:sz="8" w:space="0" w:color="000000"/>
              <w:bottom w:val="single" w:sz="8" w:space="0" w:color="000000"/>
            </w:tcBorders>
            <w:shd w:fill="auto" w:val="clear"/>
            <w:vAlign w:val="center"/>
          </w:tcPr>
          <w:p>
            <w:pPr>
              <w:pStyle w:val="Normal"/>
              <w:spacing w:lineRule="exact" w:line="240"/>
              <w:jc w:val="both"/>
              <w:rPr>
                <w:rFonts w:ascii="Arial" w:hAnsi="Arial" w:cs="Arial"/>
                <w:color w:val="000000"/>
                <w:sz w:val="18"/>
                <w:szCs w:val="18"/>
              </w:rPr>
            </w:pPr>
            <w:r>
              <w:rPr>
                <w:rFonts w:cs="Arial" w:ascii="Arial" w:hAnsi="Arial"/>
                <w:color w:val="000000"/>
                <w:sz w:val="18"/>
                <w:szCs w:val="18"/>
              </w:rPr>
              <w:t>7487.81</w:t>
            </w:r>
          </w:p>
        </w:tc>
        <w:tc>
          <w:tcPr>
            <w:tcW w:w="1843"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ascii="Arial" w:hAnsi="Arial" w:cs="Arial"/>
                <w:color w:val="000000"/>
                <w:sz w:val="18"/>
                <w:szCs w:val="18"/>
              </w:rPr>
              <w:t>——</w:t>
            </w:r>
          </w:p>
        </w:tc>
        <w:tc>
          <w:tcPr>
            <w:tcW w:w="3931"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ascii="Arial" w:hAnsi="Arial" w:cs="Arial"/>
                <w:color w:val="000000"/>
                <w:sz w:val="18"/>
                <w:szCs w:val="18"/>
              </w:rPr>
              <w:t>——</w:t>
            </w:r>
          </w:p>
        </w:tc>
      </w:tr>
    </w:tbl>
    <w:p>
      <w:pPr>
        <w:pStyle w:val="Normal"/>
        <w:overflowPunct w:val="false"/>
        <w:spacing w:lineRule="auto" w:line="240"/>
        <w:ind w:firstLine="360"/>
        <w:jc w:val="both"/>
        <w:textAlignment w:val="auto"/>
        <w:rPr>
          <w:rFonts w:ascii="Arial" w:hAnsi="Arial" w:eastAsia="华文细黑" w:cs="Arial"/>
          <w:color w:val="000000"/>
          <w:sz w:val="18"/>
          <w:szCs w:val="18"/>
        </w:rPr>
      </w:pPr>
      <w:r>
        <w:rPr>
          <w:rFonts w:ascii="Arial" w:hAnsi="Arial" w:cs="Arial" w:eastAsia="华文细黑"/>
          <w:sz w:val="18"/>
          <w:szCs w:val="18"/>
        </w:rPr>
        <w:t>备注：土地增值税测算中，涉及</w:t>
      </w:r>
      <w:r>
        <w:rPr>
          <w:rFonts w:ascii="Arial" w:hAnsi="Arial" w:cs="Arial" w:eastAsia="华文细黑"/>
          <w:color w:val="000000"/>
          <w:sz w:val="18"/>
          <w:szCs w:val="18"/>
        </w:rPr>
        <w:t>土地取得成本、土地开发费、建造成本、开发费用等，由于未能获取估价对象发生的实际数据，本次测算中未考虑土地开发费，建造成本</w:t>
      </w:r>
      <w:r>
        <w:rPr>
          <w:rFonts w:ascii="Arial" w:hAnsi="Arial" w:cs="Arial" w:eastAsia="华文细黑"/>
          <w:color w:val="000000"/>
          <w:sz w:val="18"/>
          <w:szCs w:val="18"/>
        </w:rPr>
        <w:t>扣除</w:t>
      </w:r>
      <w:r>
        <w:rPr>
          <w:rFonts w:ascii="Arial" w:hAnsi="Arial" w:cs="Arial" w:eastAsia="华文细黑"/>
          <w:color w:val="000000"/>
          <w:sz w:val="18"/>
          <w:szCs w:val="18"/>
        </w:rPr>
        <w:t>按照评估取值测算，</w:t>
      </w:r>
      <w:r>
        <w:rPr>
          <w:rFonts w:ascii="Arial" w:hAnsi="Arial" w:cs="Arial" w:eastAsia="华文细黑"/>
          <w:color w:val="000000"/>
          <w:sz w:val="18"/>
          <w:szCs w:val="18"/>
        </w:rPr>
        <w:t>若后期提供相关数据，需重新测算。具体税费以税务部门核算为准。</w:t>
      </w:r>
    </w:p>
    <w:p>
      <w:pPr>
        <w:pStyle w:val="Normal"/>
        <w:overflowPunct w:val="false"/>
        <w:spacing w:lineRule="auto" w:line="240"/>
        <w:ind w:firstLine="360"/>
        <w:jc w:val="both"/>
        <w:textAlignment w:val="auto"/>
        <w:rPr>
          <w:rFonts w:ascii="Arial" w:hAnsi="Arial" w:eastAsia="华文细黑" w:cs="Arial"/>
          <w:color w:val="000000"/>
          <w:sz w:val="18"/>
          <w:szCs w:val="18"/>
        </w:rPr>
      </w:pPr>
      <w:r>
        <w:rPr>
          <w:rFonts w:eastAsia="华文细黑" w:cs="Arial" w:ascii="Arial" w:hAnsi="Arial"/>
          <w:color w:val="000000"/>
          <w:sz w:val="18"/>
          <w:szCs w:val="18"/>
        </w:rPr>
      </w:r>
    </w:p>
    <w:p>
      <w:pPr>
        <w:pStyle w:val="Normal"/>
        <w:widowControl/>
        <w:spacing w:lineRule="exact" w:line="240"/>
        <w:jc w:val="both"/>
        <w:textAlignment w:val="center"/>
        <w:rPr>
          <w:rFonts w:ascii="Arial" w:hAnsi="Arial" w:eastAsia="华文细黑" w:cs="Arial"/>
          <w:color w:val="000000"/>
          <w:sz w:val="18"/>
          <w:szCs w:val="18"/>
        </w:rPr>
      </w:pPr>
      <w:r>
        <w:rPr>
          <w:rFonts w:eastAsia="华文细黑" w:cs="Arial" w:ascii="Arial" w:hAnsi="Arial"/>
          <w:color w:val="000000"/>
          <w:sz w:val="18"/>
          <w:szCs w:val="18"/>
        </w:rPr>
      </w:r>
    </w:p>
    <w:p>
      <w:pPr>
        <w:pStyle w:val="Normal"/>
        <w:widowControl/>
        <w:spacing w:lineRule="exact" w:line="240"/>
        <w:jc w:val="both"/>
        <w:textAlignment w:val="center"/>
        <w:rPr>
          <w:rFonts w:ascii="Arial" w:hAnsi="Arial" w:eastAsia="华文细黑" w:cs="Arial"/>
          <w:color w:val="000000"/>
          <w:sz w:val="18"/>
          <w:szCs w:val="18"/>
          <w:lang w:bidi="ar"/>
        </w:rPr>
      </w:pPr>
      <w:r>
        <w:rPr>
          <w:rFonts w:eastAsia="华文细黑" w:cs="Arial" w:ascii="Arial" w:hAnsi="Arial"/>
          <w:color w:val="000000"/>
          <w:sz w:val="18"/>
          <w:szCs w:val="18"/>
          <w:lang w:bidi="ar"/>
        </w:rPr>
      </w:r>
    </w:p>
    <w:p>
      <w:pPr>
        <w:pStyle w:val="Normal"/>
        <w:overflowPunct w:val="false"/>
        <w:spacing w:lineRule="auto" w:line="480"/>
        <w:ind w:firstLine="420"/>
        <w:jc w:val="both"/>
        <w:textAlignment w:val="auto"/>
        <w:rPr/>
      </w:pPr>
      <w:r>
        <w:rPr/>
        <w:t>2</w:t>
      </w:r>
      <w:r>
        <w:rPr/>
        <w:t>）买方缴纳税费</w:t>
      </w:r>
    </w:p>
    <w:tbl>
      <w:tblPr>
        <w:tblW w:w="9319" w:type="dxa"/>
        <w:jc w:val="center"/>
        <w:tblInd w:w="0" w:type="dxa"/>
        <w:tblCellMar>
          <w:top w:w="57" w:type="dxa"/>
          <w:left w:w="57" w:type="dxa"/>
          <w:bottom w:w="57" w:type="dxa"/>
          <w:right w:w="57" w:type="dxa"/>
        </w:tblCellMar>
      </w:tblPr>
      <w:tblGrid>
        <w:gridCol w:w="568"/>
        <w:gridCol w:w="3151"/>
        <w:gridCol w:w="1860"/>
        <w:gridCol w:w="1860"/>
        <w:gridCol w:w="1880"/>
      </w:tblGrid>
      <w:tr>
        <w:trPr>
          <w:trHeight w:val="23" w:hRule="atLeast"/>
          <w:cantSplit w:val="true"/>
        </w:trPr>
        <w:tc>
          <w:tcPr>
            <w:tcW w:w="568"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序号</w:t>
            </w:r>
          </w:p>
        </w:tc>
        <w:tc>
          <w:tcPr>
            <w:tcW w:w="3151"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税（费）种</w:t>
            </w:r>
          </w:p>
        </w:tc>
        <w:tc>
          <w:tcPr>
            <w:tcW w:w="1860"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预估金额（万元）</w:t>
            </w:r>
          </w:p>
        </w:tc>
        <w:tc>
          <w:tcPr>
            <w:tcW w:w="1860"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计算方法</w:t>
            </w:r>
          </w:p>
        </w:tc>
        <w:tc>
          <w:tcPr>
            <w:tcW w:w="1880" w:type="dxa"/>
            <w:tcBorders>
              <w:top w:val="single" w:sz="8" w:space="0" w:color="000000"/>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b/>
                <w:b/>
                <w:bCs/>
                <w:color w:val="000000"/>
                <w:sz w:val="18"/>
                <w:szCs w:val="18"/>
              </w:rPr>
            </w:pPr>
            <w:r>
              <w:rPr>
                <w:rFonts w:ascii="华文细黑" w:hAnsi="华文细黑" w:cs="宋体;SimSun" w:eastAsia="华文细黑"/>
                <w:b/>
                <w:bCs/>
                <w:color w:val="000000"/>
                <w:sz w:val="18"/>
                <w:szCs w:val="18"/>
              </w:rPr>
              <w:t>税（费）率</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契税</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842</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3%</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印花税</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14</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0.05%</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3</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其他可能存在的交易手续费</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280.5</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销售额</w:t>
            </w:r>
            <w:r>
              <w:rPr>
                <w:rFonts w:eastAsia="华文细黑" w:cs="Arial" w:ascii="Arial" w:hAnsi="Arial"/>
                <w:color w:val="000000"/>
                <w:sz w:val="18"/>
                <w:szCs w:val="18"/>
              </w:rPr>
              <w:t>×</w:t>
            </w:r>
            <w:r>
              <w:rPr>
                <w:rFonts w:ascii="华文细黑" w:hAnsi="华文细黑" w:cs="宋体;SimSun" w:eastAsia="华文细黑"/>
                <w:color w:val="000000"/>
                <w:sz w:val="18"/>
                <w:szCs w:val="18"/>
              </w:rPr>
              <w:t>税（费）率</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1.00%</w:t>
            </w:r>
          </w:p>
        </w:tc>
      </w:tr>
      <w:tr>
        <w:trPr>
          <w:trHeight w:val="23" w:hRule="atLeast"/>
          <w:cantSplit w:val="true"/>
        </w:trPr>
        <w:tc>
          <w:tcPr>
            <w:tcW w:w="568"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4</w:t>
            </w:r>
          </w:p>
        </w:tc>
        <w:tc>
          <w:tcPr>
            <w:tcW w:w="3151"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华文细黑" w:hAnsi="华文细黑" w:eastAsia="华文细黑" w:cs="宋体;SimSun"/>
                <w:color w:val="000000"/>
                <w:sz w:val="18"/>
                <w:szCs w:val="18"/>
              </w:rPr>
            </w:pPr>
            <w:r>
              <w:rPr>
                <w:rFonts w:ascii="华文细黑" w:hAnsi="华文细黑" w:cs="宋体;SimSun" w:eastAsia="华文细黑"/>
                <w:color w:val="000000"/>
                <w:sz w:val="18"/>
                <w:szCs w:val="18"/>
              </w:rPr>
              <w:t>合计</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cs="Arial" w:ascii="Arial" w:hAnsi="Arial"/>
                <w:color w:val="000000"/>
                <w:sz w:val="18"/>
                <w:szCs w:val="18"/>
              </w:rPr>
              <w:t>1136.5</w:t>
            </w:r>
          </w:p>
        </w:tc>
        <w:tc>
          <w:tcPr>
            <w:tcW w:w="1860" w:type="dxa"/>
            <w:tcBorders>
              <w:left w:val="single" w:sz="8" w:space="0" w:color="000000"/>
              <w:bottom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ascii="Arial" w:hAnsi="Arial" w:cs="Arial"/>
                <w:color w:val="000000"/>
                <w:sz w:val="18"/>
                <w:szCs w:val="18"/>
              </w:rPr>
              <w:t>——</w:t>
            </w:r>
          </w:p>
        </w:tc>
        <w:tc>
          <w:tcPr>
            <w:tcW w:w="1880" w:type="dxa"/>
            <w:tcBorders>
              <w:left w:val="single" w:sz="8" w:space="0" w:color="000000"/>
              <w:bottom w:val="single" w:sz="8" w:space="0" w:color="000000"/>
              <w:right w:val="single" w:sz="8" w:space="0" w:color="000000"/>
            </w:tcBorders>
            <w:shd w:fill="auto" w:val="clear"/>
            <w:vAlign w:val="center"/>
          </w:tcPr>
          <w:p>
            <w:pPr>
              <w:pStyle w:val="Normal"/>
              <w:widowControl/>
              <w:spacing w:lineRule="exact" w:line="240"/>
              <w:jc w:val="both"/>
              <w:textAlignment w:val="auto"/>
              <w:rPr>
                <w:rFonts w:ascii="Arial" w:hAnsi="Arial" w:cs="Arial"/>
                <w:color w:val="000000"/>
                <w:sz w:val="18"/>
                <w:szCs w:val="18"/>
              </w:rPr>
            </w:pPr>
            <w:r>
              <w:rPr>
                <w:rFonts w:ascii="Arial" w:hAnsi="Arial" w:cs="Arial"/>
                <w:color w:val="000000"/>
                <w:sz w:val="18"/>
                <w:szCs w:val="18"/>
              </w:rPr>
              <w:t>——</w:t>
            </w:r>
          </w:p>
        </w:tc>
      </w:tr>
    </w:tbl>
    <w:p>
      <w:pPr>
        <w:pStyle w:val="Normal"/>
        <w:widowControl/>
        <w:spacing w:lineRule="exact" w:line="240"/>
        <w:jc w:val="both"/>
        <w:textAlignment w:val="center"/>
        <w:rPr>
          <w:rFonts w:ascii="Arial" w:hAnsi="Arial" w:eastAsia="华文细黑" w:cs="Arial"/>
          <w:sz w:val="18"/>
          <w:szCs w:val="18"/>
        </w:rPr>
      </w:pPr>
      <w:r>
        <w:rPr>
          <w:rFonts w:eastAsia="华文细黑" w:cs="Arial" w:ascii="Arial" w:hAnsi="Arial"/>
          <w:sz w:val="18"/>
          <w:szCs w:val="18"/>
        </w:rPr>
      </w:r>
    </w:p>
    <w:p>
      <w:pPr>
        <w:pStyle w:val="Normal"/>
        <w:overflowPunct w:val="false"/>
        <w:spacing w:lineRule="auto" w:line="480"/>
        <w:ind w:firstLine="420"/>
        <w:jc w:val="both"/>
        <w:textAlignment w:val="auto"/>
        <w:rPr/>
      </w:pPr>
      <w:r>
        <w:rPr>
          <w:rFonts w:ascii="Arial" w:hAnsi="Arial" w:cs="Arial"/>
          <w:sz w:val="21"/>
          <w:szCs w:val="21"/>
        </w:rPr>
        <w:t>（</w:t>
      </w:r>
      <w:r>
        <w:rPr>
          <w:rFonts w:cs="Arial" w:ascii="Arial" w:hAnsi="Arial"/>
          <w:sz w:val="21"/>
          <w:szCs w:val="21"/>
        </w:rPr>
        <w:t>3</w:t>
      </w:r>
      <w:r>
        <w:rPr>
          <w:rFonts w:ascii="Arial" w:hAnsi="Arial" w:cs="Arial"/>
          <w:sz w:val="21"/>
          <w:szCs w:val="21"/>
        </w:rPr>
        <w:t>）根据最高人民法院《关于人民法院民事执行中拍卖、变卖财产的规定》，若抵押房产经拍卖三次流拍后，申请执行人或者其他执行债权人拒绝接受或者依法不能接受以房抵债的，法院应当于第三次拍卖终结之日起七日内发出变卖公告。若通过变卖程序仍无法成交的，则只能选择以房抵债。</w:t>
      </w:r>
    </w:p>
    <w:p>
      <w:pPr>
        <w:pStyle w:val="Normal"/>
        <w:overflowPunct w:val="false"/>
        <w:spacing w:lineRule="auto" w:line="480"/>
        <w:ind w:firstLine="420"/>
        <w:jc w:val="both"/>
        <w:textAlignment w:val="auto"/>
        <w:rPr>
          <w:rFonts w:ascii="Arial" w:hAnsi="Arial" w:cs="Arial"/>
          <w:sz w:val="21"/>
          <w:szCs w:val="21"/>
        </w:rPr>
      </w:pPr>
      <w:r>
        <w:rPr>
          <w:rFonts w:ascii="Arial" w:hAnsi="Arial" w:cs="Arial"/>
          <w:sz w:val="21"/>
          <w:szCs w:val="21"/>
        </w:rPr>
        <w:t>以房抵债可能产生的相关税费如下：</w:t>
      </w:r>
    </w:p>
    <w:p>
      <w:pPr>
        <w:pStyle w:val="Normal"/>
        <w:overflowPunct w:val="false"/>
        <w:spacing w:lineRule="auto" w:line="480"/>
        <w:ind w:firstLine="420"/>
        <w:jc w:val="both"/>
        <w:textAlignment w:val="auto"/>
        <w:rPr/>
      </w:pPr>
      <w:r>
        <w:rPr>
          <w:rFonts w:cs="Arial" w:ascii="Arial" w:hAnsi="Arial"/>
          <w:sz w:val="21"/>
          <w:szCs w:val="21"/>
        </w:rPr>
        <w:t>1</w:t>
      </w:r>
      <w:r>
        <w:rPr>
          <w:rFonts w:ascii="Arial" w:hAnsi="Arial" w:cs="Arial"/>
          <w:sz w:val="21"/>
          <w:szCs w:val="21"/>
        </w:rPr>
        <w:t>）</w:t>
      </w:r>
      <w:r>
        <w:rPr/>
        <w:t>债务人缴纳税费</w:t>
      </w:r>
    </w:p>
    <w:tbl>
      <w:tblPr>
        <w:tblW w:w="9309" w:type="dxa"/>
        <w:jc w:val="center"/>
        <w:tblInd w:w="0" w:type="dxa"/>
        <w:tblCellMar>
          <w:top w:w="57" w:type="dxa"/>
          <w:left w:w="57" w:type="dxa"/>
          <w:bottom w:w="57" w:type="dxa"/>
          <w:right w:w="57" w:type="dxa"/>
        </w:tblCellMar>
      </w:tblPr>
      <w:tblGrid>
        <w:gridCol w:w="567"/>
        <w:gridCol w:w="1419"/>
        <w:gridCol w:w="4252"/>
        <w:gridCol w:w="1701"/>
        <w:gridCol w:w="1370"/>
      </w:tblGrid>
      <w:tr>
        <w:trPr>
          <w:tblHeader w:val="true"/>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b/>
                <w:b/>
                <w:bCs/>
                <w:sz w:val="18"/>
                <w:szCs w:val="18"/>
              </w:rPr>
            </w:pPr>
            <w:r>
              <w:rPr>
                <w:rStyle w:val="Font41"/>
                <w:rFonts w:ascii="Arial" w:hAnsi="Arial" w:cs="Arial" w:eastAsia="华文细黑"/>
                <w:sz w:val="18"/>
                <w:szCs w:val="18"/>
                <w:lang w:bidi="ar"/>
              </w:rPr>
              <w:t>序号</w:t>
            </w:r>
          </w:p>
        </w:tc>
        <w:tc>
          <w:tcPr>
            <w:tcW w:w="1419"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b/>
                <w:b/>
                <w:bCs/>
                <w:sz w:val="18"/>
                <w:szCs w:val="18"/>
              </w:rPr>
            </w:pPr>
            <w:r>
              <w:rPr>
                <w:rStyle w:val="Font41"/>
                <w:rFonts w:ascii="Arial" w:hAnsi="Arial" w:cs="Arial" w:eastAsia="华文细黑"/>
                <w:sz w:val="18"/>
                <w:szCs w:val="18"/>
                <w:lang w:bidi="ar"/>
              </w:rPr>
              <w:t>税（费）种</w:t>
            </w:r>
          </w:p>
        </w:tc>
        <w:tc>
          <w:tcPr>
            <w:tcW w:w="4252"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pPr>
            <w:r>
              <w:rPr>
                <w:rStyle w:val="Font41"/>
                <w:rFonts w:ascii="Arial" w:hAnsi="Arial" w:cs="Arial" w:eastAsia="华文细黑"/>
                <w:sz w:val="18"/>
                <w:szCs w:val="18"/>
                <w:lang w:bidi="ar"/>
              </w:rPr>
              <w:t>预估金额（万元）</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Style w:val="Font41"/>
                <w:rFonts w:ascii="Arial" w:hAnsi="Arial" w:cs="Arial" w:eastAsia="华文细黑"/>
                <w:sz w:val="18"/>
                <w:szCs w:val="18"/>
                <w:lang w:bidi="ar"/>
              </w:rPr>
              <w:t>计算方法</w:t>
            </w:r>
          </w:p>
        </w:tc>
        <w:tc>
          <w:tcPr>
            <w:tcW w:w="13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tLeast" w:line="240"/>
              <w:textAlignment w:val="center"/>
              <w:rPr>
                <w:rFonts w:ascii="Arial" w:hAnsi="Arial" w:eastAsia="华文细黑" w:cs="Arial"/>
                <w:b/>
                <w:b/>
                <w:bCs/>
                <w:sz w:val="18"/>
                <w:szCs w:val="18"/>
              </w:rPr>
            </w:pPr>
            <w:r>
              <w:rPr>
                <w:rStyle w:val="Font41"/>
                <w:rFonts w:ascii="Arial" w:hAnsi="Arial" w:cs="Arial" w:eastAsia="华文细黑"/>
                <w:sz w:val="18"/>
                <w:szCs w:val="18"/>
                <w:lang w:bidi="ar"/>
              </w:rPr>
              <w:t>税（费）率</w:t>
            </w:r>
          </w:p>
        </w:tc>
      </w:tr>
      <w:tr>
        <w:trPr>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1</w:t>
            </w:r>
          </w:p>
        </w:tc>
        <w:tc>
          <w:tcPr>
            <w:tcW w:w="1419"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pPr>
            <w:r>
              <w:rPr>
                <w:rStyle w:val="Font51"/>
                <w:rFonts w:ascii="Arial" w:hAnsi="Arial" w:cs="Arial" w:eastAsia="华文细黑"/>
                <w:sz w:val="18"/>
                <w:szCs w:val="18"/>
                <w:lang w:bidi="ar"/>
              </w:rPr>
              <w:t>增值税及附加</w:t>
            </w:r>
          </w:p>
        </w:tc>
        <w:tc>
          <w:tcPr>
            <w:tcW w:w="4252"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pPr>
            <w:r>
              <w:rPr>
                <w:rStyle w:val="Font51"/>
                <w:rFonts w:ascii="Arial" w:hAnsi="Arial" w:cs="Arial"/>
                <w:sz w:val="18"/>
                <w:szCs w:val="18"/>
                <w:lang w:bidi="ar"/>
              </w:rPr>
              <w:t>——</w:t>
            </w:r>
            <w:r>
              <w:rPr>
                <w:rStyle w:val="Font51"/>
                <w:rFonts w:ascii="Arial" w:hAnsi="Arial" w:cs="Arial" w:eastAsia="华文细黑"/>
                <w:sz w:val="18"/>
                <w:szCs w:val="18"/>
                <w:lang w:bidi="ar"/>
              </w:rPr>
              <w:t>（计税额为债务金额，需根据实际金额进行计算）</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lang w:bidi="ar"/>
              </w:rPr>
            </w:pPr>
            <w:r>
              <w:rPr>
                <w:rStyle w:val="Font51"/>
                <w:rFonts w:ascii="Arial" w:hAnsi="Arial" w:cs="Arial" w:eastAsia="华文细黑"/>
                <w:sz w:val="18"/>
                <w:szCs w:val="18"/>
              </w:rPr>
              <w:t>计税额</w:t>
            </w:r>
            <w:r>
              <w:rPr>
                <w:rStyle w:val="Font51"/>
                <w:rFonts w:eastAsia="华文细黑" w:cs="Arial" w:ascii="Arial" w:hAnsi="Arial"/>
                <w:sz w:val="18"/>
                <w:szCs w:val="18"/>
              </w:rPr>
              <w:t>×</w:t>
            </w:r>
            <w:r>
              <w:rPr>
                <w:rStyle w:val="Font51"/>
                <w:rFonts w:ascii="Arial" w:hAnsi="Arial" w:cs="Arial" w:eastAsia="华文细黑"/>
                <w:sz w:val="18"/>
                <w:szCs w:val="18"/>
              </w:rPr>
              <w:t>税（费）率</w:t>
            </w:r>
          </w:p>
        </w:tc>
        <w:tc>
          <w:tcPr>
            <w:tcW w:w="13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tLeast" w:line="240"/>
              <w:textAlignment w:val="center"/>
              <w:rPr>
                <w:rStyle w:val="Font51"/>
                <w:rFonts w:ascii="Arial" w:hAnsi="Arial" w:eastAsia="华文细黑" w:cs="Arial"/>
                <w:sz w:val="18"/>
                <w:szCs w:val="18"/>
                <w:lang w:bidi="ar"/>
              </w:rPr>
            </w:pPr>
            <w:r>
              <w:rPr>
                <w:rStyle w:val="Font51"/>
                <w:rFonts w:eastAsia="华文细黑" w:cs="Arial" w:ascii="Arial" w:hAnsi="Arial"/>
                <w:sz w:val="18"/>
                <w:szCs w:val="18"/>
              </w:rPr>
              <w:t>5.60%</w:t>
            </w:r>
          </w:p>
        </w:tc>
      </w:tr>
      <w:tr>
        <w:trPr>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2</w:t>
            </w:r>
          </w:p>
        </w:tc>
        <w:tc>
          <w:tcPr>
            <w:tcW w:w="1419"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Style w:val="Font51"/>
                <w:rFonts w:ascii="Arial" w:hAnsi="Arial" w:cs="Arial" w:eastAsia="华文细黑"/>
                <w:sz w:val="18"/>
                <w:szCs w:val="18"/>
                <w:lang w:bidi="ar"/>
              </w:rPr>
              <w:t>印花税</w:t>
            </w:r>
          </w:p>
        </w:tc>
        <w:tc>
          <w:tcPr>
            <w:tcW w:w="4252"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pPr>
            <w:r>
              <w:rPr>
                <w:rStyle w:val="Font51"/>
                <w:rFonts w:ascii="Arial" w:hAnsi="Arial" w:cs="Arial"/>
                <w:sz w:val="18"/>
                <w:szCs w:val="18"/>
                <w:lang w:bidi="ar"/>
              </w:rPr>
              <w:t>——</w:t>
            </w:r>
            <w:r>
              <w:rPr>
                <w:rStyle w:val="Font51"/>
                <w:rFonts w:ascii="Arial" w:hAnsi="Arial" w:cs="Arial" w:eastAsia="华文细黑"/>
                <w:sz w:val="18"/>
                <w:szCs w:val="18"/>
                <w:lang w:bidi="ar"/>
              </w:rPr>
              <w:t>（计税额为债务金额，需根据实际金额进行计算）</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ascii="Arial" w:hAnsi="Arial" w:cs="Arial" w:eastAsia="华文细黑"/>
                <w:sz w:val="18"/>
                <w:szCs w:val="18"/>
                <w:lang w:bidi="ar"/>
              </w:rPr>
              <w:t>计税额</w:t>
            </w:r>
            <w:r>
              <w:rPr>
                <w:rFonts w:eastAsia="华文细黑" w:cs="Arial" w:ascii="Arial" w:hAnsi="Arial"/>
                <w:sz w:val="18"/>
                <w:szCs w:val="18"/>
                <w:lang w:bidi="ar"/>
              </w:rPr>
              <w:t>×</w:t>
            </w:r>
            <w:r>
              <w:rPr>
                <w:rFonts w:ascii="Arial" w:hAnsi="Arial" w:cs="Arial" w:eastAsia="华文细黑"/>
                <w:sz w:val="18"/>
                <w:szCs w:val="18"/>
                <w:lang w:bidi="ar"/>
              </w:rPr>
              <w:t>税（费）率</w:t>
            </w:r>
          </w:p>
        </w:tc>
        <w:tc>
          <w:tcPr>
            <w:tcW w:w="1370" w:type="dxa"/>
            <w:tcBorders>
              <w:top w:val="single" w:sz="4" w:space="0" w:color="000000"/>
              <w:left w:val="single" w:sz="4" w:space="0" w:color="000000"/>
              <w:right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0.05%</w:t>
            </w:r>
          </w:p>
        </w:tc>
      </w:tr>
      <w:tr>
        <w:trPr>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3</w:t>
            </w:r>
          </w:p>
        </w:tc>
        <w:tc>
          <w:tcPr>
            <w:tcW w:w="1419"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Style w:val="Font51"/>
                <w:rFonts w:ascii="Arial" w:hAnsi="Arial" w:cs="Arial" w:eastAsia="华文细黑"/>
                <w:sz w:val="18"/>
                <w:szCs w:val="18"/>
                <w:lang w:bidi="ar"/>
              </w:rPr>
              <w:t>土地增值税</w:t>
            </w:r>
          </w:p>
        </w:tc>
        <w:tc>
          <w:tcPr>
            <w:tcW w:w="4252"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pPr>
            <w:r>
              <w:rPr>
                <w:rStyle w:val="Font51"/>
                <w:rFonts w:ascii="Arial" w:hAnsi="Arial" w:cs="Arial"/>
                <w:sz w:val="18"/>
                <w:szCs w:val="18"/>
                <w:lang w:bidi="ar"/>
              </w:rPr>
              <w:t>——</w:t>
            </w:r>
            <w:r>
              <w:rPr>
                <w:rStyle w:val="Font51"/>
                <w:rFonts w:ascii="Arial" w:hAnsi="Arial" w:cs="Arial" w:eastAsia="华文细黑"/>
                <w:sz w:val="18"/>
                <w:szCs w:val="18"/>
                <w:lang w:bidi="ar"/>
              </w:rPr>
              <w:t>（以估价对象实际入账科目及金额确定，目前难以获取土增税扣除项相关数据）</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Style w:val="Font51"/>
                <w:rFonts w:ascii="Arial" w:hAnsi="Arial" w:cs="Arial" w:eastAsia="华文细黑"/>
                <w:sz w:val="18"/>
                <w:szCs w:val="18"/>
                <w:lang w:bidi="ar"/>
              </w:rPr>
              <w:t>计税额</w:t>
            </w:r>
            <w:r>
              <w:rPr>
                <w:rStyle w:val="Font01"/>
                <w:rFonts w:eastAsia="华文细黑"/>
                <w:sz w:val="18"/>
                <w:szCs w:val="18"/>
                <w:lang w:bidi="ar"/>
              </w:rPr>
              <w:t>×</w:t>
            </w:r>
            <w:r>
              <w:rPr>
                <w:rStyle w:val="Font51"/>
                <w:rFonts w:ascii="Arial" w:hAnsi="Arial" w:cs="Arial" w:eastAsia="华文细黑"/>
                <w:sz w:val="18"/>
                <w:szCs w:val="18"/>
                <w:lang w:bidi="ar"/>
              </w:rPr>
              <w:t>税（费）率</w:t>
            </w:r>
          </w:p>
        </w:tc>
        <w:tc>
          <w:tcPr>
            <w:tcW w:w="13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ascii="Arial" w:hAnsi="Arial" w:cs="Arial" w:eastAsia="华文细黑"/>
                <w:sz w:val="18"/>
                <w:szCs w:val="18"/>
              </w:rPr>
              <w:t>具体同前</w:t>
            </w:r>
          </w:p>
        </w:tc>
      </w:tr>
      <w:tr>
        <w:trPr>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4</w:t>
            </w:r>
          </w:p>
        </w:tc>
        <w:tc>
          <w:tcPr>
            <w:tcW w:w="1419"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rFonts w:ascii="Arial" w:hAnsi="Arial" w:eastAsia="华文细黑" w:cs="Arial"/>
                <w:sz w:val="18"/>
                <w:szCs w:val="18"/>
              </w:rPr>
            </w:pPr>
            <w:r>
              <w:rPr>
                <w:rFonts w:ascii="Arial" w:hAnsi="Arial" w:cs="Arial" w:eastAsia="华文细黑"/>
                <w:sz w:val="18"/>
                <w:szCs w:val="18"/>
                <w:lang w:bidi="ar"/>
              </w:rPr>
              <w:t>评估费</w:t>
            </w:r>
          </w:p>
        </w:tc>
        <w:tc>
          <w:tcPr>
            <w:tcW w:w="4252"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pPr>
            <w:r>
              <w:rPr>
                <w:rStyle w:val="Font51"/>
                <w:rFonts w:ascii="Arial" w:hAnsi="Arial" w:cs="Arial"/>
                <w:sz w:val="18"/>
                <w:szCs w:val="18"/>
                <w:lang w:bidi="ar"/>
              </w:rPr>
              <w:t>——</w:t>
            </w:r>
            <w:r>
              <w:rPr>
                <w:rStyle w:val="Font51"/>
                <w:rFonts w:ascii="Arial" w:hAnsi="Arial" w:cs="Arial" w:eastAsia="华文细黑"/>
                <w:sz w:val="18"/>
                <w:szCs w:val="18"/>
                <w:lang w:bidi="ar"/>
              </w:rPr>
              <w:t>（以估价对象实际入账科目及金额确定）</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pacing w:lineRule="atLeast" w:line="240"/>
              <w:textAlignment w:val="center"/>
              <w:rPr/>
            </w:pPr>
            <w:r>
              <w:rPr>
                <w:rStyle w:val="Font51"/>
                <w:rFonts w:ascii="Arial" w:hAnsi="Arial" w:cs="Arial" w:eastAsia="华文细黑"/>
                <w:sz w:val="18"/>
                <w:szCs w:val="18"/>
                <w:lang w:bidi="ar"/>
              </w:rPr>
              <w:t>差额累进税率</w:t>
            </w:r>
          </w:p>
        </w:tc>
        <w:tc>
          <w:tcPr>
            <w:tcW w:w="13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atLeast" w:line="240"/>
              <w:textAlignment w:val="center"/>
              <w:rPr>
                <w:rStyle w:val="Font51"/>
                <w:rFonts w:ascii="Arial" w:hAnsi="Arial" w:eastAsia="华文细黑" w:cs="Arial"/>
                <w:sz w:val="18"/>
                <w:szCs w:val="18"/>
                <w:lang w:bidi="ar"/>
              </w:rPr>
            </w:pPr>
            <w:r>
              <w:rPr>
                <w:rFonts w:ascii="Arial" w:hAnsi="Arial" w:cs="Arial" w:eastAsia="华文细黑"/>
                <w:sz w:val="18"/>
                <w:szCs w:val="18"/>
              </w:rPr>
              <w:t>具体同前</w:t>
            </w:r>
          </w:p>
        </w:tc>
      </w:tr>
    </w:tbl>
    <w:p>
      <w:pPr>
        <w:pStyle w:val="Normal"/>
        <w:widowControl/>
        <w:spacing w:lineRule="exact" w:line="240"/>
        <w:jc w:val="both"/>
        <w:textAlignment w:val="center"/>
        <w:rPr>
          <w:rStyle w:val="Font51"/>
          <w:rFonts w:ascii="Arial" w:hAnsi="Arial" w:eastAsia="华文细黑" w:cs="Arial"/>
          <w:sz w:val="18"/>
          <w:szCs w:val="18"/>
          <w:lang w:bidi="ar"/>
        </w:rPr>
      </w:pPr>
      <w:r>
        <w:rPr/>
      </w:r>
    </w:p>
    <w:p>
      <w:pPr>
        <w:pStyle w:val="Normal"/>
        <w:overflowPunct w:val="false"/>
        <w:spacing w:lineRule="auto" w:line="480"/>
        <w:ind w:firstLine="420"/>
        <w:jc w:val="both"/>
        <w:textAlignment w:val="auto"/>
        <w:rPr/>
      </w:pPr>
      <w:r>
        <w:rPr/>
        <w:t>2</w:t>
      </w:r>
      <w:r>
        <w:rPr/>
        <w:t>）债权人缴纳税费</w:t>
      </w:r>
    </w:p>
    <w:tbl>
      <w:tblPr>
        <w:tblW w:w="9309" w:type="dxa"/>
        <w:jc w:val="center"/>
        <w:tblInd w:w="0" w:type="dxa"/>
        <w:tblCellMar>
          <w:top w:w="57" w:type="dxa"/>
          <w:left w:w="57" w:type="dxa"/>
          <w:bottom w:w="57" w:type="dxa"/>
          <w:right w:w="57" w:type="dxa"/>
        </w:tblCellMar>
      </w:tblPr>
      <w:tblGrid>
        <w:gridCol w:w="567"/>
        <w:gridCol w:w="1276"/>
        <w:gridCol w:w="4394"/>
        <w:gridCol w:w="1701"/>
        <w:gridCol w:w="1371"/>
      </w:tblGrid>
      <w:tr>
        <w:trPr>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b/>
                <w:b/>
                <w:bCs/>
                <w:sz w:val="18"/>
                <w:szCs w:val="18"/>
              </w:rPr>
            </w:pPr>
            <w:r>
              <w:rPr>
                <w:rStyle w:val="Font41"/>
                <w:rFonts w:ascii="Arial" w:hAnsi="Arial" w:cs="Arial" w:eastAsia="华文细黑"/>
                <w:sz w:val="18"/>
                <w:szCs w:val="18"/>
                <w:lang w:bidi="ar"/>
              </w:rPr>
              <w:t>序号</w:t>
            </w:r>
          </w:p>
        </w:tc>
        <w:tc>
          <w:tcPr>
            <w:tcW w:w="1276"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b/>
                <w:b/>
                <w:bCs/>
                <w:sz w:val="18"/>
                <w:szCs w:val="18"/>
              </w:rPr>
            </w:pPr>
            <w:r>
              <w:rPr>
                <w:rStyle w:val="Font41"/>
                <w:rFonts w:ascii="Arial" w:hAnsi="Arial" w:cs="Arial" w:eastAsia="华文细黑"/>
                <w:sz w:val="18"/>
                <w:szCs w:val="18"/>
                <w:lang w:bidi="ar"/>
              </w:rPr>
              <w:t>税（费）种</w:t>
            </w:r>
          </w:p>
        </w:tc>
        <w:tc>
          <w:tcPr>
            <w:tcW w:w="4394"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pPr>
            <w:r>
              <w:rPr>
                <w:rStyle w:val="Font41"/>
                <w:rFonts w:ascii="Arial" w:hAnsi="Arial" w:cs="Arial" w:eastAsia="华文细黑"/>
                <w:sz w:val="18"/>
                <w:szCs w:val="18"/>
                <w:lang w:bidi="ar"/>
              </w:rPr>
              <w:t>预估金额（万元）</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b/>
                <w:b/>
                <w:bCs/>
                <w:sz w:val="18"/>
                <w:szCs w:val="18"/>
              </w:rPr>
            </w:pPr>
            <w:r>
              <w:rPr>
                <w:rStyle w:val="Font41"/>
                <w:rFonts w:ascii="Arial" w:hAnsi="Arial" w:cs="Arial" w:eastAsia="华文细黑"/>
                <w:sz w:val="18"/>
                <w:szCs w:val="18"/>
                <w:lang w:bidi="ar"/>
              </w:rPr>
              <w:t>计算方法</w:t>
            </w:r>
          </w:p>
        </w:tc>
        <w:tc>
          <w:tcPr>
            <w:tcW w:w="13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b/>
                <w:b/>
                <w:bCs/>
                <w:sz w:val="18"/>
                <w:szCs w:val="18"/>
              </w:rPr>
            </w:pPr>
            <w:r>
              <w:rPr>
                <w:rStyle w:val="Font41"/>
                <w:rFonts w:ascii="Arial" w:hAnsi="Arial" w:cs="Arial" w:eastAsia="华文细黑"/>
                <w:sz w:val="18"/>
                <w:szCs w:val="18"/>
                <w:lang w:bidi="ar"/>
              </w:rPr>
              <w:t>税（费）率</w:t>
            </w:r>
          </w:p>
        </w:tc>
      </w:tr>
      <w:tr>
        <w:trPr>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1</w:t>
            </w:r>
          </w:p>
        </w:tc>
        <w:tc>
          <w:tcPr>
            <w:tcW w:w="1276"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Fonts w:ascii="Arial" w:hAnsi="Arial" w:cs="Arial" w:eastAsia="华文细黑"/>
                <w:sz w:val="18"/>
                <w:szCs w:val="18"/>
                <w:lang w:bidi="ar"/>
              </w:rPr>
              <w:t>契税</w:t>
            </w:r>
          </w:p>
        </w:tc>
        <w:tc>
          <w:tcPr>
            <w:tcW w:w="4394"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pPr>
            <w:r>
              <w:rPr>
                <w:rStyle w:val="Font51"/>
                <w:rFonts w:ascii="Arial" w:hAnsi="Arial" w:cs="Arial"/>
                <w:sz w:val="18"/>
                <w:szCs w:val="18"/>
                <w:lang w:bidi="ar"/>
              </w:rPr>
              <w:t>——</w:t>
            </w:r>
            <w:r>
              <w:rPr>
                <w:rStyle w:val="Font51"/>
                <w:rFonts w:ascii="Arial" w:hAnsi="Arial" w:cs="Arial" w:eastAsia="华文细黑"/>
                <w:sz w:val="18"/>
                <w:szCs w:val="18"/>
                <w:lang w:bidi="ar"/>
              </w:rPr>
              <w:t>（计税额为债务金额，需根据实际金额进行计算）</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Style w:val="Font51"/>
                <w:rFonts w:ascii="Arial" w:hAnsi="Arial" w:cs="Arial" w:eastAsia="华文细黑"/>
                <w:sz w:val="18"/>
                <w:szCs w:val="18"/>
                <w:lang w:bidi="ar"/>
              </w:rPr>
              <w:t>计税额</w:t>
            </w:r>
            <w:r>
              <w:rPr>
                <w:rFonts w:eastAsia="华文细黑" w:cs="Arial" w:ascii="Arial" w:hAnsi="Arial"/>
                <w:sz w:val="18"/>
                <w:szCs w:val="18"/>
                <w:lang w:bidi="ar"/>
              </w:rPr>
              <w:t>×</w:t>
            </w:r>
            <w:r>
              <w:rPr>
                <w:rFonts w:ascii="Arial" w:hAnsi="Arial" w:cs="Arial" w:eastAsia="华文细黑"/>
                <w:sz w:val="18"/>
                <w:szCs w:val="18"/>
                <w:lang w:bidi="ar"/>
              </w:rPr>
              <w:t>税（费）率</w:t>
            </w:r>
          </w:p>
        </w:tc>
        <w:tc>
          <w:tcPr>
            <w:tcW w:w="13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3%</w:t>
            </w:r>
          </w:p>
        </w:tc>
      </w:tr>
      <w:tr>
        <w:trPr>
          <w:cantSplit w:val="true"/>
        </w:trPr>
        <w:tc>
          <w:tcPr>
            <w:tcW w:w="567"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2</w:t>
            </w:r>
          </w:p>
        </w:tc>
        <w:tc>
          <w:tcPr>
            <w:tcW w:w="1276"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Style w:val="Font51"/>
                <w:rFonts w:ascii="Arial" w:hAnsi="Arial" w:cs="Arial" w:eastAsia="华文细黑"/>
                <w:sz w:val="18"/>
                <w:szCs w:val="18"/>
                <w:lang w:bidi="ar"/>
              </w:rPr>
              <w:t>印花税</w:t>
            </w:r>
          </w:p>
        </w:tc>
        <w:tc>
          <w:tcPr>
            <w:tcW w:w="4394"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pPr>
            <w:r>
              <w:rPr>
                <w:rStyle w:val="Font51"/>
                <w:rFonts w:ascii="Arial" w:hAnsi="Arial" w:cs="Arial"/>
                <w:sz w:val="18"/>
                <w:szCs w:val="18"/>
                <w:lang w:bidi="ar"/>
              </w:rPr>
              <w:t>——</w:t>
            </w:r>
            <w:r>
              <w:rPr>
                <w:rStyle w:val="Font51"/>
                <w:rFonts w:ascii="Arial" w:hAnsi="Arial" w:cs="Arial" w:eastAsia="华文细黑"/>
                <w:sz w:val="18"/>
                <w:szCs w:val="18"/>
                <w:lang w:bidi="ar"/>
              </w:rPr>
              <w:t>（计税额为债务金额，需根据实际金额进行计算）</w:t>
            </w:r>
          </w:p>
        </w:tc>
        <w:tc>
          <w:tcPr>
            <w:tcW w:w="1701" w:type="dxa"/>
            <w:tcBorders>
              <w:top w:val="single" w:sz="4" w:space="0" w:color="000000"/>
              <w:left w:val="single" w:sz="4" w:space="0" w:color="000000"/>
              <w:bottom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Style w:val="Font51"/>
                <w:rFonts w:ascii="Arial" w:hAnsi="Arial" w:cs="Arial" w:eastAsia="华文细黑"/>
                <w:sz w:val="18"/>
                <w:szCs w:val="18"/>
                <w:lang w:bidi="ar"/>
              </w:rPr>
              <w:t>计税额</w:t>
            </w:r>
            <w:r>
              <w:rPr>
                <w:rFonts w:eastAsia="华文细黑" w:cs="Arial" w:ascii="Arial" w:hAnsi="Arial"/>
                <w:sz w:val="18"/>
                <w:szCs w:val="18"/>
                <w:lang w:bidi="ar"/>
              </w:rPr>
              <w:t>×</w:t>
            </w:r>
            <w:r>
              <w:rPr>
                <w:rFonts w:ascii="Arial" w:hAnsi="Arial" w:cs="Arial" w:eastAsia="华文细黑"/>
                <w:sz w:val="18"/>
                <w:szCs w:val="18"/>
                <w:lang w:bidi="ar"/>
              </w:rPr>
              <w:t>税（费）率</w:t>
            </w:r>
          </w:p>
        </w:tc>
        <w:tc>
          <w:tcPr>
            <w:tcW w:w="13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spacing w:lineRule="atLeast" w:line="240"/>
              <w:textAlignment w:val="center"/>
              <w:rPr>
                <w:rFonts w:ascii="Arial" w:hAnsi="Arial" w:eastAsia="华文细黑" w:cs="Arial"/>
                <w:sz w:val="18"/>
                <w:szCs w:val="18"/>
              </w:rPr>
            </w:pPr>
            <w:r>
              <w:rPr>
                <w:rFonts w:eastAsia="华文细黑" w:cs="Arial" w:ascii="Arial" w:hAnsi="Arial"/>
                <w:sz w:val="18"/>
                <w:szCs w:val="18"/>
                <w:lang w:bidi="ar"/>
              </w:rPr>
              <w:t>0.05%</w:t>
            </w:r>
          </w:p>
        </w:tc>
      </w:tr>
    </w:tbl>
    <w:p>
      <w:pPr>
        <w:pStyle w:val="Normal"/>
        <w:widowControl/>
        <w:spacing w:lineRule="exact" w:line="300"/>
        <w:jc w:val="both"/>
        <w:textAlignment w:val="center"/>
        <w:rPr>
          <w:rFonts w:ascii="Arial" w:hAnsi="Arial" w:eastAsia="华文细黑" w:cs="Arial"/>
          <w:sz w:val="18"/>
          <w:szCs w:val="18"/>
          <w:lang w:bidi="ar"/>
        </w:rPr>
      </w:pPr>
      <w:r>
        <w:rPr>
          <w:rFonts w:eastAsia="华文细黑" w:cs="Arial" w:ascii="Arial" w:hAnsi="Arial"/>
          <w:sz w:val="18"/>
          <w:szCs w:val="18"/>
          <w:lang w:bidi="ar"/>
        </w:rPr>
      </w:r>
    </w:p>
    <w:p>
      <w:pPr>
        <w:pStyle w:val="Normal"/>
        <w:widowControl/>
        <w:spacing w:lineRule="exact" w:line="300"/>
        <w:jc w:val="both"/>
        <w:textAlignment w:val="center"/>
        <w:rPr>
          <w:rFonts w:ascii="Arial" w:hAnsi="Arial" w:eastAsia="华文细黑" w:cs="Arial"/>
          <w:sz w:val="18"/>
          <w:szCs w:val="18"/>
          <w:lang w:bidi="ar"/>
        </w:rPr>
      </w:pPr>
      <w:r>
        <w:rPr>
          <w:rFonts w:ascii="Arial" w:hAnsi="Arial" w:cs="Arial" w:eastAsia="华文细黑"/>
          <w:sz w:val="18"/>
          <w:szCs w:val="18"/>
          <w:lang w:bidi="ar"/>
        </w:rPr>
        <w:t>备注：</w:t>
      </w:r>
    </w:p>
    <w:p>
      <w:pPr>
        <w:pStyle w:val="Normal"/>
        <w:widowControl/>
        <w:spacing w:lineRule="exact" w:line="300"/>
        <w:jc w:val="both"/>
        <w:textAlignment w:val="center"/>
        <w:rPr>
          <w:rFonts w:ascii="Arial" w:hAnsi="Arial" w:eastAsia="华文细黑" w:cs="Arial"/>
          <w:sz w:val="18"/>
          <w:szCs w:val="18"/>
          <w:lang w:bidi="ar"/>
        </w:rPr>
      </w:pPr>
      <w:r>
        <w:rPr>
          <w:rFonts w:ascii="Arial" w:hAnsi="Arial" w:cs="Arial" w:eastAsia="华文细黑"/>
          <w:sz w:val="18"/>
          <w:szCs w:val="18"/>
          <w:lang w:bidi="ar"/>
        </w:rPr>
        <w:t>（</w:t>
      </w:r>
      <w:r>
        <w:rPr>
          <w:rFonts w:eastAsia="华文细黑" w:cs="Arial" w:ascii="Arial" w:hAnsi="Arial"/>
          <w:sz w:val="18"/>
          <w:szCs w:val="18"/>
          <w:lang w:bidi="ar"/>
        </w:rPr>
        <w:t>1</w:t>
      </w:r>
      <w:r>
        <w:rPr>
          <w:rFonts w:ascii="Arial" w:hAnsi="Arial" w:cs="Arial" w:eastAsia="华文细黑"/>
          <w:sz w:val="18"/>
          <w:szCs w:val="18"/>
          <w:lang w:bidi="ar"/>
        </w:rPr>
        <w:t>）以上三种模拟处置结果均设定不动产原持有方在拍卖处置不动产过程中可缴纳上述各项费用，实际产生的税费均以相关司法程序裁定及当地税务部门核定为准。</w:t>
      </w:r>
    </w:p>
    <w:p>
      <w:pPr>
        <w:pStyle w:val="Normal"/>
        <w:widowControl/>
        <w:spacing w:lineRule="exact" w:line="300"/>
        <w:jc w:val="both"/>
        <w:textAlignment w:val="center"/>
        <w:rPr>
          <w:rFonts w:ascii="Arial" w:hAnsi="Arial" w:eastAsia="华文细黑" w:cs="Arial"/>
          <w:sz w:val="18"/>
          <w:szCs w:val="18"/>
          <w:lang w:bidi="ar"/>
        </w:rPr>
      </w:pPr>
      <w:r>
        <w:rPr>
          <w:rFonts w:ascii="Arial" w:hAnsi="Arial" w:cs="Arial" w:eastAsia="华文细黑"/>
          <w:sz w:val="18"/>
          <w:szCs w:val="18"/>
          <w:lang w:bidi="ar"/>
        </w:rPr>
        <w:t>（</w:t>
      </w:r>
      <w:r>
        <w:rPr>
          <w:rFonts w:eastAsia="华文细黑" w:cs="Arial" w:ascii="Arial" w:hAnsi="Arial"/>
          <w:sz w:val="18"/>
          <w:szCs w:val="18"/>
          <w:lang w:bidi="ar"/>
        </w:rPr>
        <w:t>2</w:t>
      </w:r>
      <w:r>
        <w:rPr>
          <w:rFonts w:ascii="Arial" w:hAnsi="Arial" w:cs="Arial" w:eastAsia="华文细黑"/>
          <w:sz w:val="18"/>
          <w:szCs w:val="18"/>
          <w:lang w:bidi="ar"/>
        </w:rPr>
        <w:t>）若以房抵债办理不动产产权过户后，不动产受让人将在持有不动产期间对持有不动产缴纳房产税、城镇土地使用税等相关税费。</w:t>
      </w:r>
    </w:p>
    <w:p>
      <w:pPr>
        <w:pStyle w:val="Normal"/>
        <w:widowControl/>
        <w:spacing w:lineRule="exact" w:line="300"/>
        <w:jc w:val="both"/>
        <w:textAlignment w:val="center"/>
        <w:rPr/>
      </w:pPr>
      <w:r>
        <w:rPr>
          <w:rFonts w:ascii="Arial" w:hAnsi="Arial" w:cs="Arial" w:eastAsia="华文细黑"/>
          <w:sz w:val="18"/>
          <w:szCs w:val="18"/>
          <w:lang w:bidi="ar"/>
        </w:rPr>
        <w:t>（</w:t>
      </w:r>
      <w:r>
        <w:rPr>
          <w:rFonts w:eastAsia="华文细黑" w:cs="Arial" w:ascii="Arial" w:hAnsi="Arial"/>
          <w:sz w:val="18"/>
          <w:szCs w:val="18"/>
          <w:lang w:bidi="ar"/>
        </w:rPr>
        <w:t>3</w:t>
      </w:r>
      <w:r>
        <w:rPr>
          <w:rFonts w:ascii="Arial" w:hAnsi="Arial" w:cs="Arial" w:eastAsia="华文细黑"/>
          <w:sz w:val="18"/>
          <w:szCs w:val="18"/>
          <w:lang w:bidi="ar"/>
        </w:rPr>
        <w:t>）不动产原业主拖欠的物业费、水电费、燃气费、交易费等欠缴费用，若无相关约定，均由不动产受让人承担，并支付缴纳。</w:t>
      </w:r>
    </w:p>
    <w:p>
      <w:pPr>
        <w:pStyle w:val="Normal"/>
        <w:widowControl/>
        <w:spacing w:lineRule="exact" w:line="300"/>
        <w:jc w:val="both"/>
        <w:textAlignment w:val="center"/>
        <w:rPr>
          <w:rFonts w:ascii="Arial" w:hAnsi="Arial" w:eastAsia="华文细黑" w:cs="Arial"/>
          <w:sz w:val="18"/>
          <w:szCs w:val="18"/>
          <w:lang w:bidi="ar"/>
        </w:rPr>
      </w:pPr>
      <w:r>
        <w:rPr>
          <w:rFonts w:ascii="Arial" w:hAnsi="Arial" w:cs="Arial" w:eastAsia="华文细黑"/>
          <w:sz w:val="18"/>
          <w:szCs w:val="18"/>
          <w:lang w:bidi="ar"/>
        </w:rPr>
        <w:t>（</w:t>
      </w:r>
      <w:r>
        <w:rPr>
          <w:rFonts w:eastAsia="华文细黑" w:cs="Arial" w:ascii="Arial" w:hAnsi="Arial"/>
          <w:sz w:val="18"/>
          <w:szCs w:val="18"/>
          <w:lang w:bidi="ar"/>
        </w:rPr>
        <w:t>4</w:t>
      </w:r>
      <w:r>
        <w:rPr>
          <w:rFonts w:ascii="Arial" w:hAnsi="Arial" w:cs="Arial" w:eastAsia="华文细黑"/>
          <w:sz w:val="18"/>
          <w:szCs w:val="18"/>
          <w:lang w:bidi="ar"/>
        </w:rPr>
        <w:t>）不动产权属交易过程中，若不动产原持有方未能提供不动产原始票据等完整材料，可能使不动产受让人在后续处置不动产过程中代为补缴相关税费，导致资产额外处置费用产生。</w:t>
      </w:r>
    </w:p>
    <w:p>
      <w:pPr>
        <w:sectPr>
          <w:headerReference w:type="default" r:id="rId37"/>
          <w:footerReference w:type="default" r:id="rId38"/>
          <w:type w:val="nextPage"/>
          <w:pgSz w:w="11906" w:h="16838"/>
          <w:pgMar w:left="1304" w:right="1304" w:header="1134" w:top="1843" w:footer="907" w:bottom="1134" w:gutter="0"/>
          <w:pgNumType w:fmt="decimal"/>
          <w:formProt w:val="false"/>
          <w:textDirection w:val="lrTb"/>
          <w:docGrid w:type="default" w:linePitch="326" w:charSpace="0"/>
        </w:sectPr>
        <w:pStyle w:val="Normal"/>
        <w:widowControl/>
        <w:spacing w:lineRule="exact" w:line="300"/>
        <w:jc w:val="both"/>
        <w:textAlignment w:val="center"/>
        <w:rPr>
          <w:rFonts w:ascii="Arial" w:hAnsi="Arial" w:eastAsia="华文细黑" w:cs="Arial"/>
          <w:sz w:val="18"/>
          <w:szCs w:val="18"/>
          <w:lang w:bidi="ar"/>
        </w:rPr>
      </w:pPr>
      <w:r>
        <w:rPr>
          <w:rFonts w:ascii="Arial" w:hAnsi="Arial" w:cs="Arial" w:eastAsia="华文细黑"/>
          <w:sz w:val="18"/>
          <w:szCs w:val="18"/>
          <w:lang w:bidi="ar"/>
        </w:rPr>
        <w:t>（</w:t>
      </w:r>
      <w:r>
        <w:rPr>
          <w:rFonts w:eastAsia="华文细黑" w:cs="Arial" w:ascii="Arial" w:hAnsi="Arial"/>
          <w:sz w:val="18"/>
          <w:szCs w:val="18"/>
          <w:lang w:bidi="ar"/>
        </w:rPr>
        <w:t>5</w:t>
      </w:r>
      <w:r>
        <w:rPr>
          <w:rFonts w:ascii="Arial" w:hAnsi="Arial" w:cs="Arial" w:eastAsia="华文细黑"/>
          <w:sz w:val="18"/>
          <w:szCs w:val="18"/>
          <w:lang w:bidi="ar"/>
        </w:rPr>
        <w:t>）《财政部</w:t>
      </w:r>
      <w:r>
        <w:rPr>
          <w:rFonts w:ascii="Arial" w:hAnsi="Arial" w:cs="Arial" w:eastAsia="Arial"/>
          <w:sz w:val="18"/>
          <w:szCs w:val="18"/>
          <w:lang w:bidi="ar"/>
        </w:rPr>
        <w:t xml:space="preserve"> </w:t>
      </w:r>
      <w:r>
        <w:rPr>
          <w:rFonts w:ascii="Arial" w:hAnsi="Arial" w:cs="Arial" w:eastAsia="华文细黑"/>
          <w:sz w:val="18"/>
          <w:szCs w:val="18"/>
          <w:lang w:bidi="ar"/>
        </w:rPr>
        <w:t>税务总局关于银行业金融机构</w:t>
      </w:r>
      <w:r>
        <w:rPr>
          <w:rFonts w:ascii="Arial" w:hAnsi="Arial" w:cs="Arial" w:eastAsia="Arial"/>
          <w:sz w:val="18"/>
          <w:szCs w:val="18"/>
          <w:lang w:bidi="ar"/>
        </w:rPr>
        <w:t xml:space="preserve"> </w:t>
      </w:r>
      <w:r>
        <w:rPr>
          <w:rFonts w:ascii="Arial" w:hAnsi="Arial" w:cs="Arial" w:eastAsia="华文细黑"/>
          <w:sz w:val="18"/>
          <w:szCs w:val="18"/>
          <w:lang w:bidi="ar"/>
        </w:rPr>
        <w:t>金融资产管理公司不良债权以物抵债有关税收政策的公告》</w:t>
      </w:r>
      <w:r>
        <w:rPr>
          <w:rFonts w:eastAsia="华文细黑" w:cs="Arial" w:ascii="Arial" w:hAnsi="Arial"/>
          <w:sz w:val="18"/>
          <w:szCs w:val="18"/>
          <w:lang w:bidi="ar"/>
        </w:rPr>
        <w:t>[</w:t>
      </w:r>
      <w:r>
        <w:rPr>
          <w:rFonts w:ascii="Arial" w:hAnsi="Arial" w:cs="Arial" w:eastAsia="华文细黑"/>
          <w:sz w:val="18"/>
          <w:szCs w:val="18"/>
          <w:lang w:bidi="ar"/>
        </w:rPr>
        <w:t>财政部</w:t>
      </w:r>
      <w:r>
        <w:rPr>
          <w:rFonts w:ascii="Arial" w:hAnsi="Arial" w:cs="Arial" w:eastAsia="Arial"/>
          <w:sz w:val="18"/>
          <w:szCs w:val="18"/>
          <w:lang w:bidi="ar"/>
        </w:rPr>
        <w:t xml:space="preserve"> </w:t>
      </w:r>
      <w:r>
        <w:rPr>
          <w:rFonts w:ascii="Arial" w:hAnsi="Arial" w:cs="Arial" w:eastAsia="华文细黑"/>
          <w:sz w:val="18"/>
          <w:szCs w:val="18"/>
          <w:lang w:bidi="ar"/>
        </w:rPr>
        <w:t>税务总局公告</w:t>
      </w:r>
      <w:r>
        <w:rPr>
          <w:rFonts w:eastAsia="华文细黑" w:cs="Arial" w:ascii="Arial" w:hAnsi="Arial"/>
          <w:sz w:val="18"/>
          <w:szCs w:val="18"/>
          <w:lang w:bidi="ar"/>
        </w:rPr>
        <w:t>2022</w:t>
      </w:r>
      <w:r>
        <w:rPr>
          <w:rFonts w:ascii="Arial" w:hAnsi="Arial" w:cs="Arial" w:eastAsia="华文细黑"/>
          <w:sz w:val="18"/>
          <w:szCs w:val="18"/>
          <w:lang w:bidi="ar"/>
        </w:rPr>
        <w:t>年第</w:t>
      </w:r>
      <w:r>
        <w:rPr>
          <w:rFonts w:eastAsia="华文细黑" w:cs="Arial" w:ascii="Arial" w:hAnsi="Arial"/>
          <w:sz w:val="18"/>
          <w:szCs w:val="18"/>
          <w:lang w:bidi="ar"/>
        </w:rPr>
        <w:t>31</w:t>
      </w:r>
      <w:r>
        <w:rPr>
          <w:rFonts w:ascii="Arial" w:hAnsi="Arial" w:cs="Arial" w:eastAsia="华文细黑"/>
          <w:sz w:val="18"/>
          <w:szCs w:val="18"/>
          <w:lang w:bidi="ar"/>
        </w:rPr>
        <w:t>号</w:t>
      </w:r>
      <w:r>
        <w:rPr>
          <w:rFonts w:eastAsia="华文细黑" w:cs="Arial" w:ascii="Arial" w:hAnsi="Arial"/>
          <w:sz w:val="18"/>
          <w:szCs w:val="18"/>
          <w:lang w:bidi="ar"/>
        </w:rPr>
        <w:t>]</w:t>
      </w:r>
      <w:r>
        <w:rPr>
          <w:rFonts w:ascii="Arial" w:hAnsi="Arial" w:cs="Arial" w:eastAsia="华文细黑"/>
          <w:sz w:val="18"/>
          <w:szCs w:val="18"/>
          <w:lang w:bidi="ar"/>
        </w:rPr>
        <w:t>规定：①银行业金融机构、金融资产管理公司中的增值税一般纳税人处置抵债不动产，可选择以取得的全部价款和价外费用扣除取得该抵债不动产时的作价为销售额，适用</w:t>
      </w:r>
      <w:r>
        <w:rPr>
          <w:rFonts w:eastAsia="华文细黑" w:cs="Arial" w:ascii="Arial" w:hAnsi="Arial"/>
          <w:sz w:val="18"/>
          <w:szCs w:val="18"/>
          <w:lang w:bidi="ar"/>
        </w:rPr>
        <w:t>9%</w:t>
      </w:r>
      <w:r>
        <w:rPr>
          <w:rFonts w:ascii="Arial" w:hAnsi="Arial" w:cs="Arial" w:eastAsia="华文细黑"/>
          <w:sz w:val="18"/>
          <w:szCs w:val="18"/>
          <w:lang w:bidi="ar"/>
        </w:rPr>
        <w:t>税率计算缴纳增值税。②对银行业金融机构、金融资产管理公司接收、处置抵债资产过程中涉及的合同、产权转移书据和营业账簿免征印花税。③对银行业金融机构、金融资产管理公司接收抵债资产免征契税。④对银行业金融机构、金融资产管理公司持有的抵债不动产减免房产税、城镇土地使用税。上述税费未考虑可能存在的减免情况。</w:t>
      </w:r>
    </w:p>
    <w:p>
      <w:pPr>
        <w:pStyle w:val="1"/>
        <w:spacing w:lineRule="auto" w:line="480"/>
        <w:jc w:val="center"/>
        <w:rPr/>
      </w:pPr>
      <w:bookmarkStart w:id="41" w:name="__RefHeading___Toc162425573"/>
      <w:bookmarkEnd w:id="41"/>
      <w:r>
        <w:rPr>
          <w:rFonts w:eastAsia="方正黑体简体;微软雅黑"/>
          <w:b w:val="false"/>
          <w:kern w:val="2"/>
          <w:sz w:val="32"/>
          <w:szCs w:val="32"/>
        </w:rPr>
        <w:t>附</w:t>
      </w:r>
      <w:r>
        <w:rPr>
          <w:rFonts w:eastAsia="Arial"/>
          <w:b w:val="false"/>
          <w:kern w:val="2"/>
          <w:sz w:val="32"/>
          <w:szCs w:val="32"/>
        </w:rPr>
        <w:t xml:space="preserve">   </w:t>
      </w:r>
      <w:r>
        <w:rPr>
          <w:rFonts w:eastAsia="方正黑体简体;微软雅黑"/>
          <w:b w:val="false"/>
          <w:kern w:val="2"/>
          <w:sz w:val="32"/>
          <w:szCs w:val="32"/>
        </w:rPr>
        <w:t>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《估价委托书》</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估价对象所在位置示意图</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估价对象实地查勘情况和相关照片</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《国有土地使用权出让合同》</w:t>
      </w:r>
      <w:r>
        <w:rPr>
          <w:rFonts w:cs="Arial" w:ascii="Arial" w:hAnsi="Arial"/>
          <w:sz w:val="21"/>
          <w:szCs w:val="21"/>
        </w:rPr>
        <w:t>[</w:t>
      </w:r>
      <w:r>
        <w:rPr>
          <w:rFonts w:ascii="Arial" w:hAnsi="Arial" w:cs="Arial"/>
          <w:sz w:val="21"/>
          <w:szCs w:val="21"/>
        </w:rPr>
        <w:t>电子监管号：</w:t>
      </w:r>
      <w:r>
        <w:rPr>
          <w:rFonts w:cs="Arial" w:ascii="Arial" w:hAnsi="Arial"/>
          <w:sz w:val="21"/>
          <w:szCs w:val="21"/>
        </w:rPr>
        <w:t>4601002009B00664]</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《国有土地使用证》</w:t>
      </w:r>
      <w:r>
        <w:rPr>
          <w:rFonts w:cs="Arial" w:ascii="Arial" w:hAnsi="Arial"/>
          <w:sz w:val="21"/>
          <w:szCs w:val="21"/>
        </w:rPr>
        <w:t>[</w:t>
      </w:r>
      <w:r>
        <w:rPr>
          <w:rFonts w:ascii="Arial" w:hAnsi="Arial" w:cs="Arial"/>
          <w:sz w:val="21"/>
          <w:szCs w:val="21"/>
        </w:rPr>
        <w:t>海口市国用（</w:t>
      </w:r>
      <w:r>
        <w:rPr>
          <w:rFonts w:cs="Arial" w:ascii="Arial" w:hAnsi="Arial"/>
          <w:sz w:val="21"/>
          <w:szCs w:val="21"/>
        </w:rPr>
        <w:t>2010</w:t>
      </w:r>
      <w:r>
        <w:rPr>
          <w:rFonts w:ascii="Arial" w:hAnsi="Arial" w:cs="Arial"/>
          <w:sz w:val="21"/>
          <w:szCs w:val="21"/>
        </w:rPr>
        <w:t>）第</w:t>
      </w:r>
      <w:r>
        <w:rPr>
          <w:rFonts w:cs="Arial" w:ascii="Arial" w:hAnsi="Arial"/>
          <w:sz w:val="21"/>
          <w:szCs w:val="21"/>
        </w:rPr>
        <w:t>009818</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3"/>
        </w:numPr>
        <w:spacing w:lineRule="auto" w:line="360"/>
        <w:jc w:val="both"/>
        <w:rPr/>
      </w:pPr>
      <w:r>
        <w:rPr>
          <w:rFonts w:ascii="Arial" w:hAnsi="Arial" w:cs="Arial"/>
          <w:sz w:val="21"/>
          <w:szCs w:val="21"/>
        </w:rPr>
        <w:t>《土地他项权证》</w:t>
      </w:r>
      <w:r>
        <w:rPr>
          <w:rFonts w:ascii="Arial" w:hAnsi="Arial" w:cs="Arial" w:eastAsia="Arial"/>
          <w:sz w:val="21"/>
          <w:szCs w:val="21"/>
        </w:rPr>
        <w:t xml:space="preserve"> </w:t>
      </w:r>
      <w:r>
        <w:rPr>
          <w:rFonts w:cs="Arial" w:ascii="Arial" w:hAnsi="Arial"/>
          <w:sz w:val="21"/>
          <w:szCs w:val="21"/>
        </w:rPr>
        <w:t>[</w:t>
      </w:r>
      <w:r>
        <w:rPr>
          <w:rFonts w:ascii="Arial" w:hAnsi="Arial" w:cs="Arial"/>
          <w:sz w:val="21"/>
          <w:szCs w:val="21"/>
        </w:rPr>
        <w:t>海口市他项（</w:t>
      </w:r>
      <w:r>
        <w:rPr>
          <w:rFonts w:cs="Arial" w:ascii="Arial" w:hAnsi="Arial"/>
          <w:sz w:val="21"/>
          <w:szCs w:val="21"/>
        </w:rPr>
        <w:t>2015</w:t>
      </w:r>
      <w:r>
        <w:rPr>
          <w:rFonts w:ascii="Arial" w:hAnsi="Arial" w:cs="Arial"/>
          <w:sz w:val="21"/>
          <w:szCs w:val="21"/>
        </w:rPr>
        <w:t>）第</w:t>
      </w:r>
      <w:r>
        <w:rPr>
          <w:rFonts w:cs="Arial" w:ascii="Arial" w:hAnsi="Arial"/>
          <w:sz w:val="21"/>
          <w:szCs w:val="21"/>
        </w:rPr>
        <w:t>0343</w:t>
      </w:r>
      <w:r>
        <w:rPr>
          <w:rFonts w:ascii="Arial" w:hAnsi="Arial" w:cs="Arial"/>
          <w:sz w:val="21"/>
          <w:szCs w:val="21"/>
        </w:rPr>
        <w:t>号、海口市房建海房字第</w:t>
      </w:r>
      <w:r>
        <w:rPr>
          <w:rFonts w:cs="Arial" w:ascii="Arial" w:hAnsi="Arial"/>
          <w:sz w:val="21"/>
          <w:szCs w:val="21"/>
        </w:rPr>
        <w:t>T087275</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3"/>
        </w:numPr>
        <w:spacing w:lineRule="auto" w:line="360"/>
        <w:jc w:val="both"/>
        <w:rPr/>
      </w:pPr>
      <w:r>
        <w:rPr>
          <w:rFonts w:ascii="Arial" w:hAnsi="Arial" w:cs="Arial"/>
          <w:sz w:val="21"/>
          <w:szCs w:val="21"/>
        </w:rPr>
        <w:t>《建设工程规划许可证》</w:t>
      </w:r>
      <w:r>
        <w:rPr>
          <w:rFonts w:cs="Arial" w:ascii="Arial" w:hAnsi="Arial"/>
          <w:sz w:val="21"/>
          <w:szCs w:val="21"/>
        </w:rPr>
        <w:t>[</w:t>
      </w:r>
      <w:r>
        <w:rPr>
          <w:rFonts w:ascii="Arial" w:hAnsi="Arial" w:cs="Arial"/>
          <w:sz w:val="21"/>
          <w:szCs w:val="21"/>
        </w:rPr>
        <w:t>建字第</w:t>
      </w:r>
      <w:r>
        <w:rPr>
          <w:rFonts w:cs="Arial" w:ascii="Arial" w:hAnsi="Arial"/>
          <w:sz w:val="21"/>
          <w:szCs w:val="21"/>
        </w:rPr>
        <w:t>460100201300002</w:t>
      </w:r>
      <w:r>
        <w:rPr>
          <w:rFonts w:ascii="Arial" w:hAnsi="Arial" w:cs="Arial"/>
          <w:sz w:val="21"/>
          <w:szCs w:val="21"/>
        </w:rPr>
        <w:t>、</w:t>
      </w:r>
      <w:r>
        <w:rPr>
          <w:rFonts w:cs="Arial" w:ascii="Arial" w:hAnsi="Arial"/>
          <w:sz w:val="21"/>
          <w:szCs w:val="21"/>
        </w:rPr>
        <w:t>460100201400161</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3"/>
        </w:numPr>
        <w:spacing w:lineRule="auto" w:line="360"/>
        <w:jc w:val="both"/>
        <w:rPr/>
      </w:pPr>
      <w:r>
        <w:rPr>
          <w:rFonts w:ascii="Arial" w:hAnsi="Arial" w:cs="Arial"/>
          <w:sz w:val="21"/>
          <w:szCs w:val="21"/>
        </w:rPr>
        <w:t>《建筑工程施工许可证》</w:t>
      </w:r>
      <w:r>
        <w:rPr>
          <w:rFonts w:cs="Arial" w:ascii="Arial" w:hAnsi="Arial"/>
          <w:sz w:val="21"/>
          <w:szCs w:val="21"/>
        </w:rPr>
        <w:t>[</w:t>
      </w:r>
      <w:r>
        <w:rPr>
          <w:rFonts w:ascii="Arial" w:hAnsi="Arial" w:cs="Arial"/>
          <w:sz w:val="21"/>
          <w:szCs w:val="21"/>
        </w:rPr>
        <w:t>编号</w:t>
      </w:r>
      <w:r>
        <w:rPr>
          <w:rFonts w:cs="Arial" w:ascii="Arial" w:hAnsi="Arial"/>
          <w:sz w:val="21"/>
          <w:szCs w:val="21"/>
        </w:rPr>
        <w:t>460100201303110101</w:t>
      </w:r>
      <w:r>
        <w:rPr>
          <w:rFonts w:ascii="Arial" w:hAnsi="Arial" w:cs="Arial"/>
          <w:sz w:val="21"/>
          <w:szCs w:val="21"/>
        </w:rPr>
        <w:t>、</w:t>
      </w:r>
      <w:r>
        <w:rPr>
          <w:rFonts w:cs="Arial" w:ascii="Arial" w:hAnsi="Arial"/>
          <w:sz w:val="21"/>
          <w:szCs w:val="21"/>
        </w:rPr>
        <w:t>460100201506120101</w:t>
      </w:r>
      <w:r>
        <w:rPr>
          <w:rFonts w:cs="Arial" w:ascii="Arial" w:hAnsi="Arial"/>
          <w:sz w:val="21"/>
          <w:szCs w:val="21"/>
        </w:rPr>
        <w:t xml:space="preserve">] </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《海口市商品房预售许可证》</w:t>
      </w:r>
      <w:r>
        <w:rPr>
          <w:rFonts w:cs="Arial" w:ascii="Arial" w:hAnsi="Arial"/>
          <w:sz w:val="21"/>
          <w:szCs w:val="21"/>
        </w:rPr>
        <w:t>[</w:t>
      </w:r>
      <w:r>
        <w:rPr>
          <w:rFonts w:ascii="Arial" w:hAnsi="Arial" w:cs="Arial"/>
          <w:sz w:val="21"/>
          <w:szCs w:val="21"/>
        </w:rPr>
        <w:t>（</w:t>
      </w:r>
      <w:r>
        <w:rPr>
          <w:rFonts w:cs="Arial" w:ascii="Arial" w:hAnsi="Arial"/>
          <w:sz w:val="21"/>
          <w:szCs w:val="21"/>
        </w:rPr>
        <w:t>2014</w:t>
      </w:r>
      <w:r>
        <w:rPr>
          <w:rFonts w:ascii="Arial" w:hAnsi="Arial" w:cs="Arial"/>
          <w:sz w:val="21"/>
          <w:szCs w:val="21"/>
        </w:rPr>
        <w:t>）海房预字</w:t>
      </w:r>
      <w:r>
        <w:rPr>
          <w:rFonts w:cs="Arial" w:ascii="Arial" w:hAnsi="Arial"/>
          <w:sz w:val="21"/>
          <w:szCs w:val="21"/>
        </w:rPr>
        <w:t>0016</w:t>
      </w:r>
      <w:r>
        <w:rPr>
          <w:rFonts w:ascii="Arial" w:hAnsi="Arial" w:cs="Arial"/>
          <w:sz w:val="21"/>
          <w:szCs w:val="21"/>
        </w:rPr>
        <w:t>号、（</w:t>
      </w:r>
      <w:r>
        <w:rPr>
          <w:rFonts w:cs="Arial" w:ascii="Arial" w:hAnsi="Arial"/>
          <w:sz w:val="21"/>
          <w:szCs w:val="21"/>
        </w:rPr>
        <w:t>2015</w:t>
      </w:r>
      <w:r>
        <w:rPr>
          <w:rFonts w:ascii="Arial" w:hAnsi="Arial" w:cs="Arial"/>
          <w:sz w:val="21"/>
          <w:szCs w:val="21"/>
        </w:rPr>
        <w:t>）海房预字</w:t>
      </w:r>
      <w:r>
        <w:rPr>
          <w:rFonts w:cs="Arial" w:ascii="Arial" w:hAnsi="Arial"/>
          <w:sz w:val="21"/>
          <w:szCs w:val="21"/>
        </w:rPr>
        <w:t>0112</w:t>
      </w:r>
      <w:r>
        <w:rPr>
          <w:rFonts w:ascii="Arial" w:hAnsi="Arial" w:cs="Arial"/>
          <w:sz w:val="21"/>
          <w:szCs w:val="21"/>
        </w:rPr>
        <w:t>号</w:t>
      </w:r>
      <w:r>
        <w:rPr>
          <w:rFonts w:cs="Arial" w:ascii="Arial" w:hAnsi="Arial"/>
          <w:sz w:val="21"/>
          <w:szCs w:val="21"/>
        </w:rPr>
        <w:t xml:space="preserve">] </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《海口市建设工程竣工验收备案表》复印件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《海口市房屋建筑面积竣工测绘报告》</w:t>
      </w:r>
      <w:r>
        <w:rPr>
          <w:rFonts w:cs="Arial" w:ascii="Arial" w:hAnsi="Arial"/>
          <w:sz w:val="21"/>
          <w:szCs w:val="21"/>
        </w:rPr>
        <w:t>[</w:t>
      </w:r>
      <w:r>
        <w:rPr>
          <w:rFonts w:ascii="Arial" w:hAnsi="Arial" w:cs="Arial"/>
          <w:sz w:val="21"/>
          <w:szCs w:val="21"/>
        </w:rPr>
        <w:t>报告编号：</w:t>
      </w:r>
      <w:r>
        <w:rPr>
          <w:rFonts w:cs="Arial" w:ascii="Arial" w:hAnsi="Arial"/>
          <w:sz w:val="21"/>
          <w:szCs w:val="21"/>
        </w:rPr>
        <w:t>SW</w:t>
      </w:r>
      <w:r>
        <w:rPr>
          <w:rFonts w:ascii="Arial" w:hAnsi="Arial" w:cs="Arial"/>
          <w:sz w:val="21"/>
          <w:szCs w:val="21"/>
        </w:rPr>
        <w:t>测第</w:t>
      </w:r>
      <w:r>
        <w:rPr>
          <w:rFonts w:cs="Arial" w:ascii="Arial" w:hAnsi="Arial"/>
          <w:sz w:val="21"/>
          <w:szCs w:val="21"/>
        </w:rPr>
        <w:t>20130019</w:t>
      </w:r>
      <w:r>
        <w:rPr>
          <w:rFonts w:ascii="Arial" w:hAnsi="Arial" w:cs="Arial"/>
          <w:sz w:val="21"/>
          <w:szCs w:val="21"/>
        </w:rPr>
        <w:t>、</w:t>
      </w:r>
      <w:r>
        <w:rPr>
          <w:rFonts w:cs="Arial" w:ascii="Arial" w:hAnsi="Arial"/>
          <w:sz w:val="21"/>
          <w:szCs w:val="21"/>
        </w:rPr>
        <w:t>SW</w:t>
      </w:r>
      <w:r>
        <w:rPr>
          <w:rFonts w:ascii="Arial" w:hAnsi="Arial" w:cs="Arial"/>
          <w:sz w:val="21"/>
          <w:szCs w:val="21"/>
        </w:rPr>
        <w:t>测第</w:t>
      </w:r>
      <w:r>
        <w:rPr>
          <w:rFonts w:cs="Arial" w:ascii="Arial" w:hAnsi="Arial"/>
          <w:sz w:val="21"/>
          <w:szCs w:val="21"/>
        </w:rPr>
        <w:t>20130020</w:t>
      </w:r>
      <w:r>
        <w:rPr>
          <w:rFonts w:cs="Arial" w:ascii="Arial" w:hAnsi="Arial"/>
          <w:sz w:val="21"/>
          <w:szCs w:val="21"/>
        </w:rPr>
        <w:t>]</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《不动产权证书》</w:t>
      </w:r>
      <w:r>
        <w:rPr>
          <w:rFonts w:cs="Arial" w:ascii="Arial" w:hAnsi="Arial"/>
          <w:sz w:val="21"/>
          <w:szCs w:val="21"/>
        </w:rPr>
        <w:t>[</w:t>
      </w:r>
      <w:r>
        <w:rPr>
          <w:rFonts w:ascii="Arial" w:hAnsi="Arial" w:cs="Arial"/>
          <w:sz w:val="21"/>
          <w:szCs w:val="21"/>
        </w:rPr>
        <w:t>琼（</w:t>
      </w:r>
      <w:r>
        <w:rPr>
          <w:rFonts w:cs="Arial" w:ascii="Arial" w:hAnsi="Arial"/>
          <w:sz w:val="21"/>
          <w:szCs w:val="21"/>
        </w:rPr>
        <w:t>2018</w:t>
      </w:r>
      <w:r>
        <w:rPr>
          <w:rFonts w:ascii="Arial" w:hAnsi="Arial" w:cs="Arial"/>
          <w:sz w:val="21"/>
          <w:szCs w:val="21"/>
        </w:rPr>
        <w:t>）海口市不动产权第</w:t>
      </w:r>
      <w:r>
        <w:rPr>
          <w:rFonts w:cs="Arial" w:ascii="Arial" w:hAnsi="Arial"/>
          <w:sz w:val="21"/>
          <w:szCs w:val="21"/>
        </w:rPr>
        <w:t>0078401</w:t>
      </w:r>
      <w:r>
        <w:rPr>
          <w:rFonts w:ascii="Arial" w:hAnsi="Arial" w:cs="Arial"/>
          <w:sz w:val="21"/>
          <w:szCs w:val="21"/>
        </w:rPr>
        <w:t>号</w:t>
      </w:r>
      <w:r>
        <w:rPr>
          <w:rFonts w:cs="Arial" w:ascii="Arial" w:hAnsi="Arial"/>
          <w:sz w:val="21"/>
          <w:szCs w:val="21"/>
        </w:rPr>
        <w:t>]</w:t>
      </w:r>
      <w:r>
        <w:rPr>
          <w:rFonts w:ascii="Arial" w:hAnsi="Arial" w:cs="Arial"/>
          <w:sz w:val="21"/>
          <w:szCs w:val="21"/>
        </w:rPr>
        <w:t>等</w:t>
      </w:r>
      <w:r>
        <w:rPr>
          <w:rFonts w:cs="Arial" w:ascii="Arial" w:hAnsi="Arial"/>
          <w:sz w:val="21"/>
          <w:szCs w:val="21"/>
        </w:rPr>
        <w:t>34</w:t>
      </w:r>
      <w:r>
        <w:rPr>
          <w:rFonts w:ascii="Arial" w:hAnsi="Arial" w:cs="Arial"/>
          <w:sz w:val="21"/>
          <w:szCs w:val="21"/>
        </w:rPr>
        <w:t>本</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《评估范围清单明细》</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《项目合作协议书》复印件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估价委托人《营业执照（副本）》复印件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房地产估价机构《营业执照（副本）》复印件</w:t>
      </w:r>
    </w:p>
    <w:p>
      <w:pPr>
        <w:pStyle w:val="Normal"/>
        <w:numPr>
          <w:ilvl w:val="0"/>
          <w:numId w:val="3"/>
        </w:numPr>
        <w:spacing w:lineRule="auto" w:line="360"/>
        <w:jc w:val="both"/>
        <w:rPr/>
      </w:pPr>
      <w:r>
        <w:rPr>
          <w:rFonts w:ascii="Arial" w:hAnsi="Arial" w:cs="Arial"/>
          <w:sz w:val="21"/>
          <w:szCs w:val="21"/>
        </w:rPr>
        <w:t>房地产估价机构</w:t>
      </w:r>
      <w:r>
        <w:rPr>
          <w:rFonts w:ascii="Arial" w:hAnsi="Arial" w:cs="Arial"/>
          <w:sz w:val="21"/>
          <w:szCs w:val="21"/>
        </w:rPr>
        <w:t>估价资质</w:t>
      </w:r>
      <w:r>
        <w:rPr>
          <w:rFonts w:ascii="Arial" w:hAnsi="Arial" w:cs="Arial"/>
          <w:sz w:val="21"/>
          <w:szCs w:val="21"/>
        </w:rPr>
        <w:t>证书复印件</w:t>
      </w:r>
    </w:p>
    <w:p>
      <w:pPr>
        <w:pStyle w:val="Normal"/>
        <w:numPr>
          <w:ilvl w:val="0"/>
          <w:numId w:val="3"/>
        </w:numPr>
        <w:spacing w:lineRule="auto" w:line="360"/>
        <w:jc w:val="both"/>
        <w:rPr/>
      </w:pPr>
      <w:r>
        <w:rPr>
          <w:rFonts w:ascii="Arial" w:hAnsi="Arial" w:cs="Arial"/>
          <w:sz w:val="21"/>
          <w:szCs w:val="21"/>
        </w:rPr>
        <w:t>评估专业人员</w:t>
      </w:r>
      <w:r>
        <w:rPr>
          <w:rFonts w:ascii="Arial" w:hAnsi="Arial" w:cs="Arial"/>
          <w:sz w:val="21"/>
          <w:szCs w:val="21"/>
        </w:rPr>
        <w:t>执业证书复印件</w:t>
      </w:r>
    </w:p>
    <w:p>
      <w:pPr>
        <w:pStyle w:val="Normal"/>
        <w:spacing w:lineRule="auto" w:line="480"/>
        <w:ind w:left="840" w:hanging="0"/>
        <w:jc w:val="both"/>
        <w:rPr>
          <w:rFonts w:ascii="Arial" w:hAnsi="Arial" w:cs="Arial"/>
          <w:sz w:val="21"/>
          <w:szCs w:val="21"/>
        </w:rPr>
      </w:pPr>
      <w:r>
        <w:rPr>
          <w:rFonts w:cs="Arial" w:ascii="Arial" w:hAnsi="Arial"/>
          <w:sz w:val="21"/>
          <w:szCs w:val="21"/>
        </w:rPr>
      </w:r>
    </w:p>
    <w:sectPr>
      <w:headerReference w:type="default" r:id="rId39"/>
      <w:footerReference w:type="default" r:id="rId40"/>
      <w:type w:val="nextPage"/>
      <w:pgSz w:w="11906" w:h="16838"/>
      <w:pgMar w:left="1304" w:right="1304" w:header="1134" w:top="1843" w:footer="907" w:bottom="1134" w:gutter="0"/>
      <w:pgNumType w:fmt="decimal"/>
      <w:formProt w:val="false"/>
      <w:textDirection w:val="lrTb"/>
      <w:docGrid w:type="default" w:linePitch="326"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未知作者" w:date="2024-08-06T14:19:35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欠妥！</w:t>
      </w:r>
    </w:p>
  </w:comment>
  <w:comment w:id="1" w:author="未知作者" w:date="2024-08-06T14:20:09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是否可推断为9818的土地使用权经析产分割到了44套，或是44加会所</w:t>
      </w:r>
    </w:p>
  </w:comment>
  <w:comment w:id="2" w:author="未知作者" w:date="2024-08-06T13:35:36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封面是房地产估价报告</w:t>
      </w:r>
    </w:p>
  </w:comment>
  <w:comment w:id="3" w:author="未知作者" w:date="2024-08-06T13:36:36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请更新</w:t>
      </w:r>
    </w:p>
  </w:comment>
  <w:comment w:id="4" w:author="未知作者" w:date="2024-08-06T13:39:15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多半个括号？</w:t>
      </w:r>
    </w:p>
  </w:comment>
  <w:comment w:id="5" w:author="未知作者" w:date="2024-08-06T13:49:10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参见后面建筑物基本情况处</w:t>
      </w:r>
    </w:p>
  </w:comment>
  <w:comment w:id="6" w:author="未知作者" w:date="2024-08-06T14:23:52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看在本报告哪个章节加一部分内容，介绍一下已销售的10套呀。是否有此必要？</w:t>
      </w:r>
    </w:p>
  </w:comment>
  <w:comment w:id="7" w:author="未知作者" w:date="2024-08-06T13:42:15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多了四个字，重复</w:t>
      </w:r>
    </w:p>
  </w:comment>
  <w:comment w:id="8" w:author="未知作者" w:date="2024-08-06T13:44:00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什么站？</w:t>
      </w:r>
    </w:p>
  </w:comment>
  <w:comment w:id="9" w:author="未知作者" w:date="2024-08-06T13:43:51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w:t>
      </w:r>
    </w:p>
  </w:comment>
  <w:comment w:id="10" w:author="未知作者" w:date="2024-08-06T13:45:55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34套，下面描述楼号的仅13套。结合前文，是否需明确34套实勘了多少套，其它为设定。</w:t>
      </w:r>
    </w:p>
  </w:comment>
  <w:comment w:id="11" w:author="未知作者" w:date="2024-08-06T13:51:25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结构基本完好</w:t>
      </w:r>
    </w:p>
  </w:comment>
  <w:comment w:id="12" w:author="未知作者" w:date="2024-08-06T13:54:09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更新日期</w:t>
      </w:r>
    </w:p>
  </w:comment>
  <w:comment w:id="13" w:author="未知作者" w:date="2024-08-06T13:56:03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观察，结合评估专业人员经验，综合成新。</w:t>
      </w:r>
    </w:p>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是否更好点儿？</w:t>
      </w:r>
    </w:p>
  </w:comment>
  <w:comment w:id="14" w:author="未知作者" w:date="2024-08-06T13:58:24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有吗？可提供？</w:t>
      </w:r>
    </w:p>
  </w:comment>
  <w:comment w:id="15" w:author="未知作者" w:date="2024-08-06T13:58:51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w:t>
      </w:r>
    </w:p>
  </w:comment>
  <w:comment w:id="16" w:author="未知作者" w:date="2024-08-06T14:01:22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滨海大道是否就是环岛旅游公路？</w:t>
      </w:r>
    </w:p>
  </w:comment>
  <w:comment w:id="17" w:author="未知作者" w:date="2024-08-06T14:00:34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w:t>
      </w:r>
    </w:p>
  </w:comment>
  <w:comment w:id="18" w:author="未知作者" w:date="2024-08-06T14:07:51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与后面修正不一致</w:t>
      </w:r>
    </w:p>
  </w:comment>
  <w:comment w:id="19" w:author="未知作者" w:date="2024-08-06T14:05:45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0？</w:t>
      </w:r>
    </w:p>
  </w:comment>
  <w:comment w:id="20" w:author="未知作者" w:date="2024-08-06T14:05:30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0？</w:t>
      </w:r>
    </w:p>
  </w:comment>
  <w:comment w:id="21" w:author="未知作者" w:date="2024-08-06T14:05:18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0"/>
          <w:szCs w:val="24"/>
          <w:u w:val="none"/>
          <w:vertAlign w:val="baseline"/>
          <w:em w:val="none"/>
          <w:lang w:val="en-US" w:eastAsia="zh-CN" w:bidi="hi-IN"/>
        </w:rPr>
        <w:t>0？</w:t>
      </w:r>
    </w:p>
  </w:comment>
  <w:comment w:id="22" w:author="未知作者" w:date="2024-08-06T14:10:12Z" w:initials="">
    <w:p>
      <w:r>
        <w:rPr>
          <w:rFonts w:ascii="Liberation Serif" w:hAnsi="Liberation Serif" w:eastAsia="新宋体"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 w:val="21"/>
          <w:szCs w:val="24"/>
          <w:u w:val="none"/>
          <w:vertAlign w:val="baseline"/>
          <w:em w:val="none"/>
          <w:lang w:val="en-US" w:eastAsia="zh-CN" w:bidi="hi-IN"/>
        </w:rPr>
        <w:t>地下一层</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6"/>
    <w:family w:val="roman"/>
    <w:pitch w:val="variable"/>
  </w:font>
  <w:font w:name="仿宋_GB2312">
    <w:altName w:val="仿宋"/>
    <w:charset w:val="86"/>
    <w:family w:val="modern"/>
    <w:pitch w:val="default"/>
  </w:font>
  <w:font w:name="楷体_GB2312">
    <w:altName w:val="楷体"/>
    <w:charset w:val="86"/>
    <w:family w:val="modern"/>
    <w:pitch w:val="default"/>
  </w:font>
  <w:font w:name="Wingdings">
    <w:charset w:val="02"/>
    <w:family w:val="auto"/>
    <w:pitch w:val="variable"/>
  </w:font>
  <w:font w:name="微软雅黑">
    <w:charset w:val="86"/>
    <w:family w:val="swiss"/>
    <w:pitch w:val="variable"/>
  </w:font>
  <w:font w:name="Marlett">
    <w:charset w:val="02"/>
    <w:family w:val="auto"/>
    <w:pitch w:val="variable"/>
  </w:font>
  <w:font w:name="宋体">
    <w:altName w:val="SimSun"/>
    <w:charset w:val="86"/>
    <w:family w:val="auto"/>
    <w:pitch w:val="variable"/>
  </w:font>
  <w:font w:name="Calibri">
    <w:charset w:val="00"/>
    <w:family w:val="swiss"/>
    <w:pitch w:val="variable"/>
  </w:font>
  <w:font w:name="Liberation Sans">
    <w:altName w:val="Arial"/>
    <w:charset w:val="86"/>
    <w:family w:val="swiss"/>
    <w:pitch w:val="variable"/>
  </w:font>
  <w:font w:name="Arial Unicode MS">
    <w:charset w:val="86"/>
    <w:family w:val="swiss"/>
    <w:pitch w:val="variable"/>
  </w:font>
  <w:font w:name="Tahoma">
    <w:charset w:val="00"/>
    <w:family w:val="swiss"/>
    <w:pitch w:val="variable"/>
  </w:font>
  <w:font w:name="华文细黑">
    <w:charset w:val="86"/>
    <w:family w:val="auto"/>
    <w:pitch w:val="variable"/>
  </w:font>
  <w:font w:name="方正黑体简体">
    <w:altName w:val="微软雅黑"/>
    <w:charset w:val="86"/>
    <w:family w:val="script"/>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ind w:right="360" w:hanging="0"/>
      <w:jc w:val="cen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1" w:color="000000"/>
      </w:pBdr>
      <w:tabs>
        <w:tab w:val="clear" w:pos="4153"/>
        <w:tab w:val="clear" w:pos="8306"/>
        <w:tab w:val="right" w:pos="9027" w:leader="none"/>
      </w:tabs>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61</w:t>
    </w:r>
    <w:r>
      <w:rPr>
        <w:rFonts w:ascii="Arial" w:hAnsi="Arial" w:cs="Arial"/>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1" w:color="000000"/>
      </w:pBdr>
      <w:tabs>
        <w:tab w:val="clear" w:pos="4153"/>
        <w:tab w:val="clear" w:pos="8306"/>
        <w:tab w:val="right" w:pos="9027" w:leader="none"/>
      </w:tabs>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62</w:t>
    </w:r>
    <w:r>
      <w:rPr>
        <w:rFonts w:ascii="Arial" w:hAnsi="Arial" w:cs="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0" w:color="404040"/>
      </w:pBdr>
      <w:tabs>
        <w:tab w:val="clear" w:pos="4153"/>
        <w:tab w:val="clear" w:pos="8306"/>
        <w:tab w:val="right" w:pos="9027" w:leader="none"/>
      </w:tabs>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1</w:t>
    </w:r>
    <w:r>
      <w:rPr>
        <w:rFonts w:ascii="Arial" w:hAnsi="Arial" w:cs="Arial"/>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0" w:color="404040"/>
      </w:pBdr>
      <w:tabs>
        <w:tab w:val="clear" w:pos="4153"/>
        <w:tab w:val="clear" w:pos="8306"/>
        <w:tab w:val="right" w:pos="9027" w:leader="none"/>
      </w:tabs>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2</w:t>
    </w:r>
    <w:r>
      <w:rPr>
        <w:rFonts w:ascii="Arial" w:hAnsi="Arial" w:cs="Arial"/>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1" w:color="000000"/>
      </w:pBdr>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6</w:t>
    </w:r>
    <w:r>
      <w:rPr>
        <w:rFonts w:ascii="Arial" w:hAnsi="Arial" w:cs="Arial"/>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1" w:color="000000"/>
      </w:pBdr>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14</w:t>
    </w:r>
    <w:r>
      <w:rPr>
        <w:rFonts w:ascii="Arial" w:hAnsi="Arial" w:cs="Arial"/>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1" w:color="000000"/>
      </w:pBdr>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15</w:t>
    </w:r>
    <w:r>
      <w:rPr>
        <w:rFonts w:ascii="Arial" w:hAnsi="Arial" w:cs="Arial"/>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1" w:color="000000"/>
      </w:pBdr>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18</w:t>
    </w:r>
    <w:r>
      <w:rPr>
        <w:rFonts w:ascii="Arial" w:hAnsi="Arial" w:cs="Arial"/>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9"/>
      <w:pBdr>
        <w:top w:val="single" w:sz="4" w:space="1" w:color="000000"/>
      </w:pBdr>
      <w:tabs>
        <w:tab w:val="clear" w:pos="4153"/>
        <w:tab w:val="clear" w:pos="8306"/>
        <w:tab w:val="right" w:pos="9027" w:leader="none"/>
      </w:tabs>
      <w:jc w:val="center"/>
      <w:rPr>
        <w:rFonts w:ascii="Arial" w:hAnsi="Arial" w:cs="Arial"/>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29</w:t>
    </w:r>
    <w:r>
      <w:rPr>
        <w:rFonts w:ascii="Arial" w:hAnsi="Arial" w:cs="Arial"/>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rPr>
        <w:lang w:val="zh-CN" w:eastAsia="zh-CN"/>
      </w:rPr>
    </w:pPr>
    <w:r>
      <w:rPr>
        <w:lang w:val="zh-CN" w:eastAsia="zh-CN"/>
      </w:rPr>
      <w:drawing>
        <wp:inline distT="0" distB="0" distL="0" distR="0">
          <wp:extent cx="5902325" cy="285750"/>
          <wp:effectExtent l="0" t="0" r="0" b="0"/>
          <wp:docPr id="1" name="图片 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
                  <pic:cNvPicPr>
                    <a:picLocks noChangeAspect="1" noChangeArrowheads="1"/>
                  </pic:cNvPicPr>
                </pic:nvPicPr>
                <pic:blipFill>
                  <a:blip r:embed="rId1"/>
                  <a:stretch>
                    <a:fillRect/>
                  </a:stretch>
                </pic:blipFill>
                <pic:spPr bwMode="auto">
                  <a:xfrm>
                    <a:off x="0" y="0"/>
                    <a:ext cx="5902325" cy="285750"/>
                  </a:xfrm>
                  <a:prstGeom prst="rect">
                    <a:avLst/>
                  </a:prstGeom>
                </pic:spPr>
              </pic:pic>
            </a:graphicData>
          </a:graphic>
        </wp:inline>
      </w:drawing>
    </w:r>
    <w:r>
      <mc:AlternateContent>
        <mc:Choice Requires="wps">
          <w:drawing>
            <wp:anchor behindDoc="0" distT="0" distB="0" distL="114935" distR="114935" simplePos="0" locked="0" layoutInCell="1" allowOverlap="1" relativeHeight="38">
              <wp:simplePos x="0" y="0"/>
              <wp:positionH relativeFrom="margin">
                <wp:align>center</wp:align>
              </wp:positionH>
              <wp:positionV relativeFrom="margin">
                <wp:posOffset>2160270</wp:posOffset>
              </wp:positionV>
              <wp:extent cx="198755" cy="514350"/>
              <wp:effectExtent l="0" t="0" r="0" b="0"/>
              <wp:wrapNone/>
              <wp:docPr id="2" name="框架3"/>
              <a:graphic xmlns:a="http://schemas.openxmlformats.org/drawingml/2006/main">
                <a:graphicData uri="http://schemas.microsoft.com/office/word/2010/wordprocessingShape">
                  <wps:wsp>
                    <wps:cNvSpPr txBox="1"/>
                    <wps:spPr>
                      <a:xfrm>
                        <a:off x="0" y="0"/>
                        <a:ext cx="198755" cy="514350"/>
                      </a:xfrm>
                      <a:prstGeom prst="rect"/>
                      <a:solidFill>
                        <a:srgbClr val="FFFFFF">
                          <a:alpha val="0"/>
                        </a:srgbClr>
                      </a:solidFill>
                    </wps:spPr>
                    <wps:txbx>
                      <w:txbxContent>
                        <w:p>
                          <w:pPr>
                            <w:pStyle w:val="Normal"/>
                            <w:rPr>
                              <w:b/>
                              <w:b/>
                              <w:sz w:val="52"/>
                              <w:szCs w:val="52"/>
                            </w:rPr>
                          </w:pPr>
                          <w:r>
                            <w:rPr>
                              <w:b/>
                              <w:sz w:val="52"/>
                              <w:szCs w:val="52"/>
                            </w:rPr>
                          </w:r>
                        </w:p>
                      </w:txbxContent>
                    </wps:txbx>
                    <wps:bodyPr anchor="t" lIns="92075" tIns="46355" rIns="92075" bIns="46355">
                      <a:noAutofit/>
                    </wps:bodyPr>
                  </wps:wsp>
                </a:graphicData>
              </a:graphic>
            </wp:anchor>
          </w:drawing>
        </mc:Choice>
        <mc:Fallback>
          <w:pict>
            <v:rect fillcolor="#FFFFFF" style="position:absolute;rotation:0;width:15.65pt;height:40.5pt;mso-wrap-distance-left:9.05pt;mso-wrap-distance-right:9.05pt;mso-wrap-distance-top:0pt;mso-wrap-distance-bottom:0pt;margin-top:170.1pt;mso-position-vertical-relative:margin;margin-left:224.65pt;mso-position-horizontal:center;mso-position-horizontal-relative:margin">
              <v:fill opacity="0f"/>
              <v:textbox inset="0.100694444444444in,0.0506944444444444in,0.100694444444444in,0.0506944444444444in">
                <w:txbxContent>
                  <w:p>
                    <w:pPr>
                      <w:pStyle w:val="Normal"/>
                      <w:rPr>
                        <w:b/>
                        <w:b/>
                        <w:sz w:val="52"/>
                        <w:szCs w:val="52"/>
                      </w:rPr>
                    </w:pPr>
                    <w:r>
                      <w:rPr>
                        <w:b/>
                        <w:sz w:val="52"/>
                        <w:szCs w:val="52"/>
                      </w:rPr>
                    </w:r>
                  </w:p>
                </w:txbxContent>
              </v:textbox>
            </v:rect>
          </w:pict>
        </mc:Fallback>
      </mc:AlternateContent>
    </w:r>
    <w:r>
      <mc:AlternateContent>
        <mc:Choice Requires="wps">
          <w:drawing>
            <wp:anchor behindDoc="0" distT="0" distB="0" distL="114935" distR="114935" simplePos="0" locked="0" layoutInCell="1" allowOverlap="1" relativeHeight="39">
              <wp:simplePos x="0" y="0"/>
              <wp:positionH relativeFrom="margin">
                <wp:align>center</wp:align>
              </wp:positionH>
              <wp:positionV relativeFrom="margin">
                <wp:posOffset>1800225</wp:posOffset>
              </wp:positionV>
              <wp:extent cx="2499995" cy="514350"/>
              <wp:effectExtent l="0" t="0" r="0" b="0"/>
              <wp:wrapNone/>
              <wp:docPr id="3" name="框架2"/>
              <a:graphic xmlns:a="http://schemas.openxmlformats.org/drawingml/2006/main">
                <a:graphicData uri="http://schemas.microsoft.com/office/word/2010/wordprocessingShape">
                  <wps:wsp>
                    <wps:cNvSpPr txBox="1"/>
                    <wps:spPr>
                      <a:xfrm>
                        <a:off x="0" y="0"/>
                        <a:ext cx="2499995" cy="514350"/>
                      </a:xfrm>
                      <a:prstGeom prst="rect"/>
                      <a:solidFill>
                        <a:srgbClr val="FFFFFF">
                          <a:alpha val="0"/>
                        </a:srgbClr>
                      </a:solidFill>
                    </wps:spPr>
                    <wps:txbx>
                      <w:txbxContent>
                        <w:p>
                          <w:pPr>
                            <w:pStyle w:val="Normal"/>
                            <w:rPr>
                              <w:b/>
                              <w:b/>
                              <w:sz w:val="52"/>
                              <w:szCs w:val="52"/>
                            </w:rPr>
                          </w:pPr>
                          <w:r>
                            <w:rPr>
                              <w:b/>
                              <w:sz w:val="52"/>
                              <w:szCs w:val="52"/>
                            </w:rPr>
                            <w:t>房地产估价报告</w:t>
                          </w:r>
                        </w:p>
                      </w:txbxContent>
                    </wps:txbx>
                    <wps:bodyPr anchor="t" lIns="92075" tIns="46355" rIns="92075" bIns="46355">
                      <a:noAutofit/>
                    </wps:bodyPr>
                  </wps:wsp>
                </a:graphicData>
              </a:graphic>
            </wp:anchor>
          </w:drawing>
        </mc:Choice>
        <mc:Fallback>
          <w:pict>
            <v:rect fillcolor="#FFFFFF" style="position:absolute;rotation:0;width:196.85pt;height:40.5pt;mso-wrap-distance-left:9.05pt;mso-wrap-distance-right:9.05pt;mso-wrap-distance-top:0pt;mso-wrap-distance-bottom:0pt;margin-top:141.75pt;mso-position-vertical-relative:margin;margin-left:134.05pt;mso-position-horizontal:center;mso-position-horizontal-relative:margin">
              <v:fill opacity="0f"/>
              <v:textbox inset="0.100694444444444in,0.0506944444444444in,0.100694444444444in,0.0506944444444444in">
                <w:txbxContent>
                  <w:p>
                    <w:pPr>
                      <w:pStyle w:val="Normal"/>
                      <w:rPr>
                        <w:b/>
                        <w:b/>
                        <w:sz w:val="52"/>
                        <w:szCs w:val="52"/>
                      </w:rPr>
                    </w:pPr>
                    <w:r>
                      <w:rPr>
                        <w:b/>
                        <w:sz w:val="52"/>
                        <w:szCs w:val="52"/>
                      </w:rPr>
                      <w:t>房地产估价报告</w:t>
                    </w:r>
                  </w:p>
                </w:txbxContent>
              </v:textbox>
            </v:rect>
          </w:pict>
        </mc:Fallback>
      </mc:AlternateContent>
    </w:r>
    <w:r>
      <mc:AlternateContent>
        <mc:Choice Requires="wps">
          <w:drawing>
            <wp:anchor behindDoc="0" distT="0" distB="0" distL="114935" distR="114935" simplePos="0" locked="0" layoutInCell="1" allowOverlap="1" relativeHeight="40">
              <wp:simplePos x="0" y="0"/>
              <wp:positionH relativeFrom="margin">
                <wp:posOffset>-85725</wp:posOffset>
              </wp:positionH>
              <wp:positionV relativeFrom="margin">
                <wp:posOffset>4658995</wp:posOffset>
              </wp:positionV>
              <wp:extent cx="5904230" cy="3709670"/>
              <wp:effectExtent l="0" t="0" r="0" b="0"/>
              <wp:wrapNone/>
              <wp:docPr id="4" name="框架1"/>
              <a:graphic xmlns:a="http://schemas.openxmlformats.org/drawingml/2006/main">
                <a:graphicData uri="http://schemas.microsoft.com/office/word/2010/wordprocessingShape">
                  <wps:wsp>
                    <wps:cNvSpPr txBox="1"/>
                    <wps:spPr>
                      <a:xfrm>
                        <a:off x="0" y="0"/>
                        <a:ext cx="5904230" cy="3709670"/>
                      </a:xfrm>
                      <a:prstGeom prst="rect"/>
                      <a:solidFill>
                        <a:srgbClr val="FFFFFF">
                          <a:alpha val="0"/>
                        </a:srgbClr>
                      </a:solidFill>
                    </wps:spPr>
                    <wps:txbx>
                      <w:txbxContent>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估价报告编号：</w:t>
                          </w:r>
                        </w:p>
                        <w:p>
                          <w:pPr>
                            <w:pStyle w:val="Style30"/>
                            <w:spacing w:lineRule="exact" w:line="320"/>
                            <w:ind w:left="360" w:hanging="0"/>
                            <w:textAlignment w:val="bottom"/>
                            <w:rPr/>
                          </w:pPr>
                          <w:r>
                            <w:rPr>
                              <w:rFonts w:ascii="Arial" w:hAnsi="Arial" w:cs="Arial" w:eastAsia="方正黑体简体;微软雅黑"/>
                              <w:sz w:val="21"/>
                              <w:szCs w:val="21"/>
                            </w:rPr>
                            <w:t>康正评字</w:t>
                          </w:r>
                          <w:r>
                            <w:rPr>
                              <w:rFonts w:eastAsia="方正黑体简体;微软雅黑" w:cs="Arial" w:ascii="Arial" w:hAnsi="Arial"/>
                              <w:sz w:val="21"/>
                              <w:szCs w:val="21"/>
                            </w:rPr>
                            <w:t>2024-1-0615-</w:t>
                          </w:r>
                          <w:r>
                            <w:rPr>
                              <w:rFonts w:eastAsia="方正黑体简体;微软雅黑" w:cs="Arial" w:ascii="Arial" w:hAnsi="Arial"/>
                              <w:sz w:val="21"/>
                              <w:szCs w:val="21"/>
                            </w:rPr>
                            <w:t>F01</w:t>
                          </w:r>
                          <w:r>
                            <w:rPr>
                              <w:rFonts w:eastAsia="方正黑体简体;微软雅黑" w:cs="Arial" w:ascii="Arial" w:hAnsi="Arial"/>
                              <w:sz w:val="21"/>
                              <w:szCs w:val="21"/>
                            </w:rPr>
                            <w:t>HDZC6</w:t>
                          </w:r>
                          <w:r>
                            <w:rPr>
                              <w:rFonts w:ascii="Arial" w:hAnsi="Arial" w:cs="Arial" w:eastAsia="方正黑体简体;微软雅黑"/>
                              <w:sz w:val="21"/>
                              <w:szCs w:val="21"/>
                            </w:rPr>
                            <w:t>号</w:t>
                          </w:r>
                        </w:p>
                        <w:p>
                          <w:pPr>
                            <w:pStyle w:val="Normal"/>
                            <w:textAlignment w:val="bottom"/>
                            <w:rPr>
                              <w:rFonts w:ascii="Arial" w:hAnsi="Arial" w:eastAsia="方正黑体简体;微软雅黑" w:cs="Arial"/>
                              <w:sz w:val="21"/>
                              <w:szCs w:val="21"/>
                            </w:rPr>
                          </w:pPr>
                          <w:r>
                            <w:rPr>
                              <w:rFonts w:eastAsia="方正黑体简体;微软雅黑" w:cs="Arial" w:ascii="Arial" w:hAnsi="Arial"/>
                              <w:sz w:val="21"/>
                              <w:szCs w:val="21"/>
                            </w:rPr>
                          </w:r>
                        </w:p>
                        <w:p>
                          <w:pPr>
                            <w:pStyle w:val="Style30"/>
                            <w:numPr>
                              <w:ilvl w:val="0"/>
                              <w:numId w:val="9"/>
                            </w:numPr>
                            <w:spacing w:lineRule="exact" w:line="320"/>
                            <w:ind w:left="360" w:right="0" w:hanging="360"/>
                            <w:textAlignment w:val="bottom"/>
                            <w:outlineLvl w:val="0"/>
                            <w:rPr>
                              <w:rFonts w:ascii="Arial" w:hAnsi="Arial" w:eastAsia="Adobe 黑体 Std R;微软雅黑" w:cs="Arial"/>
                              <w:b/>
                              <w:b/>
                              <w:bCs/>
                              <w:sz w:val="21"/>
                              <w:szCs w:val="21"/>
                            </w:rPr>
                          </w:pPr>
                          <w:r>
                            <w:rPr>
                              <w:rFonts w:ascii="Arial" w:hAnsi="Arial" w:cs="Arial" w:eastAsia="Adobe 黑体 Std R;微软雅黑"/>
                              <w:b/>
                              <w:bCs/>
                              <w:sz w:val="21"/>
                              <w:szCs w:val="21"/>
                            </w:rPr>
                            <w:t>估价项目名称：</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海南省海口市秀英区滨海大道</w:t>
                          </w:r>
                          <w:r>
                            <w:rPr>
                              <w:rFonts w:eastAsia="方正黑体简体;微软雅黑" w:cs="Arial" w:ascii="Arial" w:hAnsi="Arial"/>
                              <w:sz w:val="21"/>
                              <w:szCs w:val="21"/>
                            </w:rPr>
                            <w:t>158</w:t>
                          </w:r>
                          <w:r>
                            <w:rPr>
                              <w:rFonts w:ascii="Arial" w:hAnsi="Arial" w:cs="Arial" w:eastAsia="方正黑体简体;微软雅黑"/>
                              <w:sz w:val="21"/>
                              <w:szCs w:val="21"/>
                            </w:rPr>
                            <w:t>号琼珠海岸生态度假村暨全国政协（海南）会议培训中心北区项目</w:t>
                          </w:r>
                          <w:r>
                            <w:rPr>
                              <w:rFonts w:eastAsia="方正黑体简体;微软雅黑" w:cs="Arial" w:ascii="Arial" w:hAnsi="Arial"/>
                              <w:sz w:val="21"/>
                              <w:szCs w:val="21"/>
                            </w:rPr>
                            <w:t>1</w:t>
                          </w:r>
                          <w:r>
                            <w:rPr>
                              <w:rFonts w:ascii="Arial" w:hAnsi="Arial" w:cs="Arial" w:eastAsia="方正黑体简体;微软雅黑"/>
                              <w:sz w:val="21"/>
                              <w:szCs w:val="21"/>
                            </w:rPr>
                            <w:t>号楼等</w:t>
                          </w:r>
                          <w:r>
                            <w:rPr>
                              <w:rFonts w:eastAsia="方正黑体简体;微软雅黑" w:cs="Arial" w:ascii="Arial" w:hAnsi="Arial"/>
                              <w:sz w:val="21"/>
                              <w:szCs w:val="21"/>
                            </w:rPr>
                            <w:t>34</w:t>
                          </w:r>
                          <w:r>
                            <w:rPr>
                              <w:rFonts w:ascii="Arial" w:hAnsi="Arial" w:cs="Arial" w:eastAsia="方正黑体简体;微软雅黑"/>
                              <w:sz w:val="21"/>
                              <w:szCs w:val="21"/>
                            </w:rPr>
                            <w:t>套产权式酒店（别墅）用房房地产快速变现价值评估</w:t>
                          </w:r>
                        </w:p>
                        <w:p>
                          <w:pPr>
                            <w:pStyle w:val="Normal"/>
                            <w:textAlignment w:val="bottom"/>
                            <w:rPr>
                              <w:rFonts w:ascii="Arial" w:hAnsi="Arial" w:eastAsia="方正黑体简体;微软雅黑" w:cs="Arial"/>
                              <w:sz w:val="21"/>
                              <w:szCs w:val="21"/>
                            </w:rPr>
                          </w:pPr>
                          <w:r>
                            <w:rPr>
                              <w:rFonts w:eastAsia="方正黑体简体;微软雅黑" w:cs="Arial" w:ascii="Arial" w:hAnsi="Arial"/>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估价委托人：</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中信信诚资产管理有限公司</w:t>
                          </w:r>
                        </w:p>
                        <w:p>
                          <w:pPr>
                            <w:pStyle w:val="Normal"/>
                            <w:spacing w:lineRule="exact" w:line="320"/>
                            <w:textAlignment w:val="bottom"/>
                            <w:rPr>
                              <w:rFonts w:ascii="Arial" w:hAnsi="Arial" w:eastAsia="方正黑体简体;微软雅黑" w:cs="Arial"/>
                              <w:b/>
                              <w:b/>
                              <w:sz w:val="21"/>
                              <w:szCs w:val="21"/>
                            </w:rPr>
                          </w:pPr>
                          <w:r>
                            <w:rPr>
                              <w:rFonts w:eastAsia="方正黑体简体;微软雅黑" w:cs="Arial" w:ascii="Arial" w:hAnsi="Arial"/>
                              <w:b/>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房地产估价机构：</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北京康正宏基房地产评估有限公司</w:t>
                          </w:r>
                        </w:p>
                        <w:p>
                          <w:pPr>
                            <w:pStyle w:val="Normal"/>
                            <w:spacing w:lineRule="exact" w:line="320"/>
                            <w:textAlignment w:val="bottom"/>
                            <w:rPr>
                              <w:rFonts w:ascii="Arial" w:hAnsi="Arial" w:eastAsia="方正黑体简体;微软雅黑" w:cs="Arial"/>
                              <w:b/>
                              <w:b/>
                              <w:sz w:val="21"/>
                              <w:szCs w:val="21"/>
                            </w:rPr>
                          </w:pPr>
                          <w:r>
                            <w:rPr>
                              <w:rFonts w:eastAsia="方正黑体简体;微软雅黑" w:cs="Arial" w:ascii="Arial" w:hAnsi="Arial"/>
                              <w:b/>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注册房地产估价师：</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高鹏（</w:t>
                          </w:r>
                          <w:r>
                            <w:rPr>
                              <w:rFonts w:ascii="Arial" w:hAnsi="Arial" w:cs="Arial" w:eastAsia="方正黑体简体;微软雅黑"/>
                              <w:sz w:val="21"/>
                              <w:szCs w:val="21"/>
                            </w:rPr>
                            <w:t>注册号：</w:t>
                          </w:r>
                          <w:r>
                            <w:rPr>
                              <w:rFonts w:eastAsia="方正黑体简体;微软雅黑" w:cs="Arial" w:ascii="Arial" w:hAnsi="Arial"/>
                              <w:sz w:val="21"/>
                              <w:szCs w:val="21"/>
                            </w:rPr>
                            <w:t>1120140024</w:t>
                          </w:r>
                          <w:r>
                            <w:rPr>
                              <w:rFonts w:ascii="Arial" w:hAnsi="Arial" w:cs="Arial" w:eastAsia="方正黑体简体;微软雅黑"/>
                              <w:sz w:val="21"/>
                              <w:szCs w:val="21"/>
                            </w:rPr>
                            <w:t>）</w:t>
                          </w:r>
                          <w:r>
                            <w:rPr>
                              <w:rFonts w:ascii="Arial" w:hAnsi="Arial" w:cs="Arial" w:eastAsia="方正黑体简体;微软雅黑"/>
                              <w:sz w:val="21"/>
                              <w:szCs w:val="21"/>
                            </w:rPr>
                            <w:t>、许皓源</w:t>
                          </w:r>
                          <w:r>
                            <w:rPr>
                              <w:rFonts w:ascii="Arial" w:hAnsi="Arial" w:cs="Arial" w:eastAsia="方正黑体简体;微软雅黑"/>
                              <w:sz w:val="21"/>
                              <w:szCs w:val="21"/>
                            </w:rPr>
                            <w:t>（注册号：</w:t>
                          </w:r>
                          <w:r>
                            <w:rPr>
                              <w:rFonts w:eastAsia="方正黑体简体;微软雅黑" w:cs="Arial" w:ascii="Arial" w:hAnsi="Arial"/>
                              <w:sz w:val="21"/>
                              <w:szCs w:val="21"/>
                            </w:rPr>
                            <w:t>1119980019</w:t>
                          </w:r>
                          <w:r>
                            <w:rPr>
                              <w:rFonts w:ascii="Arial" w:hAnsi="Arial" w:cs="Arial" w:eastAsia="方正黑体简体;微软雅黑"/>
                              <w:sz w:val="21"/>
                              <w:szCs w:val="21"/>
                            </w:rPr>
                            <w:t>）</w:t>
                          </w:r>
                        </w:p>
                        <w:p>
                          <w:pPr>
                            <w:pStyle w:val="Normal"/>
                            <w:spacing w:lineRule="exact" w:line="320"/>
                            <w:textAlignment w:val="bottom"/>
                            <w:rPr>
                              <w:rFonts w:ascii="Arial" w:hAnsi="Arial" w:eastAsia="方正黑体简体;微软雅黑" w:cs="Arial"/>
                              <w:b/>
                              <w:b/>
                              <w:sz w:val="21"/>
                              <w:szCs w:val="21"/>
                            </w:rPr>
                          </w:pPr>
                          <w:r>
                            <w:rPr>
                              <w:rFonts w:eastAsia="方正黑体简体;微软雅黑" w:cs="Arial" w:ascii="Arial" w:hAnsi="Arial"/>
                              <w:b/>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估价报告出具日期：</w:t>
                          </w:r>
                        </w:p>
                        <w:p>
                          <w:pPr>
                            <w:pStyle w:val="Style30"/>
                            <w:spacing w:lineRule="exact" w:line="320"/>
                            <w:ind w:left="360" w:hanging="0"/>
                            <w:textAlignment w:val="bottom"/>
                            <w:rPr/>
                          </w:pPr>
                          <w:r>
                            <w:rPr>
                              <w:rFonts w:eastAsia="方正黑体简体;微软雅黑" w:cs="Arial" w:ascii="Arial" w:hAnsi="Arial"/>
                              <w:sz w:val="21"/>
                              <w:szCs w:val="21"/>
                            </w:rPr>
                            <w:t>2024</w:t>
                          </w:r>
                          <w:r>
                            <w:rPr>
                              <w:rFonts w:ascii="Arial" w:hAnsi="Arial" w:cs="Arial" w:eastAsia="方正黑体简体;微软雅黑"/>
                              <w:sz w:val="21"/>
                              <w:szCs w:val="21"/>
                            </w:rPr>
                            <w:t>年</w:t>
                          </w:r>
                          <w:r>
                            <w:rPr>
                              <w:rFonts w:eastAsia="方正黑体简体;微软雅黑" w:cs="Arial" w:ascii="Arial" w:hAnsi="Arial"/>
                              <w:sz w:val="21"/>
                              <w:szCs w:val="21"/>
                            </w:rPr>
                            <w:t>7</w:t>
                          </w:r>
                          <w:r>
                            <w:rPr>
                              <w:rFonts w:ascii="Arial" w:hAnsi="Arial" w:cs="Arial" w:eastAsia="方正黑体简体;微软雅黑"/>
                              <w:sz w:val="21"/>
                              <w:szCs w:val="21"/>
                            </w:rPr>
                            <w:t>月</w:t>
                          </w:r>
                          <w:r>
                            <w:rPr>
                              <w:rFonts w:eastAsia="方正黑体简体;微软雅黑" w:cs="Arial" w:ascii="Arial" w:hAnsi="Arial"/>
                              <w:sz w:val="21"/>
                              <w:szCs w:val="21"/>
                            </w:rPr>
                            <w:t>25</w:t>
                          </w:r>
                          <w:r>
                            <w:rPr>
                              <w:rFonts w:ascii="Arial" w:hAnsi="Arial" w:cs="Arial" w:eastAsia="方正黑体简体;微软雅黑"/>
                              <w:sz w:val="21"/>
                              <w:szCs w:val="21"/>
                            </w:rPr>
                            <w:t>日</w:t>
                          </w:r>
                        </w:p>
                      </w:txbxContent>
                    </wps:txbx>
                    <wps:bodyPr anchor="t" lIns="635" tIns="635" rIns="635" bIns="635">
                      <a:spAutoFit/>
                    </wps:bodyPr>
                  </wps:wsp>
                </a:graphicData>
              </a:graphic>
            </wp:anchor>
          </w:drawing>
        </mc:Choice>
        <mc:Fallback>
          <w:pict>
            <v:rect fillcolor="#FFFFFF" style="position:absolute;rotation:0;width:464.9pt;height:292.1pt;mso-wrap-distance-left:9.05pt;mso-wrap-distance-right:9.05pt;mso-wrap-distance-top:0pt;mso-wrap-distance-bottom:0pt;margin-top:366.85pt;mso-position-vertical-relative:margin;margin-left:-6.75pt;mso-position-horizontal-relative:margin">
              <v:fill opacity="0f"/>
              <v:textbox inset="0.000694444444444444in,0.000694444444444444in,0.000694444444444444in,0.000694444444444444in">
                <w:txbxContent>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估价报告编号：</w:t>
                    </w:r>
                  </w:p>
                  <w:p>
                    <w:pPr>
                      <w:pStyle w:val="Style30"/>
                      <w:spacing w:lineRule="exact" w:line="320"/>
                      <w:ind w:left="360" w:hanging="0"/>
                      <w:textAlignment w:val="bottom"/>
                      <w:rPr/>
                    </w:pPr>
                    <w:r>
                      <w:rPr>
                        <w:rFonts w:ascii="Arial" w:hAnsi="Arial" w:cs="Arial" w:eastAsia="方正黑体简体;微软雅黑"/>
                        <w:sz w:val="21"/>
                        <w:szCs w:val="21"/>
                      </w:rPr>
                      <w:t>康正评字</w:t>
                    </w:r>
                    <w:r>
                      <w:rPr>
                        <w:rFonts w:eastAsia="方正黑体简体;微软雅黑" w:cs="Arial" w:ascii="Arial" w:hAnsi="Arial"/>
                        <w:sz w:val="21"/>
                        <w:szCs w:val="21"/>
                      </w:rPr>
                      <w:t>2024-1-0615-</w:t>
                    </w:r>
                    <w:r>
                      <w:rPr>
                        <w:rFonts w:eastAsia="方正黑体简体;微软雅黑" w:cs="Arial" w:ascii="Arial" w:hAnsi="Arial"/>
                        <w:sz w:val="21"/>
                        <w:szCs w:val="21"/>
                      </w:rPr>
                      <w:t>F01</w:t>
                    </w:r>
                    <w:r>
                      <w:rPr>
                        <w:rFonts w:eastAsia="方正黑体简体;微软雅黑" w:cs="Arial" w:ascii="Arial" w:hAnsi="Arial"/>
                        <w:sz w:val="21"/>
                        <w:szCs w:val="21"/>
                      </w:rPr>
                      <w:t>HDZC6</w:t>
                    </w:r>
                    <w:r>
                      <w:rPr>
                        <w:rFonts w:ascii="Arial" w:hAnsi="Arial" w:cs="Arial" w:eastAsia="方正黑体简体;微软雅黑"/>
                        <w:sz w:val="21"/>
                        <w:szCs w:val="21"/>
                      </w:rPr>
                      <w:t>号</w:t>
                    </w:r>
                  </w:p>
                  <w:p>
                    <w:pPr>
                      <w:pStyle w:val="Normal"/>
                      <w:textAlignment w:val="bottom"/>
                      <w:rPr>
                        <w:rFonts w:ascii="Arial" w:hAnsi="Arial" w:eastAsia="方正黑体简体;微软雅黑" w:cs="Arial"/>
                        <w:sz w:val="21"/>
                        <w:szCs w:val="21"/>
                      </w:rPr>
                    </w:pPr>
                    <w:r>
                      <w:rPr>
                        <w:rFonts w:eastAsia="方正黑体简体;微软雅黑" w:cs="Arial" w:ascii="Arial" w:hAnsi="Arial"/>
                        <w:sz w:val="21"/>
                        <w:szCs w:val="21"/>
                      </w:rPr>
                    </w:r>
                  </w:p>
                  <w:p>
                    <w:pPr>
                      <w:pStyle w:val="Style30"/>
                      <w:numPr>
                        <w:ilvl w:val="0"/>
                        <w:numId w:val="9"/>
                      </w:numPr>
                      <w:spacing w:lineRule="exact" w:line="320"/>
                      <w:ind w:left="360" w:right="0" w:hanging="360"/>
                      <w:textAlignment w:val="bottom"/>
                      <w:outlineLvl w:val="0"/>
                      <w:rPr>
                        <w:rFonts w:ascii="Arial" w:hAnsi="Arial" w:eastAsia="Adobe 黑体 Std R;微软雅黑" w:cs="Arial"/>
                        <w:b/>
                        <w:b/>
                        <w:bCs/>
                        <w:sz w:val="21"/>
                        <w:szCs w:val="21"/>
                      </w:rPr>
                    </w:pPr>
                    <w:r>
                      <w:rPr>
                        <w:rFonts w:ascii="Arial" w:hAnsi="Arial" w:cs="Arial" w:eastAsia="Adobe 黑体 Std R;微软雅黑"/>
                        <w:b/>
                        <w:bCs/>
                        <w:sz w:val="21"/>
                        <w:szCs w:val="21"/>
                      </w:rPr>
                      <w:t>估价项目名称：</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海南省海口市秀英区滨海大道</w:t>
                    </w:r>
                    <w:r>
                      <w:rPr>
                        <w:rFonts w:eastAsia="方正黑体简体;微软雅黑" w:cs="Arial" w:ascii="Arial" w:hAnsi="Arial"/>
                        <w:sz w:val="21"/>
                        <w:szCs w:val="21"/>
                      </w:rPr>
                      <w:t>158</w:t>
                    </w:r>
                    <w:r>
                      <w:rPr>
                        <w:rFonts w:ascii="Arial" w:hAnsi="Arial" w:cs="Arial" w:eastAsia="方正黑体简体;微软雅黑"/>
                        <w:sz w:val="21"/>
                        <w:szCs w:val="21"/>
                      </w:rPr>
                      <w:t>号琼珠海岸生态度假村暨全国政协（海南）会议培训中心北区项目</w:t>
                    </w:r>
                    <w:r>
                      <w:rPr>
                        <w:rFonts w:eastAsia="方正黑体简体;微软雅黑" w:cs="Arial" w:ascii="Arial" w:hAnsi="Arial"/>
                        <w:sz w:val="21"/>
                        <w:szCs w:val="21"/>
                      </w:rPr>
                      <w:t>1</w:t>
                    </w:r>
                    <w:r>
                      <w:rPr>
                        <w:rFonts w:ascii="Arial" w:hAnsi="Arial" w:cs="Arial" w:eastAsia="方正黑体简体;微软雅黑"/>
                        <w:sz w:val="21"/>
                        <w:szCs w:val="21"/>
                      </w:rPr>
                      <w:t>号楼等</w:t>
                    </w:r>
                    <w:r>
                      <w:rPr>
                        <w:rFonts w:eastAsia="方正黑体简体;微软雅黑" w:cs="Arial" w:ascii="Arial" w:hAnsi="Arial"/>
                        <w:sz w:val="21"/>
                        <w:szCs w:val="21"/>
                      </w:rPr>
                      <w:t>34</w:t>
                    </w:r>
                    <w:r>
                      <w:rPr>
                        <w:rFonts w:ascii="Arial" w:hAnsi="Arial" w:cs="Arial" w:eastAsia="方正黑体简体;微软雅黑"/>
                        <w:sz w:val="21"/>
                        <w:szCs w:val="21"/>
                      </w:rPr>
                      <w:t>套产权式酒店（别墅）用房房地产快速变现价值评估</w:t>
                    </w:r>
                  </w:p>
                  <w:p>
                    <w:pPr>
                      <w:pStyle w:val="Normal"/>
                      <w:textAlignment w:val="bottom"/>
                      <w:rPr>
                        <w:rFonts w:ascii="Arial" w:hAnsi="Arial" w:eastAsia="方正黑体简体;微软雅黑" w:cs="Arial"/>
                        <w:sz w:val="21"/>
                        <w:szCs w:val="21"/>
                      </w:rPr>
                    </w:pPr>
                    <w:r>
                      <w:rPr>
                        <w:rFonts w:eastAsia="方正黑体简体;微软雅黑" w:cs="Arial" w:ascii="Arial" w:hAnsi="Arial"/>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估价委托人：</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中信信诚资产管理有限公司</w:t>
                    </w:r>
                  </w:p>
                  <w:p>
                    <w:pPr>
                      <w:pStyle w:val="Normal"/>
                      <w:spacing w:lineRule="exact" w:line="320"/>
                      <w:textAlignment w:val="bottom"/>
                      <w:rPr>
                        <w:rFonts w:ascii="Arial" w:hAnsi="Arial" w:eastAsia="方正黑体简体;微软雅黑" w:cs="Arial"/>
                        <w:b/>
                        <w:b/>
                        <w:sz w:val="21"/>
                        <w:szCs w:val="21"/>
                      </w:rPr>
                    </w:pPr>
                    <w:r>
                      <w:rPr>
                        <w:rFonts w:eastAsia="方正黑体简体;微软雅黑" w:cs="Arial" w:ascii="Arial" w:hAnsi="Arial"/>
                        <w:b/>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房地产估价机构：</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北京康正宏基房地产评估有限公司</w:t>
                    </w:r>
                  </w:p>
                  <w:p>
                    <w:pPr>
                      <w:pStyle w:val="Normal"/>
                      <w:spacing w:lineRule="exact" w:line="320"/>
                      <w:textAlignment w:val="bottom"/>
                      <w:rPr>
                        <w:rFonts w:ascii="Arial" w:hAnsi="Arial" w:eastAsia="方正黑体简体;微软雅黑" w:cs="Arial"/>
                        <w:b/>
                        <w:b/>
                        <w:sz w:val="21"/>
                        <w:szCs w:val="21"/>
                      </w:rPr>
                    </w:pPr>
                    <w:r>
                      <w:rPr>
                        <w:rFonts w:eastAsia="方正黑体简体;微软雅黑" w:cs="Arial" w:ascii="Arial" w:hAnsi="Arial"/>
                        <w:b/>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注册房地产估价师：</w:t>
                    </w:r>
                  </w:p>
                  <w:p>
                    <w:pPr>
                      <w:pStyle w:val="Style30"/>
                      <w:spacing w:lineRule="exact" w:line="320"/>
                      <w:ind w:left="360" w:hanging="0"/>
                      <w:textAlignment w:val="bottom"/>
                      <w:rPr>
                        <w:rFonts w:ascii="Arial" w:hAnsi="Arial" w:eastAsia="方正黑体简体;微软雅黑" w:cs="Arial"/>
                        <w:sz w:val="21"/>
                        <w:szCs w:val="21"/>
                      </w:rPr>
                    </w:pPr>
                    <w:r>
                      <w:rPr>
                        <w:rFonts w:ascii="Arial" w:hAnsi="Arial" w:cs="Arial" w:eastAsia="方正黑体简体;微软雅黑"/>
                        <w:sz w:val="21"/>
                        <w:szCs w:val="21"/>
                      </w:rPr>
                      <w:t>高鹏（</w:t>
                    </w:r>
                    <w:r>
                      <w:rPr>
                        <w:rFonts w:ascii="Arial" w:hAnsi="Arial" w:cs="Arial" w:eastAsia="方正黑体简体;微软雅黑"/>
                        <w:sz w:val="21"/>
                        <w:szCs w:val="21"/>
                      </w:rPr>
                      <w:t>注册号：</w:t>
                    </w:r>
                    <w:r>
                      <w:rPr>
                        <w:rFonts w:eastAsia="方正黑体简体;微软雅黑" w:cs="Arial" w:ascii="Arial" w:hAnsi="Arial"/>
                        <w:sz w:val="21"/>
                        <w:szCs w:val="21"/>
                      </w:rPr>
                      <w:t>1120140024</w:t>
                    </w:r>
                    <w:r>
                      <w:rPr>
                        <w:rFonts w:ascii="Arial" w:hAnsi="Arial" w:cs="Arial" w:eastAsia="方正黑体简体;微软雅黑"/>
                        <w:sz w:val="21"/>
                        <w:szCs w:val="21"/>
                      </w:rPr>
                      <w:t>）</w:t>
                    </w:r>
                    <w:r>
                      <w:rPr>
                        <w:rFonts w:ascii="Arial" w:hAnsi="Arial" w:cs="Arial" w:eastAsia="方正黑体简体;微软雅黑"/>
                        <w:sz w:val="21"/>
                        <w:szCs w:val="21"/>
                      </w:rPr>
                      <w:t>、许皓源</w:t>
                    </w:r>
                    <w:r>
                      <w:rPr>
                        <w:rFonts w:ascii="Arial" w:hAnsi="Arial" w:cs="Arial" w:eastAsia="方正黑体简体;微软雅黑"/>
                        <w:sz w:val="21"/>
                        <w:szCs w:val="21"/>
                      </w:rPr>
                      <w:t>（注册号：</w:t>
                    </w:r>
                    <w:r>
                      <w:rPr>
                        <w:rFonts w:eastAsia="方正黑体简体;微软雅黑" w:cs="Arial" w:ascii="Arial" w:hAnsi="Arial"/>
                        <w:sz w:val="21"/>
                        <w:szCs w:val="21"/>
                      </w:rPr>
                      <w:t>1119980019</w:t>
                    </w:r>
                    <w:r>
                      <w:rPr>
                        <w:rFonts w:ascii="Arial" w:hAnsi="Arial" w:cs="Arial" w:eastAsia="方正黑体简体;微软雅黑"/>
                        <w:sz w:val="21"/>
                        <w:szCs w:val="21"/>
                      </w:rPr>
                      <w:t>）</w:t>
                    </w:r>
                  </w:p>
                  <w:p>
                    <w:pPr>
                      <w:pStyle w:val="Normal"/>
                      <w:spacing w:lineRule="exact" w:line="320"/>
                      <w:textAlignment w:val="bottom"/>
                      <w:rPr>
                        <w:rFonts w:ascii="Arial" w:hAnsi="Arial" w:eastAsia="方正黑体简体;微软雅黑" w:cs="Arial"/>
                        <w:b/>
                        <w:b/>
                        <w:sz w:val="21"/>
                        <w:szCs w:val="21"/>
                      </w:rPr>
                    </w:pPr>
                    <w:r>
                      <w:rPr>
                        <w:rFonts w:eastAsia="方正黑体简体;微软雅黑" w:cs="Arial" w:ascii="Arial" w:hAnsi="Arial"/>
                        <w:b/>
                        <w:sz w:val="21"/>
                        <w:szCs w:val="21"/>
                      </w:rPr>
                    </w:r>
                  </w:p>
                  <w:p>
                    <w:pPr>
                      <w:pStyle w:val="Style30"/>
                      <w:numPr>
                        <w:ilvl w:val="0"/>
                        <w:numId w:val="9"/>
                      </w:numPr>
                      <w:spacing w:lineRule="exact" w:line="320"/>
                      <w:ind w:left="360" w:right="0" w:hanging="360"/>
                      <w:textAlignment w:val="bottom"/>
                      <w:outlineLvl w:val="0"/>
                      <w:rPr>
                        <w:rFonts w:ascii="Arial" w:hAnsi="Arial" w:eastAsia="方正黑体简体;微软雅黑" w:cs="Arial"/>
                        <w:b/>
                        <w:b/>
                        <w:bCs/>
                        <w:sz w:val="21"/>
                        <w:szCs w:val="21"/>
                      </w:rPr>
                    </w:pPr>
                    <w:r>
                      <w:rPr>
                        <w:rFonts w:ascii="Arial" w:hAnsi="Arial" w:cs="Arial" w:eastAsia="方正黑体简体;微软雅黑"/>
                        <w:b/>
                        <w:bCs/>
                        <w:sz w:val="21"/>
                        <w:szCs w:val="21"/>
                      </w:rPr>
                      <w:t>估价报告出具日期：</w:t>
                    </w:r>
                  </w:p>
                  <w:p>
                    <w:pPr>
                      <w:pStyle w:val="Style30"/>
                      <w:spacing w:lineRule="exact" w:line="320"/>
                      <w:ind w:left="360" w:hanging="0"/>
                      <w:textAlignment w:val="bottom"/>
                      <w:rPr/>
                    </w:pPr>
                    <w:r>
                      <w:rPr>
                        <w:rFonts w:eastAsia="方正黑体简体;微软雅黑" w:cs="Arial" w:ascii="Arial" w:hAnsi="Arial"/>
                        <w:sz w:val="21"/>
                        <w:szCs w:val="21"/>
                      </w:rPr>
                      <w:t>2024</w:t>
                    </w:r>
                    <w:r>
                      <w:rPr>
                        <w:rFonts w:ascii="Arial" w:hAnsi="Arial" w:cs="Arial" w:eastAsia="方正黑体简体;微软雅黑"/>
                        <w:sz w:val="21"/>
                        <w:szCs w:val="21"/>
                      </w:rPr>
                      <w:t>年</w:t>
                    </w:r>
                    <w:r>
                      <w:rPr>
                        <w:rFonts w:eastAsia="方正黑体简体;微软雅黑" w:cs="Arial" w:ascii="Arial" w:hAnsi="Arial"/>
                        <w:sz w:val="21"/>
                        <w:szCs w:val="21"/>
                      </w:rPr>
                      <w:t>7</w:t>
                    </w:r>
                    <w:r>
                      <w:rPr>
                        <w:rFonts w:ascii="Arial" w:hAnsi="Arial" w:cs="Arial" w:eastAsia="方正黑体简体;微软雅黑"/>
                        <w:sz w:val="21"/>
                        <w:szCs w:val="21"/>
                      </w:rPr>
                      <w:t>月</w:t>
                    </w:r>
                    <w:r>
                      <w:rPr>
                        <w:rFonts w:eastAsia="方正黑体简体;微软雅黑" w:cs="Arial" w:ascii="Arial" w:hAnsi="Arial"/>
                        <w:sz w:val="21"/>
                        <w:szCs w:val="21"/>
                      </w:rPr>
                      <w:t>25</w:t>
                    </w:r>
                    <w:r>
                      <w:rPr>
                        <w:rFonts w:ascii="Arial" w:hAnsi="Arial" w:cs="Arial" w:eastAsia="方正黑体简体;微软雅黑"/>
                        <w:sz w:val="21"/>
                        <w:szCs w:val="21"/>
                      </w:rPr>
                      <w:t>日</w:t>
                    </w:r>
                  </w:p>
                </w:txbxContent>
              </v:textbox>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jc w:val="both"/>
      <w:rPr>
        <w:lang w:val="zh-CN" w:eastAsia="zh-CN"/>
      </w:rPr>
    </w:pPr>
    <w:r>
      <w:rPr>
        <w:lang w:val="zh-CN" w:eastAsia="zh-CN"/>
      </w:rPr>
      <w:drawing>
        <wp:inline distT="0" distB="0" distL="0" distR="0">
          <wp:extent cx="5902325" cy="285750"/>
          <wp:effectExtent l="0" t="0" r="0" b="0"/>
          <wp:docPr id="29" name="图像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像17"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rPr>
        <w:lang w:val="zh-CN" w:eastAsia="zh-CN"/>
      </w:rPr>
    </w:pPr>
    <w:r>
      <w:rPr>
        <w:lang w:val="zh-CN" w:eastAsia="zh-CN"/>
      </w:rPr>
      <w:drawing>
        <wp:inline distT="0" distB="0" distL="0" distR="0">
          <wp:extent cx="5902325" cy="285750"/>
          <wp:effectExtent l="0" t="0" r="0" b="0"/>
          <wp:docPr id="30" name="图像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像18"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rPr>
        <w:lang w:val="zh-CN" w:eastAsia="zh-CN"/>
      </w:rPr>
    </w:pPr>
    <w:r>
      <w:rPr>
        <w:lang w:val="zh-CN" w:eastAsia="zh-CN"/>
      </w:rPr>
      <w:drawing>
        <wp:inline distT="0" distB="0" distL="0" distR="0">
          <wp:extent cx="5902325" cy="285750"/>
          <wp:effectExtent l="0" t="0" r="0" b="0"/>
          <wp:docPr id="5" name="图像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0"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jc w:val="both"/>
      <w:rPr>
        <w:lang w:val="zh-CN" w:eastAsia="zh-CN"/>
      </w:rPr>
    </w:pPr>
    <w:r>
      <w:rPr>
        <w:lang w:val="zh-CN" w:eastAsia="zh-CN"/>
      </w:rPr>
      <w:drawing>
        <wp:inline distT="0" distB="0" distL="0" distR="0">
          <wp:extent cx="5902325" cy="285750"/>
          <wp:effectExtent l="0" t="0" r="0" b="0"/>
          <wp:docPr id="6" name="图像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1"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rPr>
        <w:lang w:val="zh-CN" w:eastAsia="zh-CN"/>
      </w:rPr>
    </w:pPr>
    <w:r>
      <w:rPr>
        <w:lang w:val="zh-CN" w:eastAsia="zh-CN"/>
      </w:rPr>
      <w:drawing>
        <wp:inline distT="0" distB="0" distL="0" distR="0">
          <wp:extent cx="5902325" cy="285750"/>
          <wp:effectExtent l="0" t="0" r="0" b="0"/>
          <wp:docPr id="7" name="图像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2"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lang w:val="zh-CN" w:eastAsia="zh-CN"/>
      </w:rPr>
    </w:pPr>
    <w:r>
      <w:rPr>
        <w:lang w:val="zh-CN" w:eastAsia="zh-CN"/>
      </w:rPr>
      <w:drawing>
        <wp:inline distT="0" distB="0" distL="0" distR="0">
          <wp:extent cx="5902325" cy="285750"/>
          <wp:effectExtent l="0" t="0" r="0" b="0"/>
          <wp:docPr id="8" name="图像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像13"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jc w:val="both"/>
      <w:rPr>
        <w:lang w:val="zh-CN" w:eastAsia="zh-CN"/>
      </w:rPr>
    </w:pPr>
    <w:r>
      <w:rPr>
        <w:lang w:val="zh-CN" w:eastAsia="zh-CN"/>
      </w:rPr>
      <w:drawing>
        <wp:inline distT="0" distB="0" distL="0" distR="0">
          <wp:extent cx="5902325" cy="285750"/>
          <wp:effectExtent l="0" t="0" r="0" b="0"/>
          <wp:docPr id="9" name="图像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4"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jc w:val="both"/>
      <w:rPr>
        <w:lang w:val="zh-CN" w:eastAsia="zh-CN"/>
      </w:rPr>
    </w:pPr>
    <w:r>
      <w:rPr>
        <w:lang w:val="zh-CN" w:eastAsia="zh-CN"/>
      </w:rPr>
      <w:drawing>
        <wp:inline distT="0" distB="0" distL="0" distR="0">
          <wp:extent cx="5902325" cy="285750"/>
          <wp:effectExtent l="0" t="0" r="0" b="0"/>
          <wp:docPr id="10" name="图像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15"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bottom w:val="nil"/>
      </w:pBdr>
      <w:jc w:val="both"/>
      <w:rPr>
        <w:lang w:val="zh-CN" w:eastAsia="zh-CN"/>
      </w:rPr>
    </w:pPr>
    <w:r>
      <w:rPr>
        <w:lang w:val="zh-CN" w:eastAsia="zh-CN"/>
      </w:rPr>
      <w:drawing>
        <wp:inline distT="0" distB="0" distL="0" distR="0">
          <wp:extent cx="5902325" cy="285750"/>
          <wp:effectExtent l="0" t="0" r="0" b="0"/>
          <wp:docPr id="18" name="图像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像16" descr=""/>
                  <pic:cNvPicPr>
                    <a:picLocks noChangeAspect="1" noChangeArrowheads="1"/>
                  </pic:cNvPicPr>
                </pic:nvPicPr>
                <pic:blipFill>
                  <a:blip r:embed="rId1"/>
                  <a:srcRect l="-1" t="-40" r="-1" b="-40"/>
                  <a:stretch>
                    <a:fillRect/>
                  </a:stretch>
                </pic:blipFill>
                <pic:spPr bwMode="auto">
                  <a:xfrm>
                    <a:off x="0" y="0"/>
                    <a:ext cx="5902325" cy="28575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846" w:hanging="420"/>
      </w:pPr>
      <w:rPr>
        <w:sz w:val="21"/>
        <w:spacing w:val="0"/>
        <w:kern w:val="0"/>
        <w:szCs w:val="21"/>
        <w:rFonts w:ascii="Arial" w:hAnsi="Arial" w:cs="Arial"/>
        <w:color w:val="000000"/>
      </w:rPr>
    </w:lvl>
  </w:abstractNum>
  <w:abstractNum w:abstractNumId="3">
    <w:lvl w:ilvl="0">
      <w:start w:val="1"/>
      <w:numFmt w:val="decimal"/>
      <w:lvlText w:val="%1."/>
      <w:lvlJc w:val="left"/>
      <w:pPr>
        <w:ind w:left="845" w:hanging="420"/>
      </w:pPr>
      <w:rPr>
        <w:sz w:val="21"/>
        <w:szCs w:val="21"/>
        <w:rFonts w:ascii="Arial" w:hAnsi="Arial" w:cs="Arial"/>
      </w:rPr>
    </w:lvl>
  </w:abstractNum>
  <w:abstractNum w:abstractNumId="4">
    <w:lvl w:ilvl="0">
      <w:start w:val="3"/>
      <w:numFmt w:val="decimal"/>
      <w:lvlText w:val="（%1）"/>
      <w:lvlJc w:val="left"/>
      <w:pPr>
        <w:tabs>
          <w:tab w:val="num" w:pos="1320"/>
        </w:tabs>
        <w:ind w:left="1320" w:hanging="720"/>
      </w:pPr>
      <w:rPr/>
    </w:lvl>
    <w:lvl w:ilvl="1">
      <w:start w:val="1"/>
      <w:numFmt w:val="upperLetter"/>
      <w:lvlText w:val="%2、"/>
      <w:lvlJc w:val="left"/>
      <w:pPr>
        <w:tabs>
          <w:tab w:val="num" w:pos="1740"/>
        </w:tabs>
        <w:ind w:left="1740" w:hanging="720"/>
      </w:pPr>
      <w:rPr/>
    </w:lvl>
    <w:lvl w:ilvl="2">
      <w:start w:val="1"/>
      <w:numFmt w:val="lowerRoman"/>
      <w:lvlText w:val="%3."/>
      <w:lvlJc w:val="right"/>
      <w:pPr>
        <w:tabs>
          <w:tab w:val="num" w:pos="1860"/>
        </w:tabs>
        <w:ind w:left="1860" w:hanging="420"/>
      </w:pPr>
      <w:rPr/>
    </w:lvl>
    <w:lvl w:ilvl="3">
      <w:start w:val="1"/>
      <w:numFmt w:val="decimal"/>
      <w:lvlText w:val="%4."/>
      <w:lvlJc w:val="left"/>
      <w:pPr>
        <w:tabs>
          <w:tab w:val="num" w:pos="2280"/>
        </w:tabs>
        <w:ind w:left="2280" w:hanging="420"/>
      </w:pPr>
      <w:rPr/>
    </w:lvl>
    <w:lvl w:ilvl="4">
      <w:start w:val="1"/>
      <w:numFmt w:val="lowerLetter"/>
      <w:lvlText w:val="%5)"/>
      <w:lvlJc w:val="left"/>
      <w:pPr>
        <w:tabs>
          <w:tab w:val="num" w:pos="2700"/>
        </w:tabs>
        <w:ind w:left="2700" w:hanging="420"/>
      </w:pPr>
      <w:rPr/>
    </w:lvl>
    <w:lvl w:ilvl="5">
      <w:start w:val="1"/>
      <w:numFmt w:val="lowerRoman"/>
      <w:lvlText w:val="%6."/>
      <w:lvlJc w:val="right"/>
      <w:pPr>
        <w:tabs>
          <w:tab w:val="num" w:pos="3120"/>
        </w:tabs>
        <w:ind w:left="3120" w:hanging="420"/>
      </w:pPr>
      <w:rPr/>
    </w:lvl>
    <w:lvl w:ilvl="6">
      <w:start w:val="1"/>
      <w:numFmt w:val="decimal"/>
      <w:lvlText w:val="%7."/>
      <w:lvlJc w:val="left"/>
      <w:pPr>
        <w:tabs>
          <w:tab w:val="num" w:pos="3540"/>
        </w:tabs>
        <w:ind w:left="3540" w:hanging="420"/>
      </w:pPr>
      <w:rPr/>
    </w:lvl>
    <w:lvl w:ilvl="7">
      <w:start w:val="1"/>
      <w:numFmt w:val="lowerLetter"/>
      <w:lvlText w:val="%8)"/>
      <w:lvlJc w:val="left"/>
      <w:pPr>
        <w:tabs>
          <w:tab w:val="num" w:pos="3960"/>
        </w:tabs>
        <w:ind w:left="3960" w:hanging="420"/>
      </w:pPr>
      <w:rPr/>
    </w:lvl>
    <w:lvl w:ilvl="8">
      <w:start w:val="1"/>
      <w:numFmt w:val="lowerRoman"/>
      <w:lvlText w:val="%9."/>
      <w:lvlJc w:val="right"/>
      <w:pPr>
        <w:tabs>
          <w:tab w:val="num" w:pos="4380"/>
        </w:tabs>
        <w:ind w:left="4380" w:hanging="420"/>
      </w:pPr>
      <w:rPr/>
    </w:lvl>
  </w:abstractNum>
  <w:abstractNum w:abstractNumId="5">
    <w:lvl w:ilvl="0">
      <w:start w:val="1"/>
      <w:numFmt w:val="decimal"/>
      <w:lvlText w:val="%1."/>
      <w:lvlJc w:val="left"/>
      <w:pPr>
        <w:ind w:left="420" w:hanging="420"/>
      </w:pPr>
      <w:rPr>
        <w:sz w:val="21"/>
        <w:kern w:val="2"/>
        <w:szCs w:val="21"/>
        <w:rFonts w:ascii="Arial" w:hAnsi="Arial" w:cs="Arial"/>
        <w:color w:val="000000"/>
      </w:rPr>
    </w:lvl>
  </w:abstractNum>
  <w:abstractNum w:abstractNumId="6">
    <w:lvl w:ilvl="0">
      <w:start w:val="1"/>
      <w:numFmt w:val="decimal"/>
      <w:lvlText w:val="%1."/>
      <w:lvlJc w:val="left"/>
      <w:pPr>
        <w:ind w:left="845" w:hanging="420"/>
      </w:pPr>
      <w:rPr>
        <w:sz w:val="21"/>
        <w:szCs w:val="21"/>
        <w:rFonts w:ascii="Arial" w:hAnsi="Arial" w:cs="Arial"/>
      </w:rPr>
    </w:lvl>
  </w:abstractNum>
  <w:abstractNum w:abstractNumId="7">
    <w:lvl w:ilvl="0">
      <w:start w:val="1"/>
      <w:numFmt w:val="decimal"/>
      <w:lvlText w:val="%1."/>
      <w:lvlJc w:val="left"/>
      <w:pPr>
        <w:ind w:left="840" w:hanging="420"/>
      </w:pPr>
      <w:rPr>
        <w:sz w:val="21"/>
        <w:szCs w:val="21"/>
        <w:rFonts w:ascii="Arial" w:hAnsi="Arial" w:cs="Arial"/>
      </w:rPr>
    </w:lvl>
  </w:abstractNum>
  <w:abstractNum w:abstractNumId="8">
    <w:lvl w:ilvl="0">
      <w:start w:val="1"/>
      <w:numFmt w:val="decimal"/>
      <w:lvlText w:val="%1."/>
      <w:lvlJc w:val="left"/>
      <w:pPr>
        <w:ind w:left="842" w:hanging="420"/>
      </w:pPr>
      <w:rPr/>
    </w:lvl>
    <w:lvl w:ilvl="1">
      <w:start w:val="1"/>
      <w:numFmt w:val="lowerLetter"/>
      <w:lvlText w:val="%2)"/>
      <w:lvlJc w:val="left"/>
      <w:pPr>
        <w:ind w:left="1262" w:hanging="420"/>
      </w:pPr>
      <w:rPr/>
    </w:lvl>
    <w:lvl w:ilvl="2">
      <w:start w:val="1"/>
      <w:numFmt w:val="lowerRoman"/>
      <w:lvlText w:val="%3."/>
      <w:lvlJc w:val="right"/>
      <w:pPr>
        <w:ind w:left="1682" w:hanging="420"/>
      </w:pPr>
      <w:rPr/>
    </w:lvl>
    <w:lvl w:ilvl="3">
      <w:start w:val="1"/>
      <w:numFmt w:val="decimal"/>
      <w:lvlText w:val="%4."/>
      <w:lvlJc w:val="left"/>
      <w:pPr>
        <w:ind w:left="2102" w:hanging="420"/>
      </w:pPr>
      <w:rPr>
        <w:sz w:val="21"/>
        <w:szCs w:val="21"/>
        <w:rFonts w:ascii="Arial" w:hAnsi="Arial" w:cs="Arial"/>
      </w:rPr>
    </w:lvl>
    <w:lvl w:ilvl="4">
      <w:start w:val="1"/>
      <w:numFmt w:val="lowerLetter"/>
      <w:lvlText w:val="%5)"/>
      <w:lvlJc w:val="left"/>
      <w:pPr>
        <w:ind w:left="2522" w:hanging="420"/>
      </w:pPr>
      <w:rPr/>
    </w:lvl>
    <w:lvl w:ilvl="5">
      <w:start w:val="1"/>
      <w:numFmt w:val="lowerRoman"/>
      <w:lvlText w:val="%6."/>
      <w:lvlJc w:val="right"/>
      <w:pPr>
        <w:ind w:left="2942" w:hanging="420"/>
      </w:pPr>
      <w:rPr/>
    </w:lvl>
    <w:lvl w:ilvl="6">
      <w:start w:val="1"/>
      <w:numFmt w:val="decimal"/>
      <w:lvlText w:val="%7."/>
      <w:lvlJc w:val="left"/>
      <w:pPr>
        <w:ind w:left="3362" w:hanging="420"/>
      </w:pPr>
      <w:rPr/>
    </w:lvl>
    <w:lvl w:ilvl="7">
      <w:start w:val="1"/>
      <w:numFmt w:val="lowerLetter"/>
      <w:lvlText w:val="%8)"/>
      <w:lvlJc w:val="left"/>
      <w:pPr>
        <w:ind w:left="3782" w:hanging="420"/>
      </w:pPr>
      <w:rPr/>
    </w:lvl>
    <w:lvl w:ilvl="8">
      <w:start w:val="1"/>
      <w:numFmt w:val="lowerRoman"/>
      <w:lvlText w:val="%9."/>
      <w:lvlJc w:val="right"/>
      <w:pPr>
        <w:ind w:left="4202" w:hanging="420"/>
      </w:pPr>
      <w:rPr/>
    </w:lvl>
  </w:abstractNum>
  <w:abstractNum w:abstractNumId="9">
    <w:lvl w:ilvl="0">
      <w:numFmt w:val="bullet"/>
      <w:lvlText w:val="—"/>
      <w:lvlJc w:val="left"/>
      <w:pPr>
        <w:ind w:left="360" w:hanging="360"/>
      </w:pPr>
      <w:rPr>
        <w:rFonts w:ascii="微软雅黑" w:hAnsi="微软雅黑" w:cs="微软雅黑" w:hint="default"/>
        <w:sz w:val="21"/>
        <w:szCs w:val="21"/>
        <w:rFonts w:cs="Times New Roman"/>
      </w:rPr>
    </w:lvl>
  </w:abstractNum>
  <w:abstractNum w:abstractNumId="10">
    <w:lvl w:ilvl="0">
      <w:start w:val="1"/>
      <w:numFmt w:val="upperRoman"/>
      <w:lvlText w:val="%1、"/>
      <w:lvlJc w:val="left"/>
      <w:pPr>
        <w:tabs>
          <w:tab w:val="num" w:pos="1605"/>
        </w:tabs>
        <w:ind w:left="1605" w:hanging="1080"/>
      </w:pPr>
      <w:rPr/>
    </w:lvl>
  </w:abstractNum>
  <w:abstractNum w:abstractNumId="11">
    <w:lvl w:ilvl="0">
      <w:start w:val="1"/>
      <w:numFmt w:val="decimal"/>
      <w:lvlText w:val="%1."/>
      <w:lvlJc w:val="left"/>
      <w:pPr>
        <w:ind w:left="704" w:hanging="420"/>
      </w:pPr>
      <w:rPr>
        <w:sz w:val="21"/>
        <w:szCs w:val="21"/>
        <w:rFonts w:ascii="Arial" w:hAnsi="Arial" w:cs="Arial"/>
      </w:rPr>
    </w:lvl>
  </w:abstractNum>
  <w:abstractNum w:abstractNumId="12">
    <w:lvl w:ilvl="0">
      <w:start w:val="1"/>
      <w:numFmt w:val="upperLetter"/>
      <w:lvlText w:val="%1."/>
      <w:lvlJc w:val="left"/>
      <w:pPr>
        <w:tabs>
          <w:tab w:val="num" w:pos="360"/>
        </w:tabs>
        <w:ind w:left="360" w:hanging="360"/>
      </w:pPr>
      <w:rPr>
        <w:b w:val="fals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20"/>
  <w:defaultTabStop w:val="420"/>
  <w:compat>
    <w:doNotExpandShiftReturn/>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新宋体" w:cs="Lucida Sans"/>
        <w:szCs w:val="24"/>
        <w:lang w:val="en-US" w:eastAsia="zh-CN" w:bidi="hi-IN"/>
      </w:rPr>
    </w:rPrDefault>
    <w:pPrDefault>
      <w:pPr/>
    </w:pPrDefault>
  </w:docDefaults>
  <w:style w:type="paragraph" w:styleId="Normal">
    <w:name w:val="Normal"/>
    <w:qFormat/>
    <w:pPr>
      <w:widowControl w:val="false"/>
      <w:bidi w:val="0"/>
      <w:spacing w:lineRule="atLeast" w:line="360"/>
      <w:textAlignment w:val="baseline"/>
    </w:pPr>
    <w:rPr>
      <w:rFonts w:ascii="Times New Roman" w:hAnsi="Times New Roman" w:eastAsia="宋体;SimSun" w:cs="Times New Roman"/>
      <w:color w:val="auto"/>
      <w:sz w:val="24"/>
      <w:szCs w:val="20"/>
      <w:lang w:val="en-US" w:eastAsia="zh-CN" w:bidi="ar-SA"/>
    </w:rPr>
  </w:style>
  <w:style w:type="paragraph" w:styleId="1">
    <w:name w:val="Heading 1"/>
    <w:basedOn w:val="Normal"/>
    <w:next w:val="Normal"/>
    <w:qFormat/>
    <w:pPr>
      <w:keepNext w:val="true"/>
      <w:spacing w:lineRule="auto" w:line="300"/>
      <w:jc w:val="both"/>
      <w:outlineLvl w:val="0"/>
    </w:pPr>
    <w:rPr>
      <w:rFonts w:ascii="Arial" w:hAnsi="Arial" w:eastAsia="仿宋_GB2312;仿宋" w:cs="Arial"/>
      <w:b/>
      <w:sz w:val="28"/>
    </w:rPr>
  </w:style>
  <w:style w:type="paragraph" w:styleId="2">
    <w:name w:val="Heading 2"/>
    <w:basedOn w:val="Normal"/>
    <w:next w:val="Normal"/>
    <w:qFormat/>
    <w:pPr>
      <w:keepNext w:val="true"/>
      <w:numPr>
        <w:ilvl w:val="0"/>
        <w:numId w:val="12"/>
      </w:numPr>
      <w:spacing w:lineRule="auto" w:line="300"/>
      <w:outlineLvl w:val="1"/>
    </w:pPr>
    <w:rPr>
      <w:rFonts w:ascii="Arial" w:hAnsi="Arial" w:eastAsia="仿宋_GB2312;仿宋" w:cs="Arial"/>
      <w:b/>
      <w:bCs/>
      <w:sz w:val="28"/>
    </w:rPr>
  </w:style>
  <w:style w:type="paragraph" w:styleId="3">
    <w:name w:val="Heading 3"/>
    <w:basedOn w:val="Normal"/>
    <w:next w:val="Normal"/>
    <w:qFormat/>
    <w:pPr>
      <w:keepNext w:val="true"/>
      <w:numPr>
        <w:ilvl w:val="0"/>
        <w:numId w:val="4"/>
      </w:numPr>
      <w:tabs>
        <w:tab w:val="clear" w:pos="709"/>
        <w:tab w:val="left" w:pos="0" w:leader="none"/>
        <w:tab w:val="left" w:pos="1200" w:leader="none"/>
      </w:tabs>
      <w:spacing w:lineRule="atLeast" w:line="440"/>
      <w:ind w:left="1320" w:hanging="600"/>
      <w:jc w:val="both"/>
      <w:outlineLvl w:val="2"/>
    </w:pPr>
    <w:rPr>
      <w:rFonts w:ascii="仿宋_GB2312;仿宋" w:hAnsi="仿宋_GB2312;仿宋" w:eastAsia="仿宋_GB2312;仿宋" w:cs="Arial"/>
      <w:sz w:val="28"/>
    </w:rPr>
  </w:style>
  <w:style w:type="paragraph" w:styleId="4">
    <w:name w:val="Heading 4"/>
    <w:basedOn w:val="Normal"/>
    <w:next w:val="Normal"/>
    <w:qFormat/>
    <w:pPr>
      <w:keepNext w:val="true"/>
      <w:numPr>
        <w:ilvl w:val="0"/>
        <w:numId w:val="10"/>
      </w:numPr>
      <w:tabs>
        <w:tab w:val="clear" w:pos="709"/>
      </w:tabs>
      <w:spacing w:lineRule="atLeast" w:line="440"/>
      <w:ind w:right="-22" w:hanging="0"/>
      <w:outlineLvl w:val="3"/>
    </w:pPr>
    <w:rPr>
      <w:rFonts w:ascii="仿宋_GB2312;仿宋" w:hAnsi="仿宋_GB2312;仿宋" w:eastAsia="仿宋_GB2312;仿宋"/>
      <w:sz w:val="28"/>
    </w:rPr>
  </w:style>
  <w:style w:type="paragraph" w:styleId="5">
    <w:name w:val="Heading 5"/>
    <w:basedOn w:val="Normal"/>
    <w:next w:val="Normal"/>
    <w:qFormat/>
    <w:pPr>
      <w:keepNext w:val="true"/>
      <w:spacing w:lineRule="exact" w:line="500"/>
      <w:jc w:val="center"/>
      <w:outlineLvl w:val="4"/>
    </w:pPr>
    <w:rPr>
      <w:rFonts w:ascii="楷体_GB2312;楷体" w:hAnsi="楷体_GB2312;楷体" w:eastAsia="楷体_GB2312;楷体"/>
      <w:color w:val="000000"/>
      <w:sz w:val="28"/>
    </w:rPr>
  </w:style>
  <w:style w:type="character" w:styleId="WW8Num1z0">
    <w:name w:val="WW8Num1z0"/>
    <w:qFormat/>
    <w:rPr/>
  </w:style>
  <w:style w:type="character" w:styleId="WW8Num2z0">
    <w:name w:val="WW8Num2z0"/>
    <w:qFormat/>
    <w:rPr/>
  </w:style>
  <w:style w:type="character" w:styleId="WW8Num3z0">
    <w:name w:val="WW8Num3z0"/>
    <w:qFormat/>
    <w:rPr>
      <w:rFonts w:ascii="Wingdings" w:hAnsi="Wingdings" w:cs="Wingdings"/>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Arial" w:hAnsi="Arial" w:cs="Arial"/>
      <w:color w:val="000000"/>
      <w:spacing w:val="0"/>
      <w:kern w:val="0"/>
      <w:sz w:val="21"/>
      <w:szCs w:val="21"/>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Arial" w:hAnsi="Arial" w:cs="Arial"/>
      <w:sz w:val="21"/>
      <w:szCs w:val="21"/>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Arial" w:hAnsi="Arial" w:cs="Arial"/>
      <w:color w:val="000000"/>
      <w:kern w:val="2"/>
      <w:sz w:val="21"/>
      <w:szCs w:val="21"/>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Arial" w:hAnsi="Arial" w:cs="Arial"/>
      <w:sz w:val="21"/>
      <w:szCs w:val="21"/>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Arial" w:hAnsi="Arial" w:cs="Arial"/>
      <w:sz w:val="21"/>
      <w:szCs w:val="21"/>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rFonts w:ascii="Arial" w:hAnsi="Arial" w:cs="Arial"/>
      <w:sz w:val="21"/>
      <w:szCs w:val="21"/>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微软雅黑" w:hAnsi="微软雅黑" w:eastAsia="微软雅黑" w:cs="Times New Roman"/>
      <w:sz w:val="21"/>
      <w:szCs w:val="21"/>
    </w:rPr>
  </w:style>
  <w:style w:type="character" w:styleId="WW8Num29z1">
    <w:name w:val="WW8Num29z1"/>
    <w:qFormat/>
    <w:rPr>
      <w:rFonts w:ascii="Wingdings" w:hAnsi="Wingdings" w:cs="Wingdings"/>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rFonts w:ascii="Marlett" w:hAnsi="Marlett" w:cs="Marlett"/>
    </w:rPr>
  </w:style>
  <w:style w:type="character" w:styleId="WW8Num35z0">
    <w:name w:val="WW8Num35z0"/>
    <w:qFormat/>
    <w:rPr>
      <w:rFonts w:ascii="Arial" w:hAnsi="Arial" w:cs="Arial"/>
      <w:sz w:val="21"/>
      <w:szCs w:val="21"/>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style>
  <w:style w:type="character" w:styleId="WW8Num38z1">
    <w:name w:val="WW8Num38z1"/>
    <w:qFormat/>
    <w:rPr/>
  </w:style>
  <w:style w:type="character" w:styleId="WW8Num38z2">
    <w:name w:val="WW8Num38z2"/>
    <w:qFormat/>
    <w:rPr/>
  </w:style>
  <w:style w:type="character" w:styleId="WW8Num38z3">
    <w:name w:val="WW8Num38z3"/>
    <w:qFormat/>
    <w:rPr/>
  </w:style>
  <w:style w:type="character" w:styleId="WW8Num38z4">
    <w:name w:val="WW8Num38z4"/>
    <w:qFormat/>
    <w:rPr/>
  </w:style>
  <w:style w:type="character" w:styleId="WW8Num38z5">
    <w:name w:val="WW8Num38z5"/>
    <w:qFormat/>
    <w:rPr/>
  </w:style>
  <w:style w:type="character" w:styleId="WW8Num38z6">
    <w:name w:val="WW8Num38z6"/>
    <w:qFormat/>
    <w:rPr/>
  </w:style>
  <w:style w:type="character" w:styleId="WW8Num38z7">
    <w:name w:val="WW8Num38z7"/>
    <w:qFormat/>
    <w:rPr/>
  </w:style>
  <w:style w:type="character" w:styleId="WW8Num38z8">
    <w:name w:val="WW8Num38z8"/>
    <w:qFormat/>
    <w:rPr/>
  </w:style>
  <w:style w:type="character" w:styleId="WW8Num39z0">
    <w:name w:val="WW8Num39z0"/>
    <w:qFormat/>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0">
    <w:name w:val="WW8Num40z0"/>
    <w:qFormat/>
    <w:rPr>
      <w:b w:val="false"/>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0">
    <w:name w:val="WW8Num42z0"/>
    <w:qFormat/>
    <w:rPr/>
  </w:style>
  <w:style w:type="character" w:styleId="WW8Num42z2">
    <w:name w:val="WW8Num42z2"/>
    <w:qFormat/>
    <w:rPr/>
  </w:style>
  <w:style w:type="character" w:styleId="WW8Num42z3">
    <w:name w:val="WW8Num42z3"/>
    <w:qFormat/>
    <w:rPr/>
  </w:style>
  <w:style w:type="character" w:styleId="WW8Num42z4">
    <w:name w:val="WW8Num42z4"/>
    <w:qFormat/>
    <w:rPr/>
  </w:style>
  <w:style w:type="character" w:styleId="WW8Num42z5">
    <w:name w:val="WW8Num42z5"/>
    <w:qFormat/>
    <w:rPr/>
  </w:style>
  <w:style w:type="character" w:styleId="WW8Num42z6">
    <w:name w:val="WW8Num42z6"/>
    <w:qFormat/>
    <w:rPr/>
  </w:style>
  <w:style w:type="character" w:styleId="WW8Num42z7">
    <w:name w:val="WW8Num42z7"/>
    <w:qFormat/>
    <w:rPr/>
  </w:style>
  <w:style w:type="character" w:styleId="WW8Num42z8">
    <w:name w:val="WW8Num42z8"/>
    <w:qFormat/>
    <w:rPr/>
  </w:style>
  <w:style w:type="character" w:styleId="Style9">
    <w:name w:val="默认段落字体"/>
    <w:qFormat/>
    <w:rPr/>
  </w:style>
  <w:style w:type="character" w:styleId="Style10">
    <w:name w:val="页码"/>
    <w:basedOn w:val="Style9"/>
    <w:rPr/>
  </w:style>
  <w:style w:type="character" w:styleId="Text1">
    <w:name w:val="text1"/>
    <w:qFormat/>
    <w:rPr>
      <w:spacing w:val="10"/>
      <w:sz w:val="28"/>
      <w:szCs w:val="28"/>
    </w:rPr>
  </w:style>
  <w:style w:type="character" w:styleId="Style11">
    <w:name w:val="特别强调"/>
    <w:qFormat/>
    <w:rPr>
      <w:b/>
      <w:bCs/>
    </w:rPr>
  </w:style>
  <w:style w:type="character" w:styleId="Internet">
    <w:name w:val="Internet 链接"/>
    <w:rPr>
      <w:color w:val="0000FF"/>
      <w:u w:val="single"/>
    </w:rPr>
  </w:style>
  <w:style w:type="character" w:styleId="Internet1">
    <w:name w:val="访问过的 Internet 链接"/>
    <w:rPr>
      <w:color w:val="800080"/>
      <w:u w:val="single"/>
    </w:rPr>
  </w:style>
  <w:style w:type="character" w:styleId="Unnamed11">
    <w:name w:val="unnamed11"/>
    <w:qFormat/>
    <w:rPr>
      <w:rFonts w:ascii="宋体;SimSun" w:hAnsi="宋体;SimSun" w:eastAsia="宋体;SimSun" w:cs="宋体;SimSun"/>
      <w:strike w:val="false"/>
      <w:dstrike w:val="false"/>
      <w:color w:val="000000"/>
      <w:sz w:val="18"/>
      <w:szCs w:val="18"/>
      <w:u w:val="none"/>
    </w:rPr>
  </w:style>
  <w:style w:type="character" w:styleId="T12h291">
    <w:name w:val="t12h291"/>
    <w:qFormat/>
    <w:rPr>
      <w:color w:val="000000"/>
      <w:sz w:val="24"/>
      <w:szCs w:val="24"/>
    </w:rPr>
  </w:style>
  <w:style w:type="character" w:styleId="Style12">
    <w:name w:val="批注引用"/>
    <w:qFormat/>
    <w:rPr>
      <w:sz w:val="21"/>
      <w:szCs w:val="21"/>
    </w:rPr>
  </w:style>
  <w:style w:type="character" w:styleId="Nr1">
    <w:name w:val="nr1"/>
    <w:qFormat/>
    <w:rPr>
      <w:rFonts w:ascii="楷体_GB2312;楷体" w:hAnsi="楷体_GB2312;楷体" w:eastAsia="楷体_GB2312;楷体"/>
      <w:color w:val="000000"/>
      <w:sz w:val="24"/>
      <w:szCs w:val="24"/>
    </w:rPr>
  </w:style>
  <w:style w:type="character" w:styleId="5Char">
    <w:name w:val="标题 5 Char"/>
    <w:qFormat/>
    <w:rPr>
      <w:rFonts w:ascii="楷体_GB2312;楷体" w:hAnsi="楷体_GB2312;楷体" w:eastAsia="楷体_GB2312;楷体"/>
      <w:color w:val="000000"/>
      <w:sz w:val="28"/>
    </w:rPr>
  </w:style>
  <w:style w:type="character" w:styleId="Char">
    <w:name w:val="页脚 Char"/>
    <w:qFormat/>
    <w:rPr>
      <w:sz w:val="18"/>
    </w:rPr>
  </w:style>
  <w:style w:type="character" w:styleId="Char1">
    <w:name w:val="页眉 Char"/>
    <w:qFormat/>
    <w:rPr>
      <w:sz w:val="18"/>
    </w:rPr>
  </w:style>
  <w:style w:type="character" w:styleId="Char2">
    <w:name w:val="文档结构图 Char"/>
    <w:qFormat/>
    <w:rPr>
      <w:sz w:val="24"/>
      <w:shd w:fill="000080" w:val="clear"/>
    </w:rPr>
  </w:style>
  <w:style w:type="character" w:styleId="Char3">
    <w:name w:val="无间隔 Char"/>
    <w:qFormat/>
    <w:rPr>
      <w:rFonts w:ascii="Calibri" w:hAnsi="Calibri" w:cs="Calibri"/>
      <w:sz w:val="22"/>
      <w:szCs w:val="22"/>
    </w:rPr>
  </w:style>
  <w:style w:type="character" w:styleId="Char4">
    <w:name w:val="批注文字 Char"/>
    <w:qFormat/>
    <w:rPr>
      <w:sz w:val="24"/>
    </w:rPr>
  </w:style>
  <w:style w:type="character" w:styleId="Lblwname">
    <w:name w:val="lblwname"/>
    <w:qFormat/>
    <w:rPr/>
  </w:style>
  <w:style w:type="character" w:styleId="Lblwtel">
    <w:name w:val="lblwtel"/>
    <w:qFormat/>
    <w:rPr/>
  </w:style>
  <w:style w:type="character" w:styleId="Font41">
    <w:name w:val="font41"/>
    <w:qFormat/>
    <w:rPr>
      <w:rFonts w:ascii="宋体;SimSun" w:hAnsi="宋体;SimSun" w:eastAsia="宋体;SimSun" w:cs="宋体;SimSun"/>
      <w:b/>
      <w:bCs/>
      <w:i w:val="false"/>
      <w:iCs w:val="false"/>
      <w:color w:val="000000"/>
      <w:sz w:val="20"/>
      <w:szCs w:val="20"/>
      <w:u w:val="none"/>
    </w:rPr>
  </w:style>
  <w:style w:type="character" w:styleId="Font51">
    <w:name w:val="font51"/>
    <w:qFormat/>
    <w:rPr>
      <w:rFonts w:ascii="宋体;SimSun" w:hAnsi="宋体;SimSun" w:eastAsia="宋体;SimSun" w:cs="宋体;SimSun"/>
      <w:i w:val="false"/>
      <w:iCs w:val="false"/>
      <w:color w:val="000000"/>
      <w:sz w:val="20"/>
      <w:szCs w:val="20"/>
      <w:u w:val="none"/>
    </w:rPr>
  </w:style>
  <w:style w:type="character" w:styleId="Font01">
    <w:name w:val="font01"/>
    <w:qFormat/>
    <w:rPr>
      <w:rFonts w:ascii="Arial" w:hAnsi="Arial" w:cs="Arial"/>
      <w:i w:val="false"/>
      <w:iCs w:val="false"/>
      <w:color w:val="000000"/>
      <w:sz w:val="20"/>
      <w:szCs w:val="20"/>
      <w:u w:val="none"/>
    </w:rPr>
  </w:style>
  <w:style w:type="character" w:styleId="Style13">
    <w:name w:val="未处理的提及"/>
    <w:qFormat/>
    <w:rPr>
      <w:color w:val="605E5C"/>
      <w:shd w:fill="E1DFDD" w:val="clear"/>
    </w:rPr>
  </w:style>
  <w:style w:type="character" w:styleId="Char5">
    <w:name w:val="日期 Char"/>
    <w:qFormat/>
    <w:rPr>
      <w:rFonts w:ascii="楷体_GB2312;楷体" w:hAnsi="楷体_GB2312;楷体" w:eastAsia="楷体_GB2312;楷体"/>
      <w:b/>
      <w:sz w:val="28"/>
    </w:rPr>
  </w:style>
  <w:style w:type="character" w:styleId="Font11">
    <w:name w:val="font11"/>
    <w:qFormat/>
    <w:rPr>
      <w:rFonts w:ascii="宋体;SimSun" w:hAnsi="宋体;SimSun" w:eastAsia="宋体;SimSun" w:cs="宋体;SimSun"/>
      <w:i w:val="false"/>
      <w:color w:val="000000"/>
      <w:sz w:val="22"/>
      <w:szCs w:val="22"/>
      <w:u w:val="none"/>
    </w:rPr>
  </w:style>
  <w:style w:type="paragraph" w:styleId="Style14">
    <w:name w:val="标题样式"/>
    <w:basedOn w:val="Normal"/>
    <w:next w:val="Style15"/>
    <w:qFormat/>
    <w:pPr>
      <w:keepNext w:val="true"/>
      <w:spacing w:before="240" w:after="120"/>
    </w:pPr>
    <w:rPr>
      <w:rFonts w:ascii="Liberation Sans" w:hAnsi="Liberation Sans" w:eastAsia="微软雅黑" w:cs="Lucida Sans"/>
      <w:sz w:val="28"/>
      <w:szCs w:val="28"/>
    </w:rPr>
  </w:style>
  <w:style w:type="paragraph" w:styleId="Style15">
    <w:name w:val="Body Text"/>
    <w:basedOn w:val="Normal"/>
    <w:pPr/>
    <w:rPr>
      <w:rFonts w:eastAsia="隶书"/>
      <w:sz w:val="52"/>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索引"/>
    <w:basedOn w:val="Normal"/>
    <w:qFormat/>
    <w:pPr>
      <w:suppressLineNumbers/>
    </w:pPr>
    <w:rPr>
      <w:rFonts w:cs="Lucida Sans"/>
    </w:rPr>
  </w:style>
  <w:style w:type="paragraph" w:styleId="Style19">
    <w:name w:val="Footer"/>
    <w:basedOn w:val="Normal"/>
    <w:pPr>
      <w:tabs>
        <w:tab w:val="clear" w:pos="709"/>
        <w:tab w:val="center" w:pos="4153" w:leader="none"/>
        <w:tab w:val="right" w:pos="8306" w:leader="none"/>
      </w:tabs>
      <w:spacing w:lineRule="atLeast" w:line="240"/>
    </w:pPr>
    <w:rPr>
      <w:sz w:val="18"/>
      <w:lang w:val="zh-CN"/>
    </w:rPr>
  </w:style>
  <w:style w:type="paragraph" w:styleId="Style20">
    <w:name w:val="Header"/>
    <w:basedOn w:val="Normal"/>
    <w:pPr>
      <w:pBdr>
        <w:bottom w:val="single" w:sz="6" w:space="1" w:color="000000"/>
      </w:pBdr>
      <w:tabs>
        <w:tab w:val="clear" w:pos="709"/>
        <w:tab w:val="center" w:pos="4153" w:leader="none"/>
        <w:tab w:val="right" w:pos="8306" w:leader="none"/>
      </w:tabs>
      <w:snapToGrid w:val="false"/>
      <w:spacing w:lineRule="atLeast" w:line="240"/>
      <w:jc w:val="center"/>
    </w:pPr>
    <w:rPr>
      <w:sz w:val="18"/>
      <w:lang w:val="zh-CN"/>
    </w:rPr>
  </w:style>
  <w:style w:type="paragraph" w:styleId="Style21">
    <w:name w:val="文档结构图"/>
    <w:basedOn w:val="Normal"/>
    <w:qFormat/>
    <w:pPr>
      <w:shd w:fill="000080" w:val="clear"/>
    </w:pPr>
    <w:rPr>
      <w:lang w:val="zh-CN"/>
    </w:rPr>
  </w:style>
  <w:style w:type="paragraph" w:styleId="Style22">
    <w:name w:val="Body Text Indent"/>
    <w:basedOn w:val="Normal"/>
    <w:pPr>
      <w:spacing w:lineRule="auto" w:line="360" w:before="120" w:after="0"/>
      <w:ind w:left="1145" w:hanging="0"/>
    </w:pPr>
    <w:rPr>
      <w:rFonts w:ascii="楷体_GB2312;楷体" w:hAnsi="楷体_GB2312;楷体" w:eastAsia="楷体_GB2312;楷体"/>
      <w:kern w:val="2"/>
      <w:sz w:val="28"/>
    </w:rPr>
  </w:style>
  <w:style w:type="paragraph" w:styleId="21">
    <w:name w:val="正文文本缩进 2"/>
    <w:basedOn w:val="Normal"/>
    <w:qFormat/>
    <w:pPr>
      <w:spacing w:lineRule="auto" w:line="360" w:before="120" w:after="0"/>
      <w:ind w:left="600" w:firstLine="480"/>
    </w:pPr>
    <w:rPr>
      <w:rFonts w:ascii="楷体_GB2312;楷体" w:hAnsi="楷体_GB2312;楷体" w:eastAsia="楷体_GB2312;楷体"/>
      <w:kern w:val="2"/>
      <w:sz w:val="28"/>
    </w:rPr>
  </w:style>
  <w:style w:type="paragraph" w:styleId="31">
    <w:name w:val="正文文本缩进 3"/>
    <w:basedOn w:val="Normal"/>
    <w:qFormat/>
    <w:pPr>
      <w:spacing w:lineRule="auto" w:line="360"/>
      <w:ind w:left="600" w:firstLine="555"/>
      <w:outlineLvl w:val="0"/>
    </w:pPr>
    <w:rPr>
      <w:rFonts w:ascii="楷体_GB2312;楷体" w:hAnsi="楷体_GB2312;楷体" w:eastAsia="楷体_GB2312;楷体"/>
      <w:kern w:val="2"/>
      <w:sz w:val="28"/>
    </w:rPr>
  </w:style>
  <w:style w:type="paragraph" w:styleId="Style23">
    <w:name w:val="日期"/>
    <w:basedOn w:val="Normal"/>
    <w:next w:val="Normal"/>
    <w:qFormat/>
    <w:pPr>
      <w:jc w:val="both"/>
    </w:pPr>
    <w:rPr>
      <w:rFonts w:ascii="楷体_GB2312;楷体" w:hAnsi="楷体_GB2312;楷体" w:eastAsia="楷体_GB2312;楷体"/>
      <w:b/>
      <w:sz w:val="28"/>
    </w:rPr>
  </w:style>
  <w:style w:type="paragraph" w:styleId="Normal1">
    <w:name w:val="LO-Normal"/>
    <w:qFormat/>
    <w:pPr>
      <w:widowControl w:val="false"/>
      <w:spacing w:lineRule="atLeast" w:line="360"/>
      <w:textAlignment w:val="baseline"/>
    </w:pPr>
    <w:rPr>
      <w:rFonts w:ascii="宋体;SimSun" w:hAnsi="宋体;SimSun" w:eastAsia="宋体;SimSun" w:cs="Times New Roman"/>
      <w:color w:val="auto"/>
      <w:sz w:val="34"/>
      <w:szCs w:val="20"/>
      <w:lang w:val="en-US" w:eastAsia="zh-CN" w:bidi="ar-SA"/>
    </w:rPr>
  </w:style>
  <w:style w:type="paragraph" w:styleId="22">
    <w:name w:val="正文文本 2"/>
    <w:basedOn w:val="Normal"/>
    <w:qFormat/>
    <w:pPr>
      <w:spacing w:lineRule="auto" w:line="360"/>
      <w:ind w:right="2" w:hanging="0"/>
    </w:pPr>
    <w:rPr>
      <w:rFonts w:eastAsia="仿宋_GB2312;仿宋"/>
      <w:sz w:val="28"/>
    </w:rPr>
  </w:style>
  <w:style w:type="paragraph" w:styleId="Style24">
    <w:name w:val="纯文本"/>
    <w:basedOn w:val="Normal"/>
    <w:qFormat/>
    <w:pPr>
      <w:spacing w:lineRule="auto" w:line="240"/>
      <w:jc w:val="both"/>
      <w:textAlignment w:val="auto"/>
    </w:pPr>
    <w:rPr>
      <w:rFonts w:ascii="宋体;SimSun" w:hAnsi="宋体;SimSun" w:cs="Courier New"/>
      <w:kern w:val="2"/>
      <w:sz w:val="21"/>
    </w:rPr>
  </w:style>
  <w:style w:type="paragraph" w:styleId="Style25">
    <w:name w:val="正文首行缩进"/>
    <w:basedOn w:val="Style15"/>
    <w:qFormat/>
    <w:pPr>
      <w:spacing w:lineRule="auto" w:line="240" w:before="0" w:after="120"/>
      <w:ind w:firstLine="420"/>
      <w:jc w:val="both"/>
      <w:textAlignment w:val="auto"/>
    </w:pPr>
    <w:rPr>
      <w:rFonts w:eastAsia="宋体;SimSun"/>
      <w:kern w:val="2"/>
      <w:sz w:val="21"/>
    </w:rPr>
  </w:style>
  <w:style w:type="paragraph" w:styleId="Style26">
    <w:name w:val="普通(网站)"/>
    <w:basedOn w:val="Normal"/>
    <w:qFormat/>
    <w:pPr>
      <w:widowControl/>
      <w:spacing w:lineRule="auto" w:line="360"/>
      <w:textAlignment w:val="auto"/>
    </w:pPr>
    <w:rPr>
      <w:rFonts w:ascii="宋体;SimSun" w:hAnsi="宋体;SimSun" w:cs="宋体;SimSun"/>
      <w:sz w:val="18"/>
      <w:szCs w:val="18"/>
    </w:rPr>
  </w:style>
  <w:style w:type="paragraph" w:styleId="11">
    <w:name w:val="TOC 1"/>
    <w:basedOn w:val="Normal"/>
    <w:next w:val="Normal"/>
    <w:pPr>
      <w:tabs>
        <w:tab w:val="clear" w:pos="709"/>
        <w:tab w:val="right" w:pos="9072" w:leader="dot"/>
      </w:tabs>
      <w:spacing w:lineRule="auto" w:line="360"/>
    </w:pPr>
    <w:rPr>
      <w:rFonts w:ascii="楷体_GB2312;楷体" w:hAnsi="楷体_GB2312;楷体" w:eastAsia="楷体_GB2312;楷体"/>
      <w:b/>
      <w:bCs/>
      <w:sz w:val="30"/>
      <w:szCs w:val="30"/>
      <w:lang w:val="zh-CN" w:eastAsia="zh-CN"/>
    </w:rPr>
  </w:style>
  <w:style w:type="paragraph" w:styleId="23">
    <w:name w:val="TOC 2"/>
    <w:basedOn w:val="Normal"/>
    <w:next w:val="Normal"/>
    <w:pPr>
      <w:tabs>
        <w:tab w:val="clear" w:pos="709"/>
        <w:tab w:val="right" w:pos="9072" w:leader="dot"/>
      </w:tabs>
      <w:spacing w:lineRule="auto" w:line="360"/>
      <w:ind w:left="480" w:hanging="0"/>
    </w:pPr>
    <w:rPr>
      <w:rFonts w:eastAsia="楷体_GB2312;楷体"/>
      <w:lang w:val="zh-CN" w:eastAsia="zh-CN"/>
    </w:rPr>
  </w:style>
  <w:style w:type="paragraph" w:styleId="32">
    <w:name w:val="TOC 3"/>
    <w:basedOn w:val="Normal"/>
    <w:next w:val="Normal"/>
    <w:pPr>
      <w:ind w:left="840" w:hanging="0"/>
    </w:pPr>
    <w:rPr/>
  </w:style>
  <w:style w:type="paragraph" w:styleId="41">
    <w:name w:val="TOC 4"/>
    <w:basedOn w:val="Normal"/>
    <w:next w:val="Normal"/>
    <w:pPr>
      <w:ind w:left="1260" w:hanging="0"/>
    </w:pPr>
    <w:rPr/>
  </w:style>
  <w:style w:type="paragraph" w:styleId="51">
    <w:name w:val="TOC 5"/>
    <w:basedOn w:val="Normal"/>
    <w:next w:val="Normal"/>
    <w:pPr>
      <w:ind w:left="1680" w:hanging="0"/>
    </w:pPr>
    <w:rPr/>
  </w:style>
  <w:style w:type="paragraph" w:styleId="6">
    <w:name w:val="TOC 6"/>
    <w:basedOn w:val="Normal"/>
    <w:next w:val="Normal"/>
    <w:pPr>
      <w:ind w:left="2100" w:hanging="0"/>
    </w:pPr>
    <w:rPr/>
  </w:style>
  <w:style w:type="paragraph" w:styleId="7">
    <w:name w:val="TOC 7"/>
    <w:basedOn w:val="Normal"/>
    <w:next w:val="Normal"/>
    <w:pPr>
      <w:ind w:left="2520" w:hanging="0"/>
    </w:pPr>
    <w:rPr/>
  </w:style>
  <w:style w:type="paragraph" w:styleId="8">
    <w:name w:val="TOC 8"/>
    <w:basedOn w:val="Normal"/>
    <w:next w:val="Normal"/>
    <w:pPr>
      <w:ind w:left="2940" w:hanging="0"/>
    </w:pPr>
    <w:rPr/>
  </w:style>
  <w:style w:type="paragraph" w:styleId="9">
    <w:name w:val="TOC 9"/>
    <w:basedOn w:val="Normal"/>
    <w:next w:val="Normal"/>
    <w:pPr>
      <w:ind w:left="3360" w:hanging="0"/>
    </w:pPr>
    <w:rPr/>
  </w:style>
  <w:style w:type="paragraph" w:styleId="Xl30">
    <w:name w:val="xl30"/>
    <w:basedOn w:val="Normal"/>
    <w:qFormat/>
    <w:pPr>
      <w:widowControl/>
      <w:pBdr>
        <w:top w:val="single" w:sz="4" w:space="0" w:color="000000"/>
        <w:left w:val="single" w:sz="4" w:space="0" w:color="000000"/>
        <w:bottom w:val="single" w:sz="4" w:space="0" w:color="000000"/>
      </w:pBdr>
      <w:spacing w:lineRule="auto" w:line="240" w:before="100" w:after="100"/>
      <w:jc w:val="center"/>
      <w:textAlignment w:val="auto"/>
    </w:pPr>
    <w:rPr>
      <w:rFonts w:ascii="Arial Unicode MS" w:hAnsi="Arial Unicode MS" w:cs="Arial Unicode MS"/>
      <w:sz w:val="20"/>
    </w:rPr>
  </w:style>
  <w:style w:type="paragraph" w:styleId="Xl33">
    <w:name w:val="xl33"/>
    <w:basedOn w:val="Normal"/>
    <w:qFormat/>
    <w:pPr>
      <w:widowControl/>
      <w:pBdr>
        <w:top w:val="single" w:sz="4" w:space="0" w:color="000000"/>
        <w:bottom w:val="single" w:sz="4" w:space="0" w:color="000000"/>
      </w:pBdr>
      <w:spacing w:lineRule="auto" w:line="240" w:before="100" w:after="100"/>
      <w:jc w:val="center"/>
      <w:textAlignment w:val="center"/>
    </w:pPr>
    <w:rPr>
      <w:rFonts w:ascii="Arial Unicode MS" w:hAnsi="Arial Unicode MS" w:cs="Arial Unicode MS"/>
      <w:b/>
      <w:bCs/>
      <w:szCs w:val="24"/>
    </w:rPr>
  </w:style>
  <w:style w:type="paragraph" w:styleId="Font5">
    <w:name w:val="font5"/>
    <w:basedOn w:val="Normal"/>
    <w:qFormat/>
    <w:pPr>
      <w:widowControl/>
      <w:spacing w:lineRule="auto" w:line="240" w:before="100" w:after="100"/>
      <w:textAlignment w:val="auto"/>
    </w:pPr>
    <w:rPr>
      <w:rFonts w:ascii="宋体;SimSun" w:hAnsi="宋体;SimSun" w:cs="宋体;SimSun"/>
      <w:sz w:val="18"/>
      <w:szCs w:val="18"/>
    </w:rPr>
  </w:style>
  <w:style w:type="paragraph" w:styleId="Xl28">
    <w:name w:val="xl28"/>
    <w:basedOn w:val="Normal"/>
    <w:qFormat/>
    <w:pPr>
      <w:widowControl/>
      <w:pBdr>
        <w:left w:val="single" w:sz="4" w:space="0" w:color="000000"/>
        <w:bottom w:val="single" w:sz="4" w:space="0" w:color="000000"/>
        <w:right w:val="single" w:sz="4" w:space="0" w:color="000000"/>
      </w:pBdr>
      <w:spacing w:lineRule="auto" w:line="240" w:before="100" w:after="100"/>
      <w:jc w:val="center"/>
      <w:textAlignment w:val="auto"/>
    </w:pPr>
    <w:rPr>
      <w:rFonts w:eastAsia="Arial Unicode MS"/>
      <w:szCs w:val="24"/>
    </w:rPr>
  </w:style>
  <w:style w:type="paragraph" w:styleId="CharChar1Char">
    <w:name w:val="Char Char1 Char"/>
    <w:basedOn w:val="Normal"/>
    <w:qFormat/>
    <w:pPr>
      <w:spacing w:lineRule="auto" w:line="240"/>
      <w:jc w:val="both"/>
      <w:textAlignment w:val="auto"/>
    </w:pPr>
    <w:rPr>
      <w:rFonts w:ascii="宋体;SimSun" w:hAnsi="宋体;SimSun" w:cs="Courier New"/>
      <w:kern w:val="2"/>
      <w:sz w:val="32"/>
      <w:szCs w:val="32"/>
    </w:rPr>
  </w:style>
  <w:style w:type="paragraph" w:styleId="Style27">
    <w:name w:val="批注框文本"/>
    <w:basedOn w:val="Normal"/>
    <w:qFormat/>
    <w:pPr/>
    <w:rPr>
      <w:sz w:val="18"/>
      <w:szCs w:val="18"/>
    </w:rPr>
  </w:style>
  <w:style w:type="paragraph" w:styleId="Style28">
    <w:name w:val="批注文字"/>
    <w:basedOn w:val="Normal"/>
    <w:qFormat/>
    <w:pPr/>
    <w:rPr/>
  </w:style>
  <w:style w:type="paragraph" w:styleId="Style29">
    <w:name w:val="批注主题"/>
    <w:basedOn w:val="Style28"/>
    <w:next w:val="Style28"/>
    <w:qFormat/>
    <w:pPr/>
    <w:rPr>
      <w:b/>
      <w:bCs/>
    </w:rPr>
  </w:style>
  <w:style w:type="paragraph" w:styleId="WW">
    <w:name w:val="WW-正文缩进"/>
    <w:basedOn w:val="Normal"/>
    <w:qFormat/>
    <w:pPr>
      <w:spacing w:lineRule="auto" w:line="240"/>
      <w:ind w:firstLine="560"/>
      <w:jc w:val="both"/>
      <w:textAlignment w:val="auto"/>
    </w:pPr>
    <w:rPr>
      <w:rFonts w:eastAsia="GungsuhChe"/>
      <w:color w:val="FF0000"/>
      <w:kern w:val="2"/>
      <w:sz w:val="28"/>
      <w:szCs w:val="24"/>
    </w:rPr>
  </w:style>
  <w:style w:type="paragraph" w:styleId="Xl25">
    <w:name w:val="xl25"/>
    <w:basedOn w:val="Normal"/>
    <w:qFormat/>
    <w:pPr>
      <w:widowControl/>
      <w:spacing w:lineRule="auto" w:line="240" w:before="100" w:after="100"/>
      <w:jc w:val="center"/>
      <w:textAlignment w:val="auto"/>
    </w:pPr>
    <w:rPr>
      <w:rFonts w:ascii="宋体;SimSun" w:hAnsi="宋体;SimSun" w:cs="宋体;SimSun"/>
      <w:szCs w:val="24"/>
    </w:rPr>
  </w:style>
  <w:style w:type="paragraph" w:styleId="Style30">
    <w:name w:val="列出段落"/>
    <w:basedOn w:val="Normal"/>
    <w:qFormat/>
    <w:pPr>
      <w:ind w:firstLine="420"/>
    </w:pPr>
    <w:rPr/>
  </w:style>
  <w:style w:type="paragraph" w:styleId="Style31">
    <w:name w:val="无间隔"/>
    <w:qFormat/>
    <w:pPr>
      <w:widowControl/>
    </w:pPr>
    <w:rPr>
      <w:rFonts w:ascii="Calibri" w:hAnsi="Calibri" w:eastAsia="宋体;SimSun" w:cs="Calibri"/>
      <w:color w:val="auto"/>
      <w:sz w:val="22"/>
      <w:szCs w:val="22"/>
      <w:lang w:val="en-US" w:eastAsia="zh-CN" w:bidi="ar-SA"/>
    </w:rPr>
  </w:style>
  <w:style w:type="paragraph" w:styleId="12">
    <w:name w:val="正文1"/>
    <w:qFormat/>
    <w:pPr>
      <w:widowControl w:val="false"/>
      <w:spacing w:lineRule="atLeast" w:line="360"/>
      <w:jc w:val="center"/>
      <w:textAlignment w:val="baseline"/>
    </w:pPr>
    <w:rPr>
      <w:rFonts w:ascii="宋体;SimSun" w:hAnsi="宋体;SimSun" w:eastAsia="宋体;SimSun" w:cs="Times New Roman"/>
      <w:color w:val="auto"/>
      <w:sz w:val="34"/>
      <w:szCs w:val="20"/>
      <w:lang w:val="en-US" w:eastAsia="zh-CN" w:bidi="ar-SA"/>
    </w:rPr>
  </w:style>
  <w:style w:type="paragraph" w:styleId="Style32">
    <w:name w:val="框架内容"/>
    <w:basedOn w:val="Normal"/>
    <w:qFormat/>
    <w:pPr/>
    <w:rPr/>
  </w:style>
  <w:style w:type="paragraph" w:styleId="Style33">
    <w:name w:val="表格内容"/>
    <w:basedOn w:val="Normal"/>
    <w:qFormat/>
    <w:pPr>
      <w:suppressLineNumbers/>
    </w:pPr>
    <w:rPr/>
  </w:style>
  <w:style w:type="paragraph" w:styleId="Style34">
    <w:name w:val="表格标题"/>
    <w:basedOn w:val="Style33"/>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footer" Target="footer5.xml"/><Relationship Id="rId12" Type="http://schemas.openxmlformats.org/officeDocument/2006/relationships/header" Target="header6.xml"/><Relationship Id="rId13" Type="http://schemas.openxmlformats.org/officeDocument/2006/relationships/footer" Target="footer6.xml"/><Relationship Id="rId14" Type="http://schemas.openxmlformats.org/officeDocument/2006/relationships/header" Target="header7.xml"/><Relationship Id="rId15" Type="http://schemas.openxmlformats.org/officeDocument/2006/relationships/footer" Target="footer7.xml"/><Relationship Id="rId16" Type="http://schemas.openxmlformats.org/officeDocument/2006/relationships/header" Target="header8.xml"/><Relationship Id="rId17" Type="http://schemas.openxmlformats.org/officeDocument/2006/relationships/footer" Target="footer8.xm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header" Target="header9.xml"/><Relationship Id="rId21" Type="http://schemas.openxmlformats.org/officeDocument/2006/relationships/footer" Target="footer9.xml"/><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hyperlink" Target="https://baike.baidu.com/item/&#28023;&#21475;&#24066;/62398615?fromModule=lemma_inlink" TargetMode="External"/><Relationship Id="rId31" Type="http://schemas.openxmlformats.org/officeDocument/2006/relationships/hyperlink" Target="https://baike.baidu.com/item/&#40857;&#21326;&#21306;/10553582?fromModule=lemma_inlink" TargetMode="External"/><Relationship Id="rId32" Type="http://schemas.openxmlformats.org/officeDocument/2006/relationships/hyperlink" Target="https://baike.baidu.com/item/&#28548;&#36808;&#21439;/11028780?fromModule=lemma_inlink" TargetMode="External"/><Relationship Id="rId33" Type="http://schemas.openxmlformats.org/officeDocument/2006/relationships/hyperlink" Target="https://baike.baidu.com/item/&#23450;&#23433;&#21439;/1587602?fromModule=lemma_inlink" TargetMode="External"/><Relationship Id="rId34" Type="http://schemas.openxmlformats.org/officeDocument/2006/relationships/hyperlink" Target="https://baike.baidu.com/item/&#29756;&#24030;&#28023;&#23777;/1613071?fromModule=lemma_inlink" TargetMode="External"/><Relationship Id="rId35" Type="http://schemas.openxmlformats.org/officeDocument/2006/relationships/hyperlink" Target="https://baike.baidu.com/item/&#38647;&#24030;&#21322;&#23707;/432557?fromModule=lemma_inlink" TargetMode="External"/><Relationship Id="rId36" Type="http://schemas.openxmlformats.org/officeDocument/2006/relationships/image" Target="media/image19.png"/><Relationship Id="rId37" Type="http://schemas.openxmlformats.org/officeDocument/2006/relationships/header" Target="header10.xml"/><Relationship Id="rId38" Type="http://schemas.openxmlformats.org/officeDocument/2006/relationships/footer" Target="footer10.xml"/><Relationship Id="rId39" Type="http://schemas.openxmlformats.org/officeDocument/2006/relationships/header" Target="header11.xml"/><Relationship Id="rId40" Type="http://schemas.openxmlformats.org/officeDocument/2006/relationships/footer" Target="footer11.xml"/><Relationship Id="rId41" Type="http://schemas.openxmlformats.org/officeDocument/2006/relationships/comments" Target="comments.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10.xml.rels><?xml version="1.0" encoding="UTF-8"?>
<Relationships xmlns="http://schemas.openxmlformats.org/package/2006/relationships"><Relationship Id="rId1" Type="http://schemas.openxmlformats.org/officeDocument/2006/relationships/image" Target="media/image20.jpeg"/>
</Relationships>
</file>

<file path=word/_rels/header11.xml.rels><?xml version="1.0" encoding="UTF-8"?>
<Relationships xmlns="http://schemas.openxmlformats.org/package/2006/relationships"><Relationship Id="rId1" Type="http://schemas.openxmlformats.org/officeDocument/2006/relationships/image" Target="media/image21.jpeg"/>
</Relationships>
</file>

<file path=word/_rels/header3.xml.rels><?xml version="1.0" encoding="UTF-8"?>
<Relationships xmlns="http://schemas.openxmlformats.org/package/2006/relationships"><Relationship Id="rId1" Type="http://schemas.openxmlformats.org/officeDocument/2006/relationships/image" Target="media/image2.jpeg"/>
</Relationships>
</file>

<file path=word/_rels/header4.xml.rels><?xml version="1.0" encoding="UTF-8"?>
<Relationships xmlns="http://schemas.openxmlformats.org/package/2006/relationships"><Relationship Id="rId1" Type="http://schemas.openxmlformats.org/officeDocument/2006/relationships/image" Target="media/image3.jpeg"/>
</Relationships>
</file>

<file path=word/_rels/header5.xml.rels><?xml version="1.0" encoding="UTF-8"?>
<Relationships xmlns="http://schemas.openxmlformats.org/package/2006/relationships"><Relationship Id="rId1" Type="http://schemas.openxmlformats.org/officeDocument/2006/relationships/image" Target="media/image4.jpeg"/>
</Relationships>
</file>

<file path=word/_rels/header6.xml.rels><?xml version="1.0" encoding="UTF-8"?>
<Relationships xmlns="http://schemas.openxmlformats.org/package/2006/relationships"><Relationship Id="rId1" Type="http://schemas.openxmlformats.org/officeDocument/2006/relationships/image" Target="media/image5.jpeg"/>
</Relationships>
</file>

<file path=word/_rels/header7.xml.rels><?xml version="1.0" encoding="UTF-8"?>
<Relationships xmlns="http://schemas.openxmlformats.org/package/2006/relationships"><Relationship Id="rId1" Type="http://schemas.openxmlformats.org/officeDocument/2006/relationships/image" Target="media/image6.jpeg"/>
</Relationships>
</file>

<file path=word/_rels/header8.xml.rels><?xml version="1.0" encoding="UTF-8"?>
<Relationships xmlns="http://schemas.openxmlformats.org/package/2006/relationships"><Relationship Id="rId1" Type="http://schemas.openxmlformats.org/officeDocument/2006/relationships/image" Target="media/image7.jpeg"/>
</Relationships>
</file>

<file path=word/_rels/header9.xml.rels><?xml version="1.0" encoding="UTF-8"?>
<Relationships xmlns="http://schemas.openxmlformats.org/package/2006/relationships"><Relationship Id="rId1" Type="http://schemas.openxmlformats.org/officeDocument/2006/relationships/image" Target="media/image10.jpeg"/>
</Relationships>
</file>

<file path=docProps/app.xml><?xml version="1.0" encoding="utf-8"?>
<Properties xmlns="http://schemas.openxmlformats.org/officeDocument/2006/extended-properties" xmlns:vt="http://schemas.openxmlformats.org/officeDocument/2006/docPropsVTypes">
  <Template>铜牛集团地.dot_x0000_</Template>
  <TotalTime>522</TotalTime>
  <Application>Ultra_Office/6.2.3.2$Windows_x86 LibreOffice_project/</Application>
  <Pages>64</Pages>
  <Words>36353</Words>
  <Characters>42917</Characters>
  <CharactersWithSpaces>43082</CharactersWithSpaces>
  <Paragraphs>2161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2024-03-27T09:36:00Z</dcterms:created>
  <dc:creator>djg</dc:creator>
  <dc:description/>
  <cp:keywords/>
  <dc:language>zh-CN</dc:language>
  <cp:lastModifiedBy/>
  <cp:lastPrinted>2019-04-08T11:25:00Z</cp:lastPrinted>
  <dcterms:modified xsi:type="dcterms:W3CDTF">2024-08-06T14:25:18Z</dcterms:modified>
  <cp:revision>28</cp:revision>
  <dc:subject/>
  <dc:title>电 话：82253558  传真：82253565</dc:title>
</cp:coreProperties>
</file>