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E7B" w:rsidRDefault="00B744C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B744CB">
        <w:rPr>
          <w:rFonts w:ascii="Arial" w:eastAsia="宋体" w:hAnsi="Arial" w:cs="Arial" w:hint="eastAsia"/>
          <w:szCs w:val="44"/>
        </w:rPr>
        <w:t>(202</w:t>
      </w:r>
      <w:r w:rsidR="00B9157E">
        <w:rPr>
          <w:rFonts w:ascii="Arial" w:eastAsia="宋体" w:hAnsi="Arial" w:cs="Arial"/>
          <w:szCs w:val="44"/>
        </w:rPr>
        <w:t>3</w:t>
      </w:r>
      <w:r w:rsidRPr="00B744CB">
        <w:rPr>
          <w:rFonts w:ascii="Arial" w:eastAsia="宋体" w:hAnsi="Arial" w:cs="Arial" w:hint="eastAsia"/>
          <w:szCs w:val="44"/>
        </w:rPr>
        <w:t>)</w:t>
      </w:r>
      <w:r w:rsidRPr="00B744CB">
        <w:rPr>
          <w:rFonts w:ascii="Arial" w:eastAsia="宋体" w:hAnsi="Arial" w:cs="Arial" w:hint="eastAsia"/>
          <w:szCs w:val="44"/>
        </w:rPr>
        <w:t>京</w:t>
      </w:r>
      <w:r w:rsidRPr="00B744CB">
        <w:rPr>
          <w:rFonts w:ascii="Arial" w:eastAsia="宋体" w:hAnsi="Arial" w:cs="Arial" w:hint="eastAsia"/>
          <w:szCs w:val="44"/>
        </w:rPr>
        <w:t>0</w:t>
      </w:r>
      <w:r w:rsidR="00251448">
        <w:rPr>
          <w:rFonts w:ascii="Arial" w:eastAsia="宋体" w:hAnsi="Arial" w:cs="Arial"/>
          <w:szCs w:val="44"/>
        </w:rPr>
        <w:t>101</w:t>
      </w:r>
      <w:r w:rsidRPr="00B744CB">
        <w:rPr>
          <w:rFonts w:ascii="Arial" w:eastAsia="宋体" w:hAnsi="Arial" w:cs="Arial" w:hint="eastAsia"/>
          <w:szCs w:val="44"/>
        </w:rPr>
        <w:t>民初</w:t>
      </w:r>
      <w:r w:rsidR="00251448">
        <w:rPr>
          <w:rFonts w:ascii="Arial" w:eastAsia="宋体" w:hAnsi="Arial" w:cs="Arial"/>
          <w:szCs w:val="44"/>
        </w:rPr>
        <w:t>723</w:t>
      </w:r>
      <w:r w:rsidRPr="00B744CB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0596E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东城</w:t>
      </w:r>
      <w:r w:rsid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区</w:t>
      </w: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我司于202</w:t>
      </w:r>
      <w:r w:rsidR="00B9157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251448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9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</w:t>
      </w:r>
      <w:r w:rsidR="00251448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日受贵院委托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251448"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(2023)京0101民初723号</w:t>
      </w:r>
      <w:r w:rsid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位于</w:t>
      </w:r>
      <w:r w:rsid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河北省秦皇岛北戴河新区逸园（二区）1栋3单元7</w:t>
      </w:r>
      <w:r w:rsidR="00251448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02</w:t>
      </w:r>
      <w:r w:rsid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的</w:t>
      </w:r>
      <w:r w:rsidR="00B9157E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房屋市场价值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进行评估。</w:t>
      </w:r>
    </w:p>
    <w:p w:rsidR="00251448" w:rsidRPr="00251448" w:rsidRDefault="00251448" w:rsidP="00251448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评估专业人员于2023年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11</w:t>
      </w: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16</w:t>
      </w: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日在案件申请人</w:t>
      </w:r>
      <w:r w:rsidR="00B3718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彭爱莲</w:t>
      </w: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代理人</w:t>
      </w:r>
      <w:r w:rsidR="00B3718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杨红莎</w:t>
      </w: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的见证下对</w:t>
      </w:r>
      <w:r w:rsidR="00B3718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河北省秦皇岛北戴河新区逸园（二区）1栋3单元7</w:t>
      </w:r>
      <w:r w:rsidR="00B3718B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02</w:t>
      </w:r>
      <w:r w:rsidR="00B3718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的</w:t>
      </w:r>
      <w:r w:rsidR="00B3718B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房屋</w:t>
      </w: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进行了实地查勘，</w:t>
      </w:r>
      <w:r w:rsidR="00B3718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因被告肖露不予配合现场查勘工作</w:t>
      </w: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，我司评估专业人员均未能进入估价对象内部进行查勘。</w:t>
      </w:r>
    </w:p>
    <w:p w:rsidR="004C1906" w:rsidRDefault="00251448" w:rsidP="00251448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B3718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河北省秦皇岛北戴河新区逸园（二区）1栋3单元7</w:t>
      </w:r>
      <w:r w:rsidR="00B3718B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02</w:t>
      </w:r>
      <w:r w:rsidR="00B3718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的</w:t>
      </w:r>
      <w:r w:rsidR="00B3718B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房屋</w:t>
      </w:r>
      <w:r w:rsidRPr="0025144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内部装修情况（精装修、普通装修、简单装修、毛坯），并发函至我公司。</w:t>
      </w:r>
    </w:p>
    <w:p w:rsidR="004C1906" w:rsidRPr="00B3718B" w:rsidRDefault="004C1906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B9157E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恳请委托人对上述情况进行确认，并尽快提供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上述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资料。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因</w:t>
      </w:r>
      <w:r w:rsidR="003F7E9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资料不齐全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，目前无法开展评估工作。特此申请中止评估，望予批准。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3F7E96" w:rsidRDefault="003F7E9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br w:type="page"/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lastRenderedPageBreak/>
        <w:t>（此页无正文）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B9157E" w:rsidRPr="00B9157E" w:rsidRDefault="00B9157E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特此说明。</w:t>
      </w:r>
    </w:p>
    <w:p w:rsidR="0082070A" w:rsidRDefault="0082070A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bookmarkStart w:id="0" w:name="_GoBack"/>
      <w:bookmarkEnd w:id="0"/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</w:t>
      </w:r>
      <w:proofErr w:type="gramEnd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4C190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3F7E9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3F7E9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17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67D" w:rsidRDefault="00E6567D" w:rsidP="00A0596E">
      <w:r>
        <w:separator/>
      </w:r>
    </w:p>
  </w:endnote>
  <w:endnote w:type="continuationSeparator" w:id="0">
    <w:p w:rsidR="00E6567D" w:rsidRDefault="00E6567D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67D" w:rsidRDefault="00E6567D" w:rsidP="00A0596E">
      <w:r>
        <w:separator/>
      </w:r>
    </w:p>
  </w:footnote>
  <w:footnote w:type="continuationSeparator" w:id="0">
    <w:p w:rsidR="00E6567D" w:rsidRDefault="00E6567D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70A"/>
    <w:rsid w:val="00013A6A"/>
    <w:rsid w:val="00251448"/>
    <w:rsid w:val="00282FB6"/>
    <w:rsid w:val="00363D79"/>
    <w:rsid w:val="003F4DB9"/>
    <w:rsid w:val="003F7E96"/>
    <w:rsid w:val="00467C5F"/>
    <w:rsid w:val="004766D9"/>
    <w:rsid w:val="004B0E7B"/>
    <w:rsid w:val="004C1906"/>
    <w:rsid w:val="00530730"/>
    <w:rsid w:val="00790DBD"/>
    <w:rsid w:val="0082070A"/>
    <w:rsid w:val="008833F1"/>
    <w:rsid w:val="009354B4"/>
    <w:rsid w:val="00942A78"/>
    <w:rsid w:val="00957173"/>
    <w:rsid w:val="00A0596E"/>
    <w:rsid w:val="00A259F5"/>
    <w:rsid w:val="00AB6352"/>
    <w:rsid w:val="00B02B92"/>
    <w:rsid w:val="00B3718B"/>
    <w:rsid w:val="00B54A80"/>
    <w:rsid w:val="00B744CB"/>
    <w:rsid w:val="00B86814"/>
    <w:rsid w:val="00B9157E"/>
    <w:rsid w:val="00DB656A"/>
    <w:rsid w:val="00E53C98"/>
    <w:rsid w:val="00E6567D"/>
    <w:rsid w:val="00E949BA"/>
    <w:rsid w:val="00F33A39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9C0585"/>
  <w15:docId w15:val="{6AEDD0E7-401E-4E99-9C9B-7A56E33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467C5F"/>
    <w:rPr>
      <w:sz w:val="21"/>
      <w:szCs w:val="21"/>
    </w:rPr>
  </w:style>
  <w:style w:type="paragraph" w:styleId="a8">
    <w:name w:val="annotation text"/>
    <w:basedOn w:val="a"/>
    <w:link w:val="a9"/>
    <w:rsid w:val="00467C5F"/>
    <w:pPr>
      <w:jc w:val="left"/>
    </w:pPr>
  </w:style>
  <w:style w:type="character" w:customStyle="1" w:styleId="a9">
    <w:name w:val="批注文字 字符"/>
    <w:basedOn w:val="a0"/>
    <w:link w:val="a8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67C5F"/>
    <w:rPr>
      <w:b/>
      <w:bCs/>
    </w:rPr>
  </w:style>
  <w:style w:type="character" w:customStyle="1" w:styleId="ab">
    <w:name w:val="批注主题 字符"/>
    <w:basedOn w:val="a9"/>
    <w:link w:val="aa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67C5F"/>
    <w:rPr>
      <w:sz w:val="18"/>
      <w:szCs w:val="18"/>
    </w:rPr>
  </w:style>
  <w:style w:type="character" w:customStyle="1" w:styleId="ad">
    <w:name w:val="批注框文本 字符"/>
    <w:basedOn w:val="a0"/>
    <w:link w:val="ac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6</cp:revision>
  <dcterms:created xsi:type="dcterms:W3CDTF">2022-11-29T06:24:00Z</dcterms:created>
  <dcterms:modified xsi:type="dcterms:W3CDTF">2023-11-20T07:03:00Z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