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bookmarkStart w:id="16" w:name="_GoBack"/>
      <w:bookmarkEnd w:id="16"/>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北京市海淀区西翠路5号今日家园1号楼15层1511号住宅用房房地产市场价值评估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张景芝</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陈颖</w:t>
      </w:r>
      <w:r>
        <w:rPr>
          <w:rFonts w:hint="eastAsia" w:ascii="Arial" w:hAnsi="Arial" w:eastAsia="方正黑体简体" w:cs="Arial"/>
          <w:sz w:val="21"/>
          <w:szCs w:val="21"/>
        </w:rPr>
        <w:t>（</w:t>
      </w:r>
      <w:r>
        <w:rPr>
          <w:rFonts w:ascii="Arial" w:hAnsi="Arial" w:eastAsia="方正黑体简体" w:cs="Arial"/>
          <w:sz w:val="21"/>
          <w:szCs w:val="21"/>
        </w:rPr>
        <w:t>注册号：</w:t>
      </w:r>
      <w:r>
        <w:rPr>
          <w:rFonts w:hint="eastAsia" w:ascii="Arial" w:hAnsi="Arial" w:eastAsia="方正黑体简体" w:cs="Arial"/>
          <w:sz w:val="21"/>
          <w:szCs w:val="21"/>
        </w:rPr>
        <w:t>1120060040</w:t>
      </w:r>
      <w:r>
        <w:rPr>
          <w:rFonts w:ascii="Arial" w:hAnsi="Arial" w:eastAsia="方正黑体简体" w:cs="Arial"/>
          <w:sz w:val="21"/>
          <w:szCs w:val="21"/>
        </w:rPr>
        <w:t>）</w:t>
      </w:r>
      <w:r>
        <w:rPr>
          <w:rFonts w:hint="eastAsia" w:ascii="Arial" w:hAnsi="Arial" w:eastAsia="方正黑体简体"/>
          <w:sz w:val="21"/>
          <w:szCs w:val="21"/>
        </w:rPr>
        <w:t>、</w:t>
      </w:r>
      <w:r>
        <w:rPr>
          <w:rFonts w:hint="eastAsia" w:ascii="Arial" w:hAnsi="Arial" w:eastAsia="方正黑体简体"/>
          <w:sz w:val="21"/>
          <w:szCs w:val="21"/>
          <w:lang w:eastAsia="zh-CN"/>
        </w:rPr>
        <w:t>叶凌</w:t>
      </w:r>
      <w:r>
        <w:rPr>
          <w:rFonts w:hint="eastAsia" w:ascii="Arial" w:hAnsi="Arial" w:eastAsia="方正黑体简体"/>
          <w:sz w:val="21"/>
          <w:szCs w:val="21"/>
        </w:rPr>
        <w:t>（注册号：</w:t>
      </w:r>
      <w:r>
        <w:rPr>
          <w:rFonts w:hint="eastAsia" w:ascii="Arial" w:hAnsi="Arial" w:eastAsia="方正黑体简体"/>
          <w:sz w:val="21"/>
          <w:szCs w:val="21"/>
          <w:lang w:eastAsia="zh-CN"/>
        </w:rPr>
        <w:t>1119970111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2021年11月19日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6" w:type="first"/>
          <w:headerReference r:id="rId5" w:type="default"/>
          <w:footerReference r:id="rId7" w:type="default"/>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rPr>
        <w:t>2021-1-0590-</w:t>
      </w:r>
      <w:r>
        <w:rPr>
          <w:rFonts w:hint="eastAsia" w:ascii="Arial" w:hAnsi="Arial" w:eastAsia="方正黑体简体" w:cs="Arial"/>
          <w:sz w:val="21"/>
          <w:szCs w:val="21"/>
          <w:lang w:eastAsia="zh-CN"/>
        </w:rPr>
        <w:t>F03HDZC6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b/>
          <w:kern w:val="2"/>
          <w:sz w:val="21"/>
        </w:rPr>
        <w:t>张景芝女士</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受您委托，我公司对北京市海淀区西翠路5号今日家园1号楼15层1511号住宅用房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房屋所有权证》[京房权证海私字第041012号]复印件、《存量房买卖合同信息表（纳税）》复印件，估价对象为北京市海淀区西翠路5号今日家园1号楼15层1511号住宅用房，设定于价值时点不动产权利人为张景芝，估价对象建筑面积为92.26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ascii="Arial" w:hAnsi="Arial"/>
          <w:sz w:val="21"/>
        </w:rPr>
      </w:pPr>
      <w:r>
        <w:rPr>
          <w:rFonts w:hint="eastAsia" w:ascii="Arial" w:hAnsi="Arial"/>
          <w:b/>
          <w:bCs/>
          <w:sz w:val="21"/>
        </w:rPr>
        <w:t>价值时点：</w:t>
      </w:r>
      <w:r>
        <w:rPr>
          <w:rFonts w:hint="eastAsia" w:ascii="Arial" w:hAnsi="Arial"/>
          <w:sz w:val="21"/>
        </w:rPr>
        <w:t>2009年7月14日</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本次估价的“房地产市场价值”是指在正常市场情况下，在价值时点2009年7月14日，估价对象用途为住宅，根据估价委托人介绍及提供的《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》，估价对象室内装修情况设定为普通装修（涂料顶棚、涂料墙面、地砖地面），</w:t>
      </w:r>
      <w:r>
        <w:rPr>
          <w:rFonts w:ascii="Arial" w:hAnsi="Arial"/>
          <w:sz w:val="21"/>
          <w:szCs w:val="28"/>
        </w:rPr>
        <w:t>土地取得方式为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13636</w:t>
            </w:r>
          </w:p>
        </w:tc>
        <w:tc>
          <w:tcPr>
            <w:tcW w:w="2736"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12493</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1205377</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壹佰贰拾万伍仟叁佰柒拾柒元整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13065</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万元、元/平方米（币种：人民币）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设定为2001年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blPrEx>
          <w:tblCellMar>
            <w:top w:w="0" w:type="dxa"/>
            <w:left w:w="108" w:type="dxa"/>
            <w:bottom w:w="0" w:type="dxa"/>
            <w:right w:w="108" w:type="dxa"/>
          </w:tblCellMar>
        </w:tblPrEx>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○二一</w:t>
            </w:r>
            <w:r>
              <w:rPr>
                <w:rFonts w:ascii="Arial" w:hAnsi="Arial" w:cs="Arial"/>
                <w:sz w:val="21"/>
                <w:szCs w:val="21"/>
              </w:rPr>
              <w:t>年</w:t>
            </w:r>
            <w:r>
              <w:rPr>
                <w:rFonts w:hint="eastAsia" w:ascii="Arial" w:hAnsi="Arial" w:cs="Arial"/>
                <w:sz w:val="21"/>
                <w:szCs w:val="21"/>
              </w:rPr>
              <w:t>十一月十九日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8" w:type="default"/>
          <w:pgSz w:w="11907" w:h="16840"/>
          <w:pgMar w:top="1843" w:right="1134" w:bottom="1191" w:left="1134" w:header="1134" w:footer="1134" w:gutter="340"/>
          <w:pgNumType w:start="1"/>
          <w:cols w:space="72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4</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8</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8</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1</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1</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12</w:t>
      </w:r>
    </w:p>
    <w:p>
      <w:pPr>
        <w:pStyle w:val="26"/>
        <w:rPr>
          <w:rFonts w:ascii="Arial" w:hAnsi="Arial" w:cs="Arial"/>
          <w:kern w:val="2"/>
          <w:sz w:val="21"/>
          <w:szCs w:val="21"/>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rPr>
        <w:t>3</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4</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6</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估价对象实地查勘情况和相关照片</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《房屋所有权证》[京房权证海私字第041012号]复印件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《存量房买卖合同信息表（纳税）》复印件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《存量房屋买卖合同（自行成交版）》[合同编号：CW51001]复印件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估价委托人身份证复印件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379795041"/>
      <w:bookmarkStart w:id="2" w:name="_Toc500322960"/>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0" w:type="first"/>
          <w:footerReference r:id="rId11" w:type="first"/>
          <w:headerReference r:id="rId9" w:type="default"/>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500322961"/>
      <w:bookmarkStart w:id="5" w:name="_Toc379795042"/>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r>
        <w:rPr>
          <w:rFonts w:hint="eastAsia" w:ascii="Arial" w:hAnsi="Arial"/>
          <w:kern w:val="2"/>
          <w:sz w:val="21"/>
        </w:rPr>
        <w:t>《估价委托书》、《房屋所有权证》[京房权证海私字第041012号]复印件、《存量房买卖合同信息表（纳税）》复印件</w:t>
      </w:r>
      <w:r>
        <w:rPr>
          <w:rFonts w:ascii="Arial" w:hAnsi="Arial" w:cs="Arial"/>
          <w:sz w:val="21"/>
        </w:rPr>
        <w:t>上载明的为依据</w:t>
      </w:r>
      <w:r>
        <w:rPr>
          <w:rFonts w:hint="eastAsia" w:ascii="Arial" w:hAnsi="Arial" w:cs="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（1）估价对象《房屋所有权证》[京房权证海私字第041012号]复印件未记载估价对象房屋的建成年份，经评估专业人员实地调查，房屋建成年份为2001年，本次估价房屋建成年份以实际调查为准。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（3）根据估价委托人提供的《估价委托书》，截至价值时点，估价对象未设定抵押权、租赁权、地役权。本报告估价结果以设定估价对象在价值时点不存在抵押权为估价假设前提条件。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w:t>
      </w:r>
      <w:r>
        <w:rPr>
          <w:rFonts w:hint="eastAsia" w:ascii="Arial" w:hAnsi="Arial"/>
          <w:sz w:val="21"/>
        </w:rPr>
        <w:t>2009年7月14日</w:t>
      </w:r>
      <w:r>
        <w:rPr>
          <w:rFonts w:hint="eastAsia" w:ascii="Arial" w:hAnsi="Arial"/>
          <w:kern w:val="2"/>
          <w:sz w:val="21"/>
        </w:rPr>
        <w:t>，完成实地查勘日期为2021年11月15日，价值时点与完成实地查勘日期不一致，本次估价假定价值时点房地产状况与完成实地查勘之日的状况一致。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3.不相一致假设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根据估价委托人提供的《房屋所有权证》[X京房权证海字第094074号]复印件及《存量房屋买卖合同（自行成交版）》[合同编号：CW51001]复印件，估价对象房屋性质为经济适用住房</w:t>
      </w:r>
      <w:r>
        <w:rPr>
          <w:rFonts w:hint="eastAsia" w:ascii="Arial" w:hAnsi="Arial"/>
          <w:kern w:val="2"/>
          <w:sz w:val="21"/>
          <w:lang w:eastAsia="zh-CN"/>
        </w:rPr>
        <w:t>。</w:t>
      </w:r>
      <w:r>
        <w:rPr>
          <w:rFonts w:hint="eastAsia" w:ascii="Arial" w:hAnsi="Arial"/>
          <w:kern w:val="2"/>
          <w:sz w:val="21"/>
        </w:rPr>
        <w:t>根据本次估价目的及《估价委托书》，本次估价设定价值时点估价对象房屋性质为商品房</w:t>
      </w:r>
      <w:r>
        <w:rPr>
          <w:rFonts w:hint="eastAsia" w:ascii="Arial" w:hAnsi="Arial"/>
          <w:kern w:val="2"/>
          <w:sz w:val="21"/>
          <w:lang w:eastAsia="zh-CN"/>
        </w:rPr>
        <w:t>，且</w:t>
      </w:r>
      <w:r>
        <w:rPr>
          <w:rFonts w:hint="eastAsia" w:ascii="Arial" w:hAnsi="Arial"/>
          <w:kern w:val="2"/>
          <w:sz w:val="21"/>
        </w:rPr>
        <w:t>具备合法权属，可上市交易。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line="480" w:lineRule="auto"/>
        <w:ind w:firstLine="420" w:firstLineChars="200"/>
        <w:jc w:val="both"/>
        <w:textAlignment w:val="auto"/>
        <w:rPr>
          <w:rFonts w:ascii="Arial" w:hAnsi="Arial" w:cs="Arial"/>
          <w:sz w:val="21"/>
        </w:rPr>
      </w:pPr>
      <w:r>
        <w:rPr>
          <w:rFonts w:hint="eastAsia" w:ascii="Arial" w:hAnsi="Arial" w:cs="Arial"/>
          <w:sz w:val="21"/>
        </w:rPr>
        <w:t>（1）</w:t>
      </w:r>
      <w:r>
        <w:rPr>
          <w:rFonts w:ascii="Arial" w:hAnsi="Arial" w:cs="Arial"/>
          <w:sz w:val="21"/>
        </w:rPr>
        <w:t>截至本估价报告出具之日，估价委托人未能提供</w:t>
      </w:r>
      <w:r>
        <w:rPr>
          <w:rFonts w:hint="eastAsia" w:ascii="Arial" w:hAnsi="Arial"/>
          <w:kern w:val="2"/>
          <w:sz w:val="21"/>
        </w:rPr>
        <w:t>《房屋所有权证》[京房权证海私字第041012号]、《存量房买卖合同信息表（纳税）》</w:t>
      </w:r>
      <w:r>
        <w:rPr>
          <w:rFonts w:ascii="Arial" w:hAnsi="Arial" w:cs="Arial"/>
          <w:sz w:val="21"/>
        </w:rPr>
        <w:t>原件供评估专业人员核对，且评估专业人员进行了尽职调查，难以获取该资料。本次评估以估价委托人提供的</w:t>
      </w:r>
      <w:r>
        <w:rPr>
          <w:rFonts w:hint="eastAsia" w:ascii="Arial" w:hAnsi="Arial"/>
          <w:kern w:val="2"/>
          <w:sz w:val="21"/>
        </w:rPr>
        <w:t>《房屋所有权证》[京房权证海私字第041012号]、《存量房买卖合同信息表（纳税）》</w:t>
      </w:r>
      <w:r>
        <w:rPr>
          <w:rFonts w:ascii="Arial" w:hAnsi="Arial" w:cs="Arial"/>
          <w:sz w:val="21"/>
        </w:rPr>
        <w:t>复印件与原件一致为估价的假设前提。</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普通装修（涂料顶棚、涂料墙面、地砖地面）。若估价对象实际装修情况与设定情况不符，则估价结果需要做相应的调整直至重新评估。本报告估价结果已包含设定的装修价值，特此说明。</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即2021年11月19日至2022年11月18日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500322962"/>
      <w:bookmarkStart w:id="7" w:name="_Toc168225812"/>
      <w:r>
        <w:rPr>
          <w:rFonts w:hint="eastAsia" w:eastAsia="方正黑体简体"/>
          <w:b w:val="0"/>
          <w:kern w:val="2"/>
          <w:sz w:val="32"/>
          <w:szCs w:val="32"/>
        </w:rPr>
        <w:t>估价结果报告</w:t>
      </w:r>
      <w:bookmarkEnd w:id="6"/>
      <w:bookmarkEnd w:id="7"/>
    </w:p>
    <w:tbl>
      <w:tblPr>
        <w:tblStyle w:val="32"/>
        <w:tblW w:w="9298"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57" w:type="dxa"/>
          <w:left w:w="57" w:type="dxa"/>
          <w:bottom w:w="57" w:type="dxa"/>
          <w:right w:w="57" w:type="dxa"/>
        </w:tblCellMar>
      </w:tblPr>
      <w:tblGrid>
        <w:gridCol w:w="478"/>
        <w:gridCol w:w="179"/>
        <w:gridCol w:w="1460"/>
        <w:gridCol w:w="297"/>
        <w:gridCol w:w="1256"/>
        <w:gridCol w:w="33"/>
        <w:gridCol w:w="924"/>
        <w:gridCol w:w="596"/>
        <w:gridCol w:w="331"/>
        <w:gridCol w:w="285"/>
        <w:gridCol w:w="960"/>
        <w:gridCol w:w="119"/>
        <w:gridCol w:w="423"/>
        <w:gridCol w:w="1957"/>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bookmarkStart w:id="8" w:name="_Toc168225824"/>
            <w:r>
              <w:rPr>
                <w:rFonts w:ascii="Arial" w:hAnsi="Arial" w:eastAsia="华文细黑" w:cs="Arial"/>
                <w:b/>
                <w:kern w:val="2"/>
                <w:sz w:val="18"/>
                <w:szCs w:val="18"/>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Cs/>
                <w:sz w:val="18"/>
                <w:szCs w:val="18"/>
              </w:rPr>
              <w:t>姓名：张景芝</w:t>
            </w:r>
          </w:p>
          <w:p>
            <w:pPr>
              <w:spacing w:line="360" w:lineRule="auto"/>
              <w:jc w:val="both"/>
              <w:rPr>
                <w:rFonts w:ascii="Arial" w:hAnsi="Arial" w:eastAsia="华文细黑" w:cs="Arial"/>
                <w:bCs/>
                <w:sz w:val="18"/>
                <w:szCs w:val="18"/>
              </w:rPr>
            </w:pPr>
            <w:r>
              <w:rPr>
                <w:rFonts w:ascii="Arial" w:hAnsi="Arial" w:eastAsia="华文细黑" w:cs="Arial"/>
                <w:bCs/>
                <w:sz w:val="18"/>
                <w:szCs w:val="18"/>
              </w:rPr>
              <w:t>身份证号码:110108194107104142</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tcBorders>
              <w:bottom w:val="single" w:color="404040" w:sz="2" w:space="0"/>
            </w:tcBorders>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r>
              <w:rPr>
                <w:rFonts w:ascii="Arial" w:hAnsi="Arial" w:eastAsia="华文细黑" w:cs="Arial"/>
                <w:b/>
                <w:kern w:val="2"/>
                <w:sz w:val="18"/>
                <w:szCs w:val="18"/>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799" w:type="dxa"/>
            <w:gridSpan w:val="11"/>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估价机构：</w:t>
            </w:r>
            <w:r>
              <w:rPr>
                <w:rFonts w:ascii="Arial" w:hAnsi="Arial" w:eastAsia="华文细黑" w:cs="Arial"/>
                <w:sz w:val="18"/>
                <w:szCs w:val="18"/>
              </w:rPr>
              <w:t>北京康正宏基房地产评估有限公司</w:t>
            </w:r>
          </w:p>
        </w:tc>
        <w:tc>
          <w:tcPr>
            <w:tcW w:w="2499" w:type="dxa"/>
            <w:gridSpan w:val="3"/>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法定代表人：</w:t>
            </w:r>
            <w:r>
              <w:rPr>
                <w:rFonts w:ascii="Arial" w:hAnsi="Arial" w:eastAsia="华文细黑" w:cs="Arial"/>
                <w:sz w:val="18"/>
                <w:szCs w:val="18"/>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799" w:type="dxa"/>
            <w:gridSpan w:val="11"/>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注册地址：</w:t>
            </w:r>
            <w:r>
              <w:rPr>
                <w:rFonts w:ascii="Arial" w:hAnsi="Arial" w:eastAsia="华文细黑" w:cs="Arial"/>
                <w:sz w:val="18"/>
                <w:szCs w:val="18"/>
              </w:rPr>
              <w:t>北京市丰台区芳城园一区16号楼2层2门配套公建01</w:t>
            </w:r>
          </w:p>
        </w:tc>
        <w:tc>
          <w:tcPr>
            <w:tcW w:w="2499" w:type="dxa"/>
            <w:gridSpan w:val="3"/>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bCs/>
                <w:sz w:val="18"/>
                <w:szCs w:val="18"/>
              </w:rPr>
              <w:t>邮政编码：</w:t>
            </w:r>
            <w:r>
              <w:rPr>
                <w:rFonts w:ascii="Arial" w:hAnsi="Arial" w:eastAsia="华文细黑" w:cs="Arial"/>
                <w:sz w:val="18"/>
                <w:szCs w:val="18"/>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Cs/>
                <w:sz w:val="18"/>
                <w:szCs w:val="18"/>
              </w:rPr>
              <w:t>估价机构资质：</w:t>
            </w:r>
            <w:r>
              <w:rPr>
                <w:rFonts w:ascii="Arial" w:hAnsi="Arial" w:eastAsia="华文细黑" w:cs="Arial"/>
                <w:sz w:val="18"/>
                <w:szCs w:val="18"/>
              </w:rPr>
              <w:t>建设部一级房地产价格评估机构（建房估备字[2013第]081号）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
                <w:kern w:val="2"/>
                <w:sz w:val="18"/>
                <w:szCs w:val="18"/>
              </w:rPr>
              <w:t>三、估价目的：</w:t>
            </w:r>
            <w:r>
              <w:rPr>
                <w:rFonts w:ascii="Arial" w:hAnsi="Arial" w:eastAsia="华文细黑" w:cs="Arial"/>
                <w:kern w:val="2"/>
                <w:sz w:val="18"/>
                <w:szCs w:val="18"/>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
                <w:kern w:val="2"/>
                <w:sz w:val="18"/>
                <w:szCs w:val="18"/>
              </w:rPr>
              <w:t>四、价值时点：</w:t>
            </w:r>
            <w:r>
              <w:rPr>
                <w:rFonts w:ascii="Arial" w:hAnsi="Arial" w:eastAsia="华文细黑" w:cs="Arial"/>
                <w:kern w:val="2"/>
                <w:sz w:val="18"/>
                <w:szCs w:val="18"/>
              </w:rPr>
              <w:t>2009年7月14日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b/>
                <w:kern w:val="2"/>
                <w:sz w:val="18"/>
                <w:szCs w:val="18"/>
              </w:rPr>
              <w:t>五、估价作业期</w:t>
            </w:r>
            <w:r>
              <w:rPr>
                <w:rFonts w:ascii="Arial" w:hAnsi="Arial" w:eastAsia="华文细黑" w:cs="Arial"/>
                <w:b/>
                <w:bCs/>
                <w:sz w:val="18"/>
                <w:szCs w:val="18"/>
              </w:rPr>
              <w:t>：</w:t>
            </w:r>
            <w:r>
              <w:rPr>
                <w:rFonts w:ascii="Arial" w:hAnsi="Arial" w:eastAsia="华文细黑" w:cs="Arial"/>
                <w:kern w:val="2"/>
                <w:sz w:val="18"/>
                <w:szCs w:val="18"/>
              </w:rPr>
              <w:t>2021年11月15日至2021年11月19日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r>
              <w:rPr>
                <w:rFonts w:ascii="Arial" w:hAnsi="Arial" w:eastAsia="华文细黑" w:cs="Arial"/>
                <w:b/>
                <w:kern w:val="2"/>
                <w:sz w:val="18"/>
                <w:szCs w:val="18"/>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估价对象：北京市海淀区西翠路5号今日家园1号楼15层1511号住宅用房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hint="eastAsia" w:ascii="Arial" w:hAnsi="Arial" w:eastAsia="宋体" w:cs="Arial"/>
                <w:sz w:val="18"/>
                <w:szCs w:val="18"/>
                <w:lang w:eastAsia="zh-CN"/>
              </w:rPr>
            </w:pPr>
            <w:r>
              <w:rPr>
                <w:rFonts w:ascii="Arial" w:hAnsi="Arial" w:eastAsia="华文细黑" w:cs="Arial"/>
                <w:sz w:val="18"/>
                <w:szCs w:val="18"/>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hint="eastAsia" w:ascii="Arial" w:hAnsi="Arial" w:eastAsia="华文细黑" w:cs="Arial"/>
                <w:sz w:val="18"/>
                <w:szCs w:val="18"/>
                <w:lang w:eastAsia="zh-CN"/>
              </w:rPr>
              <w:t>房屋所有权证证号：京房权证海私字第041012号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453" w:hRule="atLeast"/>
          <w:jc w:val="center"/>
        </w:trPr>
        <w:tc>
          <w:tcPr>
            <w:tcW w:w="4627" w:type="dxa"/>
            <w:gridSpan w:val="7"/>
            <w:noWrap/>
            <w:tcMar>
              <w:top w:w="85" w:type="dxa"/>
              <w:left w:w="85" w:type="dxa"/>
              <w:bottom w:w="85" w:type="dxa"/>
              <w:right w:w="28" w:type="dxa"/>
            </w:tcMar>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baseline"/>
              <w:rPr>
                <w:rFonts w:ascii="Arial" w:hAnsi="Arial" w:eastAsia="华文细黑" w:cs="Arial"/>
                <w:sz w:val="18"/>
                <w:szCs w:val="18"/>
              </w:rPr>
            </w:pPr>
            <w:r>
              <w:rPr>
                <w:rFonts w:hint="eastAsia" w:ascii="Arial" w:hAnsi="Arial" w:eastAsia="华文细黑" w:cs="Arial"/>
                <w:sz w:val="18"/>
                <w:szCs w:val="18"/>
                <w:lang w:eastAsia="zh-CN"/>
              </w:rPr>
              <w:t>房屋所有权人</w:t>
            </w:r>
            <w:r>
              <w:rPr>
                <w:rFonts w:ascii="Arial" w:hAnsi="Arial" w:eastAsia="华文细黑" w:cs="Arial"/>
                <w:sz w:val="18"/>
                <w:szCs w:val="18"/>
              </w:rPr>
              <w:t>：张景芝</w:t>
            </w:r>
          </w:p>
        </w:tc>
        <w:tc>
          <w:tcPr>
            <w:tcW w:w="4671" w:type="dxa"/>
            <w:gridSpan w:val="7"/>
            <w:tcMar>
              <w:top w:w="85" w:type="dxa"/>
              <w:left w:w="85" w:type="dxa"/>
              <w:bottom w:w="85" w:type="dxa"/>
              <w:right w:w="28" w:type="dxa"/>
            </w:tcMar>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baseline"/>
              <w:rPr>
                <w:rFonts w:ascii="Arial" w:hAnsi="Arial" w:eastAsia="华文细黑" w:cs="Arial"/>
                <w:sz w:val="18"/>
                <w:szCs w:val="18"/>
              </w:rPr>
            </w:pPr>
            <w:r>
              <w:rPr>
                <w:rFonts w:ascii="Arial" w:hAnsi="Arial" w:eastAsia="华文细黑" w:cs="Arial"/>
                <w:sz w:val="18"/>
                <w:szCs w:val="18"/>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房屋坐落：海淀区西翠路5号今日家园1号楼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27"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楼号或幢号：1</w:t>
            </w:r>
          </w:p>
        </w:tc>
        <w:tc>
          <w:tcPr>
            <w:tcW w:w="4671"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部位及房号：十五层1511</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27"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层数：十七（-3）</w:t>
            </w:r>
          </w:p>
        </w:tc>
        <w:tc>
          <w:tcPr>
            <w:tcW w:w="4671"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建筑面积（㎡）：92.26</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27"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结构：钢混</w:t>
            </w:r>
          </w:p>
        </w:tc>
        <w:tc>
          <w:tcPr>
            <w:tcW w:w="4671"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建成年代：设定为2001年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627" w:type="dxa"/>
            <w:gridSpan w:val="7"/>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房屋用途：住宅</w:t>
            </w:r>
          </w:p>
        </w:tc>
        <w:tc>
          <w:tcPr>
            <w:tcW w:w="4671" w:type="dxa"/>
            <w:gridSpan w:val="7"/>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现状用途：设定为住宅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widowControl/>
              <w:spacing w:before="48" w:beforeLines="20" w:line="360" w:lineRule="auto"/>
              <w:jc w:val="both"/>
              <w:rPr>
                <w:rFonts w:ascii="Arial" w:hAnsi="Arial" w:eastAsia="华文细黑" w:cs="Arial"/>
                <w:bCs/>
                <w:sz w:val="18"/>
                <w:szCs w:val="18"/>
              </w:rPr>
            </w:pPr>
            <w:r>
              <w:rPr>
                <w:rFonts w:ascii="Arial" w:hAnsi="Arial" w:eastAsia="华文细黑" w:cs="Arial"/>
                <w:bCs/>
                <w:sz w:val="18"/>
                <w:szCs w:val="18"/>
              </w:rPr>
              <w:t>使用权类型：出让</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widowControl/>
              <w:spacing w:before="48" w:beforeLines="20" w:line="360" w:lineRule="auto"/>
              <w:jc w:val="both"/>
              <w:rPr>
                <w:rFonts w:ascii="Arial" w:hAnsi="Arial" w:eastAsia="华文细黑" w:cs="Arial"/>
                <w:bCs/>
                <w:sz w:val="18"/>
                <w:szCs w:val="18"/>
              </w:rPr>
            </w:pPr>
            <w:r>
              <w:rPr>
                <w:rFonts w:ascii="Arial" w:hAnsi="Arial" w:eastAsia="华文细黑" w:cs="Arial"/>
                <w:bCs/>
                <w:sz w:val="18"/>
                <w:szCs w:val="18"/>
              </w:rPr>
              <w:t>本报告设定</w:t>
            </w:r>
            <w:r>
              <w:rPr>
                <w:rFonts w:hint="eastAsia" w:ascii="Arial" w:hAnsi="Arial" w:eastAsia="华文细黑" w:cs="Arial"/>
                <w:bCs/>
                <w:sz w:val="18"/>
                <w:szCs w:val="18"/>
                <w:lang w:eastAsia="zh-CN"/>
              </w:rPr>
              <w:t>住宅</w:t>
            </w:r>
            <w:r>
              <w:rPr>
                <w:rFonts w:ascii="Arial" w:hAnsi="Arial" w:eastAsia="华文细黑" w:cs="Arial"/>
                <w:bCs/>
                <w:sz w:val="18"/>
                <w:szCs w:val="18"/>
              </w:rPr>
              <w:t>国有土地使用权最高使用年限70年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sz w:val="18"/>
                <w:szCs w:val="18"/>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before="48" w:beforeLines="20" w:line="360" w:lineRule="auto"/>
              <w:jc w:val="both"/>
              <w:rPr>
                <w:rFonts w:ascii="Arial" w:hAnsi="Arial" w:eastAsia="华文细黑" w:cs="Arial"/>
                <w:bCs/>
                <w:sz w:val="18"/>
                <w:szCs w:val="18"/>
              </w:rPr>
            </w:pPr>
            <w:r>
              <w:rPr>
                <w:rFonts w:ascii="Arial" w:hAnsi="Arial" w:eastAsia="华文细黑" w:cs="Arial"/>
                <w:kern w:val="2"/>
                <w:sz w:val="18"/>
                <w:szCs w:val="18"/>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tcBorders>
              <w:bottom w:val="single" w:color="404040" w:sz="2" w:space="0"/>
            </w:tcBorders>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项目</w:t>
            </w:r>
          </w:p>
        </w:tc>
        <w:tc>
          <w:tcPr>
            <w:tcW w:w="7181" w:type="dxa"/>
            <w:gridSpan w:val="11"/>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现</w:t>
            </w:r>
          </w:p>
          <w:p>
            <w:pPr>
              <w:spacing w:line="360" w:lineRule="auto"/>
              <w:jc w:val="both"/>
              <w:rPr>
                <w:rFonts w:ascii="Arial" w:hAnsi="Arial" w:eastAsia="华文细黑" w:cs="Arial"/>
                <w:sz w:val="18"/>
                <w:szCs w:val="18"/>
              </w:rPr>
            </w:pPr>
            <w:r>
              <w:rPr>
                <w:rFonts w:ascii="Arial" w:hAnsi="Arial" w:eastAsia="华文细黑" w:cs="Arial"/>
                <w:sz w:val="18"/>
                <w:szCs w:val="18"/>
              </w:rPr>
              <w:t>状</w:t>
            </w:r>
          </w:p>
          <w:p>
            <w:pPr>
              <w:spacing w:line="360" w:lineRule="auto"/>
              <w:jc w:val="both"/>
              <w:rPr>
                <w:rFonts w:ascii="Arial" w:hAnsi="Arial" w:eastAsia="华文细黑" w:cs="Arial"/>
                <w:sz w:val="18"/>
                <w:szCs w:val="18"/>
              </w:rPr>
            </w:pPr>
            <w:r>
              <w:rPr>
                <w:rFonts w:ascii="Arial" w:hAnsi="Arial" w:eastAsia="华文细黑" w:cs="Arial"/>
                <w:sz w:val="18"/>
                <w:szCs w:val="18"/>
              </w:rPr>
              <w:t>装</w:t>
            </w:r>
          </w:p>
          <w:p>
            <w:pPr>
              <w:spacing w:line="360" w:lineRule="auto"/>
              <w:jc w:val="both"/>
              <w:rPr>
                <w:rFonts w:ascii="Arial" w:hAnsi="Arial" w:eastAsia="华文细黑" w:cs="Arial"/>
                <w:sz w:val="18"/>
                <w:szCs w:val="18"/>
              </w:rPr>
            </w:pPr>
            <w:r>
              <w:rPr>
                <w:rFonts w:ascii="Arial" w:hAnsi="Arial" w:eastAsia="华文细黑" w:cs="Arial"/>
                <w:sz w:val="18"/>
                <w:szCs w:val="18"/>
              </w:rPr>
              <w:t>修</w:t>
            </w:r>
          </w:p>
        </w:tc>
        <w:tc>
          <w:tcPr>
            <w:tcW w:w="1639"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建筑类型</w:t>
            </w:r>
          </w:p>
        </w:tc>
        <w:tc>
          <w:tcPr>
            <w:tcW w:w="7181" w:type="dxa"/>
            <w:gridSpan w:val="11"/>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塔楼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39"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外墙面</w:t>
            </w:r>
          </w:p>
        </w:tc>
        <w:tc>
          <w:tcPr>
            <w:tcW w:w="7181" w:type="dxa"/>
            <w:gridSpan w:val="11"/>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涂料、墙砖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39"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外门</w:t>
            </w:r>
          </w:p>
        </w:tc>
        <w:tc>
          <w:tcPr>
            <w:tcW w:w="7181" w:type="dxa"/>
            <w:gridSpan w:val="11"/>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39"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单元类型</w:t>
            </w:r>
          </w:p>
        </w:tc>
        <w:tc>
          <w:tcPr>
            <w:tcW w:w="3106" w:type="dxa"/>
            <w:gridSpan w:val="5"/>
            <w:noWrap/>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设定为平层</w:t>
            </w:r>
          </w:p>
        </w:tc>
        <w:tc>
          <w:tcPr>
            <w:tcW w:w="1695" w:type="dxa"/>
            <w:gridSpan w:val="4"/>
            <w:tcMar>
              <w:top w:w="85" w:type="dxa"/>
              <w:left w:w="85" w:type="dxa"/>
              <w:bottom w:w="85" w:type="dxa"/>
              <w:right w:w="28" w:type="dxa"/>
            </w:tcMar>
            <w:vAlign w:val="center"/>
          </w:tcPr>
          <w:p>
            <w:pPr>
              <w:tabs>
                <w:tab w:val="left" w:pos="995"/>
              </w:tabs>
              <w:spacing w:line="360" w:lineRule="auto"/>
              <w:jc w:val="both"/>
              <w:outlineLvl w:val="0"/>
              <w:rPr>
                <w:rFonts w:ascii="Arial" w:hAnsi="Arial" w:eastAsia="华文细黑" w:cs="Arial"/>
                <w:sz w:val="18"/>
                <w:szCs w:val="18"/>
              </w:rPr>
            </w:pPr>
            <w:r>
              <w:rPr>
                <w:rFonts w:ascii="Arial" w:hAnsi="Arial" w:eastAsia="华文细黑" w:cs="Arial"/>
                <w:sz w:val="18"/>
                <w:szCs w:val="18"/>
              </w:rPr>
              <w:t>朝向</w:t>
            </w:r>
          </w:p>
        </w:tc>
        <w:tc>
          <w:tcPr>
            <w:tcW w:w="2380"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东北</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39" w:type="dxa"/>
            <w:gridSpan w:val="2"/>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位置</w:t>
            </w:r>
          </w:p>
        </w:tc>
        <w:tc>
          <w:tcPr>
            <w:tcW w:w="1553" w:type="dxa"/>
            <w:gridSpan w:val="2"/>
            <w:noWrap/>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顶棚</w:t>
            </w:r>
          </w:p>
        </w:tc>
        <w:tc>
          <w:tcPr>
            <w:tcW w:w="1553" w:type="dxa"/>
            <w:gridSpan w:val="3"/>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墙面</w:t>
            </w:r>
          </w:p>
        </w:tc>
        <w:tc>
          <w:tcPr>
            <w:tcW w:w="1695" w:type="dxa"/>
            <w:gridSpan w:val="4"/>
            <w:tcMar>
              <w:top w:w="85" w:type="dxa"/>
              <w:left w:w="85" w:type="dxa"/>
              <w:bottom w:w="85" w:type="dxa"/>
              <w:right w:w="28" w:type="dxa"/>
            </w:tcMar>
            <w:vAlign w:val="center"/>
          </w:tcPr>
          <w:p>
            <w:pPr>
              <w:spacing w:after="48" w:afterLines="20" w:line="360" w:lineRule="auto"/>
              <w:jc w:val="both"/>
              <w:rPr>
                <w:rFonts w:ascii="Arial" w:hAnsi="Arial" w:eastAsia="华文细黑" w:cs="Arial"/>
                <w:sz w:val="18"/>
                <w:szCs w:val="18"/>
              </w:rPr>
            </w:pPr>
            <w:r>
              <w:rPr>
                <w:rFonts w:ascii="Arial" w:hAnsi="Arial" w:eastAsia="华文细黑" w:cs="Arial"/>
                <w:sz w:val="18"/>
                <w:szCs w:val="18"/>
              </w:rPr>
              <w:t>地面</w:t>
            </w:r>
          </w:p>
        </w:tc>
        <w:tc>
          <w:tcPr>
            <w:tcW w:w="2380" w:type="dxa"/>
            <w:gridSpan w:val="2"/>
            <w:tcMar>
              <w:top w:w="85" w:type="dxa"/>
              <w:left w:w="85" w:type="dxa"/>
              <w:bottom w:w="85" w:type="dxa"/>
              <w:right w:w="28" w:type="dxa"/>
            </w:tcMar>
            <w:vAlign w:val="center"/>
          </w:tcPr>
          <w:p>
            <w:pPr>
              <w:pStyle w:val="2"/>
              <w:numPr>
                <w:ilvl w:val="0"/>
                <w:numId w:val="0"/>
              </w:numPr>
              <w:spacing w:line="360" w:lineRule="auto"/>
              <w:rPr>
                <w:rFonts w:eastAsia="华文细黑"/>
                <w:b w:val="0"/>
                <w:sz w:val="18"/>
                <w:szCs w:val="18"/>
              </w:rPr>
            </w:pPr>
            <w:r>
              <w:rPr>
                <w:rFonts w:eastAsia="华文细黑"/>
                <w:b w:val="0"/>
                <w:kern w:val="2"/>
                <w:sz w:val="18"/>
                <w:szCs w:val="18"/>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478" w:type="dxa"/>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639" w:type="dxa"/>
            <w:gridSpan w:val="2"/>
            <w:tcMar>
              <w:top w:w="85" w:type="dxa"/>
              <w:left w:w="85" w:type="dxa"/>
              <w:bottom w:w="85" w:type="dxa"/>
              <w:right w:w="28" w:type="dxa"/>
            </w:tcMar>
            <w:vAlign w:val="center"/>
          </w:tcPr>
          <w:p>
            <w:pPr>
              <w:spacing w:after="120" w:afterLines="50" w:line="360" w:lineRule="auto"/>
              <w:jc w:val="both"/>
              <w:rPr>
                <w:rFonts w:ascii="Arial" w:hAnsi="Arial" w:eastAsia="华文细黑" w:cs="Arial"/>
                <w:sz w:val="18"/>
                <w:szCs w:val="18"/>
              </w:rPr>
            </w:pPr>
            <w:r>
              <w:rPr>
                <w:rFonts w:ascii="Arial" w:hAnsi="Arial" w:eastAsia="华文细黑" w:cs="Arial"/>
                <w:sz w:val="18"/>
                <w:szCs w:val="18"/>
              </w:rPr>
              <w:t>室内</w:t>
            </w:r>
          </w:p>
        </w:tc>
        <w:tc>
          <w:tcPr>
            <w:tcW w:w="7181" w:type="dxa"/>
            <w:gridSpan w:val="11"/>
            <w:noWrap/>
            <w:tcMar>
              <w:top w:w="85" w:type="dxa"/>
              <w:left w:w="85" w:type="dxa"/>
              <w:bottom w:w="85" w:type="dxa"/>
              <w:right w:w="28" w:type="dxa"/>
            </w:tcMar>
            <w:vAlign w:val="center"/>
          </w:tcPr>
          <w:p>
            <w:pPr>
              <w:spacing w:after="120" w:afterLines="50" w:line="360" w:lineRule="auto"/>
              <w:jc w:val="both"/>
              <w:rPr>
                <w:rFonts w:ascii="Arial" w:hAnsi="Arial" w:eastAsia="华文细黑" w:cs="Arial"/>
                <w:sz w:val="18"/>
                <w:szCs w:val="18"/>
              </w:rPr>
            </w:pPr>
            <w:r>
              <w:rPr>
                <w:rFonts w:ascii="Arial" w:hAnsi="Arial" w:eastAsia="华文细黑" w:cs="Arial"/>
                <w:sz w:val="18"/>
                <w:szCs w:val="18"/>
              </w:rPr>
              <w:t>设定为普通装修（涂料顶棚、涂料墙面、地砖地面）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公共部分</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sz w:val="18"/>
                <w:szCs w:val="18"/>
              </w:rPr>
            </w:pPr>
            <w:r>
              <w:rPr>
                <w:rFonts w:eastAsia="华文细黑"/>
                <w:b w:val="0"/>
                <w:sz w:val="18"/>
                <w:szCs w:val="18"/>
              </w:rPr>
              <w:t>楼梯间装修：</w:t>
            </w:r>
            <w:r>
              <w:rPr>
                <w:rFonts w:eastAsia="华文细黑"/>
                <w:b w:val="0"/>
                <w:kern w:val="2"/>
                <w:sz w:val="18"/>
                <w:szCs w:val="18"/>
              </w:rPr>
              <w:t>涂料顶棚；涂料墙面；地砖地面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供水系统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排水系统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供电系统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采暖系统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燃气系统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空调系统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通讯系统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消防系统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消防栓</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安保系统</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电梯</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2部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小区内停车</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地下停车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117" w:type="dxa"/>
            <w:gridSpan w:val="3"/>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物业管理</w:t>
            </w:r>
          </w:p>
        </w:tc>
        <w:tc>
          <w:tcPr>
            <w:tcW w:w="7181" w:type="dxa"/>
            <w:gridSpan w:val="11"/>
            <w:noWrap/>
            <w:tcMar>
              <w:top w:w="85" w:type="dxa"/>
              <w:left w:w="85" w:type="dxa"/>
              <w:bottom w:w="85" w:type="dxa"/>
              <w:right w:w="28" w:type="dxa"/>
            </w:tcMar>
            <w:vAlign w:val="center"/>
          </w:tcPr>
          <w:p>
            <w:pPr>
              <w:pStyle w:val="2"/>
              <w:numPr>
                <w:ilvl w:val="0"/>
                <w:numId w:val="0"/>
              </w:numPr>
              <w:spacing w:line="360" w:lineRule="auto"/>
              <w:rPr>
                <w:rFonts w:eastAsia="华文细黑"/>
                <w:b w:val="0"/>
                <w:kern w:val="2"/>
                <w:sz w:val="18"/>
                <w:szCs w:val="18"/>
              </w:rPr>
            </w:pPr>
            <w:r>
              <w:rPr>
                <w:rFonts w:eastAsia="华文细黑"/>
                <w:b w:val="0"/>
                <w:kern w:val="2"/>
                <w:sz w:val="18"/>
                <w:szCs w:val="18"/>
              </w:rPr>
              <w:t>物业公司管理</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项目</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装修、部分</w:t>
            </w: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外墙面</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顶棚</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内墙面</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门窗</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地面</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 xml:space="preserve">设备 </w:t>
            </w:r>
          </w:p>
          <w:p>
            <w:pPr>
              <w:spacing w:line="360" w:lineRule="auto"/>
              <w:jc w:val="both"/>
              <w:rPr>
                <w:rFonts w:ascii="Arial" w:hAnsi="Arial" w:eastAsia="华文细黑" w:cs="Arial"/>
                <w:sz w:val="18"/>
                <w:szCs w:val="18"/>
              </w:rPr>
            </w:pPr>
            <w:r>
              <w:rPr>
                <w:rFonts w:ascii="Arial" w:hAnsi="Arial" w:eastAsia="华文细黑" w:cs="Arial"/>
                <w:sz w:val="18"/>
                <w:szCs w:val="18"/>
              </w:rPr>
              <w:t>部分</w:t>
            </w:r>
          </w:p>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水卫</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电照</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657" w:type="dxa"/>
            <w:gridSpan w:val="2"/>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1757" w:type="dxa"/>
            <w:gridSpan w:val="2"/>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特种设备</w:t>
            </w:r>
          </w:p>
        </w:tc>
        <w:tc>
          <w:tcPr>
            <w:tcW w:w="6884" w:type="dxa"/>
            <w:gridSpan w:val="10"/>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Cs/>
                <w:sz w:val="18"/>
                <w:szCs w:val="18"/>
              </w:rPr>
            </w:pPr>
            <w:r>
              <w:rPr>
                <w:rFonts w:ascii="Arial" w:hAnsi="Arial" w:eastAsia="华文细黑" w:cs="Arial"/>
                <w:sz w:val="18"/>
                <w:szCs w:val="18"/>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vMerge w:val="restart"/>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估价对象所属楼宇四至</w:t>
            </w:r>
          </w:p>
        </w:tc>
        <w:tc>
          <w:tcPr>
            <w:tcW w:w="3425" w:type="dxa"/>
            <w:gridSpan w:val="6"/>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东至：今日家园甲2号楼</w:t>
            </w:r>
          </w:p>
        </w:tc>
        <w:tc>
          <w:tcPr>
            <w:tcW w:w="3459" w:type="dxa"/>
            <w:gridSpan w:val="4"/>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南至：小区花园</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vMerge w:val="continue"/>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p>
        </w:tc>
        <w:tc>
          <w:tcPr>
            <w:tcW w:w="3425" w:type="dxa"/>
            <w:gridSpan w:val="6"/>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西至：小区地下车库出入口</w:t>
            </w:r>
          </w:p>
        </w:tc>
        <w:tc>
          <w:tcPr>
            <w:tcW w:w="3459" w:type="dxa"/>
            <w:gridSpan w:val="4"/>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北至：小区院墙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基准地价土地级别</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居住类四级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居住社区成熟度</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估价对象有明日家园小区、复兴路24号院社区、复兴路26号院社区、太平路24号院社区等居住小区，居住小区规模较大，综合评价居住社区成熟度较好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临街道路</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紧临城市支路—西翠路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交通便捷度</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周边路网较密集，距离地铁1号线五棵松站约900米，距离308路，335路，568路，634路，941路，专127路等公交线路西翠路口西站约</w:t>
            </w:r>
            <w:r>
              <w:rPr>
                <w:rFonts w:hint="eastAsia" w:ascii="Arial" w:hAnsi="Arial" w:eastAsia="华文细黑" w:cs="Arial"/>
                <w:sz w:val="18"/>
                <w:szCs w:val="18"/>
              </w:rPr>
              <w:t>10</w:t>
            </w:r>
            <w:r>
              <w:rPr>
                <w:rFonts w:ascii="Arial" w:hAnsi="Arial" w:eastAsia="华文细黑" w:cs="Arial"/>
                <w:sz w:val="18"/>
                <w:szCs w:val="18"/>
              </w:rPr>
              <w:t>0米，综合评价交通便捷度较好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环境状况</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估价对象所在小区绿化一般，以常住人口为主，周边有五棵松公园等自然环境及五棵松文化体育广场等人文设施，环境状况较好。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2414" w:type="dxa"/>
            <w:gridSpan w:val="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公共服务设施</w:t>
            </w:r>
          </w:p>
        </w:tc>
        <w:tc>
          <w:tcPr>
            <w:tcW w:w="6884" w:type="dxa"/>
            <w:gridSpan w:val="10"/>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估价对象周边有中国邮政储蓄银行、中国银行等金融服务设施网点；解放军总医院、北京六建医院、沙窝社区卫生服务站等医疗机构；北京十一实验中学、北京市海淀区培英小学、沙窝幼儿园等教育机构；上品折扣、凯德晶品购物中心</w:t>
            </w:r>
            <w:r>
              <w:rPr>
                <w:rFonts w:ascii="Arial" w:hAnsi="Arial" w:eastAsia="华文细黑" w:cs="Arial"/>
                <w:color w:val="000000"/>
                <w:sz w:val="18"/>
                <w:szCs w:val="18"/>
              </w:rPr>
              <w:t>等商业</w:t>
            </w:r>
            <w:r>
              <w:rPr>
                <w:rFonts w:hint="eastAsia" w:ascii="Arial" w:hAnsi="Arial" w:eastAsia="华文细黑" w:cs="Arial"/>
                <w:color w:val="000000"/>
                <w:sz w:val="18"/>
                <w:szCs w:val="18"/>
                <w:lang w:eastAsia="zh-CN"/>
              </w:rPr>
              <w:t>场所</w:t>
            </w:r>
            <w:r>
              <w:rPr>
                <w:rFonts w:ascii="Arial" w:hAnsi="Arial" w:eastAsia="华文细黑" w:cs="Arial"/>
                <w:color w:val="000000"/>
                <w:sz w:val="18"/>
                <w:szCs w:val="18"/>
              </w:rPr>
              <w:t>；</w:t>
            </w:r>
            <w:r>
              <w:rPr>
                <w:rFonts w:ascii="Arial" w:hAnsi="Arial" w:eastAsia="华文细黑" w:cs="Arial"/>
                <w:sz w:val="18"/>
                <w:szCs w:val="18"/>
              </w:rPr>
              <w:t>公共服务设施较好。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bCs/>
                <w:sz w:val="18"/>
                <w:szCs w:val="18"/>
              </w:rPr>
            </w:pPr>
            <w:r>
              <w:rPr>
                <w:rFonts w:ascii="Arial" w:hAnsi="Arial" w:eastAsia="华文细黑" w:cs="Arial"/>
                <w:b/>
                <w:kern w:val="2"/>
                <w:sz w:val="18"/>
                <w:szCs w:val="18"/>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before="120" w:beforeLines="50"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根据房地产估价规范、国家现行有关标准规定和项目的具体要求，本次评估采用的是市场价值标准。根据《房地产估价基本术语标准》[GB/T50899-2013]，市场价值是经适当营销后，由熟悉情况、谨慎行事且不受强迫的交易双方，以公平交易方式在价值时点自愿进行交易的金额。</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本次估价的“房地产市场价值”是指在正常市场情况下，在价值时点2009年7月14日，估价对象用途为住宅，室内装修情况设定为普通装修（涂料顶棚、涂料墙面、地砖地面），</w:t>
            </w:r>
            <w:r>
              <w:rPr>
                <w:rFonts w:ascii="Arial" w:hAnsi="Arial" w:eastAsia="华文细黑" w:cs="Arial"/>
                <w:bCs/>
                <w:sz w:val="18"/>
                <w:szCs w:val="18"/>
              </w:rPr>
              <w:t>土地取得方式为出让</w:t>
            </w:r>
            <w:r>
              <w:rPr>
                <w:rFonts w:ascii="Arial" w:hAnsi="Arial" w:eastAsia="华文细黑" w:cs="Arial"/>
                <w:sz w:val="18"/>
                <w:szCs w:val="18"/>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before="120" w:beforeLines="50" w:line="360" w:lineRule="auto"/>
              <w:jc w:val="both"/>
              <w:rPr>
                <w:rFonts w:ascii="Arial" w:hAnsi="Arial" w:eastAsia="华文细黑" w:cs="Arial"/>
                <w:b/>
                <w:sz w:val="18"/>
                <w:szCs w:val="18"/>
              </w:rPr>
            </w:pPr>
            <w:r>
              <w:rPr>
                <w:rFonts w:ascii="Arial" w:hAnsi="Arial" w:eastAsia="华文细黑" w:cs="Arial"/>
                <w:b/>
                <w:kern w:val="2"/>
                <w:sz w:val="18"/>
                <w:szCs w:val="18"/>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我们在本次估价时遵循了以下原则：</w:t>
            </w:r>
          </w:p>
          <w:p>
            <w:pPr>
              <w:spacing w:line="360" w:lineRule="auto"/>
              <w:jc w:val="both"/>
              <w:rPr>
                <w:rFonts w:ascii="Arial" w:hAnsi="Arial" w:eastAsia="华文细黑" w:cs="Arial"/>
                <w:sz w:val="18"/>
                <w:szCs w:val="18"/>
              </w:rPr>
            </w:pPr>
            <w:r>
              <w:rPr>
                <w:rFonts w:ascii="Arial" w:hAnsi="Arial" w:eastAsia="华文细黑" w:cs="Arial"/>
                <w:sz w:val="18"/>
                <w:szCs w:val="18"/>
              </w:rPr>
              <w:t>（一）独立、客观、公正原则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jc w:val="both"/>
              <w:rPr>
                <w:rFonts w:ascii="Arial" w:hAnsi="Arial" w:eastAsia="华文细黑" w:cs="Arial"/>
                <w:sz w:val="18"/>
                <w:szCs w:val="18"/>
              </w:rPr>
            </w:pPr>
            <w:r>
              <w:rPr>
                <w:rFonts w:ascii="Arial" w:hAnsi="Arial" w:eastAsia="华文细黑" w:cs="Arial"/>
                <w:sz w:val="18"/>
                <w:szCs w:val="18"/>
              </w:rPr>
              <w:t>（二）合法原则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房地产估价遵循合法原则，应当以估价对象的合法产权、合法使用、合法交易为前提进行。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估价对象在价值时点具有合法的产权且用途合法。估价对象在价值时点交易或处分方式是合法的。根据《中华人民共和国城市房地产管理法》[主席令第72号]，估价对象符合上市交易的法律规定。</w:t>
            </w:r>
          </w:p>
          <w:p>
            <w:pPr>
              <w:spacing w:line="360" w:lineRule="auto"/>
              <w:jc w:val="both"/>
              <w:outlineLvl w:val="0"/>
              <w:rPr>
                <w:rFonts w:ascii="Arial" w:hAnsi="Arial" w:eastAsia="华文细黑" w:cs="Arial"/>
                <w:sz w:val="18"/>
                <w:szCs w:val="18"/>
              </w:rPr>
            </w:pPr>
            <w:r>
              <w:rPr>
                <w:rFonts w:ascii="Arial" w:hAnsi="Arial" w:eastAsia="华文细黑" w:cs="Arial"/>
                <w:sz w:val="18"/>
                <w:szCs w:val="18"/>
              </w:rPr>
              <w:t>（三）最高最佳利用原则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住宅，符合最高最佳利用原则。</w:t>
            </w:r>
          </w:p>
          <w:p>
            <w:pPr>
              <w:spacing w:line="360" w:lineRule="auto"/>
              <w:jc w:val="both"/>
              <w:rPr>
                <w:rFonts w:ascii="Arial" w:hAnsi="Arial" w:eastAsia="华文细黑" w:cs="Arial"/>
                <w:sz w:val="18"/>
                <w:szCs w:val="18"/>
              </w:rPr>
            </w:pPr>
            <w:r>
              <w:rPr>
                <w:rFonts w:ascii="Arial" w:hAnsi="Arial" w:eastAsia="华文细黑" w:cs="Arial"/>
                <w:sz w:val="18"/>
                <w:szCs w:val="18"/>
              </w:rPr>
              <w:t>（四）替代原则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jc w:val="both"/>
              <w:rPr>
                <w:rFonts w:ascii="Arial" w:hAnsi="Arial" w:eastAsia="华文细黑" w:cs="Arial"/>
                <w:sz w:val="18"/>
                <w:szCs w:val="18"/>
              </w:rPr>
            </w:pPr>
            <w:r>
              <w:rPr>
                <w:rFonts w:ascii="Arial" w:hAnsi="Arial" w:eastAsia="华文细黑" w:cs="Arial"/>
                <w:sz w:val="18"/>
                <w:szCs w:val="18"/>
              </w:rPr>
              <w:t>（五）价值时点原则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jc w:val="both"/>
              <w:rPr>
                <w:rFonts w:ascii="Arial" w:hAnsi="Arial" w:eastAsia="华文细黑" w:cs="Arial"/>
                <w:kern w:val="2"/>
                <w:sz w:val="18"/>
                <w:szCs w:val="18"/>
              </w:rPr>
            </w:pPr>
            <w:r>
              <w:rPr>
                <w:rFonts w:ascii="Arial" w:hAnsi="Arial" w:eastAsia="华文细黑" w:cs="Arial"/>
                <w:sz w:val="18"/>
                <w:szCs w:val="1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sz w:val="18"/>
                <w:szCs w:val="18"/>
              </w:rPr>
            </w:pPr>
            <w:r>
              <w:rPr>
                <w:rFonts w:ascii="Arial" w:hAnsi="Arial" w:eastAsia="华文细黑" w:cs="Arial"/>
                <w:b/>
                <w:kern w:val="2"/>
                <w:sz w:val="18"/>
                <w:szCs w:val="18"/>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（一）有关的法律、法规及技术标准文件</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中华人民共和国土地管理法》（1986年6月25日第六届全国人民代表大会常务委员会第十六次会议通过，中华人民共和国主席令第41号公布，1987年1月1日起施行；1988年12月29日第七届全国人民代表大会常务委员会第五次会议第一次修正通过，自1988年12月29日起施行；1998年8月29日第九届全国人民代表大会常务委员会第四次会议修订通过，中华人民共和国主席令第8号公布，自1999年1月1日起施行；2004年8月28日第十届全国人民代表大会常务委员会第十一次会议第二次修正通过，中华人民共和国主席令第28号公布，自公布起日起施行；2019年8月26日第十三届全国人民代表大会常务委员会第十二次会议第三次修正通过，自2020年1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2.《中华人民共和国城市房地产管理法》（1994年7月5日第八届全国人民代表大会常务委员会第八次会议通过，中华人民共和国主席令第29号公布，自1995年1月1日起施行；2007年8月30日第十届全国人民代表大会常务委员会第二十九次会议通过第一次修正通过，中华人民共和国主席令第72号公布，自公布之日起施行；2009年8月27日第十一届全国人民代表大会常务委员会第十次会议第二次修正通过，中华人民共和国主席令第18号公布，自公布之日起施行；2019年8月26日第十三届全国人大常委会第十二次会议通过第三次修正，自2020年1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3.《中华人民共和国城乡规划法》（2007 年 10 月 28 日第十届全国人民代表大会常务委员会第三十次会议通过，中华人民共和国主席令第74号，自公布之日起施行；根据 2015 年 4 月 24 日第十二届全国人民代表大会常务委员会第十四次会议通过第一次修正，中华人民共和国主席令第23号公布，自公布之日起施行）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4.《中华人民共和国资产评估法》（2016年7月2日第十二届全国人民代表大会常务委员会第二十一次会议通过，2016年3月16日中华人民共和国主席令第46号公布，自2016年12月1日起施行）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5.《中华人民共和国民法典》（2020年5月28日第十三届全国人大三次会议表决通过，自2021年1月1日起施行）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6.《中华人民共和国城镇国有土地使用权出让和转让暂行条例》（1990年5月19日中华人民共和国国务院令第55号发布，自发布之日起施行）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7.《中华人民共和国土地管理法实施条例》（1998年12月24日国务院第12次常务会议通过 ，1998年12月27日中华人民共和国国务院令第256号发布，自1999年1月1日起施行；2010年12月29日国务院第138次常务会议第一次修正通过，2011年1月8日中华人民共和国国务院令第588号发布，自发布之日起施行；2014年7月9日国务院第54次常务会议第二次修正通过，2014年7月29日中华人民共和国国务院令第653号公布，自公布之日起施行；2021年4月21日，国务院第132次会议第三次修订通过，2021年7月2日中华人民共和国国务院令第743号公布，自2021年9月1日起施行）</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8.《房地产估价规范》[GB/T 50291-2015]</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9.《房地产估价基本术语标准》[GB/T50899-2013]</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10. 《北京市人民政府关于调整本市出让国有建设用地使用权基准地价的通知》[京政发[2002]32号]</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11.《北京市发展计划委员会关于印发&lt;北京市征收城市基础设施建设费暂行办法&gt;的通知》[京计投资字﹝2002﹞1792号]</w:t>
            </w:r>
          </w:p>
          <w:p>
            <w:pPr>
              <w:spacing w:line="360" w:lineRule="auto"/>
              <w:jc w:val="both"/>
              <w:rPr>
                <w:rFonts w:ascii="Arial" w:hAnsi="Arial" w:eastAsia="华文细黑" w:cs="Arial"/>
                <w:sz w:val="18"/>
                <w:szCs w:val="18"/>
              </w:rPr>
            </w:pPr>
            <w:r>
              <w:rPr>
                <w:rFonts w:ascii="Arial" w:hAnsi="Arial" w:eastAsia="华文细黑" w:cs="Arial"/>
                <w:sz w:val="18"/>
                <w:szCs w:val="18"/>
              </w:rPr>
              <w:t>（二）估价委托人提供的资料</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1.《估价委托书》</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2.《房屋所有权证》[京房权证海私字第041012号]复印件</w:t>
            </w:r>
          </w:p>
          <w:p>
            <w:pPr>
              <w:spacing w:line="360" w:lineRule="auto"/>
              <w:ind w:firstLine="360" w:firstLineChars="200"/>
              <w:jc w:val="both"/>
              <w:rPr>
                <w:rFonts w:ascii="Arial" w:hAnsi="Arial" w:eastAsia="华文细黑" w:cs="Arial"/>
                <w:sz w:val="18"/>
                <w:szCs w:val="18"/>
              </w:rPr>
            </w:pPr>
            <w:r>
              <w:rPr>
                <w:rFonts w:ascii="Arial" w:hAnsi="Arial" w:eastAsia="华文细黑" w:cs="Arial"/>
                <w:sz w:val="18"/>
                <w:szCs w:val="18"/>
              </w:rPr>
              <w:t>3.《存量房买卖合同信息表（纳税）》复印件</w:t>
            </w:r>
          </w:p>
          <w:p>
            <w:pPr>
              <w:spacing w:line="360" w:lineRule="auto"/>
              <w:ind w:firstLine="360" w:firstLineChars="200"/>
              <w:jc w:val="both"/>
              <w:rPr>
                <w:rFonts w:ascii="Arial" w:hAnsi="Arial" w:eastAsia="华文细黑" w:cs="Arial"/>
                <w:sz w:val="18"/>
                <w:szCs w:val="18"/>
              </w:rPr>
            </w:pPr>
            <w:r>
              <w:rPr>
                <w:rFonts w:hint="eastAsia" w:ascii="Arial" w:hAnsi="Arial" w:eastAsia="华文细黑" w:cs="Arial"/>
                <w:sz w:val="18"/>
                <w:szCs w:val="18"/>
              </w:rPr>
              <w:t>4.《存量房屋买卖合同（自行成交版）》[合同编号：CW51001]复印件</w:t>
            </w:r>
          </w:p>
          <w:p>
            <w:pPr>
              <w:spacing w:line="360" w:lineRule="auto"/>
              <w:ind w:firstLine="360" w:firstLineChars="200"/>
              <w:jc w:val="both"/>
              <w:rPr>
                <w:rFonts w:ascii="Arial" w:hAnsi="Arial" w:eastAsia="华文细黑" w:cs="Arial"/>
                <w:sz w:val="18"/>
                <w:szCs w:val="18"/>
              </w:rPr>
            </w:pPr>
            <w:r>
              <w:rPr>
                <w:rFonts w:hint="eastAsia" w:ascii="Arial" w:hAnsi="Arial" w:eastAsia="华文细黑" w:cs="Arial"/>
                <w:sz w:val="18"/>
                <w:szCs w:val="18"/>
              </w:rPr>
              <w:t>5</w:t>
            </w:r>
            <w:r>
              <w:rPr>
                <w:rFonts w:ascii="Arial" w:hAnsi="Arial" w:eastAsia="华文细黑" w:cs="Arial"/>
                <w:sz w:val="18"/>
                <w:szCs w:val="18"/>
              </w:rPr>
              <w:t>.估价委托人身份证复印件</w:t>
            </w:r>
          </w:p>
          <w:p>
            <w:pPr>
              <w:spacing w:line="360" w:lineRule="auto"/>
              <w:jc w:val="both"/>
              <w:rPr>
                <w:rFonts w:ascii="Arial" w:hAnsi="Arial" w:eastAsia="华文细黑" w:cs="Arial"/>
                <w:sz w:val="18"/>
                <w:szCs w:val="18"/>
              </w:rPr>
            </w:pPr>
            <w:r>
              <w:rPr>
                <w:rFonts w:ascii="Arial" w:hAnsi="Arial" w:eastAsia="华文细黑" w:cs="Arial"/>
                <w:sz w:val="18"/>
                <w:szCs w:val="18"/>
              </w:rPr>
              <w:t>（三）评估专业人员实地查勘的有关资料</w:t>
            </w:r>
          </w:p>
          <w:p>
            <w:pPr>
              <w:spacing w:line="360" w:lineRule="auto"/>
              <w:jc w:val="both"/>
              <w:rPr>
                <w:rFonts w:ascii="Arial" w:hAnsi="Arial" w:eastAsia="华文细黑" w:cs="Arial"/>
                <w:kern w:val="2"/>
                <w:sz w:val="18"/>
                <w:szCs w:val="18"/>
              </w:rPr>
            </w:pPr>
            <w:r>
              <w:rPr>
                <w:rFonts w:ascii="Arial" w:hAnsi="Arial" w:eastAsia="华文细黑" w:cs="Arial"/>
                <w:sz w:val="18"/>
                <w:szCs w:val="18"/>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b/>
                <w:sz w:val="18"/>
                <w:szCs w:val="18"/>
              </w:rPr>
            </w:pPr>
            <w:r>
              <w:rPr>
                <w:rFonts w:ascii="Arial" w:hAnsi="Arial" w:eastAsia="华文细黑" w:cs="Arial"/>
                <w:b/>
                <w:kern w:val="2"/>
                <w:sz w:val="18"/>
                <w:szCs w:val="18"/>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pStyle w:val="40"/>
              <w:autoSpaceDE w:val="0"/>
              <w:autoSpaceDN w:val="0"/>
              <w:spacing w:line="360" w:lineRule="auto"/>
              <w:ind w:right="140" w:firstLine="360" w:firstLineChars="200"/>
              <w:jc w:val="both"/>
              <w:textAlignment w:val="bottom"/>
              <w:rPr>
                <w:rFonts w:ascii="Arial" w:hAnsi="Arial" w:eastAsia="华文细黑" w:cs="Arial"/>
                <w:sz w:val="18"/>
                <w:szCs w:val="18"/>
              </w:rPr>
            </w:pPr>
            <w:r>
              <w:rPr>
                <w:rFonts w:ascii="Arial" w:hAnsi="Arial" w:eastAsia="华文细黑" w:cs="Arial"/>
                <w:sz w:val="18"/>
                <w:szCs w:val="18"/>
              </w:rPr>
              <w:t>由于本次评估是</w:t>
            </w:r>
            <w:r>
              <w:rPr>
                <w:rFonts w:ascii="Arial" w:hAnsi="Arial" w:eastAsia="华文细黑" w:cs="Arial"/>
                <w:bCs/>
                <w:sz w:val="18"/>
                <w:szCs w:val="18"/>
              </w:rPr>
              <w:t>为估价委托人处置估价对象提供价格参考依据。为估价委托人核定估价对象房地产市场价值提供参考依据</w:t>
            </w:r>
            <w:r>
              <w:rPr>
                <w:rFonts w:ascii="Arial" w:hAnsi="Arial" w:eastAsia="华文细黑" w:cs="Arial"/>
                <w:sz w:val="18"/>
                <w:szCs w:val="18"/>
              </w:rPr>
              <w:t>，因此我们在认真分析研究估价对象的相关资料,并通过对邻近地区同类物业调查的基础上,根据《房地产估价规范》[GB/T 50291-2015]的估价程序,选用比较法、成本法进行估价。估价方法简述如下：</w:t>
            </w:r>
          </w:p>
          <w:p>
            <w:pPr>
              <w:pStyle w:val="40"/>
              <w:autoSpaceDE w:val="0"/>
              <w:autoSpaceDN w:val="0"/>
              <w:spacing w:line="360" w:lineRule="auto"/>
              <w:ind w:right="6" w:firstLine="360" w:firstLineChars="200"/>
              <w:jc w:val="both"/>
              <w:textAlignment w:val="bottom"/>
              <w:rPr>
                <w:rFonts w:ascii="Arial" w:hAnsi="Arial" w:eastAsia="华文细黑" w:cs="Arial"/>
                <w:sz w:val="18"/>
                <w:szCs w:val="18"/>
              </w:rPr>
            </w:pPr>
            <w:r>
              <w:rPr>
                <w:rFonts w:ascii="Arial" w:hAnsi="Arial" w:eastAsia="华文细黑" w:cs="Arial"/>
                <w:sz w:val="18"/>
                <w:szCs w:val="1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jc w:val="both"/>
              <w:textAlignment w:val="bottom"/>
              <w:rPr>
                <w:rFonts w:ascii="Arial" w:hAnsi="Arial" w:eastAsia="华文细黑" w:cs="Arial"/>
                <w:sz w:val="18"/>
                <w:szCs w:val="18"/>
              </w:rPr>
            </w:pPr>
            <w:r>
              <w:rPr>
                <w:rFonts w:ascii="Arial" w:hAnsi="Arial" w:eastAsia="华文细黑" w:cs="Arial"/>
                <w:sz w:val="18"/>
                <w:szCs w:val="1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jc w:val="both"/>
              <w:textAlignment w:val="bottom"/>
              <w:rPr>
                <w:rFonts w:ascii="Arial" w:hAnsi="Arial" w:eastAsia="华文细黑" w:cs="Arial"/>
                <w:kern w:val="2"/>
                <w:sz w:val="18"/>
                <w:szCs w:val="18"/>
              </w:rPr>
            </w:pPr>
            <w:r>
              <w:rPr>
                <w:rFonts w:ascii="Arial" w:hAnsi="Arial" w:eastAsia="华文细黑" w:cs="Arial"/>
                <w:sz w:val="18"/>
                <w:szCs w:val="18"/>
              </w:rPr>
              <w:t>本次估价的技术路线首先分别采用比较法、成本法求取房地产价值。再依据各方法的估价结果，算术平均确定估价对象房地产市场价值。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jc w:val="both"/>
              <w:textAlignment w:val="bottom"/>
              <w:rPr>
                <w:rFonts w:ascii="Arial" w:hAnsi="Arial" w:eastAsia="华文细黑" w:cs="Arial"/>
                <w:b/>
                <w:sz w:val="18"/>
                <w:szCs w:val="18"/>
              </w:rPr>
            </w:pPr>
            <w:r>
              <w:rPr>
                <w:rFonts w:ascii="Arial" w:hAnsi="Arial" w:eastAsia="华文细黑" w:cs="Arial"/>
                <w:b/>
                <w:kern w:val="2"/>
                <w:sz w:val="18"/>
                <w:szCs w:val="18"/>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jc w:val="both"/>
              <w:textAlignment w:val="bottom"/>
              <w:rPr>
                <w:rFonts w:ascii="Arial" w:hAnsi="Arial" w:eastAsia="华文细黑" w:cs="Arial"/>
                <w:kern w:val="2"/>
                <w:sz w:val="18"/>
                <w:szCs w:val="18"/>
              </w:rPr>
            </w:pPr>
            <w:r>
              <w:rPr>
                <w:rFonts w:ascii="Arial" w:hAnsi="Arial" w:eastAsia="华文细黑" w:cs="Arial"/>
                <w:sz w:val="18"/>
                <w:szCs w:val="18"/>
              </w:rPr>
              <w:t>评估专业人员根据估价的目的，按照估价的程序，采用科学的估价方法，在认真分析现有资料的基础上，结合本次估价的特殊要求通过仔细测算和认真分析各种影响房地产价格的因素, 确定估价对象于价值时点的房地产评估价值，详见估价结果一览表。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bookmarkStart w:id="9" w:name="OLE_LINK3"/>
            <w:bookmarkStart w:id="10" w:name="OLE_LINK4"/>
            <w:r>
              <w:rPr>
                <w:rFonts w:ascii="Arial" w:hAnsi="Arial" w:eastAsia="华文细黑" w:cs="Arial"/>
                <w:sz w:val="18"/>
                <w:szCs w:val="18"/>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03" w:type="dxa"/>
            <w:gridSpan w:val="6"/>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估价对象</w:t>
            </w:r>
          </w:p>
        </w:tc>
        <w:tc>
          <w:tcPr>
            <w:tcW w:w="1851"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建筑面积（平方米）</w:t>
            </w:r>
          </w:p>
        </w:tc>
        <w:tc>
          <w:tcPr>
            <w:tcW w:w="3744"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03" w:type="dxa"/>
            <w:gridSpan w:val="6"/>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p>
        </w:tc>
        <w:tc>
          <w:tcPr>
            <w:tcW w:w="1851"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p>
        </w:tc>
        <w:tc>
          <w:tcPr>
            <w:tcW w:w="1787"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总价（元）</w:t>
            </w:r>
          </w:p>
        </w:tc>
        <w:tc>
          <w:tcPr>
            <w:tcW w:w="1957" w:type="dxa"/>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楼面价（元/平方米）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03" w:type="dxa"/>
            <w:gridSpan w:val="6"/>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北京市海淀区西翠路5号今日家园1号楼15层1511号住宅用房</w:t>
            </w:r>
          </w:p>
        </w:tc>
        <w:tc>
          <w:tcPr>
            <w:tcW w:w="1851"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92.26</w:t>
            </w:r>
          </w:p>
        </w:tc>
        <w:tc>
          <w:tcPr>
            <w:tcW w:w="1787"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1205377</w:t>
            </w:r>
          </w:p>
        </w:tc>
        <w:tc>
          <w:tcPr>
            <w:tcW w:w="1957" w:type="dxa"/>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sz w:val="18"/>
                <w:szCs w:val="18"/>
              </w:rPr>
              <w:t>13065</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3703" w:type="dxa"/>
            <w:gridSpan w:val="6"/>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rPr>
            </w:pPr>
            <w:r>
              <w:rPr>
                <w:rFonts w:ascii="Arial" w:hAnsi="Arial" w:eastAsia="华文细黑" w:cs="Arial"/>
                <w:bCs/>
                <w:sz w:val="18"/>
                <w:szCs w:val="18"/>
              </w:rPr>
              <w:t>大写金额</w:t>
            </w:r>
          </w:p>
        </w:tc>
        <w:tc>
          <w:tcPr>
            <w:tcW w:w="5595"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jc w:val="both"/>
              <w:textAlignment w:val="bottom"/>
              <w:rPr>
                <w:rFonts w:ascii="Arial" w:hAnsi="Arial" w:eastAsia="华文细黑" w:cs="Arial"/>
                <w:sz w:val="18"/>
                <w:szCs w:val="18"/>
                <w:highlight w:val="yellow"/>
              </w:rPr>
            </w:pPr>
            <w:r>
              <w:rPr>
                <w:rFonts w:ascii="Arial" w:hAnsi="Arial" w:eastAsia="华文细黑" w:cs="Arial"/>
                <w:sz w:val="18"/>
                <w:szCs w:val="18"/>
              </w:rPr>
              <w:t>壹佰贰拾万伍仟叁佰柒拾柒元整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before="120" w:beforeLines="50" w:line="360" w:lineRule="auto"/>
              <w:jc w:val="both"/>
              <w:rPr>
                <w:rFonts w:ascii="Arial" w:hAnsi="Arial" w:eastAsia="华文细黑" w:cs="Arial"/>
                <w:sz w:val="18"/>
                <w:szCs w:val="18"/>
              </w:rPr>
            </w:pPr>
            <w:r>
              <w:rPr>
                <w:rFonts w:ascii="Arial" w:hAnsi="Arial" w:eastAsia="华文细黑" w:cs="Arial"/>
                <w:sz w:val="18"/>
                <w:szCs w:val="18"/>
              </w:rPr>
              <w:t>（以上估价结果中总价为楼面单价乘以建筑面积得出）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57" w:type="dxa"/>
            <w:left w:w="57" w:type="dxa"/>
            <w:bottom w:w="57" w:type="dxa"/>
            <w:right w:w="57" w:type="dxa"/>
          </w:tblCellMar>
        </w:tblPrEx>
        <w:trPr>
          <w:trHeight w:val="510" w:hRule="atLeast"/>
          <w:jc w:val="center"/>
        </w:trPr>
        <w:tc>
          <w:tcPr>
            <w:tcW w:w="9298" w:type="dxa"/>
            <w:gridSpan w:val="14"/>
            <w:noWrap/>
            <w:tcMar>
              <w:top w:w="85" w:type="dxa"/>
              <w:left w:w="85" w:type="dxa"/>
              <w:bottom w:w="85" w:type="dxa"/>
              <w:right w:w="28" w:type="dxa"/>
            </w:tcMar>
            <w:vAlign w:val="center"/>
          </w:tcPr>
          <w:p>
            <w:pPr>
              <w:spacing w:line="360" w:lineRule="auto"/>
              <w:jc w:val="both"/>
              <w:rPr>
                <w:rFonts w:ascii="Arial" w:hAnsi="Arial" w:eastAsia="华文细黑" w:cs="Arial"/>
                <w:sz w:val="18"/>
                <w:szCs w:val="18"/>
              </w:rPr>
            </w:pPr>
            <w:r>
              <w:rPr>
                <w:rFonts w:ascii="Arial" w:hAnsi="Arial" w:eastAsia="华文细黑" w:cs="Arial"/>
                <w:sz w:val="18"/>
                <w:szCs w:val="18"/>
              </w:rPr>
              <w:t>特别提示：</w:t>
            </w:r>
          </w:p>
          <w:p>
            <w:pPr>
              <w:spacing w:before="120" w:beforeLines="50" w:line="360" w:lineRule="auto"/>
              <w:jc w:val="both"/>
              <w:rPr>
                <w:rFonts w:ascii="Arial" w:hAnsi="Arial" w:eastAsia="华文细黑" w:cs="Arial"/>
                <w:sz w:val="18"/>
                <w:szCs w:val="18"/>
              </w:rPr>
            </w:pPr>
            <w:r>
              <w:rPr>
                <w:rFonts w:ascii="Arial" w:hAnsi="Arial" w:eastAsia="华文细黑" w:cs="Arial"/>
                <w:sz w:val="18"/>
                <w:szCs w:val="18"/>
              </w:rPr>
              <w:t>1. 根据估价委托人提供的《估价委托书》，至价值时点，估价对象设定为未设定抵押权、租赁权、地役权。本报告估价结果以设定估价对象在价值时点不存在抵押权为估价假设前提条件。</w:t>
            </w:r>
          </w:p>
          <w:p>
            <w:pPr>
              <w:spacing w:before="120" w:beforeLines="50" w:line="360" w:lineRule="auto"/>
              <w:jc w:val="both"/>
              <w:rPr>
                <w:rFonts w:ascii="Arial" w:hAnsi="Arial" w:eastAsia="华文细黑" w:cs="Arial"/>
                <w:sz w:val="18"/>
                <w:szCs w:val="18"/>
              </w:rPr>
            </w:pPr>
            <w:r>
              <w:rPr>
                <w:rFonts w:ascii="Arial" w:hAnsi="Arial" w:eastAsia="华文细黑" w:cs="Arial"/>
                <w:sz w:val="18"/>
                <w:szCs w:val="18"/>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陈  颖</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hint="eastAsia" w:ascii="Arial" w:hAnsi="Arial" w:cs="Arial"/>
                <w:sz w:val="21"/>
                <w:szCs w:val="21"/>
              </w:rPr>
              <w:t>060040</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hint="eastAsia" w:ascii="Arial" w:hAnsi="Arial" w:eastAsia="宋体" w:cs="Arial"/>
                <w:sz w:val="21"/>
                <w:szCs w:val="21"/>
                <w:lang w:eastAsia="zh-CN"/>
              </w:rPr>
            </w:pPr>
            <w:r>
              <w:rPr>
                <w:rFonts w:hint="eastAsia" w:ascii="Arial" w:hAnsi="Arial" w:cs="Arial"/>
                <w:sz w:val="21"/>
                <w:szCs w:val="21"/>
                <w:lang w:eastAsia="zh-CN"/>
              </w:rPr>
              <w:t>叶</w:t>
            </w:r>
            <w:r>
              <w:rPr>
                <w:rFonts w:hint="eastAsia" w:ascii="Arial" w:hAnsi="Arial" w:cs="Arial"/>
                <w:sz w:val="21"/>
                <w:szCs w:val="21"/>
                <w:lang w:val="en-US" w:eastAsia="zh-CN"/>
              </w:rPr>
              <w:t xml:space="preserve">  </w:t>
            </w:r>
            <w:r>
              <w:rPr>
                <w:rFonts w:hint="eastAsia" w:ascii="Arial" w:hAnsi="Arial" w:cs="Arial"/>
                <w:sz w:val="21"/>
                <w:szCs w:val="21"/>
                <w:lang w:eastAsia="zh-CN"/>
              </w:rPr>
              <w:t>凌</w:t>
            </w:r>
          </w:p>
        </w:tc>
        <w:tc>
          <w:tcPr>
            <w:tcW w:w="2197" w:type="dxa"/>
            <w:shd w:val="clear" w:color="auto" w:fill="auto"/>
            <w:vAlign w:val="center"/>
          </w:tcPr>
          <w:p>
            <w:pPr>
              <w:tabs>
                <w:tab w:val="left" w:pos="5160"/>
              </w:tabs>
              <w:overflowPunct w:val="0"/>
              <w:spacing w:line="240" w:lineRule="auto"/>
              <w:rPr>
                <w:rFonts w:hint="eastAsia" w:ascii="Arial" w:hAnsi="Arial" w:eastAsia="宋体" w:cs="Arial"/>
                <w:sz w:val="21"/>
                <w:szCs w:val="21"/>
                <w:lang w:eastAsia="zh-CN"/>
              </w:rPr>
            </w:pPr>
            <w:r>
              <w:rPr>
                <w:rFonts w:hint="eastAsia" w:ascii="Arial" w:hAnsi="Arial" w:cs="Arial"/>
                <w:sz w:val="21"/>
                <w:szCs w:val="21"/>
                <w:lang w:eastAsia="zh-CN"/>
              </w:rPr>
              <w:t>1119970111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13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边  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2021年11月15日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168225825"/>
      <w:bookmarkStart w:id="14" w:name="_Toc500322976"/>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2021年11月15日至2021年11月19日</w:t>
      </w:r>
    </w:p>
    <w:p>
      <w:pPr>
        <w:overflowPunct w:val="0"/>
        <w:spacing w:line="480" w:lineRule="auto"/>
        <w:ind w:firstLine="422" w:firstLineChars="200"/>
        <w:jc w:val="both"/>
        <w:textAlignment w:val="auto"/>
        <w:outlineLvl w:val="0"/>
        <w:rPr>
          <w:rFonts w:ascii="Arial" w:hAnsi="Arial"/>
          <w:b/>
          <w:kern w:val="2"/>
          <w:sz w:val="21"/>
          <w:szCs w:val="21"/>
        </w:rPr>
        <w:sectPr>
          <w:headerReference r:id="rId12" w:type="default"/>
          <w:footerReference r:id="rId13" w:type="even"/>
          <w:pgSz w:w="11907" w:h="16840"/>
          <w:pgMar w:top="1843" w:right="1134" w:bottom="1191" w:left="1134" w:header="1134" w:footer="1134" w:gutter="340"/>
          <w:cols w:space="72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《估价委托书》复印件</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sz w:val="21"/>
          <w:szCs w:val="24"/>
        </w:rPr>
      </w:pPr>
      <w:r>
        <w:rPr>
          <w:rFonts w:hint="eastAsia" w:ascii="Arial" w:hAnsi="Arial"/>
          <w:sz w:val="21"/>
          <w:szCs w:val="24"/>
        </w:rPr>
        <w:t>估价对象实地查勘情况和相关照片</w:t>
      </w:r>
    </w:p>
    <w:p>
      <w:pPr>
        <w:numPr>
          <w:ilvl w:val="0"/>
          <w:numId w:val="7"/>
        </w:numPr>
        <w:spacing w:line="420" w:lineRule="exact"/>
        <w:jc w:val="both"/>
        <w:rPr>
          <w:rFonts w:ascii="Arial" w:hAnsi="Arial" w:cs="Arial"/>
          <w:sz w:val="21"/>
          <w:szCs w:val="24"/>
        </w:rPr>
      </w:pPr>
      <w:r>
        <w:rPr>
          <w:rFonts w:hint="eastAsia" w:ascii="Arial" w:hAnsi="Arial"/>
          <w:sz w:val="21"/>
          <w:szCs w:val="24"/>
        </w:rPr>
        <w:t>《房屋所有权证》[京房权证海私字第041012号]复印件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《存量房买卖合同信息表（纳税）》复印件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《存量房屋买卖合同（自行成交版）》[合同编号：CW51001]复印件</w:t>
      </w:r>
    </w:p>
    <w:p>
      <w:pPr>
        <w:numPr>
          <w:ilvl w:val="0"/>
          <w:numId w:val="7"/>
        </w:numPr>
        <w:spacing w:line="420" w:lineRule="exact"/>
        <w:jc w:val="both"/>
        <w:rPr>
          <w:rFonts w:ascii="Arial" w:hAnsi="Arial" w:cs="Arial"/>
          <w:sz w:val="21"/>
          <w:szCs w:val="24"/>
        </w:rPr>
      </w:pPr>
      <w:r>
        <w:rPr>
          <w:rFonts w:hint="eastAsia" w:ascii="Arial" w:hAnsi="Arial" w:cs="Arial"/>
          <w:sz w:val="21"/>
          <w:szCs w:val="24"/>
        </w:rPr>
        <w:t>估价委托人身份证复印件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4" w:type="default"/>
      <w:pgSz w:w="11907" w:h="16840"/>
      <w:pgMar w:top="1843" w:right="1134" w:bottom="1191" w:left="1134" w:header="1134" w:footer="1134" w:gutter="34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dobe 黑体 Std R">
    <w:altName w:val="微软雅黑"/>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rPr>
      <w:t>2021-1-0590-</w:t>
    </w:r>
    <w:r>
      <w:rPr>
        <w:rFonts w:hint="eastAsia" w:ascii="Arial" w:hAnsi="Arial"/>
        <w:lang w:eastAsia="zh-CN"/>
      </w:rPr>
      <w:t>F03HDZC6</w:t>
    </w:r>
    <w:r>
      <w:rPr>
        <w:rFonts w:hint="eastAsia" w:ascii="Arial" w:hAnsi="Arial"/>
      </w:rPr>
      <w:tab/>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15</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737B"/>
    <w:rsid w:val="000B7C3D"/>
    <w:rsid w:val="000B7E14"/>
    <w:rsid w:val="000C5413"/>
    <w:rsid w:val="000C5BB3"/>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0033"/>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349C"/>
    <w:rsid w:val="003843D8"/>
    <w:rsid w:val="00385340"/>
    <w:rsid w:val="00390D6F"/>
    <w:rsid w:val="00391276"/>
    <w:rsid w:val="003922BA"/>
    <w:rsid w:val="0039346A"/>
    <w:rsid w:val="00393A15"/>
    <w:rsid w:val="003958DE"/>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37368"/>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319B"/>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2CC7"/>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0F87"/>
    <w:rsid w:val="00DC2354"/>
    <w:rsid w:val="00DC43AC"/>
    <w:rsid w:val="00DC560F"/>
    <w:rsid w:val="00DD0BEA"/>
    <w:rsid w:val="00DD282B"/>
    <w:rsid w:val="00DD2C90"/>
    <w:rsid w:val="00DD36CF"/>
    <w:rsid w:val="00DD3E33"/>
    <w:rsid w:val="00DE11DC"/>
    <w:rsid w:val="00DE614D"/>
    <w:rsid w:val="00DF05D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1EB3"/>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32F6FA3"/>
    <w:rsid w:val="033F5D3B"/>
    <w:rsid w:val="08C12030"/>
    <w:rsid w:val="0E8C6DF2"/>
    <w:rsid w:val="168F1A13"/>
    <w:rsid w:val="185C0B62"/>
    <w:rsid w:val="1B7A317A"/>
    <w:rsid w:val="1DCC4182"/>
    <w:rsid w:val="219D7F20"/>
    <w:rsid w:val="29BB1C3D"/>
    <w:rsid w:val="2C46753D"/>
    <w:rsid w:val="309B10F3"/>
    <w:rsid w:val="34281669"/>
    <w:rsid w:val="348815A8"/>
    <w:rsid w:val="36C61474"/>
    <w:rsid w:val="3CC61F27"/>
    <w:rsid w:val="48E972FC"/>
    <w:rsid w:val="4A905FB7"/>
    <w:rsid w:val="4F97175D"/>
    <w:rsid w:val="4FC613E7"/>
    <w:rsid w:val="5CCB7F79"/>
    <w:rsid w:val="5F1F6488"/>
    <w:rsid w:val="62DA43B2"/>
    <w:rsid w:val="69F33C84"/>
    <w:rsid w:val="6A164BB8"/>
    <w:rsid w:val="71051377"/>
    <w:rsid w:val="741D46EB"/>
    <w:rsid w:val="77C4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Char"/>
    <w:link w:val="20"/>
    <w:qFormat/>
    <w:uiPriority w:val="99"/>
    <w:rPr>
      <w:sz w:val="18"/>
    </w:rPr>
  </w:style>
  <w:style w:type="character" w:customStyle="1" w:styleId="55">
    <w:name w:val="页眉 Char"/>
    <w:link w:val="21"/>
    <w:qFormat/>
    <w:uiPriority w:val="99"/>
    <w:rPr>
      <w:sz w:val="18"/>
    </w:rPr>
  </w:style>
  <w:style w:type="character" w:customStyle="1" w:styleId="56">
    <w:name w:val="文档结构图 Char"/>
    <w:link w:val="9"/>
    <w:semiHidden/>
    <w:qFormat/>
    <w:uiPriority w:val="0"/>
    <w:rPr>
      <w:sz w:val="24"/>
      <w:shd w:val="clear" w:color="auto" w:fill="000080"/>
    </w:rPr>
  </w:style>
  <w:style w:type="character" w:customStyle="1" w:styleId="57">
    <w:name w:val="无间隔 Char"/>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1594</Words>
  <Characters>9089</Characters>
  <Lines>75</Lines>
  <Paragraphs>21</Paragraphs>
  <TotalTime>24</TotalTime>
  <ScaleCrop>false</ScaleCrop>
  <LinksUpToDate>false</LinksUpToDate>
  <CharactersWithSpaces>10662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2021-11-18T05:57:00Z</cp:lastPrinted>
  <dcterms:modified xsi:type="dcterms:W3CDTF">2021-11-19T02:48:31Z</dcterms:modified>
  <dc:title>电 话：82253558  传真：82253565</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5D14649E60F44E7CAAB6CB61D71BE181</vt:lpwstr>
  </property>
</Properties>
</file>