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596" w:rsidRDefault="00FD048A">
      <w:pPr>
        <w:spacing w:line="300" w:lineRule="exact"/>
        <w:rPr>
          <w:rFonts w:ascii="Arial" w:eastAsia="方正黑体简体" w:hAnsi="Arial" w:cs="Arial"/>
          <w:sz w:val="21"/>
          <w:szCs w:val="21"/>
        </w:rPr>
        <w:sectPr w:rsidR="00184596">
          <w:headerReference w:type="default" r:id="rId9"/>
          <w:footerReference w:type="even" r:id="rId10"/>
          <w:footerReference w:type="default" r:id="rId11"/>
          <w:headerReference w:type="first" r:id="rId12"/>
          <w:type w:val="continuous"/>
          <w:pgSz w:w="11907" w:h="16840"/>
          <w:pgMar w:top="1843" w:right="1304" w:bottom="1134" w:left="1304" w:header="1134" w:footer="907" w:gutter="0"/>
          <w:cols w:space="720"/>
          <w:titlePg/>
          <w:docGrid w:linePitch="326"/>
        </w:sectPr>
      </w:pPr>
      <w:r>
        <w:rPr>
          <w:noProof/>
        </w:rPr>
        <mc:AlternateContent>
          <mc:Choice Requires="wps">
            <w:drawing>
              <wp:anchor distT="0" distB="0" distL="114300" distR="114300" simplePos="0" relativeHeight="251654656" behindDoc="0" locked="0" layoutInCell="1" allowOverlap="1">
                <wp:simplePos x="0" y="0"/>
                <wp:positionH relativeFrom="margin">
                  <wp:posOffset>-7620</wp:posOffset>
                </wp:positionH>
                <wp:positionV relativeFrom="margin">
                  <wp:posOffset>5313045</wp:posOffset>
                </wp:positionV>
                <wp:extent cx="5904230" cy="3505200"/>
                <wp:effectExtent l="1270" t="0" r="0" b="3175"/>
                <wp:wrapNone/>
                <wp:docPr id="203768987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05200"/>
                        </a:xfrm>
                        <a:prstGeom prst="rect">
                          <a:avLst/>
                        </a:prstGeom>
                        <a:noFill/>
                        <a:ln>
                          <a:noFill/>
                        </a:ln>
                      </wps:spPr>
                      <wps:txbx>
                        <w:txbxContent>
                          <w:p w:rsidR="00FD048A" w:rsidRDefault="00FD048A">
                            <w:pPr>
                              <w:pStyle w:val="af6"/>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估价报告编号：</w:t>
                            </w:r>
                          </w:p>
                          <w:p w:rsidR="00FD048A" w:rsidRDefault="00FD048A">
                            <w:pPr>
                              <w:pStyle w:val="af6"/>
                              <w:spacing w:line="320" w:lineRule="exact"/>
                              <w:ind w:left="360" w:firstLineChars="0" w:firstLine="0"/>
                              <w:textAlignment w:val="bottom"/>
                              <w:rPr>
                                <w:rFonts w:ascii="Arial" w:eastAsia="方正黑体简体" w:hAnsi="Arial" w:cs="Arial"/>
                                <w:sz w:val="21"/>
                                <w:szCs w:val="21"/>
                              </w:rPr>
                            </w:pPr>
                            <w:proofErr w:type="gramStart"/>
                            <w:r>
                              <w:rPr>
                                <w:rFonts w:ascii="Arial" w:eastAsia="方正黑体简体" w:hAnsi="Arial" w:cs="Arial"/>
                                <w:sz w:val="21"/>
                                <w:szCs w:val="21"/>
                              </w:rPr>
                              <w:t>康正评</w:t>
                            </w:r>
                            <w:proofErr w:type="gramEnd"/>
                            <w:r>
                              <w:rPr>
                                <w:rFonts w:ascii="Arial" w:eastAsia="方正黑体简体" w:hAnsi="Arial" w:cs="Arial"/>
                                <w:sz w:val="21"/>
                                <w:szCs w:val="21"/>
                              </w:rPr>
                              <w:t>字</w:t>
                            </w:r>
                            <w:r>
                              <w:rPr>
                                <w:rFonts w:ascii="Arial" w:eastAsia="方正黑体简体" w:hAnsi="Arial" w:cs="Arial"/>
                                <w:sz w:val="21"/>
                                <w:szCs w:val="21"/>
                              </w:rPr>
                              <w:t>2026-1-0005-F01ZLGJ6</w:t>
                            </w:r>
                            <w:r>
                              <w:rPr>
                                <w:rFonts w:ascii="Arial" w:eastAsia="方正黑体简体" w:hAnsi="Arial" w:cs="Arial"/>
                                <w:sz w:val="21"/>
                                <w:szCs w:val="21"/>
                              </w:rPr>
                              <w:t>号</w:t>
                            </w:r>
                          </w:p>
                          <w:p w:rsidR="00FD048A" w:rsidRDefault="00FD048A">
                            <w:pPr>
                              <w:textAlignment w:val="bottom"/>
                              <w:rPr>
                                <w:rFonts w:ascii="Arial" w:hAnsi="Arial"/>
                              </w:rPr>
                            </w:pPr>
                          </w:p>
                          <w:p w:rsidR="00FD048A" w:rsidRDefault="00FD048A">
                            <w:pPr>
                              <w:pStyle w:val="af6"/>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估价项目名称：</w:t>
                            </w:r>
                          </w:p>
                          <w:p w:rsidR="00FD048A" w:rsidRDefault="00FD048A">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sz w:val="21"/>
                                <w:szCs w:val="21"/>
                              </w:rPr>
                              <w:t>北京市房山区阜盛西街</w:t>
                            </w:r>
                            <w:r>
                              <w:rPr>
                                <w:rFonts w:ascii="Arial" w:eastAsia="方正黑体简体" w:hAnsi="Arial" w:cs="Arial"/>
                                <w:sz w:val="21"/>
                                <w:szCs w:val="21"/>
                              </w:rPr>
                              <w:t>11</w:t>
                            </w:r>
                            <w:r>
                              <w:rPr>
                                <w:rFonts w:ascii="Arial" w:eastAsia="方正黑体简体" w:hAnsi="Arial" w:cs="Arial"/>
                                <w:sz w:val="21"/>
                                <w:szCs w:val="21"/>
                              </w:rPr>
                              <w:t>号院</w:t>
                            </w:r>
                            <w:r>
                              <w:rPr>
                                <w:rFonts w:ascii="Arial" w:eastAsia="方正黑体简体" w:hAnsi="Arial" w:cs="Arial"/>
                                <w:sz w:val="21"/>
                                <w:szCs w:val="21"/>
                              </w:rPr>
                              <w:t>3</w:t>
                            </w:r>
                            <w:r>
                              <w:rPr>
                                <w:rFonts w:ascii="Arial" w:eastAsia="方正黑体简体" w:hAnsi="Arial" w:cs="Arial"/>
                                <w:sz w:val="21"/>
                                <w:szCs w:val="21"/>
                              </w:rPr>
                              <w:t>号楼地上</w:t>
                            </w:r>
                            <w:r>
                              <w:rPr>
                                <w:rFonts w:ascii="Arial" w:eastAsia="方正黑体简体" w:hAnsi="Arial" w:cs="Arial"/>
                                <w:sz w:val="21"/>
                                <w:szCs w:val="21"/>
                              </w:rPr>
                              <w:t>1</w:t>
                            </w:r>
                            <w:r>
                              <w:rPr>
                                <w:rFonts w:ascii="Arial" w:eastAsia="方正黑体简体" w:hAnsi="Arial" w:cs="Arial"/>
                                <w:sz w:val="21"/>
                                <w:szCs w:val="21"/>
                              </w:rPr>
                              <w:t>层</w:t>
                            </w:r>
                            <w:r>
                              <w:rPr>
                                <w:rFonts w:ascii="Arial" w:eastAsia="方正黑体简体" w:hAnsi="Arial" w:cs="Arial"/>
                                <w:sz w:val="21"/>
                                <w:szCs w:val="21"/>
                              </w:rPr>
                              <w:t>101</w:t>
                            </w:r>
                            <w:r>
                              <w:rPr>
                                <w:rFonts w:ascii="Arial" w:eastAsia="方正黑体简体" w:hAnsi="Arial" w:cs="Arial"/>
                                <w:sz w:val="21"/>
                                <w:szCs w:val="21"/>
                              </w:rPr>
                              <w:t>号等</w:t>
                            </w:r>
                            <w:r>
                              <w:rPr>
                                <w:rFonts w:ascii="Arial" w:eastAsia="方正黑体简体" w:hAnsi="Arial" w:cs="Arial"/>
                                <w:sz w:val="21"/>
                                <w:szCs w:val="21"/>
                              </w:rPr>
                              <w:t>29</w:t>
                            </w:r>
                            <w:r>
                              <w:rPr>
                                <w:rFonts w:ascii="Arial" w:eastAsia="方正黑体简体" w:hAnsi="Arial" w:cs="Arial"/>
                                <w:sz w:val="21"/>
                                <w:szCs w:val="21"/>
                              </w:rPr>
                              <w:t>套商业用房房地产市场租金水平评估</w:t>
                            </w:r>
                          </w:p>
                          <w:p w:rsidR="00FD048A" w:rsidRDefault="00FD048A">
                            <w:pPr>
                              <w:textAlignment w:val="bottom"/>
                              <w:rPr>
                                <w:rFonts w:ascii="Arial" w:eastAsia="方正黑体简体" w:hAnsi="Arial"/>
                              </w:rPr>
                            </w:pPr>
                          </w:p>
                          <w:p w:rsidR="00FD048A" w:rsidRDefault="00FD048A">
                            <w:pPr>
                              <w:pStyle w:val="af6"/>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估价委托人：</w:t>
                            </w:r>
                          </w:p>
                          <w:p w:rsidR="00FD048A" w:rsidRDefault="00FD048A">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sz w:val="21"/>
                                <w:szCs w:val="21"/>
                              </w:rPr>
                              <w:t>北京首开龙湖盈泰置业有限公司</w:t>
                            </w:r>
                          </w:p>
                          <w:p w:rsidR="00FD048A" w:rsidRDefault="00FD048A">
                            <w:pPr>
                              <w:spacing w:line="320" w:lineRule="exact"/>
                              <w:textAlignment w:val="bottom"/>
                              <w:rPr>
                                <w:rFonts w:ascii="Arial" w:eastAsia="方正黑体简体" w:hAnsi="Arial"/>
                                <w:b/>
                                <w:sz w:val="21"/>
                                <w:szCs w:val="21"/>
                              </w:rPr>
                            </w:pPr>
                          </w:p>
                          <w:p w:rsidR="00FD048A" w:rsidRDefault="00FD048A">
                            <w:pPr>
                              <w:pStyle w:val="af6"/>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房地产估价机构：</w:t>
                            </w:r>
                          </w:p>
                          <w:p w:rsidR="00FD048A" w:rsidRDefault="00FD048A">
                            <w:pPr>
                              <w:pStyle w:val="af6"/>
                              <w:spacing w:line="320" w:lineRule="exact"/>
                              <w:ind w:left="360" w:firstLineChars="0" w:firstLine="0"/>
                              <w:textAlignment w:val="bottom"/>
                              <w:rPr>
                                <w:rFonts w:ascii="Arial" w:eastAsia="方正黑体简体" w:hAnsi="Arial"/>
                                <w:sz w:val="21"/>
                                <w:szCs w:val="21"/>
                              </w:rPr>
                            </w:pPr>
                            <w:proofErr w:type="gramStart"/>
                            <w:r>
                              <w:rPr>
                                <w:rFonts w:ascii="Arial" w:eastAsia="方正黑体简体" w:hAnsi="Arial"/>
                                <w:sz w:val="21"/>
                                <w:szCs w:val="21"/>
                              </w:rPr>
                              <w:t>北京康正宏</w:t>
                            </w:r>
                            <w:proofErr w:type="gramEnd"/>
                            <w:r>
                              <w:rPr>
                                <w:rFonts w:ascii="Arial" w:eastAsia="方正黑体简体" w:hAnsi="Arial"/>
                                <w:sz w:val="21"/>
                                <w:szCs w:val="21"/>
                              </w:rPr>
                              <w:t>基房地产评估有限公司</w:t>
                            </w:r>
                          </w:p>
                          <w:p w:rsidR="00FD048A" w:rsidRDefault="00FD048A">
                            <w:pPr>
                              <w:spacing w:line="320" w:lineRule="exact"/>
                              <w:textAlignment w:val="bottom"/>
                              <w:rPr>
                                <w:rFonts w:ascii="Arial" w:eastAsia="方正黑体简体" w:hAnsi="Arial"/>
                                <w:b/>
                                <w:sz w:val="21"/>
                                <w:szCs w:val="21"/>
                              </w:rPr>
                            </w:pPr>
                          </w:p>
                          <w:p w:rsidR="00FD048A" w:rsidRDefault="00FD048A">
                            <w:pPr>
                              <w:pStyle w:val="af6"/>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注册房地产估价师：</w:t>
                            </w:r>
                          </w:p>
                          <w:p w:rsidR="00FD048A" w:rsidRDefault="00FD048A">
                            <w:pPr>
                              <w:pStyle w:val="af6"/>
                              <w:spacing w:line="320" w:lineRule="exact"/>
                              <w:ind w:left="360" w:firstLineChars="0" w:firstLine="0"/>
                              <w:textAlignment w:val="bottom"/>
                              <w:rPr>
                                <w:rFonts w:ascii="Arial" w:eastAsia="方正黑体简体" w:hAnsi="Arial"/>
                                <w:color w:val="E36C0A"/>
                                <w:sz w:val="21"/>
                                <w:szCs w:val="21"/>
                              </w:rPr>
                            </w:pPr>
                            <w:r>
                              <w:rPr>
                                <w:rFonts w:ascii="Arial" w:eastAsia="方正黑体简体" w:hAnsi="Arial"/>
                                <w:sz w:val="21"/>
                                <w:szCs w:val="21"/>
                              </w:rPr>
                              <w:t>常</w:t>
                            </w:r>
                            <w:r>
                              <w:rPr>
                                <w:rFonts w:ascii="Arial" w:eastAsia="方正黑体简体" w:hAnsi="Arial"/>
                                <w:sz w:val="21"/>
                                <w:szCs w:val="21"/>
                              </w:rPr>
                              <w:t xml:space="preserve">  </w:t>
                            </w:r>
                            <w:r>
                              <w:rPr>
                                <w:rFonts w:ascii="Arial" w:eastAsia="方正黑体简体" w:hAnsi="Arial"/>
                                <w:sz w:val="21"/>
                                <w:szCs w:val="21"/>
                              </w:rPr>
                              <w:t>畅（注册号：</w:t>
                            </w:r>
                            <w:r>
                              <w:rPr>
                                <w:rFonts w:ascii="Arial" w:eastAsia="方正黑体简体" w:hAnsi="Arial"/>
                                <w:sz w:val="21"/>
                                <w:szCs w:val="21"/>
                              </w:rPr>
                              <w:t>1120250061</w:t>
                            </w:r>
                            <w:r>
                              <w:rPr>
                                <w:rFonts w:ascii="Arial" w:eastAsia="方正黑体简体" w:hAnsi="Arial"/>
                                <w:sz w:val="21"/>
                                <w:szCs w:val="21"/>
                              </w:rPr>
                              <w:t>）、许皓源（注册号：</w:t>
                            </w:r>
                            <w:r>
                              <w:rPr>
                                <w:rFonts w:ascii="Arial" w:eastAsia="方正黑体简体" w:hAnsi="Arial"/>
                                <w:sz w:val="21"/>
                                <w:szCs w:val="21"/>
                              </w:rPr>
                              <w:t>1119980019</w:t>
                            </w:r>
                            <w:r>
                              <w:rPr>
                                <w:rFonts w:ascii="Arial" w:eastAsia="方正黑体简体" w:hAnsi="Arial"/>
                                <w:sz w:val="21"/>
                                <w:szCs w:val="21"/>
                              </w:rPr>
                              <w:t>）</w:t>
                            </w:r>
                          </w:p>
                          <w:p w:rsidR="00FD048A" w:rsidRDefault="00FD048A">
                            <w:pPr>
                              <w:spacing w:line="320" w:lineRule="exact"/>
                              <w:textAlignment w:val="bottom"/>
                              <w:rPr>
                                <w:rFonts w:ascii="Arial" w:eastAsia="方正黑体简体" w:hAnsi="Arial"/>
                                <w:b/>
                                <w:sz w:val="21"/>
                                <w:szCs w:val="21"/>
                              </w:rPr>
                            </w:pPr>
                          </w:p>
                          <w:p w:rsidR="00FD048A" w:rsidRDefault="00FD048A">
                            <w:pPr>
                              <w:pStyle w:val="af6"/>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b/>
                                <w:bCs/>
                                <w:sz w:val="21"/>
                                <w:szCs w:val="21"/>
                              </w:rPr>
                              <w:t>估价报告出具日期：</w:t>
                            </w:r>
                          </w:p>
                          <w:p w:rsidR="00FD048A" w:rsidRDefault="00FD048A">
                            <w:pPr>
                              <w:pStyle w:val="af6"/>
                              <w:spacing w:line="320" w:lineRule="exact"/>
                              <w:ind w:left="360" w:firstLineChars="0" w:firstLine="0"/>
                              <w:textAlignment w:val="bottom"/>
                            </w:pPr>
                            <w:r>
                              <w:rPr>
                                <w:rFonts w:ascii="Arial" w:eastAsia="方正黑体简体" w:hAnsi="Arial"/>
                                <w:sz w:val="21"/>
                                <w:szCs w:val="21"/>
                              </w:rPr>
                              <w:t>2026</w:t>
                            </w:r>
                            <w:r>
                              <w:rPr>
                                <w:rFonts w:ascii="Arial" w:eastAsia="方正黑体简体" w:hAnsi="Arial"/>
                                <w:sz w:val="21"/>
                                <w:szCs w:val="21"/>
                              </w:rPr>
                              <w:t>年</w:t>
                            </w:r>
                            <w:r>
                              <w:rPr>
                                <w:rFonts w:ascii="Arial" w:eastAsia="方正黑体简体" w:hAnsi="Arial"/>
                                <w:sz w:val="21"/>
                                <w:szCs w:val="21"/>
                              </w:rPr>
                              <w:t>1</w:t>
                            </w:r>
                            <w:r>
                              <w:rPr>
                                <w:rFonts w:ascii="Arial" w:eastAsia="方正黑体简体" w:hAnsi="Arial"/>
                                <w:sz w:val="21"/>
                                <w:szCs w:val="21"/>
                              </w:rPr>
                              <w:t>月</w:t>
                            </w:r>
                            <w:r>
                              <w:rPr>
                                <w:rFonts w:ascii="Arial" w:eastAsia="方正黑体简体" w:hAnsi="Arial" w:hint="eastAsia"/>
                                <w:sz w:val="21"/>
                                <w:szCs w:val="21"/>
                              </w:rPr>
                              <w:t>30</w:t>
                            </w:r>
                            <w:r>
                              <w:rPr>
                                <w:rFonts w:ascii="Arial" w:eastAsia="方正黑体简体" w:hAnsi="Arial"/>
                                <w:sz w:val="21"/>
                                <w:szCs w:val="21"/>
                              </w:rPr>
                              <w:t>日</w:t>
                            </w:r>
                          </w:p>
                        </w:txbxContent>
                      </wps:txbx>
                      <wps:bodyPr rot="0" vert="horz" wrap="square" lIns="0" tIns="0" rIns="0" bIns="0" anchor="t" anchorCtr="0" upright="1">
                        <a:sp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0.6pt;margin-top:418.35pt;height:276pt;width:464.9pt;mso-position-horizontal-relative:margin;mso-position-vertical-relative:margin;z-index:251662336;mso-width-relative:page;mso-height-relative:page;" filled="f" stroked="f" coordsize="21600,21600" o:gfxdata="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pG2dgAAAALAQAADwAA&#10;AAAAAAABACAAAAAiAAAAZHJzL2Rvd25yZXYueG1sUEsBAhQAFAAAAAgAh07iQDqx/CIWAgAADwQA&#10;AA4AAAAAAAAAAQAgAAAAJwEAAGRycy9lMm9Eb2MueG1sUEsFBgAAAAAGAAYAWQEAAK8FAAAAAA==&#10;">
                <v:fill on="f" focussize="0,0"/>
                <v:stroke on="f"/>
                <v:imagedata o:title=""/>
                <o:lock v:ext="edit" aspectratio="f"/>
                <v:textbox inset="0mm,0mm,0mm,0mm" style="mso-fit-shape-to-text:t;">
                  <w:txbxContent>
                    <w:p w14:paraId="5C0857D4">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估价报告编号：</w:t>
                      </w:r>
                    </w:p>
                    <w:p w14:paraId="471E4B8A">
                      <w:pPr>
                        <w:pStyle w:val="56"/>
                        <w:spacing w:line="320" w:lineRule="exact"/>
                        <w:ind w:left="360" w:firstLine="0" w:firstLineChars="0"/>
                        <w:textAlignment w:val="bottom"/>
                        <w:rPr>
                          <w:rFonts w:ascii="Arial" w:hAnsi="Arial" w:eastAsia="方正黑体简体" w:cs="Arial"/>
                          <w:sz w:val="21"/>
                          <w:szCs w:val="21"/>
                        </w:rPr>
                      </w:pPr>
                      <w:r>
                        <w:rPr>
                          <w:rFonts w:ascii="Arial" w:hAnsi="Arial" w:eastAsia="方正黑体简体" w:cs="Arial"/>
                          <w:sz w:val="21"/>
                          <w:szCs w:val="21"/>
                        </w:rPr>
                        <w:t>康正评字2026-1-0005-F01ZLGJ6号</w:t>
                      </w:r>
                    </w:p>
                    <w:p w14:paraId="7044B9B5">
                      <w:pPr>
                        <w:textAlignment w:val="bottom"/>
                        <w:rPr>
                          <w:rFonts w:ascii="Arial" w:hAnsi="Arial"/>
                        </w:rPr>
                      </w:pPr>
                    </w:p>
                    <w:p w14:paraId="17954706">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估价项目名称：</w:t>
                      </w:r>
                    </w:p>
                    <w:p w14:paraId="54D264CE">
                      <w:pPr>
                        <w:pStyle w:val="56"/>
                        <w:spacing w:line="320" w:lineRule="exact"/>
                        <w:ind w:left="360" w:firstLine="0" w:firstLineChars="0"/>
                        <w:textAlignment w:val="bottom"/>
                        <w:rPr>
                          <w:rFonts w:ascii="Arial" w:hAnsi="Arial" w:eastAsia="方正黑体简体" w:cs="Arial"/>
                          <w:sz w:val="21"/>
                          <w:szCs w:val="21"/>
                        </w:rPr>
                      </w:pPr>
                      <w:r>
                        <w:rPr>
                          <w:rFonts w:ascii="Arial" w:hAnsi="Arial" w:eastAsia="方正黑体简体" w:cs="Arial"/>
                          <w:sz w:val="21"/>
                          <w:szCs w:val="21"/>
                        </w:rPr>
                        <w:t>北京市房山区阜盛西街11号院3号楼地上1层101号等29套商业用房房地产市场租金水平评估</w:t>
                      </w:r>
                    </w:p>
                    <w:p w14:paraId="26721272">
                      <w:pPr>
                        <w:textAlignment w:val="bottom"/>
                        <w:rPr>
                          <w:rFonts w:ascii="Arial" w:hAnsi="Arial" w:eastAsia="方正黑体简体"/>
                        </w:rPr>
                      </w:pPr>
                    </w:p>
                    <w:p w14:paraId="013A7091">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估价委托人：</w:t>
                      </w:r>
                    </w:p>
                    <w:p w14:paraId="39FD134A">
                      <w:pPr>
                        <w:pStyle w:val="56"/>
                        <w:spacing w:line="320" w:lineRule="exact"/>
                        <w:ind w:left="360" w:firstLine="0" w:firstLineChars="0"/>
                        <w:textAlignment w:val="bottom"/>
                        <w:rPr>
                          <w:rFonts w:ascii="Arial" w:hAnsi="Arial" w:eastAsia="方正黑体简体" w:cs="Arial"/>
                          <w:sz w:val="21"/>
                          <w:szCs w:val="21"/>
                        </w:rPr>
                      </w:pPr>
                      <w:r>
                        <w:rPr>
                          <w:rFonts w:ascii="Arial" w:hAnsi="Arial" w:eastAsia="方正黑体简体" w:cs="Arial"/>
                          <w:sz w:val="21"/>
                          <w:szCs w:val="21"/>
                        </w:rPr>
                        <w:t>北京首开龙湖盈泰置业有限公司</w:t>
                      </w:r>
                    </w:p>
                    <w:p w14:paraId="3CD9C298">
                      <w:pPr>
                        <w:spacing w:line="320" w:lineRule="exact"/>
                        <w:textAlignment w:val="bottom"/>
                        <w:rPr>
                          <w:rFonts w:ascii="Arial" w:hAnsi="Arial" w:eastAsia="方正黑体简体"/>
                          <w:b/>
                          <w:sz w:val="21"/>
                          <w:szCs w:val="21"/>
                        </w:rPr>
                      </w:pPr>
                    </w:p>
                    <w:p w14:paraId="090B15D1">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房地产估价机构：</w:t>
                      </w:r>
                    </w:p>
                    <w:p w14:paraId="0950A92D">
                      <w:pPr>
                        <w:pStyle w:val="56"/>
                        <w:spacing w:line="320" w:lineRule="exact"/>
                        <w:ind w:left="360" w:firstLine="0" w:firstLineChars="0"/>
                        <w:textAlignment w:val="bottom"/>
                        <w:rPr>
                          <w:rFonts w:ascii="Arial" w:hAnsi="Arial" w:eastAsia="方正黑体简体"/>
                          <w:sz w:val="21"/>
                          <w:szCs w:val="21"/>
                        </w:rPr>
                      </w:pPr>
                      <w:r>
                        <w:rPr>
                          <w:rFonts w:ascii="Arial" w:hAnsi="Arial" w:eastAsia="方正黑体简体"/>
                          <w:sz w:val="21"/>
                          <w:szCs w:val="21"/>
                        </w:rPr>
                        <w:t>北京康正宏基房地产评估有限公司</w:t>
                      </w:r>
                    </w:p>
                    <w:p w14:paraId="7676EA4D">
                      <w:pPr>
                        <w:spacing w:line="320" w:lineRule="exact"/>
                        <w:textAlignment w:val="bottom"/>
                        <w:rPr>
                          <w:rFonts w:ascii="Arial" w:hAnsi="Arial" w:eastAsia="方正黑体简体"/>
                          <w:b/>
                          <w:sz w:val="21"/>
                          <w:szCs w:val="21"/>
                        </w:rPr>
                      </w:pPr>
                    </w:p>
                    <w:p w14:paraId="4B078CB3">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注册房地产估价师：</w:t>
                      </w:r>
                    </w:p>
                    <w:p w14:paraId="7BAD8B43">
                      <w:pPr>
                        <w:pStyle w:val="56"/>
                        <w:spacing w:line="320" w:lineRule="exact"/>
                        <w:ind w:left="360" w:firstLine="0" w:firstLineChars="0"/>
                        <w:textAlignment w:val="bottom"/>
                        <w:rPr>
                          <w:rFonts w:ascii="Arial" w:hAnsi="Arial" w:eastAsia="方正黑体简体"/>
                          <w:color w:val="E36C0A"/>
                          <w:sz w:val="21"/>
                          <w:szCs w:val="21"/>
                        </w:rPr>
                      </w:pPr>
                      <w:r>
                        <w:rPr>
                          <w:rFonts w:ascii="Arial" w:hAnsi="Arial" w:eastAsia="方正黑体简体"/>
                          <w:sz w:val="21"/>
                          <w:szCs w:val="21"/>
                        </w:rPr>
                        <w:t>常  畅（注册号：1120250061）、许皓源（注册号：1119980019）</w:t>
                      </w:r>
                    </w:p>
                    <w:p w14:paraId="4BC47A2E">
                      <w:pPr>
                        <w:spacing w:line="320" w:lineRule="exact"/>
                        <w:textAlignment w:val="bottom"/>
                        <w:rPr>
                          <w:rFonts w:ascii="Arial" w:hAnsi="Arial" w:eastAsia="方正黑体简体"/>
                          <w:b/>
                          <w:sz w:val="21"/>
                          <w:szCs w:val="21"/>
                        </w:rPr>
                      </w:pPr>
                    </w:p>
                    <w:p w14:paraId="4B9025D4">
                      <w:pPr>
                        <w:pStyle w:val="56"/>
                        <w:numPr>
                          <w:ilvl w:val="0"/>
                          <w:numId w:val="4"/>
                        </w:numPr>
                        <w:spacing w:line="320" w:lineRule="exact"/>
                        <w:ind w:right="-93" w:firstLineChars="0"/>
                        <w:textAlignment w:val="bottom"/>
                        <w:outlineLvl w:val="0"/>
                        <w:rPr>
                          <w:rFonts w:ascii="Arial" w:hAnsi="Arial" w:eastAsia="方正黑体简体"/>
                          <w:b/>
                          <w:bCs/>
                          <w:sz w:val="21"/>
                          <w:szCs w:val="21"/>
                        </w:rPr>
                      </w:pPr>
                      <w:r>
                        <w:rPr>
                          <w:rFonts w:ascii="Arial" w:hAnsi="Arial" w:eastAsia="方正黑体简体"/>
                          <w:b/>
                          <w:bCs/>
                          <w:sz w:val="21"/>
                          <w:szCs w:val="21"/>
                        </w:rPr>
                        <w:t>估价报告出具日期：</w:t>
                      </w:r>
                    </w:p>
                    <w:p w14:paraId="74081E2A">
                      <w:pPr>
                        <w:pStyle w:val="56"/>
                        <w:spacing w:line="320" w:lineRule="exact"/>
                        <w:ind w:left="360" w:firstLine="0" w:firstLineChars="0"/>
                        <w:textAlignment w:val="bottom"/>
                      </w:pPr>
                      <w:r>
                        <w:rPr>
                          <w:rFonts w:ascii="Arial" w:hAnsi="Arial" w:eastAsia="方正黑体简体"/>
                          <w:sz w:val="21"/>
                          <w:szCs w:val="21"/>
                        </w:rPr>
                        <w:t>2026年1月</w:t>
                      </w:r>
                      <w:r>
                        <w:rPr>
                          <w:rFonts w:hint="eastAsia" w:ascii="Arial" w:hAnsi="Arial" w:eastAsia="方正黑体简体"/>
                          <w:sz w:val="21"/>
                          <w:szCs w:val="21"/>
                        </w:rPr>
                        <w:t>30</w:t>
                      </w:r>
                      <w:r>
                        <w:rPr>
                          <w:rFonts w:ascii="Arial" w:hAnsi="Arial" w:eastAsia="方正黑体简体"/>
                          <w:sz w:val="21"/>
                          <w:szCs w:val="21"/>
                        </w:rPr>
                        <w:t>日</w:t>
                      </w:r>
                    </w:p>
                  </w:txbxContent>
                </v:textbox>
              </v:shape>
            </w:pict>
          </mc:Fallback>
        </mc:AlternateContent>
      </w:r>
      <w:r>
        <w:rPr>
          <w:noProof/>
        </w:rPr>
        <mc:AlternateContent>
          <mc:Choice Requires="wps">
            <w:drawing>
              <wp:anchor distT="0" distB="0" distL="114300" distR="114300" simplePos="0" relativeHeight="251653632" behindDoc="0" locked="0" layoutInCell="0" allowOverlap="0">
                <wp:simplePos x="0" y="0"/>
                <wp:positionH relativeFrom="margin">
                  <wp:align>center</wp:align>
                </wp:positionH>
                <wp:positionV relativeFrom="margin">
                  <wp:posOffset>1800225</wp:posOffset>
                </wp:positionV>
                <wp:extent cx="2503805" cy="514350"/>
                <wp:effectExtent l="4445" t="0" r="0" b="1270"/>
                <wp:wrapNone/>
                <wp:docPr id="14495557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wps:spPr>
                      <wps:txbx>
                        <w:txbxContent>
                          <w:p w:rsidR="00FD048A" w:rsidRDefault="00FD048A">
                            <w:pPr>
                              <w:rPr>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top:141.75pt;height:40.5pt;width:197.15pt;mso-position-horizontal:center;mso-position-horizontal-relative:margin;mso-position-vertical-relative:margin;mso-wrap-style:none;z-index:251661312;mso-width-relative:page;mso-height-relative:page;" filled="f" stroked="f" coordsize="21600,21600" o:allowincell="f" o:allowoverlap="f" o:gfxdata="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hOeadoA&#10;AAAIAQAADwAAAAAAAAABACAAAAAiAAAAZHJzL2Rvd25yZXYueG1sUEsBAhQAFAAAAAgAh07iQPfd&#10;Ta4dAgAAHAQAAA4AAAAAAAAAAQAgAAAAKQEAAGRycy9lMm9Eb2MueG1sUEsFBgAAAAAGAAYAWQEA&#10;ALgFAAAAAA==&#10;">
                <v:fill on="f" focussize="0,0"/>
                <v:stroke on="f"/>
                <v:imagedata o:title=""/>
                <o:lock v:ext="edit" aspectratio="f"/>
                <v:textbox>
                  <w:txbxContent>
                    <w:p w14:paraId="45CBB004">
                      <w:pPr>
                        <w:rPr>
                          <w:rFonts w:hint="eastAsia"/>
                          <w:b/>
                          <w:sz w:val="52"/>
                          <w:szCs w:val="52"/>
                        </w:rPr>
                      </w:pPr>
                      <w:r>
                        <w:rPr>
                          <w:rFonts w:hint="eastAsia"/>
                          <w:b/>
                          <w:sz w:val="52"/>
                          <w:szCs w:val="52"/>
                        </w:rPr>
                        <w:t>房地产估价报告</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margin">
                  <wp:align>center</wp:align>
                </wp:positionH>
                <wp:positionV relativeFrom="margin">
                  <wp:align>bottom</wp:align>
                </wp:positionV>
                <wp:extent cx="5904230" cy="203200"/>
                <wp:effectExtent l="0" t="0" r="0" b="0"/>
                <wp:wrapNone/>
                <wp:docPr id="2028807110"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3200"/>
                        </a:xfrm>
                        <a:prstGeom prst="rect">
                          <a:avLst/>
                        </a:prstGeom>
                        <a:noFill/>
                        <a:ln>
                          <a:noFill/>
                        </a:ln>
                      </wps:spPr>
                      <wps:txbx>
                        <w:txbxContent>
                          <w:p w:rsidR="00FD048A" w:rsidRDefault="00FD048A">
                            <w:pPr>
                              <w:pStyle w:val="af6"/>
                              <w:spacing w:line="320" w:lineRule="exact"/>
                              <w:ind w:left="360" w:firstLineChars="0" w:firstLine="0"/>
                              <w:textAlignment w:val="bottom"/>
                            </w:pPr>
                          </w:p>
                        </w:txbxContent>
                      </wps:txbx>
                      <wps:bodyPr rot="0" vert="horz" wrap="square" lIns="0" tIns="0" rIns="0" bIns="0" anchor="t" anchorCtr="0" upright="1">
                        <a:spAutoFit/>
                      </wps:bodyPr>
                    </wps:wsp>
                  </a:graphicData>
                </a:graphic>
              </wp:anchor>
            </w:drawing>
          </mc:Choice>
          <mc:Fallback xmlns:wpsCustomData="http://www.wps.cn/officeDocument/2013/wpsCustomData" xmlns:w15="http://schemas.microsoft.com/office/word/2012/wordml">
            <w:pict>
              <v:shape id="文本框 3" o:spid="_x0000_s1026" o:spt="202" type="#_x0000_t202" style="position:absolute;left:0pt;height:16pt;width:464.9pt;mso-position-horizontal:center;mso-position-horizontal-relative:margin;mso-position-vertical:bottom;mso-position-vertical-relative:margin;z-index:251660288;mso-width-relative:page;mso-height-relative:page;" filled="f" stroked="f" coordsize="21600,21600" o:gfxdata="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2fdoNIAAAAEAQAADwAAAAAAAAABACAA&#10;AAAiAAAAZHJzL2Rvd25yZXYueG1sUEsBAhQAFAAAAAgAh07iQPRa5OcTAgAADgQAAA4AAAAAAAAA&#10;AQAgAAAAIQEAAGRycy9lMm9Eb2MueG1sUEsFBgAAAAAGAAYAWQEAAKYFAAAAAA==&#10;">
                <v:fill on="f" focussize="0,0"/>
                <v:stroke on="f"/>
                <v:imagedata o:title=""/>
                <o:lock v:ext="edit" aspectratio="f"/>
                <v:textbox inset="0mm,0mm,0mm,0mm" style="mso-fit-shape-to-text:t;">
                  <w:txbxContent>
                    <w:p w14:paraId="6A7456BA">
                      <w:pPr>
                        <w:pStyle w:val="56"/>
                        <w:spacing w:line="320" w:lineRule="exact"/>
                        <w:ind w:left="360" w:firstLine="0" w:firstLineChars="0"/>
                        <w:textAlignment w:val="bottom"/>
                        <w:rPr>
                          <w:rFonts w:hint="eastAsia"/>
                        </w:rPr>
                      </w:pPr>
                    </w:p>
                  </w:txbxContent>
                </v:textbox>
              </v:shape>
            </w:pict>
          </mc:Fallback>
        </mc:AlternateContent>
      </w:r>
      <w:r>
        <w:rPr>
          <w:rFonts w:ascii="宋体" w:hAnsi="宋体" w:cs="宋体"/>
          <w:noProof/>
          <w:szCs w:val="24"/>
        </w:rPr>
        <mc:AlternateContent>
          <mc:Choice Requires="wps">
            <w:drawing>
              <wp:anchor distT="0" distB="0" distL="114300" distR="114300" simplePos="0" relativeHeight="251651584" behindDoc="0" locked="0" layoutInCell="0" allowOverlap="0">
                <wp:simplePos x="0" y="0"/>
                <wp:positionH relativeFrom="margin">
                  <wp:align>center</wp:align>
                </wp:positionH>
                <wp:positionV relativeFrom="margin">
                  <wp:posOffset>2160270</wp:posOffset>
                </wp:positionV>
                <wp:extent cx="297815" cy="514350"/>
                <wp:effectExtent l="2540" t="0" r="4445" b="3175"/>
                <wp:wrapNone/>
                <wp:docPr id="162316685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514350"/>
                        </a:xfrm>
                        <a:prstGeom prst="rect">
                          <a:avLst/>
                        </a:prstGeom>
                        <a:noFill/>
                        <a:ln>
                          <a:noFill/>
                        </a:ln>
                      </wps:spPr>
                      <wps:txbx>
                        <w:txbxContent>
                          <w:p w:rsidR="00FD048A" w:rsidRDefault="00FD048A">
                            <w:pPr>
                              <w:rPr>
                                <w:b/>
                                <w:sz w:val="52"/>
                                <w:szCs w:val="52"/>
                              </w:rPr>
                            </w:pPr>
                          </w:p>
                        </w:txbxContent>
                      </wps:txbx>
                      <wps:bodyPr rot="0" vert="horz" wrap="non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top:170.1pt;height:40.5pt;width:23.45pt;mso-position-horizontal:center;mso-position-horizontal-relative:margin;mso-position-vertical-relative:margin;mso-wrap-style:none;z-index:251659264;mso-width-relative:page;mso-height-relative:page;" filled="f" stroked="f" coordsize="21600,21600" o:allowincell="f" o:allowoverlap="f" o:gfxdata="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9my8o2QAA&#10;AAcBAAAPAAAAAAAAAAEAIAAAACIAAABkcnMvZG93bnJldi54bWxQSwECFAAUAAAACACHTuJAmeK4&#10;5R0CAAAbBAAADgAAAAAAAAABACAAAAAoAQAAZHJzL2Uyb0RvYy54bWxQSwUGAAAAAAYABgBZAQAA&#10;twUAAAAA&#10;">
                <v:fill on="f" focussize="0,0"/>
                <v:stroke on="f"/>
                <v:imagedata o:title=""/>
                <o:lock v:ext="edit" aspectratio="f"/>
                <v:textbox>
                  <w:txbxContent>
                    <w:p w14:paraId="2CAE09B5">
                      <w:pPr>
                        <w:rPr>
                          <w:b/>
                          <w:sz w:val="52"/>
                          <w:szCs w:val="52"/>
                        </w:rPr>
                      </w:pPr>
                    </w:p>
                  </w:txbxContent>
                </v:textbox>
              </v:shape>
            </w:pict>
          </mc:Fallback>
        </mc:AlternateContent>
      </w:r>
    </w:p>
    <w:p w:rsidR="00184596" w:rsidRDefault="00FD048A">
      <w:pPr>
        <w:pStyle w:val="1"/>
        <w:spacing w:line="480" w:lineRule="auto"/>
        <w:jc w:val="center"/>
        <w:rPr>
          <w:rFonts w:eastAsia="方正黑体简体"/>
          <w:b w:val="0"/>
          <w:color w:val="000000"/>
          <w:kern w:val="2"/>
          <w:sz w:val="32"/>
          <w:szCs w:val="32"/>
        </w:rPr>
      </w:pPr>
      <w:bookmarkStart w:id="0" w:name="_Toc477252437"/>
      <w:bookmarkStart w:id="1" w:name="_Toc379795040"/>
      <w:r>
        <w:rPr>
          <w:rFonts w:eastAsia="方正黑体简体"/>
          <w:b w:val="0"/>
          <w:color w:val="000000"/>
          <w:kern w:val="2"/>
          <w:sz w:val="32"/>
          <w:szCs w:val="32"/>
        </w:rPr>
        <w:lastRenderedPageBreak/>
        <w:t>致估价委托人函</w:t>
      </w:r>
      <w:bookmarkEnd w:id="0"/>
      <w:bookmarkEnd w:id="1"/>
    </w:p>
    <w:p w:rsidR="00184596" w:rsidRDefault="00FD048A">
      <w:pPr>
        <w:spacing w:line="480" w:lineRule="auto"/>
        <w:rPr>
          <w:rFonts w:ascii="Arial" w:hAnsi="Arial" w:cs="Arial"/>
          <w:b/>
          <w:kern w:val="2"/>
          <w:sz w:val="21"/>
          <w:szCs w:val="21"/>
        </w:rPr>
      </w:pPr>
      <w:r>
        <w:rPr>
          <w:rFonts w:ascii="Arial" w:hAnsi="Arial" w:cs="Arial" w:hint="eastAsia"/>
          <w:b/>
          <w:kern w:val="2"/>
          <w:sz w:val="21"/>
          <w:szCs w:val="21"/>
        </w:rPr>
        <w:t>北京首开龙湖盈泰置业有限公司：</w:t>
      </w:r>
    </w:p>
    <w:p w:rsidR="00184596" w:rsidRDefault="00FD048A">
      <w:pPr>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受贵公司委托，我公司对</w:t>
      </w:r>
      <w:r>
        <w:rPr>
          <w:rFonts w:ascii="Arial" w:hAnsi="Arial" w:cs="Arial" w:hint="eastAsia"/>
          <w:kern w:val="2"/>
          <w:sz w:val="21"/>
          <w:szCs w:val="21"/>
        </w:rPr>
        <w:t>北京市房山区阜盛西街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号楼地上</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29</w:t>
      </w:r>
      <w:r>
        <w:rPr>
          <w:rFonts w:ascii="Arial" w:hAnsi="Arial" w:cs="Arial" w:hint="eastAsia"/>
          <w:kern w:val="2"/>
          <w:sz w:val="21"/>
          <w:szCs w:val="21"/>
        </w:rPr>
        <w:t>套商业用房房地产市场租金水平进行了评估。</w:t>
      </w:r>
    </w:p>
    <w:p w:rsidR="00184596" w:rsidRDefault="00FD048A">
      <w:pPr>
        <w:overflowPunct w:val="0"/>
        <w:spacing w:line="480" w:lineRule="auto"/>
        <w:ind w:firstLineChars="200" w:firstLine="422"/>
        <w:jc w:val="both"/>
        <w:textAlignment w:val="auto"/>
        <w:rPr>
          <w:rFonts w:ascii="Arial" w:hAnsi="Arial"/>
          <w:b/>
          <w:sz w:val="21"/>
          <w:szCs w:val="21"/>
        </w:rPr>
      </w:pPr>
      <w:r>
        <w:rPr>
          <w:rFonts w:ascii="Arial" w:hAnsi="Arial" w:cs="Arial"/>
          <w:b/>
          <w:bCs/>
          <w:sz w:val="21"/>
          <w:szCs w:val="21"/>
        </w:rPr>
        <w:t>估价对象：</w:t>
      </w:r>
      <w:r>
        <w:rPr>
          <w:rFonts w:ascii="Arial" w:hAnsi="Arial" w:hint="eastAsia"/>
          <w:bCs/>
          <w:sz w:val="21"/>
        </w:rPr>
        <w:t>根据估价委托人提供的《不动产权证书》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、《房屋面积测算技术报告书（商品房类使用）》及《估价委托书》，估价对象为北京市房山区阜盛西街</w:t>
      </w:r>
      <w:r>
        <w:rPr>
          <w:rFonts w:ascii="Arial" w:hAnsi="Arial" w:hint="eastAsia"/>
          <w:bCs/>
          <w:sz w:val="21"/>
        </w:rPr>
        <w:t>11</w:t>
      </w:r>
      <w:r>
        <w:rPr>
          <w:rFonts w:ascii="Arial" w:hAnsi="Arial" w:hint="eastAsia"/>
          <w:bCs/>
          <w:sz w:val="21"/>
        </w:rPr>
        <w:t>号院</w:t>
      </w:r>
      <w:r>
        <w:rPr>
          <w:rFonts w:ascii="Arial" w:hAnsi="Arial" w:hint="eastAsia"/>
          <w:bCs/>
          <w:sz w:val="21"/>
        </w:rPr>
        <w:t>3</w:t>
      </w:r>
      <w:r>
        <w:rPr>
          <w:rFonts w:ascii="Arial" w:hAnsi="Arial" w:hint="eastAsia"/>
          <w:bCs/>
          <w:sz w:val="21"/>
        </w:rPr>
        <w:t>号楼地上</w:t>
      </w:r>
      <w:r>
        <w:rPr>
          <w:rFonts w:ascii="Arial" w:hAnsi="Arial" w:hint="eastAsia"/>
          <w:bCs/>
          <w:sz w:val="21"/>
        </w:rPr>
        <w:t>1</w:t>
      </w:r>
      <w:r>
        <w:rPr>
          <w:rFonts w:ascii="Arial" w:hAnsi="Arial" w:hint="eastAsia"/>
          <w:bCs/>
          <w:sz w:val="21"/>
        </w:rPr>
        <w:t>层</w:t>
      </w:r>
      <w:r>
        <w:rPr>
          <w:rFonts w:ascii="Arial" w:hAnsi="Arial" w:hint="eastAsia"/>
          <w:bCs/>
          <w:sz w:val="21"/>
        </w:rPr>
        <w:t>101</w:t>
      </w:r>
      <w:r>
        <w:rPr>
          <w:rFonts w:ascii="Arial" w:hAnsi="Arial" w:hint="eastAsia"/>
          <w:bCs/>
          <w:sz w:val="21"/>
        </w:rPr>
        <w:t>号等</w:t>
      </w:r>
      <w:r>
        <w:rPr>
          <w:rFonts w:ascii="Arial" w:hAnsi="Arial" w:hint="eastAsia"/>
          <w:bCs/>
          <w:sz w:val="21"/>
        </w:rPr>
        <w:t>29</w:t>
      </w:r>
      <w:r>
        <w:rPr>
          <w:rFonts w:ascii="Arial" w:hAnsi="Arial" w:hint="eastAsia"/>
          <w:bCs/>
          <w:sz w:val="21"/>
        </w:rPr>
        <w:t>套商业用房房地产，</w:t>
      </w:r>
      <w:r>
        <w:rPr>
          <w:rFonts w:ascii="Arial" w:hAnsi="Arial" w:cs="Arial" w:hint="eastAsia"/>
          <w:sz w:val="21"/>
          <w:szCs w:val="21"/>
        </w:rPr>
        <w:t>不动产权利人为</w:t>
      </w:r>
      <w:r>
        <w:rPr>
          <w:rFonts w:ascii="Arial" w:hAnsi="Arial" w:hint="eastAsia"/>
          <w:bCs/>
          <w:sz w:val="21"/>
        </w:rPr>
        <w:t>北京首开龙湖盈泰置业有限公司</w:t>
      </w:r>
      <w:r>
        <w:rPr>
          <w:rFonts w:ascii="Arial" w:hAnsi="Arial" w:cs="Arial" w:hint="eastAsia"/>
          <w:bCs/>
          <w:sz w:val="21"/>
          <w:szCs w:val="21"/>
        </w:rPr>
        <w:t>，</w:t>
      </w:r>
      <w:r>
        <w:rPr>
          <w:rFonts w:ascii="Arial" w:hAnsi="Arial" w:cs="Arial" w:hint="eastAsia"/>
          <w:sz w:val="21"/>
          <w:szCs w:val="21"/>
        </w:rPr>
        <w:t>权利性质为出让</w:t>
      </w:r>
      <w:r>
        <w:rPr>
          <w:rFonts w:ascii="Arial" w:hAnsi="Arial" w:cs="Arial" w:hint="eastAsia"/>
          <w:sz w:val="21"/>
          <w:szCs w:val="21"/>
        </w:rPr>
        <w:t>/</w:t>
      </w:r>
      <w:r>
        <w:rPr>
          <w:rFonts w:ascii="Arial" w:hAnsi="Arial" w:cs="Arial" w:hint="eastAsia"/>
          <w:sz w:val="21"/>
          <w:szCs w:val="21"/>
        </w:rPr>
        <w:t>商品房，</w:t>
      </w:r>
      <w:r>
        <w:rPr>
          <w:rFonts w:ascii="Arial" w:hAnsi="Arial" w:hint="eastAsia"/>
          <w:bCs/>
          <w:sz w:val="21"/>
        </w:rPr>
        <w:t>总建筑面积为</w:t>
      </w:r>
      <w:r>
        <w:rPr>
          <w:rFonts w:ascii="Arial" w:hAnsi="Arial" w:hint="eastAsia"/>
          <w:bCs/>
          <w:sz w:val="21"/>
        </w:rPr>
        <w:t>24871.67</w:t>
      </w:r>
      <w:r>
        <w:rPr>
          <w:rFonts w:ascii="Arial" w:hAnsi="Arial" w:hint="eastAsia"/>
          <w:bCs/>
          <w:sz w:val="21"/>
        </w:rPr>
        <w:t>平方米，套内建筑面积为</w:t>
      </w:r>
      <w:r>
        <w:rPr>
          <w:rFonts w:ascii="Arial" w:hAnsi="Arial" w:hint="eastAsia"/>
          <w:bCs/>
          <w:sz w:val="21"/>
        </w:rPr>
        <w:t>17190.47</w:t>
      </w:r>
      <w:r>
        <w:rPr>
          <w:rFonts w:ascii="Arial" w:hAnsi="Arial" w:hint="eastAsia"/>
          <w:bCs/>
          <w:sz w:val="21"/>
        </w:rPr>
        <w:t>平方米</w:t>
      </w:r>
      <w:r>
        <w:rPr>
          <w:rFonts w:ascii="Arial" w:hAnsi="Arial" w:cs="Arial"/>
          <w:sz w:val="21"/>
          <w:szCs w:val="21"/>
        </w:rPr>
        <w:t>，</w:t>
      </w:r>
      <w:r>
        <w:rPr>
          <w:rFonts w:ascii="Arial" w:hAnsi="Arial" w:cs="Arial" w:hint="eastAsia"/>
          <w:sz w:val="21"/>
          <w:szCs w:val="21"/>
        </w:rPr>
        <w:t>规划用途为商业。</w:t>
      </w:r>
      <w:r>
        <w:rPr>
          <w:rFonts w:ascii="Arial" w:hAnsi="Arial" w:hint="eastAsia"/>
          <w:bCs/>
          <w:sz w:val="21"/>
        </w:rPr>
        <w:t>详见下表：</w:t>
      </w:r>
    </w:p>
    <w:p w:rsidR="00184596" w:rsidRDefault="00FD048A">
      <w:pPr>
        <w:spacing w:afterLines="50" w:after="120" w:line="240" w:lineRule="auto"/>
        <w:ind w:firstLineChars="196" w:firstLine="413"/>
        <w:jc w:val="center"/>
        <w:rPr>
          <w:rFonts w:ascii="Arial" w:hAnsi="Arial"/>
          <w:b/>
          <w:sz w:val="21"/>
          <w:szCs w:val="21"/>
        </w:rPr>
      </w:pPr>
      <w:r>
        <w:rPr>
          <w:rFonts w:ascii="Arial" w:hAnsi="Arial" w:hint="eastAsia"/>
          <w:b/>
          <w:sz w:val="21"/>
          <w:szCs w:val="21"/>
        </w:rPr>
        <w:t>估价对象面积明细表</w:t>
      </w:r>
    </w:p>
    <w:tbl>
      <w:tblPr>
        <w:tblW w:w="4760" w:type="pct"/>
        <w:jc w:val="center"/>
        <w:tblLayout w:type="fixed"/>
        <w:tblLook w:val="04A0" w:firstRow="1" w:lastRow="0" w:firstColumn="1" w:lastColumn="0" w:noHBand="0" w:noVBand="1"/>
      </w:tblPr>
      <w:tblGrid>
        <w:gridCol w:w="525"/>
        <w:gridCol w:w="970"/>
        <w:gridCol w:w="580"/>
        <w:gridCol w:w="600"/>
        <w:gridCol w:w="1134"/>
        <w:gridCol w:w="1228"/>
        <w:gridCol w:w="1701"/>
        <w:gridCol w:w="543"/>
        <w:gridCol w:w="732"/>
        <w:gridCol w:w="1045"/>
      </w:tblGrid>
      <w:tr w:rsidR="00184596">
        <w:trPr>
          <w:trHeight w:val="20"/>
          <w:tblHeader/>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地块</w:t>
            </w:r>
          </w:p>
        </w:tc>
        <w:tc>
          <w:tcPr>
            <w:tcW w:w="535"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登记/测绘坐落</w:t>
            </w:r>
          </w:p>
        </w:tc>
        <w:tc>
          <w:tcPr>
            <w:tcW w:w="320"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序号</w:t>
            </w:r>
          </w:p>
        </w:tc>
        <w:tc>
          <w:tcPr>
            <w:tcW w:w="330"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楼号/地块</w:t>
            </w:r>
          </w:p>
        </w:tc>
        <w:tc>
          <w:tcPr>
            <w:tcW w:w="625"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部位及房号</w:t>
            </w:r>
          </w:p>
        </w:tc>
        <w:tc>
          <w:tcPr>
            <w:tcW w:w="677"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建筑面积（㎡）</w:t>
            </w:r>
          </w:p>
        </w:tc>
        <w:tc>
          <w:tcPr>
            <w:tcW w:w="938"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套内建筑面积（㎡）</w:t>
            </w:r>
          </w:p>
        </w:tc>
        <w:tc>
          <w:tcPr>
            <w:tcW w:w="300"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用途</w:t>
            </w:r>
          </w:p>
        </w:tc>
        <w:tc>
          <w:tcPr>
            <w:tcW w:w="404"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地上/地下</w:t>
            </w:r>
          </w:p>
        </w:tc>
        <w:tc>
          <w:tcPr>
            <w:tcW w:w="577"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是否取得不动产权证书</w:t>
            </w:r>
          </w:p>
        </w:tc>
      </w:tr>
      <w:tr w:rsidR="00184596">
        <w:trPr>
          <w:trHeight w:val="20"/>
          <w:jc w:val="center"/>
        </w:trPr>
        <w:tc>
          <w:tcPr>
            <w:tcW w:w="289" w:type="pct"/>
            <w:vMerge w:val="restart"/>
            <w:tcBorders>
              <w:top w:val="nil"/>
              <w:left w:val="single" w:sz="4" w:space="0" w:color="auto"/>
              <w:right w:val="single" w:sz="4" w:space="0" w:color="auto"/>
            </w:tcBorders>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042地块</w:t>
            </w:r>
          </w:p>
        </w:tc>
        <w:tc>
          <w:tcPr>
            <w:tcW w:w="535" w:type="pct"/>
            <w:vMerge w:val="restart"/>
            <w:tcBorders>
              <w:top w:val="nil"/>
              <w:left w:val="nil"/>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房山区阜盛西街11号院3号楼</w:t>
            </w: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101</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647.17</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517.82</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102</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645.08</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516.15</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3</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103</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645.10</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516.16</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4</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104</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654.08</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523.35</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5</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201</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882.82</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648.1</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202</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1063.95</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781.07</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7</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203</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749.63</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550.32</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bottom w:val="single" w:sz="4" w:space="0" w:color="auto"/>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651" w:type="pct"/>
            <w:gridSpan w:val="2"/>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小计</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5287.83</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4052.97</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val="restart"/>
            <w:tcBorders>
              <w:top w:val="nil"/>
              <w:left w:val="nil"/>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房山区阜盛西街11号院6号楼</w:t>
            </w: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8</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-101</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969.55</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577.33</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9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9</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-102</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1449.79</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863.29</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10</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-103</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1041.56</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620.21</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11</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-104</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883.94</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526.35</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12</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-105</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863.40</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514.12</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9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13</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-106</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903.32</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537.89</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14</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-107</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892.55</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531.48</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15</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-108</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883.60</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526.15</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16</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-109</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934.77</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556.62</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66"/>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bottom w:val="single" w:sz="4" w:space="0" w:color="auto"/>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651" w:type="pct"/>
            <w:gridSpan w:val="2"/>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小计</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8822.48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5253.44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r>
      <w:tr w:rsidR="00184596">
        <w:trPr>
          <w:trHeight w:val="20"/>
          <w:jc w:val="center"/>
        </w:trPr>
        <w:tc>
          <w:tcPr>
            <w:tcW w:w="1475" w:type="pct"/>
            <w:gridSpan w:val="4"/>
            <w:tcBorders>
              <w:top w:val="nil"/>
              <w:left w:val="single" w:sz="4" w:space="0" w:color="auto"/>
              <w:bottom w:val="single" w:sz="4" w:space="0" w:color="000000"/>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合计</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14110.31</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9306.41</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r>
      <w:tr w:rsidR="00184596">
        <w:trPr>
          <w:trHeight w:val="20"/>
          <w:jc w:val="center"/>
        </w:trPr>
        <w:tc>
          <w:tcPr>
            <w:tcW w:w="289" w:type="pct"/>
            <w:vMerge w:val="restart"/>
            <w:tcBorders>
              <w:top w:val="nil"/>
              <w:left w:val="single" w:sz="4" w:space="0" w:color="auto"/>
              <w:bottom w:val="single" w:sz="4" w:space="0" w:color="000000"/>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044地块</w:t>
            </w:r>
          </w:p>
        </w:tc>
        <w:tc>
          <w:tcPr>
            <w:tcW w:w="535" w:type="pct"/>
            <w:vMerge w:val="restart"/>
            <w:tcBorders>
              <w:top w:val="nil"/>
              <w:left w:val="nil"/>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房山区长阳镇FS00-LX10-0044地块6#商业楼</w:t>
            </w: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17</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101</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867.37</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734.86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否</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18</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102</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771.32</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653.48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否</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19</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103</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746.79</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632.70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否</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20</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201</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762.37</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645.90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否</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21</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202</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762.21</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645.76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否</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22</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203</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875.03</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741.35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否</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bottom w:val="single" w:sz="4" w:space="0" w:color="auto"/>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651" w:type="pct"/>
            <w:gridSpan w:val="2"/>
            <w:tcBorders>
              <w:top w:val="nil"/>
              <w:left w:val="nil"/>
              <w:bottom w:val="single" w:sz="4" w:space="0" w:color="auto"/>
              <w:right w:val="nil"/>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小计</w:t>
            </w:r>
          </w:p>
        </w:tc>
        <w:tc>
          <w:tcPr>
            <w:tcW w:w="625" w:type="pct"/>
            <w:tcBorders>
              <w:top w:val="nil"/>
              <w:left w:val="single" w:sz="4" w:space="0" w:color="auto"/>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4785.09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4054.05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val="restart"/>
            <w:tcBorders>
              <w:top w:val="nil"/>
              <w:left w:val="nil"/>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房山区长于大街28号院100幢</w:t>
            </w: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23</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-102</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 850.52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545.07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24</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-103</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 882.99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565.88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25</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-104</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 815.94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522.91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26</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-105</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 885.53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567.51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27</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-106</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 802.28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514.16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28</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-107</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 841.70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539.42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29</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-108</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 897.31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575.06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sz w:val="16"/>
                <w:szCs w:val="16"/>
              </w:rPr>
              <w:t>是</w:t>
            </w:r>
          </w:p>
        </w:tc>
      </w:tr>
      <w:tr w:rsidR="00184596">
        <w:trPr>
          <w:trHeight w:val="182"/>
          <w:jc w:val="center"/>
        </w:trPr>
        <w:tc>
          <w:tcPr>
            <w:tcW w:w="289" w:type="pct"/>
            <w:vMerge/>
            <w:tcBorders>
              <w:top w:val="nil"/>
              <w:left w:val="single" w:sz="4" w:space="0" w:color="auto"/>
              <w:bottom w:val="single" w:sz="4" w:space="0" w:color="auto"/>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bottom w:val="single" w:sz="4" w:space="0" w:color="auto"/>
              <w:right w:val="single" w:sz="4" w:space="0" w:color="auto"/>
            </w:tcBorders>
            <w:shd w:val="clear" w:color="000000" w:fill="FFFFFF"/>
            <w:noWrap/>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651" w:type="pct"/>
            <w:gridSpan w:val="2"/>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小计</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5976.27</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3830.01</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r>
      <w:tr w:rsidR="00184596">
        <w:trPr>
          <w:trHeight w:val="20"/>
          <w:jc w:val="center"/>
        </w:trPr>
        <w:tc>
          <w:tcPr>
            <w:tcW w:w="1475" w:type="pct"/>
            <w:gridSpan w:val="4"/>
            <w:tcBorders>
              <w:top w:val="nil"/>
              <w:left w:val="single" w:sz="4" w:space="0" w:color="auto"/>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合计</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10761.36</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7884.06</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r>
      <w:tr w:rsidR="00184596">
        <w:trPr>
          <w:trHeight w:val="20"/>
          <w:jc w:val="center"/>
        </w:trPr>
        <w:tc>
          <w:tcPr>
            <w:tcW w:w="1475" w:type="pct"/>
            <w:gridSpan w:val="4"/>
            <w:tcBorders>
              <w:top w:val="nil"/>
              <w:left w:val="single" w:sz="4" w:space="0" w:color="auto"/>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总计</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24871.67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17190.47</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r>
    </w:tbl>
    <w:p w:rsidR="00184596" w:rsidRDefault="00FD048A">
      <w:pPr>
        <w:overflowPunct w:val="0"/>
        <w:spacing w:beforeLines="100" w:before="240" w:line="480" w:lineRule="auto"/>
        <w:ind w:firstLineChars="200" w:firstLine="422"/>
        <w:jc w:val="both"/>
        <w:textAlignment w:val="auto"/>
        <w:rPr>
          <w:rFonts w:ascii="Arial" w:hAnsi="Arial" w:cs="Arial"/>
          <w:sz w:val="21"/>
          <w:szCs w:val="21"/>
        </w:rPr>
      </w:pPr>
      <w:r>
        <w:rPr>
          <w:rFonts w:ascii="Arial" w:hAnsi="Arial" w:cs="Arial"/>
          <w:b/>
          <w:bCs/>
          <w:color w:val="000000"/>
          <w:sz w:val="21"/>
          <w:szCs w:val="21"/>
        </w:rPr>
        <w:t>估价目的：</w:t>
      </w:r>
      <w:r>
        <w:rPr>
          <w:rFonts w:ascii="Arial" w:hAnsi="Arial" w:hint="eastAsia"/>
          <w:kern w:val="2"/>
          <w:sz w:val="21"/>
        </w:rPr>
        <w:t>为估价委托人了解估价对象房地产市场租金水平提供参考依据</w:t>
      </w:r>
      <w:r>
        <w:rPr>
          <w:rFonts w:ascii="Arial" w:hAnsi="Arial" w:cs="Arial"/>
          <w:sz w:val="21"/>
          <w:szCs w:val="21"/>
        </w:rPr>
        <w:t>。</w:t>
      </w:r>
    </w:p>
    <w:p w:rsidR="00184596" w:rsidRDefault="00FD048A">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日（评估专业人员实地查勘日）</w:t>
      </w:r>
    </w:p>
    <w:p w:rsidR="00184596" w:rsidRDefault="00FD048A">
      <w:pPr>
        <w:spacing w:line="480" w:lineRule="auto"/>
        <w:ind w:firstLineChars="196" w:firstLine="413"/>
        <w:jc w:val="both"/>
        <w:rPr>
          <w:rFonts w:eastAsia="楷体_GB2312"/>
          <w:sz w:val="28"/>
          <w:szCs w:val="28"/>
        </w:rPr>
      </w:pPr>
      <w:r>
        <w:rPr>
          <w:rFonts w:ascii="Arial" w:hAnsi="Arial" w:cs="Arial"/>
          <w:b/>
          <w:bCs/>
          <w:sz w:val="21"/>
          <w:szCs w:val="21"/>
        </w:rPr>
        <w:t>价值类型：</w:t>
      </w:r>
      <w:r>
        <w:rPr>
          <w:rFonts w:ascii="Arial" w:hAnsi="Arial" w:hint="eastAsia"/>
          <w:bCs/>
          <w:sz w:val="21"/>
        </w:rPr>
        <w:t>根据房地产估价规范、国家现行有关标准规定和项目的具体要求，本次评估采用的是</w:t>
      </w:r>
      <w:r>
        <w:rPr>
          <w:rFonts w:ascii="Arial" w:hAnsi="Arial" w:cs="Arial" w:hint="eastAsia"/>
          <w:sz w:val="21"/>
          <w:szCs w:val="21"/>
        </w:rPr>
        <w:t>市场价值</w:t>
      </w:r>
      <w:r>
        <w:rPr>
          <w:rFonts w:ascii="Arial" w:hAnsi="Arial" w:hint="eastAsia"/>
          <w:bCs/>
          <w:sz w:val="21"/>
        </w:rPr>
        <w:t>标准。</w:t>
      </w:r>
      <w:r>
        <w:rPr>
          <w:rFonts w:ascii="Arial" w:hAnsi="Arial"/>
          <w:bCs/>
          <w:sz w:val="21"/>
        </w:rPr>
        <w:t>根据</w:t>
      </w:r>
      <w:r>
        <w:rPr>
          <w:rFonts w:ascii="Arial" w:hAnsi="Arial" w:hint="eastAsia"/>
          <w:bCs/>
          <w:sz w:val="21"/>
        </w:rPr>
        <w:t>《房地产估价基本术语标准》</w:t>
      </w:r>
      <w:r>
        <w:rPr>
          <w:rFonts w:ascii="Arial" w:hAnsi="Arial" w:hint="eastAsia"/>
          <w:bCs/>
          <w:sz w:val="21"/>
        </w:rPr>
        <w:t>[GB/T50899-2013]</w:t>
      </w:r>
      <w:r>
        <w:rPr>
          <w:rFonts w:ascii="Arial" w:hAnsi="Arial" w:hint="eastAsia"/>
          <w:bCs/>
          <w:sz w:val="21"/>
        </w:rPr>
        <w:t>，</w:t>
      </w:r>
      <w:r>
        <w:rPr>
          <w:rFonts w:ascii="Arial" w:hAnsi="Arial"/>
          <w:bCs/>
          <w:sz w:val="21"/>
        </w:rPr>
        <w:t>市场价值是经适当营销后，由熟悉情况、谨慎行事且不受强迫的交易双方，以公平交易方式在价值时点自愿进行交易的金额</w:t>
      </w:r>
      <w:r>
        <w:rPr>
          <w:rFonts w:ascii="Arial" w:hAnsi="Arial" w:hint="eastAsia"/>
          <w:bCs/>
          <w:sz w:val="21"/>
        </w:rPr>
        <w:t>。</w:t>
      </w:r>
    </w:p>
    <w:p w:rsidR="00184596" w:rsidRDefault="00FD048A">
      <w:pPr>
        <w:tabs>
          <w:tab w:val="left" w:pos="7920"/>
        </w:tabs>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”是指在正常市场情况下，在价值时点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hint="eastAsia"/>
          <w:bCs/>
          <w:sz w:val="21"/>
        </w:rPr>
        <w:t>，估价对象规划用途为商业</w:t>
      </w:r>
      <w:r>
        <w:rPr>
          <w:rFonts w:ascii="Arial" w:hAnsi="Arial" w:cs="Arial" w:hint="eastAsia"/>
          <w:sz w:val="21"/>
          <w:szCs w:val="21"/>
        </w:rPr>
        <w:t>，</w:t>
      </w:r>
      <w:r>
        <w:rPr>
          <w:rFonts w:ascii="Arial" w:hAnsi="Arial"/>
          <w:bCs/>
          <w:sz w:val="21"/>
        </w:rPr>
        <w:t>土地取得方式</w:t>
      </w:r>
      <w:r>
        <w:rPr>
          <w:rFonts w:ascii="Arial" w:hAnsi="Arial" w:hint="eastAsia"/>
          <w:bCs/>
          <w:sz w:val="21"/>
        </w:rPr>
        <w:t>为出让的房地产租赁价格</w:t>
      </w:r>
      <w:commentRangeStart w:id="2"/>
      <w:r>
        <w:rPr>
          <w:rFonts w:ascii="Arial" w:hAnsi="Arial" w:hint="eastAsia"/>
          <w:bCs/>
          <w:sz w:val="21"/>
        </w:rPr>
        <w:t>，不包含物业管理费、能</w:t>
      </w:r>
      <w:commentRangeEnd w:id="2"/>
      <w:r>
        <w:rPr>
          <w:rStyle w:val="af5"/>
        </w:rPr>
        <w:commentReference w:id="2"/>
      </w:r>
      <w:r>
        <w:rPr>
          <w:rFonts w:ascii="Arial" w:hAnsi="Arial" w:hint="eastAsia"/>
          <w:bCs/>
          <w:sz w:val="21"/>
        </w:rPr>
        <w:t>源费、房地产经纪公司服务费等。</w:t>
      </w:r>
    </w:p>
    <w:p w:rsidR="00184596" w:rsidRDefault="00FD048A">
      <w:pPr>
        <w:overflowPunct w:val="0"/>
        <w:spacing w:line="480" w:lineRule="auto"/>
        <w:ind w:firstLineChars="200" w:firstLine="422"/>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w:t>
      </w:r>
      <w:r>
        <w:rPr>
          <w:rFonts w:ascii="Arial" w:hAnsi="Arial" w:cs="Arial" w:hint="eastAsia"/>
          <w:bCs/>
          <w:sz w:val="21"/>
          <w:szCs w:val="21"/>
        </w:rPr>
        <w:t>为</w:t>
      </w:r>
      <w:r>
        <w:rPr>
          <w:rFonts w:ascii="Arial" w:hAnsi="Arial" w:cs="宋体" w:hint="eastAsia"/>
          <w:sz w:val="21"/>
          <w:szCs w:val="21"/>
        </w:rPr>
        <w:t>比较法</w:t>
      </w:r>
      <w:r>
        <w:rPr>
          <w:rFonts w:ascii="Arial" w:hAnsi="Arial" w:cs="Arial"/>
          <w:sz w:val="21"/>
          <w:szCs w:val="21"/>
        </w:rPr>
        <w:t>。</w:t>
      </w:r>
    </w:p>
    <w:p w:rsidR="00184596" w:rsidRDefault="00FD048A">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评估专业人员根据估价的目的，按照估价的程序，采用科学的估价方法，在认真分析现有资料的基础上，结合</w:t>
      </w:r>
      <w:r>
        <w:rPr>
          <w:rFonts w:ascii="Arial" w:hAnsi="Arial" w:cs="Arial"/>
          <w:sz w:val="21"/>
          <w:szCs w:val="28"/>
        </w:rPr>
        <w:t>本次评估的要求，通过仔细测算和认真分析各种影响房地产价格的因素，确定估价对象于价值时</w:t>
      </w:r>
      <w:r>
        <w:rPr>
          <w:rFonts w:ascii="Arial" w:hAnsi="Arial" w:cs="Arial"/>
          <w:sz w:val="21"/>
          <w:szCs w:val="21"/>
        </w:rPr>
        <w:t>点的房地产评估价格，详见估价结果一览表（币种：人民币）。</w:t>
      </w:r>
      <w:r>
        <w:rPr>
          <w:rFonts w:ascii="Arial" w:hAnsi="Arial" w:cs="Arial" w:hint="eastAsia"/>
          <w:sz w:val="21"/>
          <w:szCs w:val="21"/>
        </w:rPr>
        <w:t xml:space="preserve"> </w:t>
      </w:r>
    </w:p>
    <w:p w:rsidR="00184596" w:rsidRDefault="00184596">
      <w:pPr>
        <w:overflowPunct w:val="0"/>
        <w:spacing w:line="480" w:lineRule="auto"/>
        <w:jc w:val="both"/>
        <w:textAlignment w:val="auto"/>
        <w:rPr>
          <w:rFonts w:ascii="Arial" w:hAnsi="Arial" w:cs="Arial"/>
          <w:sz w:val="21"/>
          <w:szCs w:val="21"/>
        </w:rPr>
      </w:pPr>
    </w:p>
    <w:p w:rsidR="00184596" w:rsidRDefault="00FD048A">
      <w:pPr>
        <w:overflowPunct w:val="0"/>
        <w:spacing w:line="480" w:lineRule="auto"/>
        <w:jc w:val="both"/>
        <w:textAlignment w:val="auto"/>
        <w:rPr>
          <w:rFonts w:ascii="楷体_GB2312" w:eastAsia="楷体_GB2312" w:hAnsi="Arial" w:cs="Arial"/>
          <w:sz w:val="21"/>
          <w:szCs w:val="21"/>
        </w:rPr>
      </w:pPr>
      <w:r>
        <w:rPr>
          <w:rFonts w:ascii="楷体_GB2312" w:eastAsia="楷体_GB2312" w:hAnsi="Arial" w:cs="Arial" w:hint="eastAsia"/>
          <w:sz w:val="21"/>
          <w:szCs w:val="21"/>
        </w:rPr>
        <w:t>（转下页）</w:t>
      </w:r>
    </w:p>
    <w:p w:rsidR="00184596" w:rsidRDefault="00FD048A">
      <w:pPr>
        <w:spacing w:line="240" w:lineRule="auto"/>
        <w:jc w:val="center"/>
        <w:rPr>
          <w:rFonts w:ascii="Arial" w:eastAsia="方正黑体简体" w:hAnsi="Arial" w:cs="Arial"/>
          <w:szCs w:val="24"/>
        </w:rPr>
      </w:pPr>
      <w:r>
        <w:rPr>
          <w:rFonts w:ascii="Arial" w:eastAsia="方正黑体简体" w:hAnsi="Arial" w:hint="eastAsia"/>
          <w:szCs w:val="24"/>
        </w:rPr>
        <w:br w:type="page"/>
      </w:r>
      <w:r>
        <w:rPr>
          <w:rFonts w:ascii="Arial" w:eastAsia="方正黑体简体" w:hAnsi="Arial" w:cs="Arial" w:hint="eastAsia"/>
          <w:szCs w:val="24"/>
        </w:rPr>
        <w:lastRenderedPageBreak/>
        <w:t>估价结果一览表</w:t>
      </w:r>
    </w:p>
    <w:p w:rsidR="00184596" w:rsidRDefault="00FD048A">
      <w:pPr>
        <w:spacing w:line="240" w:lineRule="auto"/>
        <w:jc w:val="center"/>
        <w:rPr>
          <w:rFonts w:ascii="Arial" w:eastAsia="方正黑体简体" w:hAnsi="Arial" w:cs="Arial"/>
          <w:szCs w:val="24"/>
        </w:rPr>
      </w:pPr>
      <w:r>
        <w:rPr>
          <w:rFonts w:ascii="Arial" w:eastAsia="方正黑体简体" w:hAnsi="Arial" w:cs="Arial" w:hint="eastAsia"/>
          <w:szCs w:val="24"/>
        </w:rPr>
        <w:t>结果表</w:t>
      </w:r>
      <w:r>
        <w:rPr>
          <w:rFonts w:ascii="Arial" w:eastAsia="方正黑体简体" w:hAnsi="Arial" w:cs="Arial" w:hint="eastAsia"/>
          <w:szCs w:val="24"/>
        </w:rPr>
        <w:t>-1</w:t>
      </w:r>
    </w:p>
    <w:tbl>
      <w:tblPr>
        <w:tblW w:w="5000" w:type="pct"/>
        <w:jc w:val="center"/>
        <w:tblCellMar>
          <w:top w:w="57" w:type="dxa"/>
          <w:left w:w="57" w:type="dxa"/>
          <w:bottom w:w="57" w:type="dxa"/>
          <w:right w:w="57" w:type="dxa"/>
        </w:tblCellMar>
        <w:tblLook w:val="04A0" w:firstRow="1" w:lastRow="0" w:firstColumn="1" w:lastColumn="0" w:noHBand="0" w:noVBand="1"/>
      </w:tblPr>
      <w:tblGrid>
        <w:gridCol w:w="4612"/>
        <w:gridCol w:w="4801"/>
      </w:tblGrid>
      <w:tr w:rsidR="00184596">
        <w:trPr>
          <w:cantSplit/>
          <w:trHeight w:val="567"/>
          <w:jc w:val="center"/>
        </w:trPr>
        <w:tc>
          <w:tcPr>
            <w:tcW w:w="2450" w:type="pct"/>
            <w:tcBorders>
              <w:top w:val="thinThickThinSmallGap" w:sz="12" w:space="0" w:color="auto"/>
              <w:left w:val="dotted" w:sz="2" w:space="0" w:color="auto"/>
              <w:bottom w:val="dotted" w:sz="2" w:space="0" w:color="auto"/>
              <w:right w:val="dotted" w:sz="2" w:space="0" w:color="auto"/>
              <w:tl2br w:val="single" w:sz="4" w:space="0" w:color="auto"/>
            </w:tcBorders>
            <w:vAlign w:val="center"/>
          </w:tcPr>
          <w:p w:rsidR="00184596" w:rsidRDefault="00FD048A">
            <w:pPr>
              <w:widowControl/>
              <w:adjustRightInd/>
              <w:spacing w:line="240" w:lineRule="exact"/>
              <w:jc w:val="righ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                                 </w:t>
            </w:r>
            <w:r>
              <w:rPr>
                <w:rFonts w:ascii="Arial" w:eastAsia="华文细黑" w:hAnsi="Arial" w:cs="Arial" w:hint="eastAsia"/>
                <w:color w:val="000000"/>
                <w:sz w:val="18"/>
                <w:szCs w:val="18"/>
              </w:rPr>
              <w:t>租金水平</w:t>
            </w:r>
          </w:p>
          <w:p w:rsidR="00184596" w:rsidRDefault="00FD048A">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相关结果</w:t>
            </w:r>
          </w:p>
        </w:tc>
        <w:tc>
          <w:tcPr>
            <w:tcW w:w="2550" w:type="pct"/>
            <w:tcBorders>
              <w:top w:val="thinThickThinSmallGap" w:sz="1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commentRangeStart w:id="3"/>
            <w:r>
              <w:rPr>
                <w:rFonts w:ascii="Arial" w:eastAsia="华文细黑" w:hAnsi="Arial" w:cs="Arial" w:hint="eastAsia"/>
                <w:color w:val="000000"/>
                <w:sz w:val="18"/>
                <w:szCs w:val="18"/>
              </w:rPr>
              <w:t>房山区阜盛西街</w:t>
            </w:r>
            <w:r>
              <w:rPr>
                <w:rFonts w:ascii="Arial" w:eastAsia="华文细黑" w:hAnsi="Arial" w:cs="Arial" w:hint="eastAsia"/>
                <w:color w:val="000000"/>
                <w:sz w:val="18"/>
                <w:szCs w:val="18"/>
              </w:rPr>
              <w:t>11</w:t>
            </w:r>
            <w:r>
              <w:rPr>
                <w:rFonts w:ascii="Arial" w:eastAsia="华文细黑" w:hAnsi="Arial" w:cs="Arial" w:hint="eastAsia"/>
                <w:color w:val="000000"/>
                <w:sz w:val="18"/>
                <w:szCs w:val="18"/>
              </w:rPr>
              <w:t>号院</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号楼</w:t>
            </w:r>
            <w:r>
              <w:rPr>
                <w:rFonts w:ascii="Arial" w:eastAsia="华文细黑" w:hAnsi="Arial" w:cs="Arial" w:hint="eastAsia"/>
                <w:color w:val="000000"/>
                <w:sz w:val="18"/>
                <w:szCs w:val="18"/>
              </w:rPr>
              <w:t>101</w:t>
            </w:r>
            <w:r>
              <w:rPr>
                <w:rFonts w:ascii="Arial" w:eastAsia="华文细黑" w:hAnsi="Arial" w:cs="Arial" w:hint="eastAsia"/>
                <w:color w:val="000000"/>
                <w:sz w:val="18"/>
                <w:szCs w:val="18"/>
              </w:rPr>
              <w:t>号</w:t>
            </w:r>
          </w:p>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商业用房市场租金水平</w:t>
            </w:r>
            <w:commentRangeEnd w:id="3"/>
            <w:r w:rsidR="008E0F88">
              <w:rPr>
                <w:rStyle w:val="af5"/>
              </w:rPr>
              <w:commentReference w:id="3"/>
            </w:r>
          </w:p>
        </w:tc>
      </w:tr>
      <w:tr w:rsidR="00184596">
        <w:trPr>
          <w:cantSplit/>
          <w:trHeight w:val="567"/>
          <w:jc w:val="center"/>
        </w:trPr>
        <w:tc>
          <w:tcPr>
            <w:tcW w:w="2450" w:type="pct"/>
            <w:tcBorders>
              <w:top w:val="dotted" w:sz="2" w:space="0" w:color="auto"/>
              <w:left w:val="dotted" w:sz="2" w:space="0" w:color="auto"/>
              <w:bottom w:val="thinThickThinSmallGap" w:sz="1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评估结果</w:t>
            </w:r>
          </w:p>
        </w:tc>
        <w:tc>
          <w:tcPr>
            <w:tcW w:w="2550" w:type="pct"/>
            <w:tcBorders>
              <w:top w:val="dotted" w:sz="2" w:space="0" w:color="auto"/>
              <w:left w:val="dotted" w:sz="2" w:space="0" w:color="auto"/>
              <w:bottom w:val="thinThickThinSmallGap" w:sz="1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3.30</w:t>
            </w:r>
          </w:p>
        </w:tc>
      </w:tr>
    </w:tbl>
    <w:p w:rsidR="00184596" w:rsidRDefault="00FD048A">
      <w:pPr>
        <w:widowControl/>
        <w:adjustRightInd/>
        <w:spacing w:line="240" w:lineRule="auto"/>
        <w:jc w:val="both"/>
        <w:textAlignment w:val="auto"/>
        <w:rPr>
          <w:rFonts w:ascii="Arial" w:eastAsia="华文细黑" w:hAnsi="Arial" w:cs="宋体"/>
          <w:sz w:val="18"/>
          <w:szCs w:val="18"/>
        </w:rPr>
      </w:pPr>
      <w:r>
        <w:rPr>
          <w:rFonts w:ascii="Arial" w:eastAsia="华文细黑" w:hAnsi="Arial" w:cs="宋体" w:hint="eastAsia"/>
          <w:sz w:val="18"/>
          <w:szCs w:val="18"/>
        </w:rPr>
        <w:t>单位：元</w:t>
      </w:r>
      <w:r>
        <w:rPr>
          <w:rFonts w:ascii="Arial" w:eastAsia="华文细黑" w:hAnsi="Arial" w:cs="宋体" w:hint="eastAsia"/>
          <w:sz w:val="18"/>
          <w:szCs w:val="18"/>
        </w:rPr>
        <w:t>/</w:t>
      </w:r>
      <w:r>
        <w:rPr>
          <w:rFonts w:ascii="Arial" w:eastAsia="华文细黑" w:hAnsi="Arial" w:cs="宋体" w:hint="eastAsia"/>
          <w:sz w:val="18"/>
          <w:szCs w:val="18"/>
        </w:rPr>
        <w:t>建筑</w:t>
      </w:r>
      <w:r>
        <w:rPr>
          <w:rFonts w:ascii="Arial" w:eastAsia="华文细黑" w:hAnsi="Arial" w:cs="宋体"/>
          <w:sz w:val="18"/>
          <w:szCs w:val="18"/>
        </w:rPr>
        <w:t>面积</w:t>
      </w:r>
      <w:r>
        <w:rPr>
          <w:rFonts w:ascii="Arial" w:eastAsia="华文细黑" w:hAnsi="Arial" w:cs="宋体" w:hint="eastAsia"/>
          <w:sz w:val="18"/>
          <w:szCs w:val="18"/>
        </w:rPr>
        <w:t>平方米·天</w:t>
      </w:r>
    </w:p>
    <w:p w:rsidR="00184596" w:rsidRDefault="00FD048A">
      <w:pPr>
        <w:spacing w:line="240" w:lineRule="auto"/>
        <w:jc w:val="center"/>
        <w:outlineLvl w:val="0"/>
        <w:rPr>
          <w:rFonts w:ascii="Arial" w:eastAsia="方正黑体简体" w:hAnsi="Arial"/>
          <w:szCs w:val="24"/>
        </w:rPr>
      </w:pPr>
      <w:r>
        <w:rPr>
          <w:rFonts w:ascii="Arial" w:eastAsia="方正黑体简体" w:hAnsi="Arial" w:hint="eastAsia"/>
          <w:szCs w:val="24"/>
        </w:rPr>
        <w:t>结果表</w:t>
      </w:r>
      <w:r>
        <w:rPr>
          <w:rFonts w:ascii="Arial" w:eastAsia="方正黑体简体" w:hAnsi="Arial" w:hint="eastAsia"/>
          <w:szCs w:val="24"/>
        </w:rPr>
        <w:t>-2</w:t>
      </w:r>
    </w:p>
    <w:tbl>
      <w:tblPr>
        <w:tblW w:w="5000" w:type="pct"/>
        <w:jc w:val="center"/>
        <w:tblCellMar>
          <w:top w:w="57" w:type="dxa"/>
          <w:left w:w="57" w:type="dxa"/>
          <w:bottom w:w="57" w:type="dxa"/>
          <w:right w:w="57" w:type="dxa"/>
        </w:tblCellMar>
        <w:tblLook w:val="04A0" w:firstRow="1" w:lastRow="0" w:firstColumn="1" w:lastColumn="0" w:noHBand="0" w:noVBand="1"/>
      </w:tblPr>
      <w:tblGrid>
        <w:gridCol w:w="2751"/>
        <w:gridCol w:w="876"/>
        <w:gridCol w:w="1887"/>
        <w:gridCol w:w="2065"/>
        <w:gridCol w:w="1834"/>
      </w:tblGrid>
      <w:tr w:rsidR="00184596">
        <w:trPr>
          <w:cantSplit/>
          <w:trHeight w:val="567"/>
          <w:jc w:val="center"/>
        </w:trPr>
        <w:tc>
          <w:tcPr>
            <w:tcW w:w="1461" w:type="pct"/>
            <w:tcBorders>
              <w:top w:val="thinThickThinSmallGap" w:sz="12" w:space="0" w:color="auto"/>
              <w:left w:val="dotted" w:sz="2" w:space="0" w:color="auto"/>
              <w:bottom w:val="dotted" w:sz="2" w:space="0" w:color="auto"/>
              <w:right w:val="dotted" w:sz="2" w:space="0" w:color="auto"/>
              <w:tl2br w:val="single" w:sz="4" w:space="0" w:color="auto"/>
            </w:tcBorders>
            <w:vAlign w:val="center"/>
          </w:tcPr>
          <w:p w:rsidR="00184596" w:rsidRDefault="00FD048A">
            <w:pPr>
              <w:widowControl/>
              <w:adjustRightInd/>
              <w:spacing w:line="240" w:lineRule="exact"/>
              <w:jc w:val="righ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分层租金明细</w:t>
            </w:r>
          </w:p>
          <w:p w:rsidR="00184596" w:rsidRDefault="00FD048A">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估价对象</w:t>
            </w:r>
          </w:p>
        </w:tc>
        <w:tc>
          <w:tcPr>
            <w:tcW w:w="465" w:type="pct"/>
            <w:tcBorders>
              <w:top w:val="thinThickThinSmallGap" w:sz="1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楼层</w:t>
            </w:r>
          </w:p>
        </w:tc>
        <w:tc>
          <w:tcPr>
            <w:tcW w:w="1000" w:type="pct"/>
            <w:tcBorders>
              <w:top w:val="thinThickThinSmallGap" w:sz="1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楼号</w:t>
            </w:r>
            <w:r>
              <w:rPr>
                <w:rFonts w:ascii="Arial" w:eastAsia="华文细黑" w:hAnsi="Arial" w:cs="Arial" w:hint="eastAsia"/>
                <w:color w:val="000000"/>
                <w:sz w:val="18"/>
                <w:szCs w:val="18"/>
              </w:rPr>
              <w:t>/</w:t>
            </w:r>
            <w:r>
              <w:rPr>
                <w:rFonts w:ascii="Arial" w:eastAsia="华文细黑" w:hAnsi="Arial" w:cs="Arial" w:hint="eastAsia"/>
                <w:color w:val="000000"/>
                <w:sz w:val="18"/>
                <w:szCs w:val="18"/>
              </w:rPr>
              <w:t>地块</w:t>
            </w:r>
          </w:p>
        </w:tc>
        <w:tc>
          <w:tcPr>
            <w:tcW w:w="1097" w:type="pct"/>
            <w:tcBorders>
              <w:top w:val="thinThickThinSmallGap" w:sz="1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建筑面积</w:t>
            </w:r>
          </w:p>
        </w:tc>
        <w:tc>
          <w:tcPr>
            <w:tcW w:w="974" w:type="pct"/>
            <w:tcBorders>
              <w:top w:val="thinThickThinSmallGap" w:sz="1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平均租金单价</w:t>
            </w:r>
          </w:p>
        </w:tc>
      </w:tr>
      <w:tr w:rsidR="00184596">
        <w:trPr>
          <w:cantSplit/>
          <w:trHeight w:val="291"/>
          <w:jc w:val="center"/>
        </w:trPr>
        <w:tc>
          <w:tcPr>
            <w:tcW w:w="1461" w:type="pct"/>
            <w:vMerge w:val="restart"/>
            <w:tcBorders>
              <w:top w:val="dotted" w:sz="2" w:space="0" w:color="auto"/>
              <w:left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北京市房山区阜盛西街</w:t>
            </w:r>
            <w:r>
              <w:rPr>
                <w:rFonts w:ascii="Arial" w:eastAsia="华文细黑" w:hAnsi="Arial" w:cs="Arial" w:hint="eastAsia"/>
                <w:color w:val="000000"/>
                <w:sz w:val="18"/>
                <w:szCs w:val="18"/>
              </w:rPr>
              <w:t>11</w:t>
            </w:r>
            <w:r>
              <w:rPr>
                <w:rFonts w:ascii="Arial" w:eastAsia="华文细黑" w:hAnsi="Arial" w:cs="Arial" w:hint="eastAsia"/>
                <w:color w:val="000000"/>
                <w:sz w:val="18"/>
                <w:szCs w:val="18"/>
              </w:rPr>
              <w:t>号院</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号楼地上</w:t>
            </w:r>
            <w:r>
              <w:rPr>
                <w:rFonts w:ascii="Arial" w:eastAsia="华文细黑" w:hAnsi="Arial" w:cs="Arial" w:hint="eastAsia"/>
                <w:color w:val="000000"/>
                <w:sz w:val="18"/>
                <w:szCs w:val="18"/>
              </w:rPr>
              <w:t>1</w:t>
            </w:r>
            <w:r>
              <w:rPr>
                <w:rFonts w:ascii="Arial" w:eastAsia="华文细黑" w:hAnsi="Arial" w:cs="Arial" w:hint="eastAsia"/>
                <w:color w:val="000000"/>
                <w:sz w:val="18"/>
                <w:szCs w:val="18"/>
              </w:rPr>
              <w:t>层</w:t>
            </w:r>
            <w:r>
              <w:rPr>
                <w:rFonts w:ascii="Arial" w:eastAsia="华文细黑" w:hAnsi="Arial" w:cs="Arial" w:hint="eastAsia"/>
                <w:color w:val="000000"/>
                <w:sz w:val="18"/>
                <w:szCs w:val="18"/>
              </w:rPr>
              <w:t>101</w:t>
            </w:r>
            <w:r>
              <w:rPr>
                <w:rFonts w:ascii="Arial" w:eastAsia="华文细黑" w:hAnsi="Arial" w:cs="Arial" w:hint="eastAsia"/>
                <w:color w:val="000000"/>
                <w:sz w:val="18"/>
                <w:szCs w:val="18"/>
              </w:rPr>
              <w:t>号等</w:t>
            </w:r>
            <w:r>
              <w:rPr>
                <w:rFonts w:ascii="Arial" w:eastAsia="华文细黑" w:hAnsi="Arial" w:cs="Arial" w:hint="eastAsia"/>
                <w:color w:val="000000"/>
                <w:sz w:val="18"/>
                <w:szCs w:val="18"/>
              </w:rPr>
              <w:t>29</w:t>
            </w:r>
            <w:r>
              <w:rPr>
                <w:rFonts w:ascii="Arial" w:eastAsia="华文细黑" w:hAnsi="Arial" w:cs="Arial" w:hint="eastAsia"/>
                <w:color w:val="000000"/>
                <w:sz w:val="18"/>
                <w:szCs w:val="18"/>
              </w:rPr>
              <w:t>套商业用房</w:t>
            </w:r>
          </w:p>
        </w:tc>
        <w:tc>
          <w:tcPr>
            <w:tcW w:w="465" w:type="pct"/>
            <w:vMerge w:val="restart"/>
            <w:tcBorders>
              <w:top w:val="dotted" w:sz="2" w:space="0" w:color="auto"/>
              <w:left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p>
        </w:tc>
        <w:tc>
          <w:tcPr>
            <w:tcW w:w="1000"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2066"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2591.43 </w:t>
            </w:r>
          </w:p>
        </w:tc>
        <w:tc>
          <w:tcPr>
            <w:tcW w:w="1834"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3.30</w:t>
            </w:r>
          </w:p>
        </w:tc>
      </w:tr>
      <w:tr w:rsidR="00184596">
        <w:trPr>
          <w:cantSplit/>
          <w:trHeight w:val="297"/>
          <w:jc w:val="center"/>
        </w:trPr>
        <w:tc>
          <w:tcPr>
            <w:tcW w:w="1461" w:type="pct"/>
            <w:vMerge/>
            <w:tcBorders>
              <w:left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465" w:type="pct"/>
            <w:vMerge/>
            <w:tcBorders>
              <w:left w:val="dotted" w:sz="2" w:space="0" w:color="auto"/>
              <w:bottom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1000"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2066"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2385.48 </w:t>
            </w:r>
          </w:p>
        </w:tc>
        <w:tc>
          <w:tcPr>
            <w:tcW w:w="1834"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3.14</w:t>
            </w:r>
          </w:p>
        </w:tc>
      </w:tr>
      <w:tr w:rsidR="00184596">
        <w:trPr>
          <w:cantSplit/>
          <w:trHeight w:val="317"/>
          <w:jc w:val="center"/>
        </w:trPr>
        <w:tc>
          <w:tcPr>
            <w:tcW w:w="1461" w:type="pct"/>
            <w:vMerge/>
            <w:tcBorders>
              <w:left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465" w:type="pct"/>
            <w:vMerge w:val="restart"/>
            <w:tcBorders>
              <w:top w:val="dotted" w:sz="2" w:space="0" w:color="auto"/>
              <w:left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w:t>
            </w:r>
          </w:p>
        </w:tc>
        <w:tc>
          <w:tcPr>
            <w:tcW w:w="1000"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2066"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2696.40 </w:t>
            </w:r>
          </w:p>
        </w:tc>
        <w:tc>
          <w:tcPr>
            <w:tcW w:w="1834"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2.15</w:t>
            </w:r>
          </w:p>
        </w:tc>
      </w:tr>
      <w:tr w:rsidR="00184596">
        <w:trPr>
          <w:cantSplit/>
          <w:trHeight w:val="295"/>
          <w:jc w:val="center"/>
        </w:trPr>
        <w:tc>
          <w:tcPr>
            <w:tcW w:w="1461" w:type="pct"/>
            <w:vMerge/>
            <w:tcBorders>
              <w:left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465" w:type="pct"/>
            <w:vMerge/>
            <w:tcBorders>
              <w:left w:val="dotted" w:sz="2" w:space="0" w:color="auto"/>
              <w:bottom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1000"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2066"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2399.61 </w:t>
            </w:r>
          </w:p>
        </w:tc>
        <w:tc>
          <w:tcPr>
            <w:tcW w:w="1834"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2.04</w:t>
            </w:r>
          </w:p>
        </w:tc>
      </w:tr>
      <w:tr w:rsidR="00184596">
        <w:trPr>
          <w:cantSplit/>
          <w:trHeight w:val="315"/>
          <w:jc w:val="center"/>
        </w:trPr>
        <w:tc>
          <w:tcPr>
            <w:tcW w:w="1461" w:type="pct"/>
            <w:vMerge/>
            <w:tcBorders>
              <w:left w:val="dotted" w:sz="2" w:space="0" w:color="auto"/>
              <w:bottom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465" w:type="pct"/>
            <w:vMerge w:val="restart"/>
            <w:tcBorders>
              <w:top w:val="dotted" w:sz="2" w:space="0" w:color="auto"/>
              <w:left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p>
        </w:tc>
        <w:tc>
          <w:tcPr>
            <w:tcW w:w="1000"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p>
        </w:tc>
        <w:tc>
          <w:tcPr>
            <w:tcW w:w="2066"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8822.48 </w:t>
            </w:r>
          </w:p>
        </w:tc>
        <w:tc>
          <w:tcPr>
            <w:tcW w:w="1834"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1.04</w:t>
            </w:r>
          </w:p>
        </w:tc>
      </w:tr>
      <w:tr w:rsidR="00184596">
        <w:trPr>
          <w:cantSplit/>
          <w:trHeight w:val="315"/>
          <w:jc w:val="center"/>
        </w:trPr>
        <w:tc>
          <w:tcPr>
            <w:tcW w:w="1461" w:type="pct"/>
            <w:vMerge/>
            <w:tcBorders>
              <w:left w:val="dotted" w:sz="2" w:space="0" w:color="auto"/>
              <w:bottom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465" w:type="pct"/>
            <w:vMerge/>
            <w:tcBorders>
              <w:left w:val="dotted" w:sz="2" w:space="0" w:color="auto"/>
              <w:bottom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1000"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p>
        </w:tc>
        <w:tc>
          <w:tcPr>
            <w:tcW w:w="2066"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5976.27 </w:t>
            </w:r>
          </w:p>
        </w:tc>
        <w:tc>
          <w:tcPr>
            <w:tcW w:w="1834"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1.17</w:t>
            </w:r>
          </w:p>
        </w:tc>
      </w:tr>
      <w:tr w:rsidR="00184596">
        <w:trPr>
          <w:cantSplit/>
          <w:trHeight w:val="307"/>
          <w:jc w:val="center"/>
        </w:trPr>
        <w:tc>
          <w:tcPr>
            <w:tcW w:w="2928" w:type="pct"/>
            <w:gridSpan w:val="3"/>
            <w:tcBorders>
              <w:top w:val="dotted" w:sz="2" w:space="0" w:color="auto"/>
              <w:left w:val="dotted" w:sz="2" w:space="0" w:color="auto"/>
              <w:bottom w:val="thinThickThinSmallGap" w:sz="1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合计</w:t>
            </w:r>
          </w:p>
        </w:tc>
        <w:tc>
          <w:tcPr>
            <w:tcW w:w="2066" w:type="dxa"/>
            <w:tcBorders>
              <w:top w:val="dotted" w:sz="2" w:space="0" w:color="auto"/>
              <w:left w:val="dotted" w:sz="2" w:space="0" w:color="auto"/>
              <w:bottom w:val="thinThickThinSmallGap" w:sz="1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24871.67 </w:t>
            </w:r>
          </w:p>
        </w:tc>
        <w:tc>
          <w:tcPr>
            <w:tcW w:w="974" w:type="pct"/>
            <w:tcBorders>
              <w:top w:val="dotted" w:sz="2" w:space="0" w:color="auto"/>
              <w:left w:val="dotted" w:sz="2" w:space="0" w:color="auto"/>
              <w:bottom w:val="thinThickThinSmallGap" w:sz="1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w:t>
            </w:r>
          </w:p>
        </w:tc>
      </w:tr>
    </w:tbl>
    <w:p w:rsidR="00184596" w:rsidRDefault="00FD048A">
      <w:pPr>
        <w:widowControl/>
        <w:adjustRightInd/>
        <w:spacing w:line="240" w:lineRule="auto"/>
        <w:ind w:firstLineChars="100" w:firstLine="180"/>
        <w:jc w:val="both"/>
        <w:textAlignment w:val="auto"/>
        <w:rPr>
          <w:rFonts w:ascii="Arial" w:eastAsia="华文细黑" w:hAnsi="Arial"/>
          <w:sz w:val="18"/>
        </w:rPr>
      </w:pPr>
      <w:r>
        <w:rPr>
          <w:rFonts w:ascii="Arial" w:eastAsia="华文细黑" w:hAnsi="Arial" w:hint="eastAsia"/>
          <w:sz w:val="18"/>
        </w:rPr>
        <w:t>单位：</w:t>
      </w:r>
      <w:r>
        <w:rPr>
          <w:rFonts w:ascii="Arial" w:eastAsia="华文细黑" w:hAnsi="Arial" w:cs="宋体" w:hint="eastAsia"/>
          <w:sz w:val="18"/>
          <w:szCs w:val="18"/>
        </w:rPr>
        <w:t>平方米、元</w:t>
      </w:r>
      <w:r>
        <w:rPr>
          <w:rFonts w:ascii="Arial" w:eastAsia="华文细黑" w:hAnsi="Arial" w:cs="宋体" w:hint="eastAsia"/>
          <w:sz w:val="18"/>
          <w:szCs w:val="18"/>
        </w:rPr>
        <w:t>/</w:t>
      </w:r>
      <w:r>
        <w:rPr>
          <w:rFonts w:ascii="Arial" w:eastAsia="华文细黑" w:hAnsi="Arial" w:cs="宋体" w:hint="eastAsia"/>
          <w:sz w:val="18"/>
          <w:szCs w:val="18"/>
        </w:rPr>
        <w:t>建筑</w:t>
      </w:r>
      <w:r>
        <w:rPr>
          <w:rFonts w:ascii="Arial" w:eastAsia="华文细黑" w:hAnsi="Arial" w:cs="宋体"/>
          <w:sz w:val="18"/>
          <w:szCs w:val="18"/>
        </w:rPr>
        <w:t>面积</w:t>
      </w:r>
      <w:r>
        <w:rPr>
          <w:rFonts w:ascii="Arial" w:eastAsia="华文细黑" w:hAnsi="Arial" w:cs="宋体" w:hint="eastAsia"/>
          <w:sz w:val="18"/>
          <w:szCs w:val="18"/>
        </w:rPr>
        <w:t>平方米·天</w:t>
      </w:r>
      <w:r>
        <w:rPr>
          <w:rFonts w:ascii="Arial" w:eastAsia="华文细黑" w:hAnsi="Arial" w:hint="eastAsia"/>
          <w:sz w:val="18"/>
        </w:rPr>
        <w:t>（币种：人民币）</w:t>
      </w:r>
    </w:p>
    <w:p w:rsidR="00184596" w:rsidRDefault="00FD048A">
      <w:pPr>
        <w:widowControl/>
        <w:adjustRightInd/>
        <w:spacing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备注：因市场情况复杂，实际签订价格将受交易双方对项目心理预期的影响，会在估价结果的基础上出现一定范围内的上下浮动。</w:t>
      </w:r>
    </w:p>
    <w:p w:rsidR="00184596" w:rsidRDefault="00184596">
      <w:pPr>
        <w:widowControl/>
        <w:adjustRightInd/>
        <w:spacing w:line="240" w:lineRule="auto"/>
        <w:ind w:firstLineChars="100" w:firstLine="180"/>
        <w:jc w:val="both"/>
        <w:textAlignment w:val="auto"/>
        <w:rPr>
          <w:rFonts w:ascii="Arial" w:eastAsia="华文细黑" w:hAnsi="Arial" w:cs="宋体"/>
          <w:sz w:val="18"/>
          <w:szCs w:val="18"/>
        </w:rPr>
      </w:pPr>
    </w:p>
    <w:p w:rsidR="00184596" w:rsidRDefault="00184596">
      <w:pPr>
        <w:widowControl/>
        <w:adjustRightInd/>
        <w:spacing w:line="240" w:lineRule="auto"/>
        <w:ind w:firstLineChars="100" w:firstLine="180"/>
        <w:jc w:val="both"/>
        <w:textAlignment w:val="auto"/>
        <w:rPr>
          <w:rFonts w:ascii="Arial" w:eastAsia="华文细黑" w:hAnsi="Arial" w:cs="宋体"/>
          <w:sz w:val="18"/>
          <w:szCs w:val="18"/>
        </w:rPr>
      </w:pPr>
    </w:p>
    <w:p w:rsidR="00184596" w:rsidRDefault="00184596">
      <w:pPr>
        <w:widowControl/>
        <w:adjustRightInd/>
        <w:spacing w:line="240" w:lineRule="auto"/>
        <w:ind w:firstLineChars="100" w:firstLine="180"/>
        <w:jc w:val="both"/>
        <w:textAlignment w:val="auto"/>
        <w:rPr>
          <w:rFonts w:ascii="Arial" w:eastAsia="华文细黑" w:hAnsi="Arial" w:cs="宋体"/>
          <w:sz w:val="18"/>
          <w:szCs w:val="18"/>
        </w:rPr>
      </w:pPr>
    </w:p>
    <w:p w:rsidR="00184596" w:rsidRDefault="00FD048A">
      <w:pPr>
        <w:spacing w:line="480" w:lineRule="auto"/>
        <w:jc w:val="both"/>
        <w:rPr>
          <w:rFonts w:ascii="Arial" w:hAnsi="Arial" w:cs="Arial"/>
          <w:b/>
          <w:bCs/>
          <w:sz w:val="21"/>
          <w:szCs w:val="21"/>
        </w:rPr>
      </w:pPr>
      <w:r>
        <w:rPr>
          <w:rFonts w:ascii="Arial" w:hAnsi="Arial" w:cs="Arial"/>
          <w:b/>
          <w:bCs/>
          <w:sz w:val="21"/>
          <w:szCs w:val="21"/>
        </w:rPr>
        <w:t>特别提示：</w:t>
      </w:r>
    </w:p>
    <w:p w:rsidR="00184596" w:rsidRDefault="00FD048A">
      <w:pPr>
        <w:spacing w:line="480" w:lineRule="auto"/>
        <w:jc w:val="both"/>
        <w:rPr>
          <w:rFonts w:ascii="Arial" w:hAnsi="Arial" w:cs="Arial"/>
          <w:color w:val="E36C0A"/>
          <w:sz w:val="21"/>
          <w:szCs w:val="21"/>
        </w:rPr>
      </w:pPr>
      <w:r>
        <w:rPr>
          <w:rFonts w:ascii="Arial" w:hAnsi="Arial" w:cs="Arial"/>
          <w:bCs/>
          <w:sz w:val="21"/>
          <w:szCs w:val="21"/>
        </w:rPr>
        <w:t>1.</w:t>
      </w:r>
      <w:r>
        <w:rPr>
          <w:rFonts w:ascii="Arial" w:hAnsi="Arial" w:hint="eastAsia"/>
          <w:bCs/>
          <w:sz w:val="21"/>
          <w:szCs w:val="21"/>
        </w:rPr>
        <w:t>本次评估设定估价对象权属清晰、合法、无争议，未被查封或者以其他形式限制其房地产权利，不涉及第三方权利义务。</w:t>
      </w:r>
    </w:p>
    <w:p w:rsidR="00184596" w:rsidRDefault="00FD048A">
      <w:pPr>
        <w:spacing w:line="480" w:lineRule="auto"/>
        <w:jc w:val="both"/>
        <w:rPr>
          <w:rFonts w:ascii="Arial" w:hAnsi="Arial" w:cs="Arial"/>
          <w:bCs/>
          <w:sz w:val="21"/>
          <w:szCs w:val="21"/>
        </w:rPr>
      </w:pPr>
      <w:r>
        <w:rPr>
          <w:rFonts w:ascii="Arial" w:hAnsi="Arial" w:cs="Arial" w:hint="eastAsia"/>
          <w:bCs/>
          <w:sz w:val="21"/>
          <w:szCs w:val="21"/>
        </w:rPr>
        <w:t>2</w:t>
      </w:r>
      <w:r>
        <w:rPr>
          <w:rFonts w:ascii="Arial" w:hAnsi="Arial" w:cs="Arial"/>
          <w:bCs/>
          <w:sz w:val="21"/>
          <w:szCs w:val="21"/>
        </w:rPr>
        <w:t>.</w:t>
      </w:r>
      <w:r>
        <w:rPr>
          <w:rFonts w:ascii="Arial" w:hAnsi="Arial" w:cs="Arial"/>
          <w:sz w:val="21"/>
          <w:szCs w:val="21"/>
        </w:rPr>
        <w:t>本估价结果同时受本估价报告正文中</w:t>
      </w:r>
      <w:r>
        <w:rPr>
          <w:rFonts w:ascii="Arial" w:hAnsi="Arial" w:cs="Arial" w:hint="eastAsia"/>
          <w:bCs/>
          <w:sz w:val="21"/>
          <w:szCs w:val="21"/>
        </w:rPr>
        <w:t>“</w:t>
      </w:r>
      <w:r>
        <w:rPr>
          <w:rFonts w:ascii="Arial" w:hAnsi="Arial" w:cs="Arial"/>
          <w:bCs/>
          <w:sz w:val="21"/>
          <w:szCs w:val="21"/>
        </w:rPr>
        <w:t>估价的假设和限制条件</w:t>
      </w:r>
      <w:r>
        <w:rPr>
          <w:rFonts w:ascii="Arial" w:hAnsi="Arial" w:cs="Arial" w:hint="eastAsia"/>
          <w:bCs/>
          <w:sz w:val="21"/>
          <w:szCs w:val="21"/>
        </w:rPr>
        <w:t>”</w:t>
      </w:r>
      <w:r>
        <w:rPr>
          <w:rFonts w:ascii="Arial" w:hAnsi="Arial" w:cs="Arial"/>
          <w:bCs/>
          <w:sz w:val="21"/>
          <w:szCs w:val="21"/>
        </w:rPr>
        <w:t>限制。</w:t>
      </w:r>
    </w:p>
    <w:tbl>
      <w:tblPr>
        <w:tblW w:w="9299" w:type="dxa"/>
        <w:jc w:val="center"/>
        <w:tblLayout w:type="fixed"/>
        <w:tblCellMar>
          <w:left w:w="0" w:type="dxa"/>
          <w:right w:w="0" w:type="dxa"/>
        </w:tblCellMar>
        <w:tblLook w:val="04A0" w:firstRow="1" w:lastRow="0" w:firstColumn="1" w:lastColumn="0" w:noHBand="0" w:noVBand="1"/>
      </w:tblPr>
      <w:tblGrid>
        <w:gridCol w:w="6096"/>
        <w:gridCol w:w="3203"/>
      </w:tblGrid>
      <w:tr w:rsidR="00184596">
        <w:trPr>
          <w:cantSplit/>
          <w:trHeight w:hRule="exact" w:val="454"/>
          <w:jc w:val="center"/>
        </w:trPr>
        <w:tc>
          <w:tcPr>
            <w:tcW w:w="6096" w:type="dxa"/>
          </w:tcPr>
          <w:p w:rsidR="00184596" w:rsidRDefault="00FD048A">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rsidR="00184596" w:rsidRDefault="00184596">
            <w:pPr>
              <w:spacing w:line="480" w:lineRule="auto"/>
              <w:jc w:val="right"/>
              <w:rPr>
                <w:rFonts w:ascii="Arial" w:hAnsi="Arial" w:cs="Arial"/>
                <w:sz w:val="21"/>
                <w:szCs w:val="21"/>
              </w:rPr>
            </w:pPr>
          </w:p>
        </w:tc>
      </w:tr>
      <w:tr w:rsidR="00184596">
        <w:trPr>
          <w:cantSplit/>
          <w:trHeight w:hRule="exact" w:val="454"/>
          <w:jc w:val="center"/>
        </w:trPr>
        <w:tc>
          <w:tcPr>
            <w:tcW w:w="6096" w:type="dxa"/>
          </w:tcPr>
          <w:p w:rsidR="00184596" w:rsidRDefault="00FD048A">
            <w:pPr>
              <w:spacing w:line="480" w:lineRule="auto"/>
              <w:rPr>
                <w:rFonts w:ascii="Arial" w:hAnsi="Arial" w:cs="Arial"/>
                <w:sz w:val="21"/>
                <w:szCs w:val="21"/>
              </w:rPr>
            </w:pPr>
            <w:r>
              <w:rPr>
                <w:rFonts w:ascii="Arial" w:hAnsi="Arial" w:cs="Arial"/>
                <w:sz w:val="21"/>
                <w:szCs w:val="21"/>
              </w:rPr>
              <w:t>商祺</w:t>
            </w:r>
          </w:p>
        </w:tc>
        <w:tc>
          <w:tcPr>
            <w:tcW w:w="3203" w:type="dxa"/>
          </w:tcPr>
          <w:p w:rsidR="00184596" w:rsidRDefault="00184596">
            <w:pPr>
              <w:spacing w:line="480" w:lineRule="auto"/>
              <w:jc w:val="right"/>
              <w:rPr>
                <w:rFonts w:ascii="Arial" w:hAnsi="Arial" w:cs="Arial"/>
                <w:sz w:val="21"/>
                <w:szCs w:val="21"/>
              </w:rPr>
            </w:pPr>
          </w:p>
        </w:tc>
      </w:tr>
      <w:tr w:rsidR="00184596">
        <w:trPr>
          <w:cantSplit/>
          <w:jc w:val="center"/>
        </w:trPr>
        <w:tc>
          <w:tcPr>
            <w:tcW w:w="6096" w:type="dxa"/>
          </w:tcPr>
          <w:p w:rsidR="00184596" w:rsidRDefault="00184596">
            <w:pPr>
              <w:spacing w:line="480" w:lineRule="auto"/>
              <w:jc w:val="right"/>
              <w:rPr>
                <w:rFonts w:ascii="Arial" w:hAnsi="Arial" w:cs="Arial"/>
                <w:sz w:val="21"/>
                <w:szCs w:val="21"/>
              </w:rPr>
            </w:pPr>
          </w:p>
        </w:tc>
        <w:tc>
          <w:tcPr>
            <w:tcW w:w="3203" w:type="dxa"/>
          </w:tcPr>
          <w:p w:rsidR="00184596" w:rsidRDefault="00FD048A">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184596">
        <w:trPr>
          <w:cantSplit/>
          <w:trHeight w:hRule="exact" w:val="1134"/>
          <w:jc w:val="center"/>
        </w:trPr>
        <w:tc>
          <w:tcPr>
            <w:tcW w:w="6096" w:type="dxa"/>
          </w:tcPr>
          <w:p w:rsidR="00184596" w:rsidRDefault="00184596">
            <w:pPr>
              <w:spacing w:line="480" w:lineRule="auto"/>
              <w:jc w:val="right"/>
              <w:rPr>
                <w:rFonts w:ascii="Arial" w:hAnsi="Arial" w:cs="Arial"/>
                <w:sz w:val="21"/>
                <w:szCs w:val="21"/>
              </w:rPr>
            </w:pPr>
          </w:p>
        </w:tc>
        <w:tc>
          <w:tcPr>
            <w:tcW w:w="3203" w:type="dxa"/>
          </w:tcPr>
          <w:p w:rsidR="00184596" w:rsidRDefault="00FD048A">
            <w:pPr>
              <w:spacing w:line="480" w:lineRule="auto"/>
              <w:rPr>
                <w:rFonts w:ascii="Arial" w:hAnsi="Arial" w:cs="Arial"/>
                <w:sz w:val="21"/>
                <w:szCs w:val="21"/>
              </w:rPr>
            </w:pPr>
            <w:r>
              <w:rPr>
                <w:rFonts w:ascii="Arial" w:hAnsi="Arial" w:cs="Arial"/>
                <w:sz w:val="21"/>
                <w:szCs w:val="21"/>
              </w:rPr>
              <w:t>法定代表人：</w:t>
            </w:r>
          </w:p>
        </w:tc>
      </w:tr>
      <w:tr w:rsidR="00184596">
        <w:trPr>
          <w:cantSplit/>
          <w:jc w:val="center"/>
        </w:trPr>
        <w:tc>
          <w:tcPr>
            <w:tcW w:w="6096" w:type="dxa"/>
          </w:tcPr>
          <w:p w:rsidR="00184596" w:rsidRDefault="00184596">
            <w:pPr>
              <w:spacing w:line="480" w:lineRule="auto"/>
              <w:jc w:val="right"/>
              <w:rPr>
                <w:rFonts w:ascii="Arial" w:hAnsi="Arial" w:cs="Arial"/>
                <w:sz w:val="21"/>
                <w:szCs w:val="21"/>
              </w:rPr>
            </w:pPr>
          </w:p>
        </w:tc>
        <w:tc>
          <w:tcPr>
            <w:tcW w:w="3203" w:type="dxa"/>
          </w:tcPr>
          <w:p w:rsidR="00184596" w:rsidRDefault="00FD048A">
            <w:pPr>
              <w:spacing w:line="480" w:lineRule="auto"/>
              <w:jc w:val="right"/>
              <w:rPr>
                <w:rFonts w:ascii="Arial" w:hAnsi="Arial" w:cs="Arial"/>
                <w:sz w:val="21"/>
                <w:szCs w:val="21"/>
              </w:rPr>
            </w:pPr>
            <w:r>
              <w:rPr>
                <w:rFonts w:ascii="Arial" w:hAnsi="Arial" w:cs="Arial"/>
                <w:sz w:val="21"/>
                <w:szCs w:val="21"/>
              </w:rPr>
              <w:t>二</w:t>
            </w:r>
            <w:r>
              <w:rPr>
                <w:rFonts w:ascii="Arial" w:hAnsi="Arial" w:cs="Arial" w:hint="eastAsia"/>
                <w:sz w:val="21"/>
                <w:szCs w:val="21"/>
              </w:rPr>
              <w:t>○二六</w:t>
            </w:r>
            <w:r>
              <w:rPr>
                <w:rFonts w:ascii="Arial" w:hAnsi="Arial" w:cs="Arial"/>
                <w:sz w:val="21"/>
                <w:szCs w:val="21"/>
              </w:rPr>
              <w:t>年</w:t>
            </w:r>
            <w:r>
              <w:rPr>
                <w:rFonts w:ascii="Arial" w:hAnsi="Arial" w:cs="Arial" w:hint="eastAsia"/>
                <w:sz w:val="21"/>
                <w:szCs w:val="21"/>
              </w:rPr>
              <w:t>一月三十日</w:t>
            </w:r>
          </w:p>
        </w:tc>
      </w:tr>
    </w:tbl>
    <w:p w:rsidR="00184596" w:rsidRDefault="00184596">
      <w:pPr>
        <w:spacing w:line="480" w:lineRule="auto"/>
        <w:jc w:val="right"/>
        <w:rPr>
          <w:rFonts w:ascii="Arial" w:hAnsi="Arial" w:cs="Arial"/>
          <w:sz w:val="21"/>
          <w:szCs w:val="21"/>
        </w:rPr>
      </w:pPr>
    </w:p>
    <w:p w:rsidR="00184596" w:rsidRDefault="00184596">
      <w:pPr>
        <w:spacing w:line="480" w:lineRule="auto"/>
        <w:rPr>
          <w:rFonts w:ascii="Arial" w:hAnsi="Arial" w:cs="Arial"/>
          <w:color w:val="E36C0A"/>
          <w:sz w:val="21"/>
          <w:szCs w:val="21"/>
        </w:rPr>
        <w:sectPr w:rsidR="00184596">
          <w:headerReference w:type="default" r:id="rId14"/>
          <w:footerReference w:type="default" r:id="rId15"/>
          <w:pgSz w:w="11907" w:h="16840"/>
          <w:pgMar w:top="1843" w:right="1304" w:bottom="1134" w:left="1304" w:header="1134" w:footer="907" w:gutter="0"/>
          <w:cols w:space="720"/>
          <w:docGrid w:linePitch="326"/>
        </w:sectPr>
      </w:pPr>
    </w:p>
    <w:p w:rsidR="00184596" w:rsidRDefault="00FD048A">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rsidR="00184596" w:rsidRDefault="00FD048A">
      <w:pPr>
        <w:pStyle w:val="10"/>
        <w:rPr>
          <w:rFonts w:ascii="Arial" w:hAnsi="Arial"/>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477252438" w:history="1">
        <w:r>
          <w:rPr>
            <w:rStyle w:val="af4"/>
            <w:rFonts w:ascii="Arial" w:eastAsia="宋体" w:hAnsi="Arial" w:hint="eastAsia"/>
            <w:color w:val="auto"/>
            <w:sz w:val="21"/>
            <w:szCs w:val="21"/>
          </w:rPr>
          <w:t>估价师声明</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_Toc477252438 \h </w:instrText>
        </w:r>
        <w:r>
          <w:rPr>
            <w:rFonts w:ascii="Arial" w:hAnsi="Arial"/>
            <w:sz w:val="21"/>
            <w:szCs w:val="21"/>
          </w:rPr>
        </w:r>
        <w:r>
          <w:rPr>
            <w:rFonts w:ascii="Arial" w:hAnsi="Arial"/>
            <w:sz w:val="21"/>
            <w:szCs w:val="21"/>
          </w:rPr>
          <w:fldChar w:fldCharType="separate"/>
        </w:r>
        <w:r>
          <w:rPr>
            <w:rFonts w:ascii="Arial" w:hAnsi="Arial"/>
            <w:sz w:val="21"/>
            <w:szCs w:val="21"/>
          </w:rPr>
          <w:t>7</w:t>
        </w:r>
        <w:r>
          <w:rPr>
            <w:rFonts w:ascii="Arial" w:hAnsi="Arial"/>
            <w:sz w:val="21"/>
            <w:szCs w:val="21"/>
          </w:rPr>
          <w:fldChar w:fldCharType="end"/>
        </w:r>
      </w:hyperlink>
    </w:p>
    <w:p w:rsidR="00184596" w:rsidRDefault="00FD048A">
      <w:pPr>
        <w:pStyle w:val="10"/>
        <w:rPr>
          <w:rFonts w:ascii="Arial" w:hAnsi="Arial"/>
          <w:kern w:val="2"/>
          <w:sz w:val="21"/>
          <w:szCs w:val="21"/>
        </w:rPr>
      </w:pPr>
      <w:hyperlink w:anchor="_Toc477252439" w:history="1">
        <w:r>
          <w:rPr>
            <w:rStyle w:val="af4"/>
            <w:rFonts w:ascii="Arial" w:eastAsia="宋体" w:hAnsi="Arial" w:hint="eastAsia"/>
            <w:color w:val="auto"/>
            <w:sz w:val="21"/>
            <w:szCs w:val="21"/>
          </w:rPr>
          <w:t>估价假设和限制条件</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_Toc477252439 \h </w:instrText>
        </w:r>
        <w:r>
          <w:rPr>
            <w:rFonts w:ascii="Arial" w:hAnsi="Arial"/>
            <w:sz w:val="21"/>
            <w:szCs w:val="21"/>
          </w:rPr>
        </w:r>
        <w:r>
          <w:rPr>
            <w:rFonts w:ascii="Arial" w:hAnsi="Arial"/>
            <w:sz w:val="21"/>
            <w:szCs w:val="21"/>
          </w:rPr>
          <w:fldChar w:fldCharType="separate"/>
        </w:r>
        <w:r>
          <w:rPr>
            <w:rFonts w:ascii="Arial" w:hAnsi="Arial"/>
            <w:sz w:val="21"/>
            <w:szCs w:val="21"/>
          </w:rPr>
          <w:t>8</w:t>
        </w:r>
        <w:r>
          <w:rPr>
            <w:rFonts w:ascii="Arial" w:hAnsi="Arial"/>
            <w:sz w:val="21"/>
            <w:szCs w:val="21"/>
          </w:rPr>
          <w:fldChar w:fldCharType="end"/>
        </w:r>
      </w:hyperlink>
    </w:p>
    <w:p w:rsidR="00184596" w:rsidRDefault="00FD048A">
      <w:pPr>
        <w:pStyle w:val="10"/>
        <w:rPr>
          <w:rFonts w:ascii="Arial" w:hAnsi="Arial"/>
          <w:kern w:val="2"/>
          <w:sz w:val="21"/>
          <w:szCs w:val="21"/>
        </w:rPr>
      </w:pPr>
      <w:hyperlink w:anchor="_Toc477252440" w:history="1">
        <w:r>
          <w:rPr>
            <w:rStyle w:val="af4"/>
            <w:rFonts w:ascii="Arial" w:eastAsia="宋体" w:hAnsi="Arial" w:hint="eastAsia"/>
            <w:color w:val="auto"/>
            <w:sz w:val="21"/>
            <w:szCs w:val="21"/>
          </w:rPr>
          <w:t>估　价　结</w:t>
        </w:r>
        <w:r>
          <w:rPr>
            <w:rStyle w:val="af4"/>
            <w:rFonts w:ascii="Arial" w:eastAsia="宋体" w:hAnsi="Arial"/>
            <w:color w:val="auto"/>
            <w:sz w:val="21"/>
            <w:szCs w:val="21"/>
          </w:rPr>
          <w:t xml:space="preserve">  </w:t>
        </w:r>
        <w:r>
          <w:rPr>
            <w:rStyle w:val="af4"/>
            <w:rFonts w:ascii="Arial" w:eastAsia="宋体" w:hAnsi="Arial" w:hint="eastAsia"/>
            <w:color w:val="auto"/>
            <w:sz w:val="21"/>
            <w:szCs w:val="21"/>
          </w:rPr>
          <w:t>果</w:t>
        </w:r>
        <w:r>
          <w:rPr>
            <w:rStyle w:val="af4"/>
            <w:rFonts w:ascii="Arial" w:eastAsia="宋体" w:hAnsi="Arial"/>
            <w:color w:val="auto"/>
            <w:sz w:val="21"/>
            <w:szCs w:val="21"/>
          </w:rPr>
          <w:t xml:space="preserve">  </w:t>
        </w:r>
        <w:r>
          <w:rPr>
            <w:rStyle w:val="af4"/>
            <w:rFonts w:ascii="Arial" w:eastAsia="宋体" w:hAnsi="Arial" w:hint="eastAsia"/>
            <w:color w:val="auto"/>
            <w:sz w:val="21"/>
            <w:szCs w:val="21"/>
          </w:rPr>
          <w:t>报　告</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_Toc477252440 \h </w:instrText>
        </w:r>
        <w:r>
          <w:rPr>
            <w:rFonts w:ascii="Arial" w:hAnsi="Arial"/>
            <w:sz w:val="21"/>
            <w:szCs w:val="21"/>
          </w:rPr>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41" w:history="1">
        <w:r>
          <w:rPr>
            <w:rStyle w:val="af4"/>
            <w:rFonts w:ascii="Arial" w:eastAsia="宋体" w:hAnsi="Arial" w:hint="eastAsia"/>
            <w:color w:val="auto"/>
            <w:sz w:val="21"/>
            <w:szCs w:val="21"/>
          </w:rPr>
          <w:t>一、估价委托人</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_Toc477252441 \h </w:instrText>
        </w:r>
        <w:r>
          <w:rPr>
            <w:rFonts w:ascii="Arial" w:hAnsi="Arial"/>
            <w:sz w:val="21"/>
            <w:szCs w:val="21"/>
          </w:rPr>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42" w:history="1">
        <w:r>
          <w:rPr>
            <w:rStyle w:val="af4"/>
            <w:rFonts w:ascii="Arial" w:eastAsia="宋体" w:hAnsi="Arial" w:hint="eastAsia"/>
            <w:color w:val="auto"/>
            <w:sz w:val="21"/>
            <w:szCs w:val="21"/>
          </w:rPr>
          <w:t>二、房地产估价机构</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_Toc477252442 \h </w:instrText>
        </w:r>
        <w:r>
          <w:rPr>
            <w:rFonts w:ascii="Arial" w:hAnsi="Arial"/>
            <w:sz w:val="21"/>
            <w:szCs w:val="21"/>
          </w:rPr>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43" w:history="1">
        <w:r>
          <w:rPr>
            <w:rStyle w:val="af4"/>
            <w:rFonts w:ascii="Arial" w:eastAsia="宋体" w:hAnsi="Arial" w:hint="eastAsia"/>
            <w:color w:val="auto"/>
            <w:sz w:val="21"/>
            <w:szCs w:val="21"/>
          </w:rPr>
          <w:t>三、估价目的</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_Toc477252443 \h </w:instrText>
        </w:r>
        <w:r>
          <w:rPr>
            <w:rFonts w:ascii="Arial" w:hAnsi="Arial"/>
            <w:sz w:val="21"/>
            <w:szCs w:val="21"/>
          </w:rPr>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44" w:history="1">
        <w:r>
          <w:rPr>
            <w:rStyle w:val="af4"/>
            <w:rFonts w:ascii="Arial" w:eastAsia="宋体" w:hAnsi="Arial" w:hint="eastAsia"/>
            <w:color w:val="auto"/>
            <w:sz w:val="21"/>
            <w:szCs w:val="21"/>
          </w:rPr>
          <w:t>四、估价对象</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_Toc477252444 \h </w:instrText>
        </w:r>
        <w:r>
          <w:rPr>
            <w:rFonts w:ascii="Arial" w:hAnsi="Arial"/>
            <w:sz w:val="21"/>
            <w:szCs w:val="21"/>
          </w:rPr>
        </w:r>
        <w:r>
          <w:rPr>
            <w:rFonts w:ascii="Arial" w:hAnsi="Arial"/>
            <w:sz w:val="21"/>
            <w:szCs w:val="21"/>
          </w:rPr>
          <w:fldChar w:fldCharType="separate"/>
        </w:r>
        <w:r>
          <w:rPr>
            <w:rFonts w:ascii="Arial" w:hAnsi="Arial"/>
            <w:sz w:val="21"/>
            <w:szCs w:val="21"/>
          </w:rPr>
          <w:t>12</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45" w:history="1">
        <w:r>
          <w:rPr>
            <w:rStyle w:val="af4"/>
            <w:rFonts w:ascii="Arial" w:eastAsia="宋体" w:hAnsi="Arial" w:hint="eastAsia"/>
            <w:color w:val="auto"/>
            <w:sz w:val="21"/>
            <w:szCs w:val="21"/>
          </w:rPr>
          <w:t>五、价值时点</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_Toc477252445 \h </w:instrText>
        </w:r>
        <w:r>
          <w:rPr>
            <w:rFonts w:ascii="Arial" w:hAnsi="Arial"/>
            <w:sz w:val="21"/>
            <w:szCs w:val="21"/>
          </w:rPr>
        </w:r>
        <w:r>
          <w:rPr>
            <w:rFonts w:ascii="Arial" w:hAnsi="Arial"/>
            <w:sz w:val="21"/>
            <w:szCs w:val="21"/>
          </w:rPr>
          <w:fldChar w:fldCharType="separate"/>
        </w:r>
        <w:r>
          <w:rPr>
            <w:rFonts w:ascii="Arial" w:hAnsi="Arial"/>
            <w:sz w:val="21"/>
            <w:szCs w:val="21"/>
          </w:rPr>
          <w:t>15</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46" w:history="1">
        <w:r>
          <w:rPr>
            <w:rStyle w:val="af4"/>
            <w:rFonts w:ascii="Arial" w:eastAsia="宋体" w:hAnsi="Arial" w:hint="eastAsia"/>
            <w:color w:val="auto"/>
            <w:sz w:val="21"/>
            <w:szCs w:val="21"/>
          </w:rPr>
          <w:t>六、价值类型</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_Toc477252446 \h </w:instrText>
        </w:r>
        <w:r>
          <w:rPr>
            <w:rFonts w:ascii="Arial" w:hAnsi="Arial"/>
            <w:sz w:val="21"/>
            <w:szCs w:val="21"/>
          </w:rPr>
        </w:r>
        <w:r>
          <w:rPr>
            <w:rFonts w:ascii="Arial" w:hAnsi="Arial"/>
            <w:sz w:val="21"/>
            <w:szCs w:val="21"/>
          </w:rPr>
          <w:fldChar w:fldCharType="separate"/>
        </w:r>
        <w:r>
          <w:rPr>
            <w:rFonts w:ascii="Arial" w:hAnsi="Arial"/>
            <w:sz w:val="21"/>
            <w:szCs w:val="21"/>
          </w:rPr>
          <w:t>15</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47" w:history="1">
        <w:r>
          <w:rPr>
            <w:rStyle w:val="af4"/>
            <w:rFonts w:ascii="Arial" w:eastAsia="宋体" w:hAnsi="Arial" w:hint="eastAsia"/>
            <w:color w:val="auto"/>
            <w:sz w:val="21"/>
            <w:szCs w:val="21"/>
          </w:rPr>
          <w:t>七、估价原则</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_Toc477252447 \h </w:instrText>
        </w:r>
        <w:r>
          <w:rPr>
            <w:rFonts w:ascii="Arial" w:hAnsi="Arial"/>
            <w:sz w:val="21"/>
            <w:szCs w:val="21"/>
          </w:rPr>
        </w:r>
        <w:r>
          <w:rPr>
            <w:rFonts w:ascii="Arial" w:hAnsi="Arial"/>
            <w:sz w:val="21"/>
            <w:szCs w:val="21"/>
          </w:rPr>
          <w:fldChar w:fldCharType="separate"/>
        </w:r>
        <w:r>
          <w:rPr>
            <w:rFonts w:ascii="Arial" w:hAnsi="Arial"/>
            <w:sz w:val="21"/>
            <w:szCs w:val="21"/>
          </w:rPr>
          <w:t>16</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48" w:history="1">
        <w:r>
          <w:rPr>
            <w:rStyle w:val="af4"/>
            <w:rFonts w:ascii="Arial" w:eastAsia="宋体" w:hAnsi="Arial" w:hint="eastAsia"/>
            <w:color w:val="auto"/>
            <w:sz w:val="21"/>
            <w:szCs w:val="21"/>
          </w:rPr>
          <w:t>八、估价</w:t>
        </w:r>
        <w:bookmarkStart w:id="4" w:name="_Hlt218580884"/>
        <w:r>
          <w:rPr>
            <w:rStyle w:val="af4"/>
            <w:rFonts w:ascii="Arial" w:eastAsia="宋体" w:hAnsi="Arial" w:hint="eastAsia"/>
            <w:color w:val="auto"/>
            <w:sz w:val="21"/>
            <w:szCs w:val="21"/>
          </w:rPr>
          <w:t>依</w:t>
        </w:r>
        <w:bookmarkEnd w:id="4"/>
        <w:r>
          <w:rPr>
            <w:rStyle w:val="af4"/>
            <w:rFonts w:ascii="Arial" w:eastAsia="宋体" w:hAnsi="Arial" w:hint="eastAsia"/>
            <w:color w:val="auto"/>
            <w:sz w:val="21"/>
            <w:szCs w:val="21"/>
          </w:rPr>
          <w:t>据</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_Toc477252448 \h </w:instrText>
        </w:r>
        <w:r>
          <w:rPr>
            <w:rFonts w:ascii="Arial" w:hAnsi="Arial"/>
            <w:sz w:val="21"/>
            <w:szCs w:val="21"/>
          </w:rPr>
        </w:r>
        <w:r>
          <w:rPr>
            <w:rFonts w:ascii="Arial" w:hAnsi="Arial"/>
            <w:sz w:val="21"/>
            <w:szCs w:val="21"/>
          </w:rPr>
          <w:fldChar w:fldCharType="separate"/>
        </w:r>
        <w:r>
          <w:rPr>
            <w:rFonts w:ascii="Arial" w:hAnsi="Arial"/>
            <w:sz w:val="21"/>
            <w:szCs w:val="21"/>
          </w:rPr>
          <w:t>17</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49" w:history="1">
        <w:r>
          <w:rPr>
            <w:rStyle w:val="af4"/>
            <w:rFonts w:ascii="Arial" w:eastAsia="宋体" w:hAnsi="Arial" w:hint="eastAsia"/>
            <w:color w:val="auto"/>
            <w:sz w:val="21"/>
            <w:szCs w:val="21"/>
          </w:rPr>
          <w:t>九、估价方</w:t>
        </w:r>
        <w:bookmarkStart w:id="5" w:name="_Hlt146637667"/>
        <w:r>
          <w:rPr>
            <w:rStyle w:val="af4"/>
            <w:rFonts w:ascii="Arial" w:eastAsia="宋体" w:hAnsi="Arial" w:hint="eastAsia"/>
            <w:color w:val="auto"/>
            <w:sz w:val="21"/>
            <w:szCs w:val="21"/>
          </w:rPr>
          <w:t>法</w:t>
        </w:r>
        <w:bookmarkStart w:id="6" w:name="_Hlt146790063"/>
        <w:bookmarkStart w:id="7" w:name="_Hlt146790062"/>
        <w:bookmarkEnd w:id="5"/>
        <w:r>
          <w:rPr>
            <w:rFonts w:ascii="Arial" w:hAnsi="Arial"/>
            <w:sz w:val="21"/>
            <w:szCs w:val="21"/>
          </w:rPr>
          <w:tab/>
        </w:r>
        <w:bookmarkEnd w:id="6"/>
        <w:bookmarkEnd w:id="7"/>
        <w:r>
          <w:rPr>
            <w:rFonts w:ascii="Arial" w:hAnsi="Arial"/>
            <w:sz w:val="21"/>
            <w:szCs w:val="21"/>
          </w:rPr>
          <w:fldChar w:fldCharType="begin"/>
        </w:r>
        <w:r>
          <w:rPr>
            <w:rFonts w:ascii="Arial" w:hAnsi="Arial"/>
            <w:sz w:val="21"/>
            <w:szCs w:val="21"/>
          </w:rPr>
          <w:instrText xml:space="preserve"> PAGEREF _Toc477252449 \h </w:instrText>
        </w:r>
        <w:r>
          <w:rPr>
            <w:rFonts w:ascii="Arial" w:hAnsi="Arial"/>
            <w:sz w:val="21"/>
            <w:szCs w:val="21"/>
          </w:rPr>
        </w:r>
        <w:r>
          <w:rPr>
            <w:rFonts w:ascii="Arial" w:hAnsi="Arial"/>
            <w:sz w:val="21"/>
            <w:szCs w:val="21"/>
          </w:rPr>
          <w:fldChar w:fldCharType="separate"/>
        </w:r>
        <w:r>
          <w:rPr>
            <w:rFonts w:ascii="Arial" w:hAnsi="Arial"/>
            <w:sz w:val="21"/>
            <w:szCs w:val="21"/>
          </w:rPr>
          <w:t>20</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50" w:history="1">
        <w:r>
          <w:rPr>
            <w:rStyle w:val="af4"/>
            <w:rFonts w:ascii="Arial" w:eastAsia="宋体" w:hAnsi="Arial" w:hint="eastAsia"/>
            <w:color w:val="auto"/>
            <w:sz w:val="21"/>
            <w:szCs w:val="21"/>
          </w:rPr>
          <w:t>十、估价结果</w:t>
        </w:r>
        <w:bookmarkStart w:id="8" w:name="_Hlt151644350"/>
        <w:bookmarkStart w:id="9" w:name="_Hlt151644349"/>
        <w:r>
          <w:rPr>
            <w:rFonts w:ascii="Arial" w:hAnsi="Arial"/>
            <w:sz w:val="21"/>
            <w:szCs w:val="21"/>
          </w:rPr>
          <w:tab/>
        </w:r>
        <w:bookmarkEnd w:id="8"/>
        <w:bookmarkEnd w:id="9"/>
        <w:r>
          <w:rPr>
            <w:rFonts w:ascii="Arial" w:hAnsi="Arial"/>
            <w:sz w:val="21"/>
            <w:szCs w:val="21"/>
          </w:rPr>
          <w:fldChar w:fldCharType="begin"/>
        </w:r>
        <w:r>
          <w:rPr>
            <w:rFonts w:ascii="Arial" w:hAnsi="Arial"/>
            <w:sz w:val="21"/>
            <w:szCs w:val="21"/>
          </w:rPr>
          <w:instrText xml:space="preserve"> PAGEREF _Toc477252450 \h </w:instrText>
        </w:r>
        <w:r>
          <w:rPr>
            <w:rFonts w:ascii="Arial" w:hAnsi="Arial"/>
            <w:sz w:val="21"/>
            <w:szCs w:val="21"/>
          </w:rPr>
        </w:r>
        <w:r>
          <w:rPr>
            <w:rFonts w:ascii="Arial" w:hAnsi="Arial"/>
            <w:sz w:val="21"/>
            <w:szCs w:val="21"/>
          </w:rPr>
          <w:fldChar w:fldCharType="separate"/>
        </w:r>
        <w:r>
          <w:rPr>
            <w:rFonts w:ascii="Arial" w:hAnsi="Arial"/>
            <w:sz w:val="21"/>
            <w:szCs w:val="21"/>
          </w:rPr>
          <w:t>21</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51" w:history="1">
        <w:r>
          <w:rPr>
            <w:rStyle w:val="af4"/>
            <w:rFonts w:ascii="Arial" w:eastAsia="宋体" w:hAnsi="Arial" w:hint="eastAsia"/>
            <w:color w:val="auto"/>
            <w:sz w:val="21"/>
            <w:szCs w:val="21"/>
            <w:highlight w:val="lightGray"/>
          </w:rPr>
          <w:t>十一、评估专业人员</w:t>
        </w:r>
        <w:r>
          <w:rPr>
            <w:rFonts w:ascii="Arial" w:hAnsi="Arial"/>
            <w:sz w:val="21"/>
            <w:szCs w:val="21"/>
            <w:highlight w:val="lightGray"/>
          </w:rPr>
          <w:tab/>
        </w:r>
        <w:r>
          <w:rPr>
            <w:rFonts w:ascii="Arial" w:hAnsi="Arial"/>
            <w:sz w:val="21"/>
            <w:szCs w:val="21"/>
            <w:highlight w:val="lightGray"/>
          </w:rPr>
          <w:fldChar w:fldCharType="begin"/>
        </w:r>
        <w:r>
          <w:rPr>
            <w:rFonts w:ascii="Arial" w:hAnsi="Arial"/>
            <w:sz w:val="21"/>
            <w:szCs w:val="21"/>
            <w:highlight w:val="lightGray"/>
          </w:rPr>
          <w:instrText xml:space="preserve"> PAGEREF _Toc477252451 \h </w:instrText>
        </w:r>
        <w:r>
          <w:rPr>
            <w:rFonts w:ascii="Arial" w:hAnsi="Arial"/>
            <w:sz w:val="21"/>
            <w:szCs w:val="21"/>
            <w:highlight w:val="lightGray"/>
          </w:rPr>
        </w:r>
        <w:r>
          <w:rPr>
            <w:rFonts w:ascii="Arial" w:hAnsi="Arial"/>
            <w:sz w:val="21"/>
            <w:szCs w:val="21"/>
            <w:highlight w:val="lightGray"/>
          </w:rPr>
          <w:fldChar w:fldCharType="separate"/>
        </w:r>
        <w:r>
          <w:rPr>
            <w:rFonts w:ascii="Arial" w:hAnsi="Arial"/>
            <w:sz w:val="21"/>
            <w:szCs w:val="21"/>
            <w:highlight w:val="lightGray"/>
          </w:rPr>
          <w:t>22</w:t>
        </w:r>
        <w:r>
          <w:rPr>
            <w:rFonts w:ascii="Arial" w:hAnsi="Arial"/>
            <w:sz w:val="21"/>
            <w:szCs w:val="21"/>
            <w:highlight w:val="lightGray"/>
          </w:rPr>
          <w:fldChar w:fldCharType="end"/>
        </w:r>
      </w:hyperlink>
    </w:p>
    <w:p w:rsidR="00184596" w:rsidRDefault="00FD048A">
      <w:pPr>
        <w:pStyle w:val="21"/>
        <w:rPr>
          <w:rFonts w:ascii="Arial" w:hAnsi="Arial"/>
          <w:kern w:val="2"/>
          <w:sz w:val="21"/>
          <w:szCs w:val="21"/>
        </w:rPr>
      </w:pPr>
      <w:hyperlink w:anchor="_Toc477252452" w:history="1">
        <w:r>
          <w:rPr>
            <w:rStyle w:val="af4"/>
            <w:rFonts w:ascii="Arial" w:eastAsia="宋体" w:hAnsi="Arial" w:hint="eastAsia"/>
            <w:color w:val="auto"/>
            <w:sz w:val="21"/>
            <w:szCs w:val="21"/>
          </w:rPr>
          <w:t>十二、实地查勘期</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_Toc477252452 \h </w:instrText>
        </w:r>
        <w:r>
          <w:rPr>
            <w:rFonts w:ascii="Arial" w:hAnsi="Arial"/>
            <w:sz w:val="21"/>
            <w:szCs w:val="21"/>
          </w:rPr>
        </w:r>
        <w:r>
          <w:rPr>
            <w:rFonts w:ascii="Arial" w:hAnsi="Arial"/>
            <w:sz w:val="21"/>
            <w:szCs w:val="21"/>
          </w:rPr>
          <w:fldChar w:fldCharType="separate"/>
        </w:r>
        <w:r>
          <w:rPr>
            <w:rFonts w:ascii="Arial" w:hAnsi="Arial"/>
            <w:sz w:val="21"/>
            <w:szCs w:val="21"/>
          </w:rPr>
          <w:t>22</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53" w:history="1">
        <w:r>
          <w:rPr>
            <w:rStyle w:val="af4"/>
            <w:rFonts w:ascii="Arial" w:eastAsia="宋体" w:hAnsi="Arial" w:hint="eastAsia"/>
            <w:color w:val="auto"/>
            <w:sz w:val="21"/>
            <w:szCs w:val="21"/>
          </w:rPr>
          <w:t>十三、估价作业期</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_Toc477252453 \h </w:instrText>
        </w:r>
        <w:r>
          <w:rPr>
            <w:rFonts w:ascii="Arial" w:hAnsi="Arial"/>
            <w:sz w:val="21"/>
            <w:szCs w:val="21"/>
          </w:rPr>
        </w:r>
        <w:r>
          <w:rPr>
            <w:rFonts w:ascii="Arial" w:hAnsi="Arial"/>
            <w:sz w:val="21"/>
            <w:szCs w:val="21"/>
          </w:rPr>
          <w:fldChar w:fldCharType="separate"/>
        </w:r>
        <w:r>
          <w:rPr>
            <w:rFonts w:ascii="Arial" w:hAnsi="Arial"/>
            <w:sz w:val="21"/>
            <w:szCs w:val="21"/>
          </w:rPr>
          <w:t>22</w:t>
        </w:r>
        <w:r>
          <w:rPr>
            <w:rFonts w:ascii="Arial" w:hAnsi="Arial"/>
            <w:sz w:val="21"/>
            <w:szCs w:val="21"/>
          </w:rPr>
          <w:fldChar w:fldCharType="end"/>
        </w:r>
      </w:hyperlink>
    </w:p>
    <w:p w:rsidR="00184596" w:rsidRDefault="00FD048A">
      <w:pPr>
        <w:pStyle w:val="10"/>
        <w:rPr>
          <w:rFonts w:ascii="Arial" w:hAnsi="Arial"/>
          <w:kern w:val="2"/>
          <w:sz w:val="21"/>
          <w:szCs w:val="21"/>
        </w:rPr>
      </w:pPr>
      <w:hyperlink w:anchor="_Toc477252454" w:history="1">
        <w:r>
          <w:rPr>
            <w:rStyle w:val="af4"/>
            <w:rFonts w:ascii="Arial" w:eastAsia="宋体" w:hAnsi="Arial" w:hint="eastAsia"/>
            <w:color w:val="auto"/>
            <w:sz w:val="21"/>
            <w:szCs w:val="21"/>
          </w:rPr>
          <w:t>估</w:t>
        </w:r>
        <w:r>
          <w:rPr>
            <w:rStyle w:val="af4"/>
            <w:rFonts w:ascii="Arial" w:eastAsia="宋体" w:hAnsi="Arial"/>
            <w:color w:val="auto"/>
            <w:sz w:val="21"/>
            <w:szCs w:val="21"/>
          </w:rPr>
          <w:t xml:space="preserve">  </w:t>
        </w:r>
        <w:r>
          <w:rPr>
            <w:rStyle w:val="af4"/>
            <w:rFonts w:ascii="Arial" w:eastAsia="宋体" w:hAnsi="Arial" w:hint="eastAsia"/>
            <w:color w:val="auto"/>
            <w:sz w:val="21"/>
            <w:szCs w:val="21"/>
          </w:rPr>
          <w:t>价</w:t>
        </w:r>
        <w:r>
          <w:rPr>
            <w:rStyle w:val="af4"/>
            <w:rFonts w:ascii="Arial" w:eastAsia="宋体" w:hAnsi="Arial"/>
            <w:color w:val="auto"/>
            <w:sz w:val="21"/>
            <w:szCs w:val="21"/>
          </w:rPr>
          <w:t xml:space="preserve">  </w:t>
        </w:r>
        <w:r>
          <w:rPr>
            <w:rStyle w:val="af4"/>
            <w:rFonts w:ascii="Arial" w:eastAsia="宋体" w:hAnsi="Arial" w:hint="eastAsia"/>
            <w:color w:val="auto"/>
            <w:sz w:val="21"/>
            <w:szCs w:val="21"/>
          </w:rPr>
          <w:t>技</w:t>
        </w:r>
        <w:r>
          <w:rPr>
            <w:rStyle w:val="af4"/>
            <w:rFonts w:ascii="Arial" w:eastAsia="宋体" w:hAnsi="Arial"/>
            <w:color w:val="auto"/>
            <w:sz w:val="21"/>
            <w:szCs w:val="21"/>
          </w:rPr>
          <w:t xml:space="preserve">  </w:t>
        </w:r>
        <w:r>
          <w:rPr>
            <w:rStyle w:val="af4"/>
            <w:rFonts w:ascii="Arial" w:eastAsia="宋体" w:hAnsi="Arial" w:hint="eastAsia"/>
            <w:color w:val="auto"/>
            <w:sz w:val="21"/>
            <w:szCs w:val="21"/>
          </w:rPr>
          <w:t>术</w:t>
        </w:r>
        <w:r>
          <w:rPr>
            <w:rStyle w:val="af4"/>
            <w:rFonts w:ascii="Arial" w:eastAsia="宋体" w:hAnsi="Arial"/>
            <w:color w:val="auto"/>
            <w:sz w:val="21"/>
            <w:szCs w:val="21"/>
          </w:rPr>
          <w:t xml:space="preserve">  </w:t>
        </w:r>
        <w:r>
          <w:rPr>
            <w:rStyle w:val="af4"/>
            <w:rFonts w:ascii="Arial" w:eastAsia="宋体" w:hAnsi="Arial" w:hint="eastAsia"/>
            <w:color w:val="auto"/>
            <w:sz w:val="21"/>
            <w:szCs w:val="21"/>
          </w:rPr>
          <w:t>报</w:t>
        </w:r>
        <w:r>
          <w:rPr>
            <w:rStyle w:val="af4"/>
            <w:rFonts w:ascii="Arial" w:eastAsia="宋体" w:hAnsi="Arial"/>
            <w:color w:val="auto"/>
            <w:sz w:val="21"/>
            <w:szCs w:val="21"/>
          </w:rPr>
          <w:t xml:space="preserve">  </w:t>
        </w:r>
        <w:r>
          <w:rPr>
            <w:rStyle w:val="af4"/>
            <w:rFonts w:ascii="Arial" w:eastAsia="宋体" w:hAnsi="Arial" w:hint="eastAsia"/>
            <w:color w:val="auto"/>
            <w:sz w:val="21"/>
            <w:szCs w:val="21"/>
          </w:rPr>
          <w:t>告</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_Toc477252454 \h </w:instrText>
        </w:r>
        <w:r>
          <w:rPr>
            <w:rFonts w:ascii="Arial" w:hAnsi="Arial"/>
            <w:sz w:val="21"/>
            <w:szCs w:val="21"/>
          </w:rPr>
        </w:r>
        <w:r>
          <w:rPr>
            <w:rFonts w:ascii="Arial" w:hAnsi="Arial"/>
            <w:sz w:val="21"/>
            <w:szCs w:val="21"/>
          </w:rPr>
          <w:fldChar w:fldCharType="separate"/>
        </w:r>
        <w:r>
          <w:rPr>
            <w:rFonts w:ascii="Arial" w:hAnsi="Arial"/>
            <w:sz w:val="21"/>
            <w:szCs w:val="21"/>
          </w:rPr>
          <w:t>23</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55" w:history="1">
        <w:r>
          <w:rPr>
            <w:rStyle w:val="af4"/>
            <w:rFonts w:ascii="Arial" w:eastAsia="宋体" w:hAnsi="Arial" w:hint="eastAsia"/>
            <w:color w:val="auto"/>
            <w:sz w:val="21"/>
            <w:szCs w:val="21"/>
          </w:rPr>
          <w:t>一、估价对象描述与分析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_Toc477252455 \h </w:instrText>
        </w:r>
        <w:r>
          <w:rPr>
            <w:rFonts w:ascii="Arial" w:hAnsi="Arial"/>
            <w:sz w:val="21"/>
            <w:szCs w:val="21"/>
          </w:rPr>
        </w:r>
        <w:r>
          <w:rPr>
            <w:rFonts w:ascii="Arial" w:hAnsi="Arial"/>
            <w:sz w:val="21"/>
            <w:szCs w:val="21"/>
          </w:rPr>
          <w:fldChar w:fldCharType="separate"/>
        </w:r>
        <w:r>
          <w:rPr>
            <w:rFonts w:ascii="Arial" w:hAnsi="Arial"/>
            <w:sz w:val="21"/>
            <w:szCs w:val="21"/>
          </w:rPr>
          <w:t>23</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56" w:history="1">
        <w:r>
          <w:rPr>
            <w:rStyle w:val="af4"/>
            <w:rFonts w:ascii="Arial" w:eastAsia="宋体" w:hAnsi="Arial" w:hint="eastAsia"/>
            <w:color w:val="auto"/>
            <w:sz w:val="21"/>
            <w:szCs w:val="21"/>
          </w:rPr>
          <w:t>（一）实物状况分析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_Toc477252456 \h </w:instrText>
        </w:r>
        <w:r>
          <w:rPr>
            <w:rFonts w:ascii="Arial" w:hAnsi="Arial"/>
            <w:sz w:val="21"/>
            <w:szCs w:val="21"/>
          </w:rPr>
        </w:r>
        <w:r>
          <w:rPr>
            <w:rFonts w:ascii="Arial" w:hAnsi="Arial"/>
            <w:sz w:val="21"/>
            <w:szCs w:val="21"/>
          </w:rPr>
          <w:fldChar w:fldCharType="separate"/>
        </w:r>
        <w:r>
          <w:rPr>
            <w:rFonts w:ascii="Arial" w:hAnsi="Arial"/>
            <w:sz w:val="21"/>
            <w:szCs w:val="21"/>
          </w:rPr>
          <w:t>23</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57" w:history="1">
        <w:r>
          <w:rPr>
            <w:rStyle w:val="af4"/>
            <w:rFonts w:ascii="Arial" w:eastAsia="宋体" w:hAnsi="Arial" w:hint="eastAsia"/>
            <w:color w:val="auto"/>
            <w:sz w:val="21"/>
            <w:szCs w:val="21"/>
          </w:rPr>
          <w:t>（二）权益状况分析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_Toc477252457 \h </w:instrText>
        </w:r>
        <w:r>
          <w:rPr>
            <w:rFonts w:ascii="Arial" w:hAnsi="Arial"/>
            <w:sz w:val="21"/>
            <w:szCs w:val="21"/>
          </w:rPr>
        </w:r>
        <w:r>
          <w:rPr>
            <w:rFonts w:ascii="Arial" w:hAnsi="Arial"/>
            <w:sz w:val="21"/>
            <w:szCs w:val="21"/>
          </w:rPr>
          <w:fldChar w:fldCharType="separate"/>
        </w:r>
        <w:r>
          <w:rPr>
            <w:rFonts w:ascii="Arial" w:hAnsi="Arial"/>
            <w:sz w:val="21"/>
            <w:szCs w:val="21"/>
          </w:rPr>
          <w:t>25</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58" w:history="1">
        <w:r>
          <w:rPr>
            <w:rStyle w:val="af4"/>
            <w:rFonts w:ascii="Arial" w:eastAsia="宋体" w:hAnsi="Arial" w:hint="eastAsia"/>
            <w:color w:val="auto"/>
            <w:sz w:val="21"/>
            <w:szCs w:val="21"/>
          </w:rPr>
          <w:t>（三）区位状况分析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_Toc477252458 \h </w:instrText>
        </w:r>
        <w:r>
          <w:rPr>
            <w:rFonts w:ascii="Arial" w:hAnsi="Arial"/>
            <w:sz w:val="21"/>
            <w:szCs w:val="21"/>
          </w:rPr>
        </w:r>
        <w:r>
          <w:rPr>
            <w:rFonts w:ascii="Arial" w:hAnsi="Arial"/>
            <w:sz w:val="21"/>
            <w:szCs w:val="21"/>
          </w:rPr>
          <w:fldChar w:fldCharType="separate"/>
        </w:r>
        <w:r>
          <w:rPr>
            <w:rFonts w:ascii="Arial" w:hAnsi="Arial"/>
            <w:sz w:val="21"/>
            <w:szCs w:val="21"/>
          </w:rPr>
          <w:t>26</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59" w:history="1">
        <w:r>
          <w:rPr>
            <w:rStyle w:val="af4"/>
            <w:rFonts w:ascii="Arial" w:eastAsia="宋体" w:hAnsi="Arial" w:hint="eastAsia"/>
            <w:color w:val="auto"/>
            <w:sz w:val="21"/>
            <w:szCs w:val="21"/>
          </w:rPr>
          <w:t>二、市场背景描述与分析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_Toc477252459 \h </w:instrText>
        </w:r>
        <w:r>
          <w:rPr>
            <w:rFonts w:ascii="Arial" w:hAnsi="Arial"/>
            <w:sz w:val="21"/>
            <w:szCs w:val="21"/>
          </w:rPr>
        </w:r>
        <w:r>
          <w:rPr>
            <w:rFonts w:ascii="Arial" w:hAnsi="Arial"/>
            <w:sz w:val="21"/>
            <w:szCs w:val="21"/>
          </w:rPr>
          <w:fldChar w:fldCharType="separate"/>
        </w:r>
        <w:r>
          <w:rPr>
            <w:rFonts w:ascii="Arial" w:hAnsi="Arial"/>
            <w:sz w:val="21"/>
            <w:szCs w:val="21"/>
          </w:rPr>
          <w:t>27</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60" w:history="1">
        <w:r>
          <w:rPr>
            <w:rStyle w:val="af4"/>
            <w:rFonts w:ascii="Arial" w:eastAsia="宋体" w:hAnsi="Arial" w:hint="eastAsia"/>
            <w:color w:val="auto"/>
            <w:sz w:val="21"/>
            <w:szCs w:val="21"/>
            <w:highlight w:val="lightGray"/>
          </w:rPr>
          <w:t>三、估价对象</w:t>
        </w:r>
        <w:bookmarkStart w:id="10" w:name="_Hlt218580770"/>
        <w:r>
          <w:rPr>
            <w:rStyle w:val="af4"/>
            <w:rFonts w:ascii="Arial" w:eastAsia="宋体" w:hAnsi="Arial" w:hint="eastAsia"/>
            <w:color w:val="auto"/>
            <w:sz w:val="21"/>
            <w:szCs w:val="21"/>
            <w:highlight w:val="lightGray"/>
          </w:rPr>
          <w:t>最</w:t>
        </w:r>
        <w:bookmarkEnd w:id="10"/>
        <w:r>
          <w:rPr>
            <w:rStyle w:val="af4"/>
            <w:rFonts w:ascii="Arial" w:eastAsia="宋体" w:hAnsi="Arial" w:hint="eastAsia"/>
            <w:color w:val="auto"/>
            <w:sz w:val="21"/>
            <w:szCs w:val="21"/>
            <w:highlight w:val="lightGray"/>
          </w:rPr>
          <w:t>高最佳利用分析</w:t>
        </w:r>
        <w:r>
          <w:rPr>
            <w:rFonts w:ascii="Arial" w:hAnsi="Arial"/>
            <w:sz w:val="21"/>
            <w:szCs w:val="21"/>
            <w:highlight w:val="lightGray"/>
          </w:rPr>
          <w:tab/>
        </w:r>
        <w:r>
          <w:rPr>
            <w:rFonts w:ascii="Arial" w:hAnsi="Arial"/>
            <w:sz w:val="21"/>
            <w:szCs w:val="21"/>
            <w:highlight w:val="lightGray"/>
          </w:rPr>
          <w:fldChar w:fldCharType="begin"/>
        </w:r>
        <w:r>
          <w:rPr>
            <w:rFonts w:ascii="Arial" w:hAnsi="Arial"/>
            <w:sz w:val="21"/>
            <w:szCs w:val="21"/>
            <w:highlight w:val="lightGray"/>
          </w:rPr>
          <w:instrText xml:space="preserve"> PAGEREF _Toc477252460 \h </w:instrText>
        </w:r>
        <w:r>
          <w:rPr>
            <w:rFonts w:ascii="Arial" w:hAnsi="Arial"/>
            <w:sz w:val="21"/>
            <w:szCs w:val="21"/>
            <w:highlight w:val="lightGray"/>
          </w:rPr>
        </w:r>
        <w:r>
          <w:rPr>
            <w:rFonts w:ascii="Arial" w:hAnsi="Arial"/>
            <w:sz w:val="21"/>
            <w:szCs w:val="21"/>
            <w:highlight w:val="lightGray"/>
          </w:rPr>
          <w:fldChar w:fldCharType="separate"/>
        </w:r>
        <w:r>
          <w:rPr>
            <w:rFonts w:ascii="Arial" w:hAnsi="Arial"/>
            <w:sz w:val="21"/>
            <w:szCs w:val="21"/>
            <w:highlight w:val="lightGray"/>
          </w:rPr>
          <w:t>42</w:t>
        </w:r>
        <w:r>
          <w:rPr>
            <w:rFonts w:ascii="Arial" w:hAnsi="Arial"/>
            <w:sz w:val="21"/>
            <w:szCs w:val="21"/>
            <w:highlight w:val="lightGray"/>
          </w:rPr>
          <w:fldChar w:fldCharType="end"/>
        </w:r>
      </w:hyperlink>
    </w:p>
    <w:p w:rsidR="00184596" w:rsidRDefault="00FD048A">
      <w:pPr>
        <w:pStyle w:val="21"/>
        <w:rPr>
          <w:rFonts w:ascii="Arial" w:hAnsi="Arial"/>
          <w:kern w:val="2"/>
          <w:sz w:val="21"/>
          <w:szCs w:val="21"/>
        </w:rPr>
      </w:pPr>
      <w:hyperlink w:anchor="_Toc477252461" w:history="1">
        <w:r>
          <w:rPr>
            <w:rStyle w:val="af4"/>
            <w:rFonts w:ascii="Arial" w:eastAsia="宋体" w:hAnsi="Arial" w:hint="eastAsia"/>
            <w:color w:val="auto"/>
            <w:sz w:val="21"/>
            <w:szCs w:val="21"/>
          </w:rPr>
          <w:t>四、估价</w:t>
        </w:r>
        <w:bookmarkStart w:id="11" w:name="_Hlt146790104"/>
        <w:r>
          <w:rPr>
            <w:rStyle w:val="af4"/>
            <w:rFonts w:ascii="Arial" w:eastAsia="宋体" w:hAnsi="Arial" w:hint="eastAsia"/>
            <w:color w:val="auto"/>
            <w:sz w:val="21"/>
            <w:szCs w:val="21"/>
          </w:rPr>
          <w:t>方</w:t>
        </w:r>
        <w:bookmarkEnd w:id="11"/>
        <w:r>
          <w:rPr>
            <w:rStyle w:val="af4"/>
            <w:rFonts w:ascii="Arial" w:eastAsia="宋体" w:hAnsi="Arial" w:hint="eastAsia"/>
            <w:color w:val="auto"/>
            <w:sz w:val="21"/>
            <w:szCs w:val="21"/>
          </w:rPr>
          <w:t>法适用性分析</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_Toc477252461 \h </w:instrText>
        </w:r>
        <w:r>
          <w:rPr>
            <w:rFonts w:ascii="Arial" w:hAnsi="Arial"/>
            <w:sz w:val="21"/>
            <w:szCs w:val="21"/>
          </w:rPr>
        </w:r>
        <w:r>
          <w:rPr>
            <w:rFonts w:ascii="Arial" w:hAnsi="Arial"/>
            <w:sz w:val="21"/>
            <w:szCs w:val="21"/>
          </w:rPr>
          <w:fldChar w:fldCharType="separate"/>
        </w:r>
        <w:r>
          <w:rPr>
            <w:rFonts w:ascii="Arial" w:hAnsi="Arial"/>
            <w:sz w:val="21"/>
            <w:szCs w:val="21"/>
          </w:rPr>
          <w:t>43</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62" w:history="1">
        <w:r>
          <w:rPr>
            <w:rStyle w:val="af4"/>
            <w:rFonts w:ascii="Arial" w:eastAsia="宋体" w:hAnsi="Arial" w:hint="eastAsia"/>
            <w:color w:val="auto"/>
            <w:sz w:val="21"/>
            <w:szCs w:val="21"/>
          </w:rPr>
          <w:t>五、估价测算过程</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_Toc477252462 \h </w:instrText>
        </w:r>
        <w:r>
          <w:rPr>
            <w:rFonts w:ascii="Arial" w:hAnsi="Arial"/>
            <w:sz w:val="21"/>
            <w:szCs w:val="21"/>
          </w:rPr>
        </w:r>
        <w:r>
          <w:rPr>
            <w:rFonts w:ascii="Arial" w:hAnsi="Arial"/>
            <w:sz w:val="21"/>
            <w:szCs w:val="21"/>
          </w:rPr>
          <w:fldChar w:fldCharType="separate"/>
        </w:r>
        <w:r>
          <w:rPr>
            <w:rFonts w:ascii="Arial" w:hAnsi="Arial"/>
            <w:sz w:val="21"/>
            <w:szCs w:val="21"/>
          </w:rPr>
          <w:t>46</w:t>
        </w:r>
        <w:r>
          <w:rPr>
            <w:rFonts w:ascii="Arial" w:hAnsi="Arial"/>
            <w:sz w:val="21"/>
            <w:szCs w:val="21"/>
          </w:rPr>
          <w:fldChar w:fldCharType="end"/>
        </w:r>
      </w:hyperlink>
    </w:p>
    <w:p w:rsidR="00184596" w:rsidRDefault="00FD048A">
      <w:pPr>
        <w:pStyle w:val="21"/>
        <w:rPr>
          <w:rFonts w:ascii="Arial" w:hAnsi="Arial"/>
          <w:kern w:val="2"/>
          <w:sz w:val="21"/>
          <w:szCs w:val="21"/>
        </w:rPr>
      </w:pPr>
      <w:hyperlink w:anchor="_Toc477252463" w:history="1">
        <w:r>
          <w:rPr>
            <w:rStyle w:val="af4"/>
            <w:rFonts w:ascii="Arial" w:eastAsia="宋体" w:hAnsi="Arial" w:hint="eastAsia"/>
            <w:color w:val="auto"/>
            <w:sz w:val="21"/>
            <w:szCs w:val="21"/>
          </w:rPr>
          <w:t>六、估价结果确定</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_Toc477252463 \h </w:instrText>
        </w:r>
        <w:r>
          <w:rPr>
            <w:rFonts w:ascii="Arial" w:hAnsi="Arial"/>
            <w:sz w:val="21"/>
            <w:szCs w:val="21"/>
          </w:rPr>
        </w:r>
        <w:r>
          <w:rPr>
            <w:rFonts w:ascii="Arial" w:hAnsi="Arial"/>
            <w:sz w:val="21"/>
            <w:szCs w:val="21"/>
          </w:rPr>
          <w:fldChar w:fldCharType="separate"/>
        </w:r>
        <w:r>
          <w:rPr>
            <w:rFonts w:ascii="Arial" w:hAnsi="Arial"/>
            <w:sz w:val="21"/>
            <w:szCs w:val="21"/>
          </w:rPr>
          <w:t>56</w:t>
        </w:r>
        <w:r>
          <w:rPr>
            <w:rFonts w:ascii="Arial" w:hAnsi="Arial"/>
            <w:sz w:val="21"/>
            <w:szCs w:val="21"/>
          </w:rPr>
          <w:fldChar w:fldCharType="end"/>
        </w:r>
      </w:hyperlink>
    </w:p>
    <w:p w:rsidR="00184596" w:rsidRDefault="00FD048A">
      <w:pPr>
        <w:pStyle w:val="10"/>
        <w:rPr>
          <w:rFonts w:ascii="Arial" w:hAnsi="Arial"/>
          <w:kern w:val="2"/>
          <w:sz w:val="21"/>
          <w:szCs w:val="21"/>
        </w:rPr>
      </w:pPr>
      <w:hyperlink w:anchor="_Toc477252467" w:history="1">
        <w:r>
          <w:rPr>
            <w:rStyle w:val="af4"/>
            <w:rFonts w:ascii="Arial" w:eastAsia="宋体" w:hAnsi="Arial" w:hint="eastAsia"/>
            <w:color w:val="auto"/>
            <w:sz w:val="21"/>
            <w:szCs w:val="21"/>
          </w:rPr>
          <w:t>附</w:t>
        </w:r>
        <w:r>
          <w:rPr>
            <w:rStyle w:val="af4"/>
            <w:rFonts w:ascii="Arial" w:eastAsia="宋体" w:hAnsi="Arial"/>
            <w:color w:val="auto"/>
            <w:sz w:val="21"/>
            <w:szCs w:val="21"/>
          </w:rPr>
          <w:t xml:space="preserve">       </w:t>
        </w:r>
        <w:r>
          <w:rPr>
            <w:rStyle w:val="af4"/>
            <w:rFonts w:ascii="Arial" w:eastAsia="宋体" w:hAnsi="Arial" w:hint="eastAsia"/>
            <w:color w:val="auto"/>
            <w:sz w:val="21"/>
            <w:szCs w:val="21"/>
          </w:rPr>
          <w:t>件</w:t>
        </w:r>
        <w:r>
          <w:rPr>
            <w:rFonts w:ascii="Arial" w:hAnsi="Arial"/>
            <w:sz w:val="21"/>
            <w:szCs w:val="21"/>
          </w:rPr>
          <w:tab/>
        </w:r>
        <w:r>
          <w:rPr>
            <w:rFonts w:ascii="Arial" w:hAnsi="Arial"/>
            <w:sz w:val="21"/>
            <w:szCs w:val="21"/>
          </w:rPr>
          <w:fldChar w:fldCharType="begin"/>
        </w:r>
        <w:r>
          <w:rPr>
            <w:rFonts w:ascii="Arial" w:hAnsi="Arial"/>
            <w:sz w:val="21"/>
            <w:szCs w:val="21"/>
          </w:rPr>
          <w:instrText xml:space="preserve"> PAGEREF _Toc477252467 \h </w:instrText>
        </w:r>
        <w:r>
          <w:rPr>
            <w:rFonts w:ascii="Arial" w:hAnsi="Arial"/>
            <w:sz w:val="21"/>
            <w:szCs w:val="21"/>
          </w:rPr>
        </w:r>
        <w:r>
          <w:rPr>
            <w:rFonts w:ascii="Arial" w:hAnsi="Arial"/>
            <w:sz w:val="21"/>
            <w:szCs w:val="21"/>
          </w:rPr>
          <w:fldChar w:fldCharType="separate"/>
        </w:r>
        <w:r>
          <w:rPr>
            <w:rFonts w:ascii="Arial" w:hAnsi="Arial"/>
            <w:sz w:val="21"/>
            <w:szCs w:val="21"/>
          </w:rPr>
          <w:t>57</w:t>
        </w:r>
        <w:r>
          <w:rPr>
            <w:rFonts w:ascii="Arial" w:hAnsi="Arial"/>
            <w:sz w:val="21"/>
            <w:szCs w:val="21"/>
          </w:rPr>
          <w:fldChar w:fldCharType="end"/>
        </w:r>
      </w:hyperlink>
    </w:p>
    <w:p w:rsidR="00184596" w:rsidRDefault="00FD048A">
      <w:pPr>
        <w:numPr>
          <w:ilvl w:val="0"/>
          <w:numId w:val="5"/>
        </w:numPr>
        <w:spacing w:line="360" w:lineRule="auto"/>
        <w:jc w:val="both"/>
        <w:rPr>
          <w:rFonts w:ascii="Arial" w:hAnsi="Arial" w:cs="Arial"/>
          <w:sz w:val="21"/>
          <w:szCs w:val="21"/>
        </w:rPr>
      </w:pPr>
      <w:r>
        <w:rPr>
          <w:rFonts w:ascii="Arial" w:hAnsi="Arial" w:cs="Arial"/>
          <w:sz w:val="21"/>
          <w:szCs w:val="21"/>
        </w:rPr>
        <w:fldChar w:fldCharType="end"/>
      </w:r>
      <w:r>
        <w:rPr>
          <w:rFonts w:ascii="Arial" w:hAnsi="Arial" w:cs="Arial"/>
          <w:sz w:val="21"/>
          <w:szCs w:val="21"/>
        </w:rPr>
        <w:t>《估价委托书》复印件</w:t>
      </w:r>
    </w:p>
    <w:p w:rsidR="00184596" w:rsidRDefault="00FD048A">
      <w:pPr>
        <w:numPr>
          <w:ilvl w:val="0"/>
          <w:numId w:val="5"/>
        </w:numPr>
        <w:spacing w:line="360" w:lineRule="auto"/>
        <w:jc w:val="both"/>
        <w:rPr>
          <w:rFonts w:ascii="Arial" w:hAnsi="Arial" w:cs="Arial"/>
          <w:sz w:val="21"/>
          <w:szCs w:val="21"/>
        </w:rPr>
      </w:pPr>
      <w:r>
        <w:rPr>
          <w:rFonts w:ascii="Arial" w:hAnsi="Arial" w:cs="Arial"/>
          <w:sz w:val="21"/>
          <w:szCs w:val="21"/>
        </w:rPr>
        <w:t>估价对象所在位置示意图</w:t>
      </w:r>
    </w:p>
    <w:p w:rsidR="00184596" w:rsidRDefault="00FD048A">
      <w:pPr>
        <w:numPr>
          <w:ilvl w:val="0"/>
          <w:numId w:val="5"/>
        </w:numPr>
        <w:spacing w:line="360" w:lineRule="auto"/>
        <w:jc w:val="both"/>
        <w:rPr>
          <w:rFonts w:ascii="Arial" w:hAnsi="Arial" w:cs="Arial"/>
          <w:sz w:val="21"/>
          <w:szCs w:val="21"/>
        </w:rPr>
      </w:pPr>
      <w:r>
        <w:rPr>
          <w:rFonts w:ascii="Arial" w:hAnsi="Arial" w:cs="Arial"/>
          <w:sz w:val="21"/>
          <w:szCs w:val="21"/>
        </w:rPr>
        <w:t>估价对象实地查勘情况和相关照片</w:t>
      </w:r>
    </w:p>
    <w:p w:rsidR="00184596" w:rsidRDefault="00FD048A">
      <w:pPr>
        <w:numPr>
          <w:ilvl w:val="0"/>
          <w:numId w:val="5"/>
        </w:numPr>
        <w:spacing w:line="360" w:lineRule="auto"/>
        <w:jc w:val="both"/>
        <w:rPr>
          <w:rFonts w:ascii="Arial" w:hAnsi="Arial" w:cs="Arial"/>
          <w:sz w:val="21"/>
          <w:szCs w:val="21"/>
        </w:rPr>
      </w:pP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w:t>
      </w:r>
      <w:r>
        <w:rPr>
          <w:rFonts w:ascii="Arial" w:hAnsi="Arial" w:hint="eastAsia"/>
          <w:bCs/>
          <w:sz w:val="21"/>
        </w:rPr>
        <w:t>]</w:t>
      </w:r>
      <w:r>
        <w:rPr>
          <w:rFonts w:ascii="Arial" w:hAnsi="Arial" w:cs="Arial"/>
          <w:sz w:val="21"/>
          <w:szCs w:val="21"/>
        </w:rPr>
        <w:t>复印件</w:t>
      </w:r>
    </w:p>
    <w:p w:rsidR="00184596" w:rsidRDefault="00FD048A">
      <w:pPr>
        <w:numPr>
          <w:ilvl w:val="0"/>
          <w:numId w:val="5"/>
        </w:numPr>
        <w:spacing w:line="360" w:lineRule="auto"/>
        <w:jc w:val="both"/>
        <w:rPr>
          <w:rFonts w:ascii="Arial" w:hAnsi="Arial" w:cs="Arial"/>
          <w:sz w:val="21"/>
          <w:szCs w:val="21"/>
        </w:rPr>
      </w:pPr>
      <w:r>
        <w:rPr>
          <w:rFonts w:ascii="Arial" w:hAnsi="Arial" w:hint="eastAsia"/>
          <w:bCs/>
          <w:sz w:val="21"/>
        </w:rPr>
        <w:lastRenderedPageBreak/>
        <w:t>《不动产权证书》</w:t>
      </w:r>
      <w:r>
        <w:rPr>
          <w:rFonts w:ascii="Arial" w:hAnsi="Arial" w:hint="eastAsia"/>
          <w:bCs/>
          <w:sz w:val="21"/>
        </w:rPr>
        <w:t>[</w:t>
      </w:r>
      <w:r>
        <w:rPr>
          <w:rFonts w:ascii="Arial" w:hAnsi="Arial" w:hint="eastAsia"/>
          <w:bCs/>
          <w:sz w:val="21"/>
        </w:rPr>
        <w:t>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cs="Arial"/>
          <w:sz w:val="21"/>
          <w:szCs w:val="21"/>
        </w:rPr>
        <w:t>复印件</w:t>
      </w:r>
    </w:p>
    <w:p w:rsidR="00184596" w:rsidRDefault="00FD048A">
      <w:pPr>
        <w:numPr>
          <w:ilvl w:val="0"/>
          <w:numId w:val="5"/>
        </w:numPr>
        <w:spacing w:line="360" w:lineRule="auto"/>
        <w:jc w:val="both"/>
        <w:rPr>
          <w:rFonts w:ascii="Arial" w:hAnsi="Arial" w:cs="Arial"/>
          <w:sz w:val="21"/>
          <w:szCs w:val="21"/>
        </w:rPr>
      </w:pPr>
      <w:r>
        <w:rPr>
          <w:rFonts w:ascii="Arial" w:hAnsi="Arial" w:hint="eastAsia"/>
          <w:bCs/>
          <w:sz w:val="21"/>
        </w:rPr>
        <w:t>《房屋面积测算技术报告书（商品房类使用）》</w:t>
      </w:r>
    </w:p>
    <w:p w:rsidR="00184596" w:rsidRDefault="00FD048A">
      <w:pPr>
        <w:numPr>
          <w:ilvl w:val="0"/>
          <w:numId w:val="5"/>
        </w:numPr>
        <w:spacing w:line="360" w:lineRule="auto"/>
        <w:jc w:val="both"/>
        <w:rPr>
          <w:rFonts w:ascii="Arial" w:hAnsi="Arial" w:cs="Arial"/>
          <w:sz w:val="21"/>
          <w:szCs w:val="21"/>
        </w:rPr>
      </w:pPr>
      <w:r>
        <w:rPr>
          <w:rFonts w:ascii="Arial" w:hAnsi="Arial" w:cs="Arial"/>
          <w:sz w:val="21"/>
          <w:szCs w:val="21"/>
        </w:rPr>
        <w:t>估价委托人《营业执照（副本）》复印件</w:t>
      </w:r>
    </w:p>
    <w:p w:rsidR="00184596" w:rsidRDefault="00FD048A">
      <w:pPr>
        <w:numPr>
          <w:ilvl w:val="0"/>
          <w:numId w:val="5"/>
        </w:numPr>
        <w:spacing w:line="360" w:lineRule="auto"/>
        <w:jc w:val="both"/>
        <w:rPr>
          <w:rFonts w:ascii="Arial" w:hAnsi="Arial" w:cs="Arial"/>
          <w:sz w:val="21"/>
          <w:szCs w:val="21"/>
        </w:rPr>
      </w:pPr>
      <w:r>
        <w:rPr>
          <w:rFonts w:ascii="Arial" w:hAnsi="Arial" w:cs="Arial"/>
          <w:color w:val="000000"/>
          <w:sz w:val="21"/>
          <w:szCs w:val="21"/>
        </w:rPr>
        <w:t>房地产估价机构《营业执照（副本）》</w:t>
      </w:r>
      <w:r>
        <w:rPr>
          <w:rFonts w:ascii="Arial" w:hAnsi="Arial" w:cs="Arial"/>
          <w:sz w:val="21"/>
          <w:szCs w:val="21"/>
        </w:rPr>
        <w:t>复印件</w:t>
      </w:r>
    </w:p>
    <w:p w:rsidR="00184596" w:rsidRDefault="00FD048A">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证书复印件</w:t>
      </w:r>
    </w:p>
    <w:p w:rsidR="00184596" w:rsidRDefault="00FD048A">
      <w:pPr>
        <w:numPr>
          <w:ilvl w:val="0"/>
          <w:numId w:val="5"/>
        </w:numPr>
        <w:spacing w:line="360" w:lineRule="auto"/>
        <w:jc w:val="both"/>
        <w:rPr>
          <w:rFonts w:ascii="Arial" w:hAnsi="Arial" w:cs="Arial"/>
          <w:sz w:val="21"/>
          <w:szCs w:val="21"/>
        </w:rPr>
      </w:pPr>
      <w:r>
        <w:rPr>
          <w:rFonts w:ascii="Arial" w:hAnsi="Arial" w:cs="Arial" w:hint="eastAsia"/>
          <w:sz w:val="21"/>
          <w:szCs w:val="21"/>
        </w:rPr>
        <w:t>评估专业人员</w:t>
      </w:r>
      <w:r>
        <w:rPr>
          <w:rFonts w:ascii="Arial" w:hAnsi="Arial" w:cs="Arial"/>
          <w:sz w:val="21"/>
          <w:szCs w:val="21"/>
        </w:rPr>
        <w:t>执业证书复印件</w:t>
      </w:r>
    </w:p>
    <w:p w:rsidR="00184596" w:rsidRDefault="00184596">
      <w:pPr>
        <w:spacing w:line="240" w:lineRule="auto"/>
        <w:jc w:val="both"/>
        <w:outlineLvl w:val="0"/>
        <w:rPr>
          <w:rFonts w:ascii="Arial" w:eastAsia="楷体_GB2312" w:hAnsi="Arial" w:cs="Arial"/>
          <w:i/>
          <w:color w:val="548DD4"/>
          <w:kern w:val="2"/>
          <w:sz w:val="28"/>
          <w:szCs w:val="28"/>
        </w:rPr>
        <w:sectPr w:rsidR="00184596">
          <w:headerReference w:type="even" r:id="rId16"/>
          <w:headerReference w:type="default" r:id="rId17"/>
          <w:footerReference w:type="even" r:id="rId18"/>
          <w:footerReference w:type="default" r:id="rId19"/>
          <w:headerReference w:type="first" r:id="rId20"/>
          <w:footerReference w:type="first" r:id="rId21"/>
          <w:pgSz w:w="11907" w:h="16840"/>
          <w:pgMar w:top="1843" w:right="1304" w:bottom="1134" w:left="1304" w:header="1134" w:footer="907" w:gutter="0"/>
          <w:cols w:space="720"/>
          <w:docGrid w:linePitch="326"/>
        </w:sectPr>
      </w:pPr>
    </w:p>
    <w:p w:rsidR="00184596" w:rsidRDefault="00FD048A">
      <w:pPr>
        <w:pStyle w:val="1"/>
        <w:spacing w:line="480" w:lineRule="auto"/>
        <w:jc w:val="center"/>
        <w:rPr>
          <w:rFonts w:eastAsia="方正黑体简体"/>
          <w:b w:val="0"/>
          <w:kern w:val="2"/>
          <w:sz w:val="32"/>
          <w:szCs w:val="32"/>
        </w:rPr>
      </w:pPr>
      <w:bookmarkStart w:id="12" w:name="_Toc477252438"/>
      <w:bookmarkStart w:id="13" w:name="_Toc379795041"/>
      <w:r>
        <w:rPr>
          <w:rFonts w:eastAsia="方正黑体简体" w:hint="eastAsia"/>
          <w:b w:val="0"/>
          <w:kern w:val="2"/>
          <w:sz w:val="32"/>
          <w:szCs w:val="32"/>
        </w:rPr>
        <w:lastRenderedPageBreak/>
        <w:t>估价师声明</w:t>
      </w:r>
      <w:bookmarkEnd w:id="12"/>
      <w:bookmarkEnd w:id="13"/>
    </w:p>
    <w:p w:rsidR="00184596" w:rsidRDefault="00FD048A">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rsidR="00184596" w:rsidRDefault="00FD048A">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注册房地产估价师在本估价报告中对事实的说明是真实的和准确的，没有虚假记载、误导性陈述和重大遗漏。</w:t>
      </w:r>
    </w:p>
    <w:p w:rsidR="00184596" w:rsidRDefault="00FD048A">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rsidR="00184596" w:rsidRDefault="00FD048A">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注册房地产估价师与估价报告中的估价对象没有现实或潜在的利益，与估价委托人及估价利害关系人没有利害关系，也对本估价报告中的估价对象、估价委托人及估价利害关系人没有偏见。</w:t>
      </w:r>
    </w:p>
    <w:p w:rsidR="00184596" w:rsidRDefault="00FD048A">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，由中华人民共和国建设部、中国人民银行、中国银行业监督管理委员会联合颁布的</w:t>
      </w:r>
      <w:r>
        <w:rPr>
          <w:rFonts w:ascii="Arial" w:hAnsi="Arial" w:cs="Arial"/>
          <w:color w:val="000000"/>
          <w:kern w:val="2"/>
          <w:sz w:val="21"/>
          <w:szCs w:val="21"/>
        </w:rPr>
        <w:t>《房地产抵押估价指导意见》</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以及相关房地产估价专项标准进行估价工作，撰写本估价报告。</w:t>
      </w:r>
    </w:p>
    <w:p w:rsidR="00184596" w:rsidRDefault="00184596">
      <w:pPr>
        <w:spacing w:line="480" w:lineRule="auto"/>
        <w:jc w:val="both"/>
        <w:outlineLvl w:val="0"/>
        <w:rPr>
          <w:rFonts w:ascii="Arial" w:eastAsia="楷体_GB2312" w:hAnsi="Arial" w:cs="Arial"/>
          <w:kern w:val="2"/>
          <w:sz w:val="28"/>
        </w:rPr>
      </w:pPr>
      <w:bookmarkStart w:id="14" w:name="_Toc168225811"/>
    </w:p>
    <w:p w:rsidR="00184596" w:rsidRDefault="00184596">
      <w:pPr>
        <w:rPr>
          <w:rFonts w:ascii="Arial" w:eastAsia="楷体_GB2312" w:hAnsi="Arial" w:cs="Arial"/>
          <w:kern w:val="2"/>
          <w:sz w:val="28"/>
        </w:rPr>
        <w:sectPr w:rsidR="00184596">
          <w:headerReference w:type="even" r:id="rId22"/>
          <w:headerReference w:type="default" r:id="rId23"/>
          <w:headerReference w:type="first" r:id="rId24"/>
          <w:footerReference w:type="first" r:id="rId25"/>
          <w:pgSz w:w="11907" w:h="16840"/>
          <w:pgMar w:top="1843" w:right="1304" w:bottom="1134" w:left="1304" w:header="1134" w:footer="907" w:gutter="0"/>
          <w:cols w:space="720"/>
          <w:docGrid w:linePitch="326"/>
        </w:sectPr>
      </w:pPr>
    </w:p>
    <w:p w:rsidR="00184596" w:rsidRDefault="00FD048A">
      <w:pPr>
        <w:pStyle w:val="1"/>
        <w:spacing w:line="480" w:lineRule="auto"/>
        <w:jc w:val="center"/>
        <w:rPr>
          <w:rFonts w:eastAsia="方正黑体简体"/>
          <w:b w:val="0"/>
          <w:kern w:val="2"/>
          <w:sz w:val="32"/>
          <w:szCs w:val="32"/>
        </w:rPr>
      </w:pPr>
      <w:bookmarkStart w:id="15" w:name="_Toc477252439"/>
      <w:bookmarkStart w:id="16" w:name="_Toc379795042"/>
      <w:r>
        <w:rPr>
          <w:rFonts w:eastAsia="方正黑体简体" w:hint="eastAsia"/>
          <w:b w:val="0"/>
          <w:kern w:val="2"/>
          <w:sz w:val="32"/>
          <w:szCs w:val="32"/>
        </w:rPr>
        <w:lastRenderedPageBreak/>
        <w:t>估价假设和限制条件</w:t>
      </w:r>
      <w:bookmarkEnd w:id="15"/>
      <w:bookmarkEnd w:id="16"/>
    </w:p>
    <w:p w:rsidR="00184596" w:rsidRDefault="00FD048A">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rsidR="00184596" w:rsidRDefault="00FD048A">
      <w:pPr>
        <w:numPr>
          <w:ilvl w:val="0"/>
          <w:numId w:val="6"/>
        </w:numPr>
        <w:overflowPunct w:val="0"/>
        <w:spacing w:line="480" w:lineRule="auto"/>
        <w:ind w:left="0" w:firstLineChars="200" w:firstLine="420"/>
        <w:jc w:val="both"/>
        <w:rPr>
          <w:rFonts w:ascii="Arial" w:hAnsi="Arial" w:cs="Arial"/>
          <w:kern w:val="2"/>
          <w:sz w:val="21"/>
          <w:szCs w:val="21"/>
        </w:rPr>
      </w:pPr>
      <w:r>
        <w:rPr>
          <w:rFonts w:ascii="Arial" w:hAnsi="Arial" w:cs="Arial"/>
          <w:kern w:val="2"/>
          <w:sz w:val="21"/>
          <w:szCs w:val="21"/>
        </w:rPr>
        <w:t>在价值时点的房地产市场为公开、平等、自愿的交易市场。</w:t>
      </w:r>
    </w:p>
    <w:p w:rsidR="00184596" w:rsidRDefault="00FD048A">
      <w:pPr>
        <w:numPr>
          <w:ilvl w:val="0"/>
          <w:numId w:val="6"/>
        </w:numPr>
        <w:overflowPunct w:val="0"/>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本估价报告的估价结果是以正常条件下的公开市场价值为基础，并遵循谨慎原则评估出的价值。正常条件下的公开市场价值是指</w:t>
      </w:r>
      <w:r>
        <w:rPr>
          <w:rFonts w:ascii="Arial" w:hAnsi="Arial" w:cs="Arial"/>
          <w:kern w:val="2"/>
          <w:sz w:val="21"/>
          <w:szCs w:val="21"/>
        </w:rPr>
        <w:t>房地产交易需要买卖双方在了解足够的市场信息，拥有足够的谈判时间，经过谨慎的考虑和对房地产市场进行合理预期，并具体考虑买卖双方的偏好等条件下方能实现。对于房地产市场的波动及快速变现等特殊交易因素可能导致房地产价格有较大幅度的变化，本估价报告未考虑这种变化对估价对象</w:t>
      </w:r>
      <w:r>
        <w:rPr>
          <w:rFonts w:ascii="Arial" w:hAnsi="Arial" w:cs="Arial" w:hint="eastAsia"/>
          <w:kern w:val="2"/>
          <w:sz w:val="21"/>
          <w:szCs w:val="21"/>
        </w:rPr>
        <w:t>市场</w:t>
      </w:r>
      <w:r>
        <w:rPr>
          <w:rFonts w:ascii="Arial" w:hAnsi="Arial" w:cs="Arial"/>
          <w:kern w:val="2"/>
          <w:sz w:val="21"/>
          <w:szCs w:val="21"/>
        </w:rPr>
        <w:t>价值产生的影响</w:t>
      </w:r>
      <w:r>
        <w:rPr>
          <w:rFonts w:ascii="Arial" w:hAnsi="Arial" w:cs="Arial" w:hint="eastAsia"/>
          <w:kern w:val="2"/>
          <w:sz w:val="21"/>
          <w:szCs w:val="21"/>
        </w:rPr>
        <w:t>。</w:t>
      </w:r>
    </w:p>
    <w:p w:rsidR="00184596" w:rsidRDefault="00FD048A">
      <w:pPr>
        <w:numPr>
          <w:ilvl w:val="0"/>
          <w:numId w:val="6"/>
        </w:numPr>
        <w:overflowPunct w:val="0"/>
        <w:spacing w:line="480" w:lineRule="auto"/>
        <w:ind w:left="0" w:firstLineChars="200" w:firstLine="420"/>
        <w:jc w:val="both"/>
        <w:rPr>
          <w:rFonts w:ascii="Arial" w:hAnsi="Arial" w:cs="Arial"/>
          <w:kern w:val="2"/>
          <w:sz w:val="21"/>
          <w:szCs w:val="21"/>
        </w:rPr>
      </w:pPr>
      <w:r>
        <w:rPr>
          <w:rFonts w:ascii="Arial" w:hAnsi="Arial" w:cs="Arial"/>
          <w:kern w:val="2"/>
          <w:sz w:val="21"/>
          <w:szCs w:val="21"/>
        </w:rPr>
        <w:t>估价对象的出让国有建设用地使用权和建筑物所有权均为合法方式取得，并支付相关税费，估价对象能够正常上市交易。</w:t>
      </w:r>
    </w:p>
    <w:p w:rsidR="00184596" w:rsidRDefault="00FD048A">
      <w:pPr>
        <w:numPr>
          <w:ilvl w:val="0"/>
          <w:numId w:val="6"/>
        </w:numPr>
        <w:overflowPunct w:val="0"/>
        <w:spacing w:line="480" w:lineRule="auto"/>
        <w:ind w:left="0" w:firstLineChars="200" w:firstLine="420"/>
        <w:jc w:val="both"/>
        <w:rPr>
          <w:rFonts w:ascii="Arial" w:hAnsi="Arial" w:cs="Arial"/>
          <w:kern w:val="2"/>
          <w:sz w:val="21"/>
          <w:szCs w:val="21"/>
        </w:rPr>
      </w:pPr>
      <w:r>
        <w:rPr>
          <w:rFonts w:ascii="Arial" w:hAnsi="Arial" w:cs="Arial"/>
          <w:kern w:val="2"/>
          <w:sz w:val="21"/>
          <w:szCs w:val="21"/>
        </w:rPr>
        <w:t>评估专业人员已对估价委托人所提供</w:t>
      </w:r>
      <w:r>
        <w:rPr>
          <w:rFonts w:ascii="Arial" w:hAnsi="Arial" w:cs="Arial"/>
          <w:color w:val="000000"/>
          <w:kern w:val="2"/>
          <w:sz w:val="21"/>
          <w:szCs w:val="21"/>
        </w:rPr>
        <w:t>的、本估价报告所依据的估价对象的权属以及其他相关资料进行了检查</w:t>
      </w:r>
      <w:r>
        <w:rPr>
          <w:rFonts w:ascii="Arial" w:hAnsi="Arial" w:cs="Arial" w:hint="eastAsia"/>
          <w:color w:val="000000"/>
          <w:kern w:val="2"/>
          <w:sz w:val="21"/>
          <w:szCs w:val="21"/>
        </w:rPr>
        <w:t>，并通过</w:t>
      </w:r>
      <w:r>
        <w:rPr>
          <w:rFonts w:ascii="Arial" w:hAnsi="Arial" w:cs="Arial" w:hint="eastAsia"/>
          <w:kern w:val="2"/>
          <w:sz w:val="21"/>
          <w:szCs w:val="21"/>
        </w:rPr>
        <w:t>北京市不动产登记信息网上查询获取估价对象《不动产登记信息查询结果告知单》，对其不动产登记信息进行了核对</w:t>
      </w:r>
      <w:r>
        <w:rPr>
          <w:rFonts w:ascii="Arial" w:hAnsi="Arial" w:cs="Arial"/>
          <w:kern w:val="2"/>
          <w:sz w:val="21"/>
          <w:szCs w:val="21"/>
        </w:rPr>
        <w:t>，无理由怀疑其合法性、真实性、准确性和完整性。本次评估设定估价委托人提供的资料合法</w:t>
      </w:r>
      <w:r>
        <w:rPr>
          <w:rFonts w:ascii="Arial" w:hAnsi="Arial" w:cs="Arial"/>
          <w:color w:val="000000"/>
          <w:kern w:val="2"/>
          <w:sz w:val="21"/>
          <w:szCs w:val="21"/>
        </w:rPr>
        <w:t>、属实，并且提供了与本次评估有关的所有资料，没有保留及隐瞒</w:t>
      </w:r>
      <w:r>
        <w:rPr>
          <w:rFonts w:ascii="Arial" w:hAnsi="Arial" w:cs="Arial"/>
          <w:kern w:val="2"/>
          <w:sz w:val="21"/>
          <w:szCs w:val="21"/>
        </w:rPr>
        <w:t>。</w:t>
      </w:r>
    </w:p>
    <w:p w:rsidR="00184596" w:rsidRDefault="00FD048A">
      <w:pPr>
        <w:numPr>
          <w:ilvl w:val="0"/>
          <w:numId w:val="6"/>
        </w:numPr>
        <w:overflowPunct w:val="0"/>
        <w:spacing w:line="480" w:lineRule="auto"/>
        <w:ind w:left="0" w:firstLineChars="200" w:firstLine="420"/>
        <w:jc w:val="both"/>
        <w:rPr>
          <w:rFonts w:ascii="Arial" w:hAnsi="Arial" w:cs="Arial"/>
          <w:color w:val="000000"/>
          <w:kern w:val="2"/>
          <w:sz w:val="21"/>
          <w:szCs w:val="21"/>
        </w:rPr>
      </w:pPr>
      <w:r>
        <w:rPr>
          <w:rFonts w:ascii="Arial" w:hAnsi="Arial" w:cs="Arial"/>
          <w:sz w:val="21"/>
          <w:szCs w:val="21"/>
        </w:rPr>
        <w:t>估价对象建筑面积以</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、《房屋面积测算技术报告书（商品房类使用）》、《估价委托书》</w:t>
      </w:r>
      <w:r>
        <w:rPr>
          <w:rFonts w:ascii="Arial" w:hAnsi="Arial" w:cs="Arial"/>
          <w:sz w:val="21"/>
          <w:szCs w:val="21"/>
        </w:rPr>
        <w:t>上载明的为依据。</w:t>
      </w:r>
      <w:r>
        <w:rPr>
          <w:rFonts w:ascii="Arial" w:hAnsi="Arial" w:cs="Arial"/>
          <w:kern w:val="2"/>
          <w:sz w:val="21"/>
          <w:szCs w:val="21"/>
        </w:rPr>
        <w:t>评估专业人员对估价对象及</w:t>
      </w:r>
      <w:r>
        <w:rPr>
          <w:rFonts w:ascii="Arial" w:hAnsi="Arial" w:cs="Arial"/>
          <w:color w:val="000000"/>
          <w:kern w:val="2"/>
          <w:sz w:val="21"/>
          <w:szCs w:val="21"/>
        </w:rPr>
        <w:t>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rsidR="00184596" w:rsidRDefault="00FD048A">
      <w:pPr>
        <w:numPr>
          <w:ilvl w:val="0"/>
          <w:numId w:val="6"/>
        </w:numPr>
        <w:overflowPunct w:val="0"/>
        <w:spacing w:line="480" w:lineRule="auto"/>
        <w:ind w:left="0" w:firstLine="426"/>
        <w:jc w:val="both"/>
        <w:rPr>
          <w:rFonts w:ascii="Arial" w:hAnsi="Arial" w:cs="Arial"/>
          <w:color w:val="000000"/>
          <w:kern w:val="2"/>
          <w:sz w:val="21"/>
          <w:szCs w:val="21"/>
        </w:rPr>
      </w:pPr>
      <w:r>
        <w:rPr>
          <w:rFonts w:ascii="Arial" w:hAnsi="Arial" w:cs="Arial" w:hint="eastAsia"/>
          <w:color w:val="000000"/>
          <w:kern w:val="2"/>
          <w:sz w:val="21"/>
          <w:szCs w:val="21"/>
        </w:rPr>
        <w:t>基于《增值税法》颁布实施对增值税价外税法</w:t>
      </w:r>
      <w:proofErr w:type="gramStart"/>
      <w:r>
        <w:rPr>
          <w:rFonts w:ascii="Arial" w:hAnsi="Arial" w:cs="Arial" w:hint="eastAsia"/>
          <w:color w:val="000000"/>
          <w:kern w:val="2"/>
          <w:sz w:val="21"/>
          <w:szCs w:val="21"/>
        </w:rPr>
        <w:t>律地位</w:t>
      </w:r>
      <w:proofErr w:type="gramEnd"/>
      <w:r>
        <w:rPr>
          <w:rFonts w:ascii="Arial" w:hAnsi="Arial" w:cs="Arial" w:hint="eastAsia"/>
          <w:color w:val="000000"/>
          <w:kern w:val="2"/>
          <w:sz w:val="21"/>
          <w:szCs w:val="21"/>
        </w:rPr>
        <w:t>的确立，为有效衔接法律规定与市场惯例，本报告在技术测算中严格遵循价税分离原则，在结果呈现时统一调整至市场通用的价税合计口径，报告最终呈现的估价结果采用价税合计的形式。在涉及增值税处理的测算中，基于估价的谨慎性原则以及对估价对象作为经营性物业其典型市场参与者为一般纳税人的判断，统一采用增值税一般纳税人的计税口径（适用税率为</w:t>
      </w:r>
      <w:r>
        <w:rPr>
          <w:rFonts w:ascii="Arial" w:hAnsi="Arial" w:cs="Arial" w:hint="eastAsia"/>
          <w:color w:val="000000"/>
          <w:kern w:val="2"/>
          <w:sz w:val="21"/>
          <w:szCs w:val="21"/>
        </w:rPr>
        <w:t>9%</w:t>
      </w:r>
      <w:r>
        <w:rPr>
          <w:rFonts w:ascii="Arial" w:hAnsi="Arial" w:cs="Arial" w:hint="eastAsia"/>
          <w:color w:val="000000"/>
          <w:kern w:val="2"/>
          <w:sz w:val="21"/>
          <w:szCs w:val="21"/>
        </w:rPr>
        <w:t>）进行相关计算。该假设旨在提供一项更为审慎、稳健且符合主流市场条件</w:t>
      </w:r>
      <w:r>
        <w:rPr>
          <w:rFonts w:ascii="Arial" w:hAnsi="Arial" w:cs="Arial" w:hint="eastAsia"/>
          <w:color w:val="000000"/>
          <w:kern w:val="2"/>
          <w:sz w:val="21"/>
          <w:szCs w:val="21"/>
        </w:rPr>
        <w:lastRenderedPageBreak/>
        <w:t>价值参考。提请估价报告使用者请注意，本报告的估值结论不替代任何实际的税务计算或咨询。该</w:t>
      </w:r>
      <w:proofErr w:type="gramStart"/>
      <w:r>
        <w:rPr>
          <w:rFonts w:ascii="Arial" w:hAnsi="Arial" w:cs="Arial" w:hint="eastAsia"/>
          <w:color w:val="000000"/>
          <w:kern w:val="2"/>
          <w:sz w:val="21"/>
          <w:szCs w:val="21"/>
        </w:rPr>
        <w:t>转换仅</w:t>
      </w:r>
      <w:proofErr w:type="gramEnd"/>
      <w:r>
        <w:rPr>
          <w:rFonts w:ascii="Arial" w:hAnsi="Arial" w:cs="Arial" w:hint="eastAsia"/>
          <w:color w:val="000000"/>
          <w:kern w:val="2"/>
          <w:sz w:val="21"/>
          <w:szCs w:val="21"/>
        </w:rPr>
        <w:t>为提供符合主流市场交易口径的价值参考，实际应纳税额须以税务机关核定为准。整体评估坚持“过程分离、结果价税合一”框架，确保结论兼具理论合</w:t>
      </w:r>
      <w:proofErr w:type="gramStart"/>
      <w:r>
        <w:rPr>
          <w:rFonts w:ascii="Arial" w:hAnsi="Arial" w:cs="Arial" w:hint="eastAsia"/>
          <w:color w:val="000000"/>
          <w:kern w:val="2"/>
          <w:sz w:val="21"/>
          <w:szCs w:val="21"/>
        </w:rPr>
        <w:t>规</w:t>
      </w:r>
      <w:proofErr w:type="gramEnd"/>
      <w:r>
        <w:rPr>
          <w:rFonts w:ascii="Arial" w:hAnsi="Arial" w:cs="Arial" w:hint="eastAsia"/>
          <w:color w:val="000000"/>
          <w:kern w:val="2"/>
          <w:sz w:val="21"/>
          <w:szCs w:val="21"/>
        </w:rPr>
        <w:t>性与市场适用性。</w:t>
      </w:r>
    </w:p>
    <w:p w:rsidR="00184596" w:rsidRDefault="00FD048A">
      <w:pPr>
        <w:numPr>
          <w:ilvl w:val="0"/>
          <w:numId w:val="6"/>
        </w:numPr>
        <w:overflowPunct w:val="0"/>
        <w:spacing w:line="480" w:lineRule="auto"/>
        <w:ind w:left="0" w:firstLineChars="200" w:firstLine="420"/>
        <w:jc w:val="both"/>
        <w:rPr>
          <w:rFonts w:ascii="Arial" w:hAnsi="Arial" w:cs="Arial"/>
          <w:kern w:val="2"/>
          <w:sz w:val="21"/>
          <w:szCs w:val="21"/>
        </w:rPr>
      </w:pPr>
      <w:r>
        <w:rPr>
          <w:rFonts w:ascii="Arial" w:hAnsi="Arial" w:cs="Arial"/>
          <w:kern w:val="2"/>
          <w:sz w:val="21"/>
          <w:szCs w:val="21"/>
        </w:rPr>
        <w:t>任何有关估价对象的运作方式、程序符合国家、地方的有关法律、法规。</w:t>
      </w:r>
    </w:p>
    <w:p w:rsidR="00184596" w:rsidRDefault="00FD048A">
      <w:pPr>
        <w:numPr>
          <w:ilvl w:val="0"/>
          <w:numId w:val="6"/>
        </w:numPr>
        <w:overflowPunct w:val="0"/>
        <w:spacing w:line="480" w:lineRule="auto"/>
        <w:ind w:left="0" w:firstLineChars="200" w:firstLine="420"/>
        <w:jc w:val="both"/>
        <w:rPr>
          <w:rFonts w:ascii="Arial" w:hAnsi="Arial" w:cs="Arial"/>
          <w:color w:val="000000"/>
          <w:kern w:val="2"/>
          <w:sz w:val="21"/>
          <w:szCs w:val="21"/>
        </w:rPr>
      </w:pPr>
      <w:r>
        <w:rPr>
          <w:rFonts w:ascii="Arial" w:hAnsi="Arial" w:cs="Arial"/>
          <w:color w:val="000000"/>
          <w:kern w:val="2"/>
          <w:sz w:val="21"/>
          <w:szCs w:val="21"/>
        </w:rPr>
        <w:t>本次估价结果未考虑国家宏观政策发生重大变化以及遇有自然力和其他不可抗力对估价结果的影响。</w:t>
      </w:r>
    </w:p>
    <w:p w:rsidR="00184596" w:rsidRDefault="00FD048A">
      <w:pPr>
        <w:numPr>
          <w:ilvl w:val="0"/>
          <w:numId w:val="6"/>
        </w:numPr>
        <w:overflowPunct w:val="0"/>
        <w:spacing w:line="480" w:lineRule="auto"/>
        <w:ind w:left="0" w:firstLineChars="200" w:firstLine="420"/>
        <w:jc w:val="both"/>
        <w:rPr>
          <w:rFonts w:ascii="Arial" w:hAnsi="Arial" w:cs="Arial"/>
          <w:kern w:val="2"/>
          <w:sz w:val="21"/>
          <w:szCs w:val="21"/>
        </w:rPr>
      </w:pPr>
      <w:r>
        <w:rPr>
          <w:rFonts w:ascii="Arial" w:hAnsi="Arial" w:cs="Arial"/>
          <w:kern w:val="2"/>
          <w:sz w:val="21"/>
          <w:szCs w:val="21"/>
        </w:rPr>
        <w:t>估价结果未考虑估价对象及其运营企业已承担的债务、或有债务及经营决策失误或市场运作失当对其价值的影响。</w:t>
      </w:r>
    </w:p>
    <w:p w:rsidR="00184596" w:rsidRDefault="00FD048A">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rsidR="00184596" w:rsidRDefault="00FD048A">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1.</w:t>
      </w:r>
      <w:r>
        <w:rPr>
          <w:rFonts w:ascii="Arial" w:hAnsi="Arial" w:hint="eastAsia"/>
          <w:color w:val="000000"/>
          <w:kern w:val="2"/>
          <w:sz w:val="21"/>
        </w:rPr>
        <w:t>未定事项假设</w:t>
      </w:r>
    </w:p>
    <w:p w:rsidR="00184596" w:rsidRDefault="00FD048A">
      <w:pPr>
        <w:overflowPunct w:val="0"/>
        <w:spacing w:line="480" w:lineRule="auto"/>
        <w:ind w:firstLineChars="200" w:firstLine="420"/>
        <w:jc w:val="both"/>
        <w:textAlignment w:val="auto"/>
        <w:rPr>
          <w:rFonts w:ascii="Arial" w:hAnsi="Arial"/>
          <w:color w:val="E36C0A"/>
          <w:kern w:val="2"/>
          <w:sz w:val="21"/>
        </w:rPr>
      </w:pPr>
      <w:r>
        <w:rPr>
          <w:rFonts w:ascii="Arial" w:hAnsi="Arial" w:hint="eastAsia"/>
          <w:color w:val="000000"/>
          <w:kern w:val="2"/>
          <w:sz w:val="21"/>
        </w:rPr>
        <w:t>截至报告出具日，估价对象中房山区长阳镇</w:t>
      </w:r>
      <w:r>
        <w:rPr>
          <w:rFonts w:ascii="Arial" w:hAnsi="Arial" w:hint="eastAsia"/>
          <w:color w:val="000000"/>
          <w:kern w:val="2"/>
          <w:sz w:val="21"/>
        </w:rPr>
        <w:t>FS00-LX10-0044</w:t>
      </w:r>
      <w:r>
        <w:rPr>
          <w:rFonts w:ascii="Arial" w:hAnsi="Arial" w:hint="eastAsia"/>
          <w:color w:val="000000"/>
          <w:kern w:val="2"/>
          <w:sz w:val="21"/>
        </w:rPr>
        <w:t>地块</w:t>
      </w:r>
      <w:r>
        <w:rPr>
          <w:rFonts w:ascii="Arial" w:hAnsi="Arial" w:hint="eastAsia"/>
          <w:color w:val="000000"/>
          <w:kern w:val="2"/>
          <w:sz w:val="21"/>
        </w:rPr>
        <w:t>6</w:t>
      </w:r>
      <w:r>
        <w:rPr>
          <w:rFonts w:ascii="Arial" w:hAnsi="Arial" w:hint="eastAsia"/>
          <w:color w:val="000000"/>
          <w:kern w:val="2"/>
          <w:sz w:val="21"/>
        </w:rPr>
        <w:t>号商业楼地上</w:t>
      </w:r>
      <w:r>
        <w:rPr>
          <w:rFonts w:ascii="Arial" w:hAnsi="Arial" w:hint="eastAsia"/>
          <w:color w:val="000000"/>
          <w:kern w:val="2"/>
          <w:sz w:val="21"/>
        </w:rPr>
        <w:t>1-2</w:t>
      </w:r>
      <w:r>
        <w:rPr>
          <w:rFonts w:ascii="Arial" w:hAnsi="Arial" w:hint="eastAsia"/>
          <w:color w:val="000000"/>
          <w:kern w:val="2"/>
          <w:sz w:val="21"/>
        </w:rPr>
        <w:t>层商业用房尚未取得《不动产权证书》。根据《估价委托书》，本次评估设定</w:t>
      </w:r>
      <w:r>
        <w:rPr>
          <w:rFonts w:ascii="Arial" w:hAnsi="Arial" w:hint="eastAsia"/>
          <w:color w:val="000000"/>
          <w:kern w:val="2"/>
          <w:sz w:val="21"/>
        </w:rPr>
        <w:t>6</w:t>
      </w:r>
      <w:r>
        <w:rPr>
          <w:rFonts w:ascii="Arial" w:hAnsi="Arial" w:hint="eastAsia"/>
          <w:color w:val="000000"/>
          <w:kern w:val="2"/>
          <w:sz w:val="21"/>
        </w:rPr>
        <w:t>号商业楼</w:t>
      </w:r>
      <w:r>
        <w:rPr>
          <w:rFonts w:ascii="Arial" w:hAnsi="Arial" w:hint="eastAsia"/>
          <w:color w:val="000000"/>
          <w:kern w:val="2"/>
          <w:sz w:val="21"/>
        </w:rPr>
        <w:t>101-103</w:t>
      </w:r>
      <w:r>
        <w:rPr>
          <w:rFonts w:ascii="Arial" w:hAnsi="Arial" w:hint="eastAsia"/>
          <w:color w:val="000000"/>
          <w:kern w:val="2"/>
          <w:sz w:val="21"/>
        </w:rPr>
        <w:t>、</w:t>
      </w:r>
      <w:r>
        <w:rPr>
          <w:rFonts w:ascii="Arial" w:hAnsi="Arial" w:hint="eastAsia"/>
          <w:color w:val="000000"/>
          <w:kern w:val="2"/>
          <w:sz w:val="21"/>
        </w:rPr>
        <w:t>201-203</w:t>
      </w:r>
      <w:r>
        <w:rPr>
          <w:rFonts w:ascii="Arial" w:hAnsi="Arial" w:hint="eastAsia"/>
          <w:color w:val="000000"/>
          <w:kern w:val="2"/>
          <w:sz w:val="21"/>
        </w:rPr>
        <w:t>号房屋均为</w:t>
      </w:r>
      <w:r>
        <w:rPr>
          <w:rFonts w:ascii="Arial" w:hAnsi="Arial" w:hint="eastAsia"/>
          <w:bCs/>
          <w:sz w:val="21"/>
        </w:rPr>
        <w:t>北京首开龙湖盈泰置业有限公司单独所有，规划用途为商业，土地使用年限为</w:t>
      </w:r>
      <w:r>
        <w:rPr>
          <w:rFonts w:ascii="Arial" w:hAnsi="Arial" w:hint="eastAsia"/>
          <w:bCs/>
          <w:sz w:val="21"/>
        </w:rPr>
        <w:t>4</w:t>
      </w:r>
      <w:r>
        <w:rPr>
          <w:rFonts w:ascii="Arial" w:hAnsi="Arial"/>
          <w:bCs/>
          <w:sz w:val="21"/>
        </w:rPr>
        <w:t>0</w:t>
      </w:r>
      <w:r>
        <w:rPr>
          <w:rFonts w:ascii="Arial" w:hAnsi="Arial" w:hint="eastAsia"/>
          <w:bCs/>
          <w:sz w:val="21"/>
        </w:rPr>
        <w:t>年，自</w:t>
      </w:r>
      <w:r>
        <w:rPr>
          <w:rFonts w:ascii="Arial" w:hAnsi="Arial" w:hint="eastAsia"/>
          <w:bCs/>
          <w:sz w:val="21"/>
        </w:rPr>
        <w:t>2</w:t>
      </w:r>
      <w:r>
        <w:rPr>
          <w:rFonts w:ascii="Arial" w:hAnsi="Arial"/>
          <w:bCs/>
          <w:sz w:val="21"/>
        </w:rPr>
        <w:t>016</w:t>
      </w:r>
      <w:r>
        <w:rPr>
          <w:rFonts w:ascii="Arial" w:hAnsi="Arial" w:hint="eastAsia"/>
          <w:bCs/>
          <w:sz w:val="21"/>
        </w:rPr>
        <w:t>年</w:t>
      </w:r>
      <w:r>
        <w:rPr>
          <w:rFonts w:ascii="Arial" w:hAnsi="Arial"/>
          <w:bCs/>
          <w:sz w:val="21"/>
        </w:rPr>
        <w:t>12</w:t>
      </w:r>
      <w:r>
        <w:rPr>
          <w:rFonts w:ascii="Arial" w:hAnsi="Arial" w:hint="eastAsia"/>
          <w:bCs/>
          <w:sz w:val="21"/>
        </w:rPr>
        <w:t>月</w:t>
      </w:r>
      <w:r>
        <w:rPr>
          <w:rFonts w:ascii="Arial" w:hAnsi="Arial" w:hint="eastAsia"/>
          <w:bCs/>
          <w:sz w:val="21"/>
        </w:rPr>
        <w:t>2</w:t>
      </w:r>
      <w:r>
        <w:rPr>
          <w:rFonts w:ascii="Arial" w:hAnsi="Arial"/>
          <w:bCs/>
          <w:sz w:val="21"/>
        </w:rPr>
        <w:t>6</w:t>
      </w:r>
      <w:r>
        <w:rPr>
          <w:rFonts w:ascii="Arial" w:hAnsi="Arial" w:hint="eastAsia"/>
          <w:bCs/>
          <w:sz w:val="21"/>
        </w:rPr>
        <w:t>日起</w:t>
      </w:r>
      <w:r>
        <w:rPr>
          <w:rFonts w:ascii="Arial" w:hAnsi="Arial" w:hint="eastAsia"/>
          <w:bCs/>
          <w:sz w:val="21"/>
        </w:rPr>
        <w:t>20</w:t>
      </w:r>
      <w:r>
        <w:rPr>
          <w:rFonts w:ascii="Arial" w:hAnsi="Arial"/>
          <w:bCs/>
          <w:sz w:val="21"/>
        </w:rPr>
        <w:t>56</w:t>
      </w:r>
      <w:r>
        <w:rPr>
          <w:rFonts w:ascii="Arial" w:hAnsi="Arial" w:hint="eastAsia"/>
          <w:bCs/>
          <w:sz w:val="21"/>
        </w:rPr>
        <w:t>年</w:t>
      </w:r>
      <w:r>
        <w:rPr>
          <w:rFonts w:ascii="Arial" w:hAnsi="Arial"/>
          <w:bCs/>
          <w:sz w:val="21"/>
        </w:rPr>
        <w:t>12</w:t>
      </w:r>
      <w:r>
        <w:rPr>
          <w:rFonts w:ascii="Arial" w:hAnsi="Arial" w:hint="eastAsia"/>
          <w:bCs/>
          <w:sz w:val="21"/>
        </w:rPr>
        <w:t>月</w:t>
      </w:r>
      <w:r>
        <w:rPr>
          <w:rFonts w:ascii="Arial" w:hAnsi="Arial" w:hint="eastAsia"/>
          <w:bCs/>
          <w:sz w:val="21"/>
        </w:rPr>
        <w:t>2</w:t>
      </w:r>
      <w:r>
        <w:rPr>
          <w:rFonts w:ascii="Arial" w:hAnsi="Arial"/>
          <w:bCs/>
          <w:sz w:val="21"/>
        </w:rPr>
        <w:t>5</w:t>
      </w:r>
      <w:r>
        <w:rPr>
          <w:rFonts w:ascii="Arial" w:hAnsi="Arial" w:hint="eastAsia"/>
          <w:bCs/>
          <w:sz w:val="21"/>
        </w:rPr>
        <w:t>日止，现已</w:t>
      </w:r>
      <w:proofErr w:type="gramStart"/>
      <w:r>
        <w:rPr>
          <w:rFonts w:ascii="Arial" w:hAnsi="Arial" w:hint="eastAsia"/>
          <w:bCs/>
          <w:sz w:val="21"/>
        </w:rPr>
        <w:t>具备竣备条件</w:t>
      </w:r>
      <w:proofErr w:type="gramEnd"/>
      <w:r>
        <w:rPr>
          <w:rFonts w:ascii="Arial" w:hAnsi="Arial" w:hint="eastAsia"/>
          <w:bCs/>
          <w:sz w:val="21"/>
        </w:rPr>
        <w:t>。建筑面积以《房屋面积测算技术报告书（商品房类使用）》及《估价委托书》记载的为依据，若实际情况与设定情况不符，需调整报告描述。</w:t>
      </w:r>
    </w:p>
    <w:p w:rsidR="00184596" w:rsidRDefault="00FD048A">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2.</w:t>
      </w:r>
      <w:r>
        <w:rPr>
          <w:rFonts w:ascii="Arial" w:hAnsi="Arial" w:hint="eastAsia"/>
          <w:color w:val="000000"/>
          <w:kern w:val="2"/>
          <w:sz w:val="21"/>
        </w:rPr>
        <w:t>背离事实假设</w:t>
      </w:r>
    </w:p>
    <w:p w:rsidR="00184596" w:rsidRDefault="00FD048A">
      <w:pPr>
        <w:overflowPunct w:val="0"/>
        <w:spacing w:line="480" w:lineRule="auto"/>
        <w:ind w:firstLineChars="200" w:firstLine="420"/>
        <w:jc w:val="both"/>
        <w:textAlignment w:val="auto"/>
        <w:rPr>
          <w:rFonts w:ascii="Arial" w:hAnsi="Arial"/>
          <w:color w:val="548DD4"/>
          <w:kern w:val="2"/>
          <w:sz w:val="21"/>
        </w:rPr>
      </w:pPr>
      <w:r>
        <w:rPr>
          <w:rFonts w:ascii="Arial" w:hAnsi="Arial" w:cs="Arial"/>
          <w:sz w:val="21"/>
          <w:szCs w:val="21"/>
        </w:rPr>
        <w:t>根据不动产权利人介绍</w:t>
      </w:r>
      <w:r>
        <w:rPr>
          <w:rFonts w:ascii="Arial" w:hAnsi="Arial" w:cs="Arial" w:hint="eastAsia"/>
          <w:sz w:val="21"/>
          <w:szCs w:val="21"/>
        </w:rPr>
        <w:t>及评估专业人员实地查勘</w:t>
      </w:r>
      <w:r>
        <w:rPr>
          <w:rFonts w:ascii="Arial" w:hAnsi="Arial" w:cs="Arial"/>
          <w:sz w:val="21"/>
          <w:szCs w:val="21"/>
        </w:rPr>
        <w:t>，截至价值时点，估价对象北京市房山区阜盛西街</w:t>
      </w:r>
      <w:r>
        <w:rPr>
          <w:rFonts w:ascii="Arial" w:hAnsi="Arial" w:cs="Arial"/>
          <w:sz w:val="21"/>
          <w:szCs w:val="21"/>
        </w:rPr>
        <w:t>11</w:t>
      </w:r>
      <w:r>
        <w:rPr>
          <w:rFonts w:ascii="Arial" w:hAnsi="Arial" w:cs="Arial"/>
          <w:sz w:val="21"/>
          <w:szCs w:val="21"/>
        </w:rPr>
        <w:t>号院</w:t>
      </w:r>
      <w:r>
        <w:rPr>
          <w:rFonts w:ascii="Arial" w:hAnsi="Arial" w:cs="Arial"/>
          <w:sz w:val="21"/>
          <w:szCs w:val="21"/>
        </w:rPr>
        <w:t>3</w:t>
      </w:r>
      <w:r>
        <w:rPr>
          <w:rFonts w:ascii="Arial" w:hAnsi="Arial" w:cs="Arial"/>
          <w:sz w:val="21"/>
          <w:szCs w:val="21"/>
        </w:rPr>
        <w:t>号楼地上</w:t>
      </w:r>
      <w:r>
        <w:rPr>
          <w:rFonts w:ascii="Arial" w:hAnsi="Arial" w:cs="Arial"/>
          <w:sz w:val="21"/>
          <w:szCs w:val="21"/>
        </w:rPr>
        <w:t>1</w:t>
      </w:r>
      <w:r>
        <w:rPr>
          <w:rFonts w:ascii="Arial" w:hAnsi="Arial" w:cs="Arial"/>
          <w:sz w:val="21"/>
          <w:szCs w:val="21"/>
        </w:rPr>
        <w:t>层</w:t>
      </w:r>
      <w:r>
        <w:rPr>
          <w:rFonts w:ascii="Arial" w:hAnsi="Arial" w:cs="Arial"/>
          <w:sz w:val="21"/>
          <w:szCs w:val="21"/>
        </w:rPr>
        <w:t>101</w:t>
      </w:r>
      <w:r>
        <w:rPr>
          <w:rFonts w:ascii="Arial" w:hAnsi="Arial" w:cs="Arial"/>
          <w:sz w:val="21"/>
          <w:szCs w:val="21"/>
        </w:rPr>
        <w:t>号</w:t>
      </w:r>
      <w:r>
        <w:rPr>
          <w:rFonts w:ascii="Arial" w:hAnsi="Arial" w:cs="Arial" w:hint="eastAsia"/>
          <w:sz w:val="21"/>
          <w:szCs w:val="21"/>
        </w:rPr>
        <w:t>商业用房已出租作为售楼处使用，其余房源均未出租，本次评估是</w:t>
      </w:r>
      <w:r>
        <w:rPr>
          <w:rFonts w:ascii="Arial" w:hAnsi="Arial" w:hint="eastAsia"/>
          <w:kern w:val="2"/>
          <w:sz w:val="21"/>
        </w:rPr>
        <w:t>为估价委托人了解估价对象房地产市场租金水平提供参考依据，经与估价委托人确认，本次评估不考虑上述租赁情况对估价结果的影响</w:t>
      </w:r>
      <w:r>
        <w:rPr>
          <w:rFonts w:ascii="Arial" w:hAnsi="Arial" w:cs="Arial"/>
          <w:sz w:val="21"/>
          <w:szCs w:val="21"/>
        </w:rPr>
        <w:t>。</w:t>
      </w:r>
    </w:p>
    <w:p w:rsidR="00184596" w:rsidRDefault="00FD048A">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3.</w:t>
      </w:r>
      <w:r>
        <w:rPr>
          <w:rFonts w:ascii="Arial" w:hAnsi="Arial" w:hint="eastAsia"/>
          <w:color w:val="000000"/>
          <w:kern w:val="2"/>
          <w:sz w:val="21"/>
        </w:rPr>
        <w:t>不相一致假设</w:t>
      </w:r>
    </w:p>
    <w:p w:rsidR="00184596" w:rsidRDefault="00FD048A">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无。</w:t>
      </w:r>
    </w:p>
    <w:p w:rsidR="00184596" w:rsidRDefault="00FD048A">
      <w:pPr>
        <w:overflowPunct w:val="0"/>
        <w:spacing w:line="480" w:lineRule="auto"/>
        <w:ind w:firstLineChars="200" w:firstLine="420"/>
        <w:jc w:val="both"/>
        <w:textAlignment w:val="auto"/>
        <w:rPr>
          <w:rFonts w:ascii="Arial" w:hAnsi="Arial"/>
          <w:color w:val="E36C0A"/>
          <w:kern w:val="2"/>
          <w:sz w:val="21"/>
        </w:rPr>
      </w:pPr>
      <w:r>
        <w:rPr>
          <w:rFonts w:ascii="Arial" w:hAnsi="Arial" w:hint="eastAsia"/>
          <w:color w:val="000000"/>
          <w:kern w:val="2"/>
          <w:sz w:val="21"/>
        </w:rPr>
        <w:t>4.</w:t>
      </w:r>
      <w:r>
        <w:rPr>
          <w:rFonts w:ascii="Arial" w:hAnsi="Arial" w:hint="eastAsia"/>
          <w:color w:val="000000"/>
          <w:kern w:val="2"/>
          <w:sz w:val="21"/>
        </w:rPr>
        <w:t>依据不足假设</w:t>
      </w:r>
    </w:p>
    <w:p w:rsidR="00184596" w:rsidRDefault="00FD048A">
      <w:pPr>
        <w:overflowPunct w:val="0"/>
        <w:spacing w:line="480" w:lineRule="auto"/>
        <w:ind w:firstLineChars="200" w:firstLine="420"/>
        <w:jc w:val="both"/>
        <w:textAlignment w:val="auto"/>
        <w:rPr>
          <w:rFonts w:ascii="Arial" w:hAnsi="Arial" w:cs="Arial"/>
          <w:b/>
          <w:color w:val="E36C0A"/>
          <w:kern w:val="2"/>
          <w:sz w:val="21"/>
          <w:szCs w:val="21"/>
        </w:rPr>
      </w:pPr>
      <w:r>
        <w:rPr>
          <w:rFonts w:ascii="Arial" w:hAnsi="Arial" w:hint="eastAsia"/>
          <w:color w:val="000000"/>
          <w:kern w:val="2"/>
          <w:sz w:val="21"/>
        </w:rPr>
        <w:t>截至报告出具日，</w:t>
      </w:r>
      <w:r>
        <w:rPr>
          <w:rFonts w:ascii="Arial" w:hAnsi="Arial" w:hint="eastAsia"/>
          <w:bCs/>
          <w:sz w:val="21"/>
        </w:rPr>
        <w:t>估价委托人</w:t>
      </w:r>
      <w:r>
        <w:rPr>
          <w:rFonts w:ascii="Arial" w:hAnsi="Arial" w:hint="eastAsia"/>
          <w:kern w:val="2"/>
          <w:sz w:val="21"/>
        </w:rPr>
        <w:t>未能提供</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w:t>
      </w:r>
      <w:r>
        <w:rPr>
          <w:rFonts w:ascii="Arial" w:hAnsi="Arial" w:hint="eastAsia"/>
          <w:bCs/>
          <w:sz w:val="21"/>
        </w:rPr>
        <w:lastRenderedPageBreak/>
        <w:t>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kern w:val="2"/>
          <w:sz w:val="21"/>
        </w:rPr>
        <w:t>原件供评估专业人员核对。本次评估以</w:t>
      </w:r>
      <w:r>
        <w:rPr>
          <w:rFonts w:ascii="Arial" w:hAnsi="Arial" w:hint="eastAsia"/>
          <w:bCs/>
          <w:sz w:val="21"/>
        </w:rPr>
        <w:t>估价委托人</w:t>
      </w:r>
      <w:r>
        <w:rPr>
          <w:rFonts w:ascii="Arial" w:hAnsi="Arial" w:hint="eastAsia"/>
          <w:kern w:val="2"/>
          <w:sz w:val="21"/>
        </w:rPr>
        <w:t>提供的</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kern w:val="2"/>
          <w:sz w:val="21"/>
        </w:rPr>
        <w:t>复印件与原件一致为估价的假设前提。</w:t>
      </w:r>
    </w:p>
    <w:p w:rsidR="00184596" w:rsidRDefault="00FD048A">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估价报告使用限制</w:t>
      </w:r>
    </w:p>
    <w:p w:rsidR="00184596" w:rsidRDefault="00FD048A">
      <w:pPr>
        <w:numPr>
          <w:ilvl w:val="0"/>
          <w:numId w:val="7"/>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使用范围：本估价报告只能由估价报告载明的报告使用者使用，且只能用于本报告载明的唯一估价目的和用途。</w:t>
      </w:r>
    </w:p>
    <w:p w:rsidR="00184596" w:rsidRDefault="00FD048A">
      <w:pPr>
        <w:numPr>
          <w:ilvl w:val="0"/>
          <w:numId w:val="7"/>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估价报告使用者：本次估价业务的估价委托人及本次估价业务委托合同所约定的使用者。</w:t>
      </w:r>
    </w:p>
    <w:p w:rsidR="00184596" w:rsidRDefault="00FD048A">
      <w:pPr>
        <w:numPr>
          <w:ilvl w:val="0"/>
          <w:numId w:val="7"/>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估价委托人或者本估价报告使用者应按照法律规定和估价报告载明的使用范围使用本估价报告。估价委托人或者估价报告使用者违反前述规定使用本估价报告的，估价机构和评估专业人员不承担责任。</w:t>
      </w:r>
    </w:p>
    <w:p w:rsidR="00184596" w:rsidRDefault="00FD048A">
      <w:pPr>
        <w:numPr>
          <w:ilvl w:val="0"/>
          <w:numId w:val="7"/>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除估价委托人、估价委托合同中约定的其他估价报告使用者和法律、行政法规规定的估价报告使用者之外，其他任何机构和个人不能成为估价报告的使用者。</w:t>
      </w:r>
    </w:p>
    <w:p w:rsidR="00184596" w:rsidRDefault="00FD048A">
      <w:pPr>
        <w:numPr>
          <w:ilvl w:val="0"/>
          <w:numId w:val="7"/>
        </w:numPr>
        <w:spacing w:line="480" w:lineRule="auto"/>
        <w:ind w:left="0" w:firstLineChars="200" w:firstLine="420"/>
        <w:jc w:val="both"/>
        <w:rPr>
          <w:rFonts w:ascii="Arial" w:hAnsi="Arial" w:cs="Arial"/>
          <w:kern w:val="2"/>
          <w:sz w:val="21"/>
          <w:szCs w:val="21"/>
        </w:rPr>
      </w:pPr>
      <w:r>
        <w:rPr>
          <w:rFonts w:ascii="Arial" w:hAnsi="Arial" w:cs="Arial"/>
          <w:kern w:val="2"/>
          <w:sz w:val="21"/>
          <w:szCs w:val="21"/>
        </w:rPr>
        <w:t>未经本估价机构书面同意，本估价报告的全部或任何一部分均不得向估价委托人、报告使用者、报告审查部门之外的单位和个人提供，也不得以任何形式公开发表。</w:t>
      </w:r>
    </w:p>
    <w:p w:rsidR="00184596" w:rsidRDefault="00FD048A">
      <w:pPr>
        <w:numPr>
          <w:ilvl w:val="0"/>
          <w:numId w:val="7"/>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估价报告使用者应当正确理解估价结论。估价结论不等同于估价对象可实现价格，估价结论不应当被认为是对估价对象可实现价格的保证。</w:t>
      </w:r>
    </w:p>
    <w:p w:rsidR="00184596" w:rsidRDefault="00FD048A">
      <w:pPr>
        <w:numPr>
          <w:ilvl w:val="0"/>
          <w:numId w:val="7"/>
        </w:numPr>
        <w:spacing w:line="480" w:lineRule="auto"/>
        <w:ind w:left="0" w:firstLineChars="200" w:firstLine="420"/>
        <w:jc w:val="both"/>
        <w:rPr>
          <w:rFonts w:ascii="Arial" w:hAnsi="Arial" w:cs="Arial"/>
          <w:kern w:val="2"/>
          <w:sz w:val="21"/>
          <w:szCs w:val="21"/>
        </w:rPr>
      </w:pP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hint="eastAsia"/>
          <w:kern w:val="2"/>
          <w:sz w:val="21"/>
        </w:rPr>
        <w:t>为估价委托人了解估价对象房地产市场租金水平提供参考依据</w:t>
      </w:r>
      <w:r>
        <w:rPr>
          <w:rFonts w:ascii="Arial" w:hAnsi="Arial" w:cs="Arial"/>
          <w:kern w:val="2"/>
          <w:sz w:val="21"/>
          <w:szCs w:val="21"/>
        </w:rPr>
        <w:t>，不做其他评估目的之用。如果估价对象的评估条件或目的发生变化，需重新进行评估。</w:t>
      </w:r>
    </w:p>
    <w:p w:rsidR="00184596" w:rsidRDefault="00FD048A">
      <w:pPr>
        <w:numPr>
          <w:ilvl w:val="0"/>
          <w:numId w:val="7"/>
        </w:numPr>
        <w:spacing w:line="480" w:lineRule="auto"/>
        <w:ind w:left="0" w:firstLineChars="200" w:firstLine="420"/>
        <w:jc w:val="both"/>
        <w:rPr>
          <w:rFonts w:ascii="Arial" w:hAnsi="Arial" w:cs="Arial"/>
          <w:sz w:val="21"/>
          <w:szCs w:val="21"/>
        </w:rPr>
      </w:pPr>
      <w:r>
        <w:rPr>
          <w:rFonts w:ascii="Arial" w:hAnsi="Arial" w:cs="Arial"/>
          <w:kern w:val="2"/>
          <w:sz w:val="21"/>
          <w:szCs w:val="21"/>
        </w:rPr>
        <w:t>本</w:t>
      </w:r>
      <w:r>
        <w:rPr>
          <w:rFonts w:ascii="Arial" w:hAnsi="Arial" w:cs="Arial" w:hint="eastAsia"/>
          <w:kern w:val="2"/>
          <w:sz w:val="21"/>
          <w:szCs w:val="21"/>
        </w:rPr>
        <w:t>估价</w:t>
      </w:r>
      <w:r>
        <w:rPr>
          <w:rFonts w:ascii="Arial" w:hAnsi="Arial" w:cs="Arial"/>
          <w:kern w:val="2"/>
          <w:sz w:val="21"/>
          <w:szCs w:val="21"/>
        </w:rPr>
        <w:t>报告估价结果为价值时点下估价对象</w:t>
      </w:r>
      <w:r>
        <w:rPr>
          <w:rFonts w:ascii="Arial" w:hAnsi="Arial" w:cs="Arial" w:hint="eastAsia"/>
          <w:kern w:val="2"/>
          <w:sz w:val="21"/>
          <w:szCs w:val="21"/>
        </w:rPr>
        <w:t>于本估价报告所列设定条件及假设前提下的</w:t>
      </w:r>
      <w:r>
        <w:rPr>
          <w:rFonts w:ascii="Arial" w:hAnsi="Arial" w:cs="Arial"/>
          <w:kern w:val="2"/>
          <w:sz w:val="21"/>
          <w:szCs w:val="21"/>
        </w:rPr>
        <w:t>价值，如设定条件发生变化，估价结果需要做相应的调整直至重新评估</w:t>
      </w:r>
      <w:r>
        <w:rPr>
          <w:rFonts w:ascii="Arial" w:hAnsi="Arial" w:cs="Arial"/>
          <w:sz w:val="21"/>
          <w:szCs w:val="21"/>
        </w:rPr>
        <w:t>。</w:t>
      </w:r>
    </w:p>
    <w:p w:rsidR="00184596" w:rsidRDefault="00FD048A">
      <w:pPr>
        <w:numPr>
          <w:ilvl w:val="0"/>
          <w:numId w:val="7"/>
        </w:numPr>
        <w:spacing w:line="480" w:lineRule="auto"/>
        <w:ind w:left="0" w:firstLineChars="200" w:firstLine="420"/>
        <w:jc w:val="both"/>
        <w:rPr>
          <w:rFonts w:ascii="Arial" w:hAnsi="Arial" w:cs="Arial"/>
          <w:sz w:val="21"/>
          <w:szCs w:val="21"/>
        </w:rPr>
      </w:pPr>
      <w:r>
        <w:rPr>
          <w:rFonts w:ascii="Arial" w:hAnsi="Arial" w:cs="Arial" w:hint="eastAsia"/>
          <w:color w:val="000000"/>
          <w:kern w:val="2"/>
          <w:sz w:val="21"/>
          <w:szCs w:val="21"/>
        </w:rPr>
        <w:t>估价委托人应对其提供的权属证明以及其他资料的真实性、完整性和合法性负责</w:t>
      </w:r>
      <w:r>
        <w:rPr>
          <w:rFonts w:ascii="Arial" w:hAnsi="Arial" w:cs="Arial"/>
          <w:color w:val="000000"/>
          <w:kern w:val="2"/>
          <w:sz w:val="21"/>
          <w:szCs w:val="21"/>
        </w:rPr>
        <w:t>。如因资料失</w:t>
      </w:r>
      <w:r>
        <w:rPr>
          <w:rFonts w:ascii="Arial" w:hAnsi="Arial" w:cs="Arial"/>
          <w:kern w:val="2"/>
          <w:sz w:val="21"/>
          <w:szCs w:val="21"/>
        </w:rPr>
        <w:t>实或资料提供人有所隐匿而导致估价结果失真，估价机构不承担相应的责任。</w:t>
      </w:r>
    </w:p>
    <w:p w:rsidR="00184596" w:rsidRDefault="00FD048A">
      <w:pPr>
        <w:numPr>
          <w:ilvl w:val="0"/>
          <w:numId w:val="7"/>
        </w:numPr>
        <w:spacing w:line="480" w:lineRule="auto"/>
        <w:ind w:left="0" w:firstLineChars="200" w:firstLine="420"/>
        <w:jc w:val="both"/>
        <w:rPr>
          <w:rFonts w:ascii="Arial" w:hAnsi="Arial" w:cs="Arial"/>
          <w:sz w:val="21"/>
          <w:szCs w:val="21"/>
        </w:rPr>
      </w:pPr>
      <w:r>
        <w:rPr>
          <w:rFonts w:ascii="Arial" w:hAnsi="Arial" w:cs="Arial"/>
          <w:sz w:val="21"/>
          <w:szCs w:val="21"/>
        </w:rPr>
        <w:t>本估价报告中数据全部采用电算化连续计算得出，由于在报告中计算的数据均按四舍五入取整或保留小数</w:t>
      </w:r>
      <w:r>
        <w:rPr>
          <w:rFonts w:ascii="Arial" w:hAnsi="Arial" w:cs="Arial" w:hint="eastAsia"/>
          <w:sz w:val="21"/>
          <w:szCs w:val="21"/>
        </w:rPr>
        <w:t>位</w:t>
      </w:r>
      <w:r>
        <w:rPr>
          <w:rFonts w:ascii="Arial" w:hAnsi="Arial" w:cs="Arial"/>
          <w:sz w:val="21"/>
          <w:szCs w:val="21"/>
        </w:rPr>
        <w:t>，故可能出现个别等式左右不完全相等的情况，但不影响计算结果及最终评估结论的准确性。</w:t>
      </w:r>
    </w:p>
    <w:p w:rsidR="00184596" w:rsidRDefault="00FD048A">
      <w:pPr>
        <w:numPr>
          <w:ilvl w:val="0"/>
          <w:numId w:val="7"/>
        </w:numPr>
        <w:spacing w:line="480" w:lineRule="auto"/>
        <w:ind w:left="0" w:firstLineChars="200" w:firstLine="420"/>
        <w:jc w:val="both"/>
        <w:rPr>
          <w:rFonts w:ascii="Arial" w:hAnsi="Arial" w:cs="Arial"/>
          <w:kern w:val="2"/>
          <w:sz w:val="21"/>
        </w:rPr>
      </w:pPr>
      <w:r>
        <w:rPr>
          <w:rFonts w:ascii="Arial" w:hAnsi="Arial" w:cs="Arial"/>
          <w:sz w:val="21"/>
          <w:szCs w:val="21"/>
        </w:rPr>
        <w:lastRenderedPageBreak/>
        <w:t>本估价报告在估价机构盖章和注册房地产估价师签字或签章的条件下有效。</w:t>
      </w:r>
    </w:p>
    <w:p w:rsidR="00184596" w:rsidRDefault="00FD048A">
      <w:pPr>
        <w:numPr>
          <w:ilvl w:val="0"/>
          <w:numId w:val="7"/>
        </w:numPr>
        <w:spacing w:line="480" w:lineRule="auto"/>
        <w:ind w:left="0" w:firstLineChars="200" w:firstLine="420"/>
        <w:jc w:val="both"/>
        <w:rPr>
          <w:rFonts w:ascii="Arial" w:hAnsi="Arial" w:cs="Arial"/>
          <w:kern w:val="2"/>
          <w:sz w:val="21"/>
        </w:rPr>
      </w:pPr>
      <w:r>
        <w:rPr>
          <w:rFonts w:ascii="Arial" w:hAnsi="Arial" w:cs="Arial"/>
          <w:kern w:val="2"/>
          <w:sz w:val="21"/>
        </w:rPr>
        <w:t>本估价报告</w:t>
      </w:r>
      <w:r>
        <w:rPr>
          <w:rFonts w:ascii="Arial" w:hAnsi="Arial" w:cs="Arial" w:hint="eastAsia"/>
          <w:kern w:val="2"/>
          <w:sz w:val="21"/>
        </w:rPr>
        <w:t>使用期限</w:t>
      </w:r>
      <w:r>
        <w:rPr>
          <w:rFonts w:ascii="Arial" w:hAnsi="Arial" w:cs="Arial"/>
          <w:kern w:val="2"/>
          <w:sz w:val="21"/>
        </w:rPr>
        <w:t>自</w:t>
      </w:r>
      <w:r>
        <w:rPr>
          <w:rFonts w:ascii="Arial" w:hAnsi="Arial" w:cs="Arial" w:hint="eastAsia"/>
          <w:kern w:val="2"/>
          <w:sz w:val="21"/>
        </w:rPr>
        <w:t>2026</w:t>
      </w:r>
      <w:r>
        <w:rPr>
          <w:rFonts w:ascii="Arial" w:hAnsi="Arial" w:cs="Arial" w:hint="eastAsia"/>
          <w:kern w:val="2"/>
          <w:sz w:val="21"/>
        </w:rPr>
        <w:t>年</w:t>
      </w:r>
      <w:r>
        <w:rPr>
          <w:rFonts w:ascii="Arial" w:hAnsi="Arial" w:cs="Arial" w:hint="eastAsia"/>
          <w:kern w:val="2"/>
          <w:sz w:val="21"/>
        </w:rPr>
        <w:t>1</w:t>
      </w:r>
      <w:r>
        <w:rPr>
          <w:rFonts w:ascii="Arial" w:hAnsi="Arial" w:cs="Arial" w:hint="eastAsia"/>
          <w:kern w:val="2"/>
          <w:sz w:val="21"/>
        </w:rPr>
        <w:t>月</w:t>
      </w:r>
      <w:r>
        <w:rPr>
          <w:rFonts w:ascii="Arial" w:hAnsi="Arial" w:cs="Arial" w:hint="eastAsia"/>
          <w:kern w:val="2"/>
          <w:sz w:val="21"/>
        </w:rPr>
        <w:t>30</w:t>
      </w:r>
      <w:r>
        <w:rPr>
          <w:rFonts w:ascii="Arial" w:hAnsi="Arial" w:cs="Arial" w:hint="eastAsia"/>
          <w:kern w:val="2"/>
          <w:sz w:val="21"/>
        </w:rPr>
        <w:t>日</w:t>
      </w:r>
      <w:r>
        <w:rPr>
          <w:rFonts w:ascii="Arial" w:hAnsi="Arial" w:cs="Arial"/>
          <w:kern w:val="2"/>
          <w:sz w:val="21"/>
        </w:rPr>
        <w:t>起</w:t>
      </w:r>
      <w:r>
        <w:rPr>
          <w:rFonts w:ascii="Arial" w:hAnsi="Arial" w:cs="Arial" w:hint="eastAsia"/>
          <w:kern w:val="2"/>
          <w:sz w:val="21"/>
        </w:rPr>
        <w:t>至</w:t>
      </w:r>
      <w:r>
        <w:rPr>
          <w:rFonts w:ascii="Arial" w:hAnsi="Arial" w:cs="Arial" w:hint="eastAsia"/>
          <w:kern w:val="2"/>
          <w:sz w:val="21"/>
        </w:rPr>
        <w:t>2027</w:t>
      </w:r>
      <w:r>
        <w:rPr>
          <w:rFonts w:ascii="Arial" w:hAnsi="Arial" w:cs="Arial" w:hint="eastAsia"/>
          <w:kern w:val="2"/>
          <w:sz w:val="21"/>
        </w:rPr>
        <w:t>年</w:t>
      </w:r>
      <w:r>
        <w:rPr>
          <w:rFonts w:ascii="Arial" w:hAnsi="Arial" w:cs="Arial" w:hint="eastAsia"/>
          <w:kern w:val="2"/>
          <w:sz w:val="21"/>
        </w:rPr>
        <w:t>1</w:t>
      </w:r>
      <w:r>
        <w:rPr>
          <w:rFonts w:ascii="Arial" w:hAnsi="Arial" w:cs="Arial" w:hint="eastAsia"/>
          <w:kern w:val="2"/>
          <w:sz w:val="21"/>
        </w:rPr>
        <w:t>月</w:t>
      </w:r>
      <w:r>
        <w:rPr>
          <w:rFonts w:ascii="Arial" w:hAnsi="Arial" w:cs="Arial" w:hint="eastAsia"/>
          <w:kern w:val="2"/>
          <w:sz w:val="21"/>
        </w:rPr>
        <w:t>29</w:t>
      </w:r>
      <w:r>
        <w:rPr>
          <w:rFonts w:ascii="Arial" w:hAnsi="Arial" w:cs="Arial" w:hint="eastAsia"/>
          <w:kern w:val="2"/>
          <w:sz w:val="21"/>
        </w:rPr>
        <w:t>日止。</w:t>
      </w:r>
    </w:p>
    <w:p w:rsidR="00184596" w:rsidRDefault="00FD048A">
      <w:pPr>
        <w:numPr>
          <w:ilvl w:val="0"/>
          <w:numId w:val="7"/>
        </w:numPr>
        <w:spacing w:line="480" w:lineRule="auto"/>
        <w:ind w:left="0" w:firstLineChars="200" w:firstLine="420"/>
        <w:jc w:val="both"/>
        <w:rPr>
          <w:rFonts w:ascii="Arial" w:hAnsi="Arial" w:cs="Arial"/>
          <w:sz w:val="21"/>
          <w:szCs w:val="21"/>
        </w:rPr>
      </w:pPr>
      <w:r>
        <w:rPr>
          <w:rFonts w:ascii="Arial" w:hAnsi="Arial" w:cs="Arial"/>
          <w:kern w:val="2"/>
          <w:sz w:val="21"/>
          <w:szCs w:val="21"/>
        </w:rPr>
        <w:t>本估价报告由</w:t>
      </w:r>
      <w:proofErr w:type="gramStart"/>
      <w:r>
        <w:rPr>
          <w:rFonts w:ascii="Arial" w:hAnsi="Arial" w:cs="Arial"/>
          <w:kern w:val="2"/>
          <w:sz w:val="21"/>
          <w:szCs w:val="21"/>
        </w:rPr>
        <w:t>北京康正宏</w:t>
      </w:r>
      <w:proofErr w:type="gramEnd"/>
      <w:r>
        <w:rPr>
          <w:rFonts w:ascii="Arial" w:hAnsi="Arial" w:cs="Arial"/>
          <w:kern w:val="2"/>
          <w:sz w:val="21"/>
          <w:szCs w:val="21"/>
        </w:rPr>
        <w:t>基房地产评估有限公司负责解释</w:t>
      </w:r>
      <w:r>
        <w:rPr>
          <w:rFonts w:ascii="Arial" w:hAnsi="Arial" w:cs="Arial" w:hint="eastAsia"/>
          <w:kern w:val="2"/>
          <w:sz w:val="21"/>
          <w:szCs w:val="21"/>
        </w:rPr>
        <w:t>。</w:t>
      </w:r>
    </w:p>
    <w:bookmarkEnd w:id="14"/>
    <w:p w:rsidR="00184596" w:rsidRDefault="00184596">
      <w:pPr>
        <w:spacing w:line="480" w:lineRule="auto"/>
        <w:ind w:firstLineChars="200" w:firstLine="420"/>
        <w:jc w:val="both"/>
        <w:rPr>
          <w:rFonts w:ascii="Arial" w:hAnsi="Arial" w:cs="Arial"/>
          <w:kern w:val="2"/>
          <w:sz w:val="21"/>
          <w:szCs w:val="21"/>
        </w:rPr>
        <w:sectPr w:rsidR="00184596">
          <w:pgSz w:w="11907" w:h="16840"/>
          <w:pgMar w:top="1843" w:right="1304" w:bottom="1134" w:left="1304" w:header="1134" w:footer="907" w:gutter="0"/>
          <w:cols w:space="720"/>
          <w:docGrid w:linePitch="326"/>
        </w:sectPr>
      </w:pPr>
    </w:p>
    <w:p w:rsidR="00184596" w:rsidRDefault="00FD048A">
      <w:pPr>
        <w:pStyle w:val="1"/>
        <w:spacing w:line="480" w:lineRule="auto"/>
        <w:jc w:val="center"/>
        <w:rPr>
          <w:rFonts w:eastAsia="方正黑体简体"/>
          <w:b w:val="0"/>
          <w:kern w:val="2"/>
          <w:sz w:val="32"/>
          <w:szCs w:val="32"/>
        </w:rPr>
      </w:pPr>
      <w:bookmarkStart w:id="17" w:name="_Toc477252440"/>
      <w:bookmarkStart w:id="18" w:name="_Toc168225812"/>
      <w:r>
        <w:rPr>
          <w:rFonts w:eastAsia="方正黑体简体" w:hint="eastAsia"/>
          <w:b w:val="0"/>
          <w:kern w:val="2"/>
          <w:sz w:val="32"/>
          <w:szCs w:val="32"/>
        </w:rPr>
        <w:lastRenderedPageBreak/>
        <w:t>估价结果报告</w:t>
      </w:r>
      <w:bookmarkEnd w:id="17"/>
      <w:bookmarkEnd w:id="18"/>
    </w:p>
    <w:p w:rsidR="00184596" w:rsidRDefault="00FD048A">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9" w:name="_Toc216083223"/>
      <w:bookmarkStart w:id="20" w:name="_Toc477252441"/>
      <w:r>
        <w:rPr>
          <w:rFonts w:eastAsia="宋体"/>
          <w:kern w:val="2"/>
          <w:sz w:val="21"/>
          <w:szCs w:val="21"/>
        </w:rPr>
        <w:t>一</w:t>
      </w:r>
      <w:bookmarkEnd w:id="19"/>
      <w:r>
        <w:rPr>
          <w:rFonts w:eastAsia="宋体"/>
          <w:kern w:val="2"/>
          <w:sz w:val="21"/>
          <w:szCs w:val="21"/>
        </w:rPr>
        <w:t>、估价委托人</w:t>
      </w:r>
      <w:bookmarkEnd w:id="20"/>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本次评估估价委托人为</w:t>
      </w:r>
      <w:r>
        <w:rPr>
          <w:rFonts w:ascii="Arial" w:hAnsi="Arial" w:hint="eastAsia"/>
          <w:kern w:val="2"/>
          <w:sz w:val="21"/>
        </w:rPr>
        <w:t>北京首开龙湖盈泰置业有限公司</w:t>
      </w:r>
      <w:r>
        <w:rPr>
          <w:rFonts w:ascii="Arial" w:hAnsi="Arial" w:cs="Arial"/>
          <w:sz w:val="21"/>
          <w:szCs w:val="21"/>
        </w:rPr>
        <w:t>，为估价对象的不动产权利人。</w:t>
      </w:r>
    </w:p>
    <w:p w:rsidR="00184596" w:rsidRDefault="00FD048A">
      <w:pPr>
        <w:wordWrap w:val="0"/>
        <w:overflowPunct w:val="0"/>
        <w:spacing w:line="480" w:lineRule="auto"/>
        <w:ind w:firstLineChars="200" w:firstLine="420"/>
        <w:jc w:val="both"/>
        <w:textAlignment w:val="auto"/>
        <w:rPr>
          <w:rFonts w:ascii="Arial" w:hAnsi="Arial"/>
          <w:kern w:val="2"/>
          <w:sz w:val="21"/>
        </w:rPr>
      </w:pPr>
      <w:r>
        <w:rPr>
          <w:rFonts w:ascii="Arial" w:hAnsi="Arial" w:cs="Arial"/>
          <w:sz w:val="21"/>
          <w:szCs w:val="21"/>
        </w:rPr>
        <w:t>单位名称：</w:t>
      </w:r>
      <w:r>
        <w:rPr>
          <w:rFonts w:ascii="Arial" w:hAnsi="Arial" w:hint="eastAsia"/>
          <w:kern w:val="2"/>
          <w:sz w:val="21"/>
        </w:rPr>
        <w:t>北京首开龙湖盈泰置业有限公司</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住所：</w:t>
      </w:r>
      <w:r>
        <w:rPr>
          <w:rFonts w:ascii="Arial" w:hAnsi="Arial" w:cs="Arial" w:hint="eastAsia"/>
          <w:sz w:val="21"/>
          <w:szCs w:val="21"/>
        </w:rPr>
        <w:t>北京市东城区东</w:t>
      </w:r>
      <w:proofErr w:type="gramStart"/>
      <w:r>
        <w:rPr>
          <w:rFonts w:ascii="Arial" w:hAnsi="Arial" w:cs="Arial" w:hint="eastAsia"/>
          <w:sz w:val="21"/>
          <w:szCs w:val="21"/>
        </w:rPr>
        <w:t>花市北</w:t>
      </w:r>
      <w:proofErr w:type="gramEnd"/>
      <w:r>
        <w:rPr>
          <w:rFonts w:ascii="Arial" w:hAnsi="Arial" w:cs="Arial" w:hint="eastAsia"/>
          <w:sz w:val="21"/>
          <w:szCs w:val="21"/>
        </w:rPr>
        <w:t>里东区</w:t>
      </w:r>
      <w:proofErr w:type="gramStart"/>
      <w:r>
        <w:rPr>
          <w:rFonts w:ascii="Arial" w:hAnsi="Arial" w:cs="Arial" w:hint="eastAsia"/>
          <w:sz w:val="21"/>
          <w:szCs w:val="21"/>
        </w:rPr>
        <w:t>1</w:t>
      </w:r>
      <w:r>
        <w:rPr>
          <w:rFonts w:ascii="Arial" w:hAnsi="Arial" w:cs="Arial" w:hint="eastAsia"/>
          <w:sz w:val="21"/>
          <w:szCs w:val="21"/>
        </w:rPr>
        <w:t>号</w:t>
      </w:r>
      <w:r>
        <w:rPr>
          <w:rFonts w:ascii="Arial" w:hAnsi="Arial" w:cs="Arial" w:hint="eastAsia"/>
          <w:sz w:val="21"/>
          <w:szCs w:val="21"/>
        </w:rPr>
        <w:t>1</w:t>
      </w:r>
      <w:r>
        <w:rPr>
          <w:rFonts w:ascii="Arial" w:hAnsi="Arial" w:cs="Arial" w:hint="eastAsia"/>
          <w:sz w:val="21"/>
          <w:szCs w:val="21"/>
        </w:rPr>
        <w:t>号</w:t>
      </w:r>
      <w:proofErr w:type="gramEnd"/>
      <w:r>
        <w:rPr>
          <w:rFonts w:ascii="Arial" w:hAnsi="Arial" w:cs="Arial" w:hint="eastAsia"/>
          <w:sz w:val="21"/>
          <w:szCs w:val="21"/>
        </w:rPr>
        <w:t>楼三段五层</w:t>
      </w:r>
    </w:p>
    <w:p w:rsidR="00184596" w:rsidRDefault="00FD048A">
      <w:pPr>
        <w:wordWrap w:val="0"/>
        <w:overflowPunct w:val="0"/>
        <w:spacing w:line="480" w:lineRule="auto"/>
        <w:ind w:firstLineChars="200" w:firstLine="420"/>
        <w:jc w:val="both"/>
        <w:textAlignment w:val="auto"/>
        <w:rPr>
          <w:rFonts w:ascii="Arial" w:hAnsi="Arial"/>
          <w:kern w:val="2"/>
          <w:sz w:val="21"/>
        </w:rPr>
      </w:pPr>
      <w:r>
        <w:rPr>
          <w:rFonts w:ascii="Arial" w:hAnsi="Arial" w:cs="Arial"/>
          <w:sz w:val="21"/>
          <w:szCs w:val="21"/>
        </w:rPr>
        <w:t>法定代表人：</w:t>
      </w:r>
      <w:r>
        <w:rPr>
          <w:rFonts w:ascii="Arial" w:hAnsi="Arial" w:cs="Arial" w:hint="eastAsia"/>
          <w:sz w:val="21"/>
          <w:szCs w:val="21"/>
        </w:rPr>
        <w:t>刘泉</w:t>
      </w:r>
      <w:r>
        <w:rPr>
          <w:rFonts w:ascii="Arial" w:hAnsi="Arial" w:cs="Arial" w:hint="eastAsia"/>
          <w:sz w:val="21"/>
          <w:szCs w:val="21"/>
        </w:rPr>
        <w:t xml:space="preserve"> </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联系人：</w:t>
      </w:r>
      <w:r>
        <w:rPr>
          <w:rFonts w:ascii="Arial" w:hAnsi="Arial" w:cs="Arial" w:hint="eastAsia"/>
          <w:sz w:val="21"/>
          <w:szCs w:val="21"/>
        </w:rPr>
        <w:t>常园</w:t>
      </w:r>
      <w:proofErr w:type="gramStart"/>
      <w:r>
        <w:rPr>
          <w:rFonts w:ascii="Arial" w:hAnsi="Arial" w:cs="Arial" w:hint="eastAsia"/>
          <w:sz w:val="21"/>
          <w:szCs w:val="21"/>
        </w:rPr>
        <w:t>园</w:t>
      </w:r>
      <w:proofErr w:type="gramEnd"/>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联系电话：</w:t>
      </w:r>
      <w:r>
        <w:rPr>
          <w:rFonts w:ascii="Arial" w:hAnsi="Arial" w:cs="Arial" w:hint="eastAsia"/>
          <w:sz w:val="21"/>
          <w:szCs w:val="21"/>
        </w:rPr>
        <w:t>13911780173</w:t>
      </w:r>
    </w:p>
    <w:p w:rsidR="00184596" w:rsidRDefault="00FD048A">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4"/>
      <w:bookmarkStart w:id="22" w:name="_Toc477252442"/>
      <w:r>
        <w:rPr>
          <w:rFonts w:eastAsia="宋体"/>
          <w:kern w:val="2"/>
          <w:sz w:val="21"/>
          <w:szCs w:val="21"/>
        </w:rPr>
        <w:t>二、房地产估价机构</w:t>
      </w:r>
      <w:bookmarkEnd w:id="21"/>
      <w:bookmarkEnd w:id="22"/>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受托机构：</w:t>
      </w:r>
      <w:proofErr w:type="gramStart"/>
      <w:r>
        <w:rPr>
          <w:rFonts w:ascii="Arial" w:hAnsi="Arial" w:cs="Arial"/>
          <w:sz w:val="21"/>
          <w:szCs w:val="21"/>
        </w:rPr>
        <w:t>北京康正宏</w:t>
      </w:r>
      <w:proofErr w:type="gramEnd"/>
      <w:r>
        <w:rPr>
          <w:rFonts w:ascii="Arial" w:hAnsi="Arial" w:cs="Arial"/>
          <w:sz w:val="21"/>
          <w:szCs w:val="21"/>
        </w:rPr>
        <w:t>基房地产评估有限公司</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Pr>
          <w:rFonts w:ascii="Arial" w:hAnsi="Arial" w:cs="Arial"/>
          <w:sz w:val="21"/>
          <w:szCs w:val="21"/>
        </w:rPr>
        <w:t>：</w:t>
      </w:r>
      <w:r>
        <w:rPr>
          <w:rFonts w:ascii="Arial" w:hAnsi="Arial" w:cs="Arial" w:hint="eastAsia"/>
          <w:sz w:val="21"/>
          <w:szCs w:val="21"/>
        </w:rPr>
        <w:t>一</w:t>
      </w:r>
      <w:r>
        <w:rPr>
          <w:rFonts w:ascii="Arial" w:hAnsi="Arial" w:cs="Arial"/>
          <w:sz w:val="21"/>
          <w:szCs w:val="21"/>
        </w:rPr>
        <w:t>级</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Pr>
          <w:rFonts w:ascii="Arial" w:hAnsi="Arial" w:cs="Arial"/>
          <w:sz w:val="21"/>
          <w:szCs w:val="21"/>
        </w:rPr>
        <w:t>证书</w:t>
      </w:r>
      <w:r>
        <w:rPr>
          <w:rFonts w:ascii="Arial" w:hAnsi="Arial" w:cs="Arial" w:hint="eastAsia"/>
          <w:sz w:val="21"/>
          <w:szCs w:val="21"/>
        </w:rPr>
        <w:t>编</w:t>
      </w:r>
      <w:r>
        <w:rPr>
          <w:rFonts w:ascii="Arial" w:hAnsi="Arial" w:cs="Arial"/>
          <w:sz w:val="21"/>
          <w:szCs w:val="21"/>
        </w:rPr>
        <w:t>号：</w:t>
      </w:r>
      <w:proofErr w:type="gramStart"/>
      <w:r>
        <w:rPr>
          <w:rFonts w:ascii="Arial" w:hAnsi="Arial" w:cs="Arial"/>
          <w:sz w:val="21"/>
          <w:szCs w:val="21"/>
        </w:rPr>
        <w:t>建房估</w:t>
      </w:r>
      <w:r>
        <w:rPr>
          <w:rFonts w:ascii="Arial" w:hAnsi="Arial" w:cs="Arial" w:hint="eastAsia"/>
          <w:sz w:val="21"/>
          <w:szCs w:val="21"/>
        </w:rPr>
        <w:t>备</w:t>
      </w:r>
      <w:r>
        <w:rPr>
          <w:rFonts w:ascii="Arial" w:hAnsi="Arial" w:cs="Arial"/>
          <w:sz w:val="21"/>
          <w:szCs w:val="21"/>
        </w:rPr>
        <w:t>字</w:t>
      </w:r>
      <w:proofErr w:type="gramEnd"/>
      <w:r>
        <w:rPr>
          <w:rFonts w:ascii="Arial" w:hAnsi="Arial" w:cs="Arial"/>
          <w:sz w:val="21"/>
          <w:szCs w:val="21"/>
        </w:rPr>
        <w:t>[2013]</w:t>
      </w:r>
      <w:r>
        <w:rPr>
          <w:rFonts w:ascii="Arial" w:hAnsi="Arial" w:hint="eastAsia"/>
          <w:sz w:val="21"/>
          <w:szCs w:val="21"/>
        </w:rPr>
        <w:t>第</w:t>
      </w:r>
      <w:r>
        <w:rPr>
          <w:rFonts w:ascii="Arial" w:hAnsi="Arial" w:cs="Arial"/>
          <w:sz w:val="21"/>
          <w:szCs w:val="21"/>
        </w:rPr>
        <w:t>081</w:t>
      </w:r>
      <w:r>
        <w:rPr>
          <w:rFonts w:ascii="Arial" w:hAnsi="Arial" w:cs="Arial"/>
          <w:sz w:val="21"/>
          <w:szCs w:val="21"/>
        </w:rPr>
        <w:t>号</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有效期限：</w:t>
      </w:r>
      <w:r>
        <w:rPr>
          <w:rFonts w:ascii="Arial" w:hAnsi="Arial" w:cs="Arial"/>
          <w:sz w:val="21"/>
          <w:szCs w:val="21"/>
        </w:rPr>
        <w:t>20</w:t>
      </w:r>
      <w:r>
        <w:rPr>
          <w:rFonts w:ascii="Arial" w:hAnsi="Arial" w:cs="Arial" w:hint="eastAsia"/>
          <w:sz w:val="21"/>
          <w:szCs w:val="21"/>
        </w:rPr>
        <w:t>25</w:t>
      </w:r>
      <w:r>
        <w:rPr>
          <w:rFonts w:ascii="Arial" w:hAnsi="Arial" w:cs="Arial"/>
          <w:sz w:val="21"/>
          <w:szCs w:val="21"/>
        </w:rPr>
        <w:t>年</w:t>
      </w:r>
      <w:r>
        <w:rPr>
          <w:rFonts w:ascii="Arial" w:hAnsi="Arial" w:cs="Arial" w:hint="eastAsia"/>
          <w:sz w:val="21"/>
          <w:szCs w:val="21"/>
        </w:rPr>
        <w:t>7</w:t>
      </w:r>
      <w:r>
        <w:rPr>
          <w:rFonts w:ascii="Arial" w:hAnsi="Arial" w:cs="Arial"/>
          <w:sz w:val="21"/>
          <w:szCs w:val="21"/>
        </w:rPr>
        <w:t>月</w:t>
      </w:r>
      <w:r>
        <w:rPr>
          <w:rFonts w:ascii="Arial" w:hAnsi="Arial" w:cs="Arial" w:hint="eastAsia"/>
          <w:sz w:val="21"/>
          <w:szCs w:val="21"/>
        </w:rPr>
        <w:t>1</w:t>
      </w:r>
      <w:r>
        <w:rPr>
          <w:rFonts w:ascii="Arial" w:hAnsi="Arial" w:cs="Arial"/>
          <w:sz w:val="21"/>
          <w:szCs w:val="21"/>
        </w:rPr>
        <w:t>日至</w:t>
      </w:r>
      <w:r>
        <w:rPr>
          <w:rFonts w:ascii="Arial" w:hAnsi="Arial" w:cs="Arial"/>
          <w:sz w:val="21"/>
          <w:szCs w:val="21"/>
        </w:rPr>
        <w:t>20</w:t>
      </w:r>
      <w:r>
        <w:rPr>
          <w:rFonts w:ascii="Arial" w:hAnsi="Arial" w:cs="Arial" w:hint="eastAsia"/>
          <w:sz w:val="21"/>
          <w:szCs w:val="21"/>
        </w:rPr>
        <w:t>28</w:t>
      </w:r>
      <w:r>
        <w:rPr>
          <w:rFonts w:ascii="Arial" w:hAnsi="Arial" w:cs="Arial"/>
          <w:sz w:val="21"/>
          <w:szCs w:val="21"/>
        </w:rPr>
        <w:t>年</w:t>
      </w:r>
      <w:r>
        <w:rPr>
          <w:rFonts w:ascii="Arial" w:hAnsi="Arial" w:cs="Arial" w:hint="eastAsia"/>
          <w:sz w:val="21"/>
          <w:szCs w:val="21"/>
        </w:rPr>
        <w:t>6</w:t>
      </w:r>
      <w:r>
        <w:rPr>
          <w:rFonts w:ascii="Arial" w:hAnsi="Arial" w:cs="Arial"/>
          <w:sz w:val="21"/>
          <w:szCs w:val="21"/>
        </w:rPr>
        <w:t>月</w:t>
      </w:r>
      <w:r>
        <w:rPr>
          <w:rFonts w:ascii="Arial" w:hAnsi="Arial" w:cs="Arial" w:hint="eastAsia"/>
          <w:sz w:val="21"/>
          <w:szCs w:val="21"/>
        </w:rPr>
        <w:t>30</w:t>
      </w:r>
      <w:r>
        <w:rPr>
          <w:rFonts w:ascii="Arial" w:hAnsi="Arial" w:cs="Arial"/>
          <w:sz w:val="21"/>
          <w:szCs w:val="21"/>
        </w:rPr>
        <w:t>日</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地址：北京市朝阳区裕民路</w:t>
      </w:r>
      <w:r>
        <w:rPr>
          <w:rFonts w:ascii="Arial" w:hAnsi="Arial" w:cs="Arial" w:hint="eastAsia"/>
          <w:sz w:val="21"/>
          <w:szCs w:val="21"/>
        </w:rPr>
        <w:t>12</w:t>
      </w:r>
      <w:r>
        <w:rPr>
          <w:rFonts w:ascii="Arial" w:hAnsi="Arial" w:cs="Arial" w:hint="eastAsia"/>
          <w:sz w:val="21"/>
          <w:szCs w:val="21"/>
        </w:rPr>
        <w:t>号中国国际科技会展中心</w:t>
      </w:r>
      <w:r>
        <w:rPr>
          <w:rFonts w:ascii="Arial" w:hAnsi="Arial" w:cs="Arial" w:hint="eastAsia"/>
          <w:sz w:val="21"/>
          <w:szCs w:val="21"/>
        </w:rPr>
        <w:t>B</w:t>
      </w:r>
      <w:r>
        <w:rPr>
          <w:rFonts w:ascii="Arial" w:hAnsi="Arial" w:cs="Arial" w:hint="eastAsia"/>
          <w:sz w:val="21"/>
          <w:szCs w:val="21"/>
        </w:rPr>
        <w:t>座</w:t>
      </w:r>
      <w:r>
        <w:rPr>
          <w:rFonts w:ascii="Arial" w:hAnsi="Arial" w:cs="Arial" w:hint="eastAsia"/>
          <w:sz w:val="21"/>
          <w:szCs w:val="21"/>
        </w:rPr>
        <w:t>1003</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法定代表人：齐宏</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hAnsi="Arial" w:cs="Arial" w:hint="eastAsia"/>
          <w:sz w:val="21"/>
          <w:szCs w:val="21"/>
        </w:rPr>
        <w:t xml:space="preserve"> </w:t>
      </w:r>
      <w:r>
        <w:rPr>
          <w:rFonts w:ascii="Arial" w:hAnsi="Arial" w:cs="Arial"/>
          <w:sz w:val="21"/>
          <w:szCs w:val="21"/>
        </w:rPr>
        <w:t>系</w:t>
      </w:r>
      <w:r>
        <w:rPr>
          <w:rFonts w:ascii="Arial" w:hAnsi="Arial" w:cs="Arial" w:hint="eastAsia"/>
          <w:sz w:val="21"/>
          <w:szCs w:val="21"/>
        </w:rPr>
        <w:t xml:space="preserve"> </w:t>
      </w:r>
      <w:r>
        <w:rPr>
          <w:rFonts w:ascii="Arial" w:hAnsi="Arial" w:cs="Arial"/>
          <w:sz w:val="21"/>
          <w:szCs w:val="21"/>
        </w:rPr>
        <w:t>人：</w:t>
      </w:r>
      <w:r>
        <w:rPr>
          <w:rFonts w:ascii="Arial" w:hAnsi="Arial" w:cs="Arial" w:hint="eastAsia"/>
          <w:sz w:val="21"/>
          <w:szCs w:val="21"/>
        </w:rPr>
        <w:t>李诗霖</w:t>
      </w:r>
    </w:p>
    <w:p w:rsidR="00184596" w:rsidRDefault="00FD048A">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联系电话：</w:t>
      </w:r>
      <w:r>
        <w:rPr>
          <w:rFonts w:ascii="Arial" w:hAnsi="Arial" w:cs="Arial"/>
          <w:sz w:val="21"/>
          <w:szCs w:val="21"/>
        </w:rPr>
        <w:t>010-82253558</w:t>
      </w:r>
    </w:p>
    <w:p w:rsidR="00184596" w:rsidRDefault="00FD048A">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5"/>
      <w:bookmarkStart w:id="24" w:name="_Toc477252443"/>
      <w:r>
        <w:rPr>
          <w:rFonts w:eastAsia="宋体"/>
          <w:kern w:val="2"/>
          <w:sz w:val="21"/>
          <w:szCs w:val="21"/>
        </w:rPr>
        <w:t>三、估价目的</w:t>
      </w:r>
      <w:bookmarkEnd w:id="23"/>
      <w:bookmarkEnd w:id="24"/>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hint="eastAsia"/>
          <w:kern w:val="2"/>
          <w:sz w:val="21"/>
        </w:rPr>
        <w:t>为估价委托人了解估价对象房地产市场租金水平提供参考依据</w:t>
      </w:r>
      <w:r>
        <w:rPr>
          <w:rFonts w:ascii="Arial" w:hAnsi="Arial" w:cs="Arial"/>
          <w:sz w:val="21"/>
          <w:szCs w:val="21"/>
        </w:rPr>
        <w:t>。</w:t>
      </w:r>
    </w:p>
    <w:p w:rsidR="00184596" w:rsidRDefault="00FD048A">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5" w:name="_Toc168225816"/>
      <w:bookmarkStart w:id="26" w:name="_Toc477252444"/>
      <w:r>
        <w:rPr>
          <w:rFonts w:eastAsia="宋体"/>
          <w:kern w:val="2"/>
          <w:sz w:val="21"/>
          <w:szCs w:val="21"/>
        </w:rPr>
        <w:t>四、估价对象</w:t>
      </w:r>
      <w:bookmarkEnd w:id="25"/>
      <w:bookmarkEnd w:id="26"/>
    </w:p>
    <w:p w:rsidR="00184596" w:rsidRDefault="00FD048A">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rsidR="00184596" w:rsidRDefault="00FD048A">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本次评估估价对象为</w:t>
      </w:r>
      <w:r>
        <w:rPr>
          <w:rFonts w:ascii="Arial" w:hAnsi="Arial" w:cs="Arial" w:hint="eastAsia"/>
          <w:kern w:val="2"/>
          <w:sz w:val="21"/>
          <w:szCs w:val="21"/>
        </w:rPr>
        <w:t>北京市房山区阜盛西街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号楼地上</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29</w:t>
      </w:r>
      <w:r>
        <w:rPr>
          <w:rFonts w:ascii="Arial" w:hAnsi="Arial" w:cs="Arial" w:hint="eastAsia"/>
          <w:kern w:val="2"/>
          <w:sz w:val="21"/>
          <w:szCs w:val="21"/>
        </w:rPr>
        <w:t>套商业用房</w:t>
      </w:r>
      <w:r>
        <w:rPr>
          <w:rFonts w:ascii="Arial" w:hAnsi="Arial" w:cs="Arial" w:hint="eastAsia"/>
          <w:sz w:val="21"/>
          <w:szCs w:val="21"/>
        </w:rPr>
        <w:t>房地产</w:t>
      </w:r>
      <w:r>
        <w:rPr>
          <w:rFonts w:ascii="Arial" w:hAnsi="Arial" w:cs="Arial"/>
          <w:kern w:val="2"/>
          <w:sz w:val="21"/>
          <w:szCs w:val="21"/>
        </w:rPr>
        <w:t>。估价对象范围为其</w:t>
      </w:r>
      <w:r>
        <w:rPr>
          <w:rFonts w:ascii="Arial" w:hAnsi="Arial" w:cs="Arial"/>
          <w:sz w:val="21"/>
          <w:szCs w:val="21"/>
        </w:rPr>
        <w:t>房屋所有权及出让国有建设用地使用权，</w:t>
      </w:r>
      <w:r>
        <w:rPr>
          <w:rFonts w:ascii="Arial" w:hAnsi="Arial" w:cs="Arial"/>
          <w:kern w:val="2"/>
          <w:sz w:val="21"/>
          <w:szCs w:val="21"/>
        </w:rPr>
        <w:t>不包含动产、债权债务、特许经营权等其他财产或权益。</w:t>
      </w:r>
    </w:p>
    <w:p w:rsidR="00184596" w:rsidRDefault="00FD048A">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lastRenderedPageBreak/>
        <w:t>（二）估价对象基本状况</w:t>
      </w:r>
    </w:p>
    <w:p w:rsidR="00184596" w:rsidRDefault="00FD048A">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估价对象位于</w:t>
      </w:r>
      <w:r>
        <w:rPr>
          <w:rFonts w:ascii="Arial" w:hAnsi="Arial" w:hint="eastAsia"/>
          <w:bCs/>
          <w:sz w:val="21"/>
        </w:rPr>
        <w:t>北京市房山区阜盛西街</w:t>
      </w:r>
      <w:r>
        <w:rPr>
          <w:rFonts w:ascii="Arial" w:hAnsi="Arial" w:hint="eastAsia"/>
          <w:bCs/>
          <w:sz w:val="21"/>
        </w:rPr>
        <w:t>11</w:t>
      </w:r>
      <w:r>
        <w:rPr>
          <w:rFonts w:ascii="Arial" w:hAnsi="Arial" w:hint="eastAsia"/>
          <w:bCs/>
          <w:sz w:val="21"/>
        </w:rPr>
        <w:t>号院</w:t>
      </w:r>
      <w:r>
        <w:rPr>
          <w:rFonts w:ascii="Arial" w:hAnsi="Arial" w:cs="Arial"/>
          <w:kern w:val="2"/>
          <w:sz w:val="21"/>
          <w:szCs w:val="21"/>
        </w:rPr>
        <w:t>，</w:t>
      </w:r>
      <w:proofErr w:type="gramStart"/>
      <w:r>
        <w:rPr>
          <w:rFonts w:ascii="Arial" w:hAnsi="Arial" w:cs="Arial" w:hint="eastAsia"/>
          <w:kern w:val="2"/>
          <w:sz w:val="21"/>
          <w:szCs w:val="21"/>
        </w:rPr>
        <w:t>属熙悦天</w:t>
      </w:r>
      <w:proofErr w:type="gramEnd"/>
      <w:r>
        <w:rPr>
          <w:rFonts w:ascii="Arial" w:hAnsi="Arial" w:cs="Arial" w:hint="eastAsia"/>
          <w:kern w:val="2"/>
          <w:sz w:val="21"/>
          <w:szCs w:val="21"/>
        </w:rPr>
        <w:t>街项目，</w:t>
      </w:r>
      <w:r>
        <w:rPr>
          <w:rFonts w:ascii="Arial" w:hAnsi="Arial" w:cs="Arial"/>
          <w:kern w:val="2"/>
          <w:sz w:val="21"/>
          <w:szCs w:val="21"/>
        </w:rPr>
        <w:t>估价对象的范围是</w:t>
      </w:r>
      <w:r>
        <w:rPr>
          <w:rFonts w:ascii="Arial" w:hAnsi="Arial" w:cs="Arial" w:hint="eastAsia"/>
          <w:kern w:val="2"/>
          <w:sz w:val="21"/>
          <w:szCs w:val="21"/>
        </w:rPr>
        <w:t>北京市房山区阜盛西街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号楼地上</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29</w:t>
      </w:r>
      <w:r>
        <w:rPr>
          <w:rFonts w:ascii="Arial" w:hAnsi="Arial" w:cs="Arial" w:hint="eastAsia"/>
          <w:kern w:val="2"/>
          <w:sz w:val="21"/>
          <w:szCs w:val="21"/>
        </w:rPr>
        <w:t>套商业用房</w:t>
      </w:r>
      <w:r>
        <w:rPr>
          <w:rFonts w:ascii="Arial" w:hAnsi="Arial" w:cs="Arial"/>
          <w:kern w:val="2"/>
          <w:sz w:val="21"/>
          <w:szCs w:val="21"/>
        </w:rPr>
        <w:t>，</w:t>
      </w:r>
      <w:r>
        <w:rPr>
          <w:rFonts w:ascii="Arial" w:hAnsi="Arial" w:cs="Arial" w:hint="eastAsia"/>
          <w:kern w:val="2"/>
          <w:sz w:val="21"/>
          <w:szCs w:val="21"/>
        </w:rPr>
        <w:t>不动产权利人为</w:t>
      </w:r>
      <w:r>
        <w:rPr>
          <w:rFonts w:ascii="Arial" w:hAnsi="Arial" w:hint="eastAsia"/>
          <w:bCs/>
          <w:sz w:val="21"/>
        </w:rPr>
        <w:t>北京首开龙湖盈泰置业有限公司</w:t>
      </w:r>
      <w:r>
        <w:rPr>
          <w:rFonts w:ascii="Arial" w:hAnsi="Arial" w:cs="Arial" w:hint="eastAsia"/>
          <w:kern w:val="2"/>
          <w:sz w:val="21"/>
          <w:szCs w:val="21"/>
        </w:rPr>
        <w:t>，即本次评估</w:t>
      </w:r>
      <w:r>
        <w:rPr>
          <w:rFonts w:ascii="Arial" w:hAnsi="Arial" w:cs="Arial"/>
          <w:kern w:val="2"/>
          <w:sz w:val="21"/>
          <w:szCs w:val="21"/>
        </w:rPr>
        <w:t>估价委托人。</w:t>
      </w:r>
      <w:r>
        <w:rPr>
          <w:rFonts w:ascii="Arial" w:hAnsi="Arial" w:cs="Arial" w:hint="eastAsia"/>
          <w:kern w:val="2"/>
          <w:sz w:val="21"/>
          <w:szCs w:val="21"/>
        </w:rPr>
        <w:t>估价对象</w:t>
      </w:r>
      <w:r>
        <w:rPr>
          <w:rFonts w:ascii="Arial" w:hAnsi="Arial" w:hint="eastAsia"/>
          <w:bCs/>
          <w:sz w:val="21"/>
        </w:rPr>
        <w:t>总建筑面积为</w:t>
      </w:r>
      <w:r>
        <w:rPr>
          <w:rFonts w:ascii="Arial" w:hAnsi="Arial" w:hint="eastAsia"/>
          <w:bCs/>
          <w:sz w:val="21"/>
        </w:rPr>
        <w:t>24871.67</w:t>
      </w:r>
      <w:r>
        <w:rPr>
          <w:rFonts w:ascii="Arial" w:hAnsi="Arial" w:hint="eastAsia"/>
          <w:bCs/>
          <w:sz w:val="21"/>
        </w:rPr>
        <w:t>平方米，套内建筑面积为</w:t>
      </w:r>
      <w:commentRangeStart w:id="27"/>
      <w:r>
        <w:rPr>
          <w:rFonts w:ascii="Arial" w:hAnsi="Arial" w:hint="eastAsia"/>
          <w:bCs/>
          <w:sz w:val="21"/>
        </w:rPr>
        <w:t>17190.47</w:t>
      </w:r>
      <w:commentRangeEnd w:id="27"/>
      <w:r w:rsidR="00F21149">
        <w:rPr>
          <w:rStyle w:val="af5"/>
        </w:rPr>
        <w:commentReference w:id="27"/>
      </w:r>
      <w:r>
        <w:rPr>
          <w:rFonts w:ascii="Arial" w:hAnsi="Arial" w:hint="eastAsia"/>
          <w:bCs/>
          <w:sz w:val="21"/>
        </w:rPr>
        <w:t>平方米</w:t>
      </w:r>
      <w:r>
        <w:rPr>
          <w:rFonts w:ascii="Arial" w:hAnsi="Arial" w:cs="Arial"/>
          <w:sz w:val="21"/>
          <w:szCs w:val="21"/>
        </w:rPr>
        <w:t>，</w:t>
      </w:r>
      <w:r>
        <w:rPr>
          <w:rFonts w:ascii="Arial" w:hAnsi="Arial" w:cs="Arial" w:hint="eastAsia"/>
          <w:sz w:val="21"/>
          <w:szCs w:val="21"/>
        </w:rPr>
        <w:t>规划用途为商业</w:t>
      </w:r>
      <w:r>
        <w:rPr>
          <w:rFonts w:ascii="Arial" w:hAnsi="Arial" w:cs="Arial"/>
          <w:kern w:val="2"/>
          <w:sz w:val="21"/>
          <w:szCs w:val="21"/>
        </w:rPr>
        <w:t>。</w:t>
      </w:r>
    </w:p>
    <w:p w:rsidR="00184596" w:rsidRDefault="00FD048A">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（三）土地基本状况</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1.</w:t>
      </w:r>
      <w:r>
        <w:rPr>
          <w:rFonts w:ascii="Arial" w:hAnsi="Arial" w:cs="Arial"/>
          <w:sz w:val="21"/>
          <w:szCs w:val="21"/>
        </w:rPr>
        <w:t>根据</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、《估价委托书》</w:t>
      </w:r>
      <w:r>
        <w:rPr>
          <w:rFonts w:ascii="Arial" w:hAnsi="Arial" w:cs="Arial"/>
          <w:sz w:val="21"/>
          <w:szCs w:val="21"/>
        </w:rPr>
        <w:t>，估价对象土地为国有土地，土地所有权归国家所有；</w:t>
      </w:r>
      <w:r>
        <w:rPr>
          <w:rFonts w:ascii="Arial" w:hAnsi="Arial" w:hint="eastAsia"/>
          <w:kern w:val="2"/>
          <w:sz w:val="21"/>
        </w:rPr>
        <w:t>北京首开龙湖盈泰置业有限公司</w:t>
      </w:r>
      <w:r>
        <w:rPr>
          <w:rFonts w:ascii="Arial" w:hAnsi="Arial" w:cs="Arial"/>
          <w:sz w:val="21"/>
          <w:szCs w:val="21"/>
        </w:rPr>
        <w:t>拥有估价对象出让国有建设用地使用权，土地用途为</w:t>
      </w:r>
      <w:r>
        <w:rPr>
          <w:rFonts w:ascii="Arial" w:hAnsi="Arial" w:hint="eastAsia"/>
          <w:bCs/>
          <w:sz w:val="21"/>
        </w:rPr>
        <w:t>商业</w:t>
      </w:r>
      <w:r>
        <w:rPr>
          <w:rFonts w:ascii="Arial" w:hAnsi="Arial" w:cs="Arial"/>
          <w:sz w:val="21"/>
          <w:szCs w:val="21"/>
        </w:rPr>
        <w:t>，</w:t>
      </w:r>
      <w:r>
        <w:rPr>
          <w:rFonts w:ascii="Arial" w:hAnsi="Arial" w:hint="eastAsia"/>
          <w:bCs/>
          <w:sz w:val="21"/>
        </w:rPr>
        <w:t>土地使用年限为</w:t>
      </w:r>
      <w:r>
        <w:rPr>
          <w:rFonts w:ascii="Arial" w:hAnsi="Arial" w:hint="eastAsia"/>
          <w:bCs/>
          <w:sz w:val="21"/>
        </w:rPr>
        <w:t>40</w:t>
      </w:r>
      <w:r>
        <w:rPr>
          <w:rFonts w:ascii="Arial" w:hAnsi="Arial" w:hint="eastAsia"/>
          <w:bCs/>
          <w:sz w:val="21"/>
        </w:rPr>
        <w:t>年，自</w:t>
      </w:r>
      <w:r>
        <w:rPr>
          <w:rFonts w:ascii="Arial" w:hAnsi="Arial" w:hint="eastAsia"/>
          <w:bCs/>
          <w:sz w:val="21"/>
        </w:rPr>
        <w:t>2016</w:t>
      </w:r>
      <w:r>
        <w:rPr>
          <w:rFonts w:ascii="Arial" w:hAnsi="Arial" w:hint="eastAsia"/>
          <w:bCs/>
          <w:sz w:val="21"/>
        </w:rPr>
        <w:t>年</w:t>
      </w:r>
      <w:r>
        <w:rPr>
          <w:rFonts w:ascii="Arial" w:hAnsi="Arial" w:hint="eastAsia"/>
          <w:bCs/>
          <w:sz w:val="21"/>
        </w:rPr>
        <w:t>12</w:t>
      </w:r>
      <w:r>
        <w:rPr>
          <w:rFonts w:ascii="Arial" w:hAnsi="Arial" w:hint="eastAsia"/>
          <w:bCs/>
          <w:sz w:val="21"/>
        </w:rPr>
        <w:t>月</w:t>
      </w:r>
      <w:r>
        <w:rPr>
          <w:rFonts w:ascii="Arial" w:hAnsi="Arial" w:hint="eastAsia"/>
          <w:bCs/>
          <w:sz w:val="21"/>
        </w:rPr>
        <w:t>26</w:t>
      </w:r>
      <w:r>
        <w:rPr>
          <w:rFonts w:ascii="Arial" w:hAnsi="Arial" w:hint="eastAsia"/>
          <w:bCs/>
          <w:sz w:val="21"/>
        </w:rPr>
        <w:t>日起</w:t>
      </w:r>
      <w:r>
        <w:rPr>
          <w:rFonts w:ascii="Arial" w:hAnsi="Arial" w:hint="eastAsia"/>
          <w:bCs/>
          <w:sz w:val="21"/>
        </w:rPr>
        <w:t>2056</w:t>
      </w:r>
      <w:r>
        <w:rPr>
          <w:rFonts w:ascii="Arial" w:hAnsi="Arial" w:hint="eastAsia"/>
          <w:bCs/>
          <w:sz w:val="21"/>
        </w:rPr>
        <w:t>年</w:t>
      </w:r>
      <w:r>
        <w:rPr>
          <w:rFonts w:ascii="Arial" w:hAnsi="Arial" w:hint="eastAsia"/>
          <w:bCs/>
          <w:sz w:val="21"/>
        </w:rPr>
        <w:t>12</w:t>
      </w:r>
      <w:r>
        <w:rPr>
          <w:rFonts w:ascii="Arial" w:hAnsi="Arial" w:hint="eastAsia"/>
          <w:bCs/>
          <w:sz w:val="21"/>
        </w:rPr>
        <w:t>月</w:t>
      </w:r>
      <w:r>
        <w:rPr>
          <w:rFonts w:ascii="Arial" w:hAnsi="Arial" w:hint="eastAsia"/>
          <w:bCs/>
          <w:sz w:val="21"/>
        </w:rPr>
        <w:t>25</w:t>
      </w:r>
      <w:r>
        <w:rPr>
          <w:rFonts w:ascii="Arial" w:hAnsi="Arial" w:hint="eastAsia"/>
          <w:bCs/>
          <w:sz w:val="21"/>
        </w:rPr>
        <w:t>日止</w:t>
      </w:r>
      <w:r>
        <w:rPr>
          <w:rFonts w:ascii="Arial" w:hAnsi="Arial" w:cs="Arial" w:hint="eastAsia"/>
          <w:sz w:val="21"/>
          <w:szCs w:val="21"/>
        </w:rPr>
        <w:t>。截至价值时点，</w:t>
      </w:r>
      <w:r>
        <w:rPr>
          <w:rFonts w:ascii="Arial" w:hAnsi="Arial" w:cs="Arial"/>
          <w:sz w:val="21"/>
          <w:szCs w:val="21"/>
        </w:rPr>
        <w:t>出让国有建设用地使用权剩余土地使用年限为</w:t>
      </w:r>
      <w:r>
        <w:rPr>
          <w:rFonts w:ascii="Arial" w:hAnsi="Arial" w:cs="Arial" w:hint="eastAsia"/>
          <w:sz w:val="21"/>
          <w:szCs w:val="21"/>
        </w:rPr>
        <w:t>30.95</w:t>
      </w:r>
      <w:r>
        <w:rPr>
          <w:rFonts w:ascii="Arial" w:hAnsi="Arial" w:cs="Arial"/>
          <w:sz w:val="21"/>
          <w:szCs w:val="21"/>
        </w:rPr>
        <w:t>年。</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Pr>
          <w:rFonts w:ascii="Arial" w:hAnsi="Arial" w:cs="Arial"/>
          <w:sz w:val="21"/>
          <w:szCs w:val="21"/>
        </w:rPr>
        <w:t>估价对象现状已按规划要求完成开发建设，无特别规划限制条件。</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估价对象所属项目用地四至：</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1560"/>
        <w:gridCol w:w="3869"/>
        <w:gridCol w:w="3870"/>
      </w:tblGrid>
      <w:tr w:rsidR="00184596">
        <w:trPr>
          <w:cantSplit/>
          <w:jc w:val="center"/>
        </w:trPr>
        <w:tc>
          <w:tcPr>
            <w:tcW w:w="1560" w:type="dxa"/>
          </w:tcPr>
          <w:p w:rsidR="00184596" w:rsidRDefault="00FD048A">
            <w:pPr>
              <w:wordWrap w:val="0"/>
              <w:overflowPunct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方位</w:t>
            </w:r>
          </w:p>
        </w:tc>
        <w:tc>
          <w:tcPr>
            <w:tcW w:w="3869" w:type="dxa"/>
          </w:tcPr>
          <w:p w:rsidR="00184596" w:rsidRDefault="00FD048A">
            <w:pPr>
              <w:wordWrap w:val="0"/>
              <w:overflowPunct w:val="0"/>
              <w:spacing w:line="240" w:lineRule="exact"/>
              <w:jc w:val="both"/>
              <w:textAlignment w:val="auto"/>
              <w:rPr>
                <w:rFonts w:ascii="Arial" w:eastAsia="华文细黑" w:hAnsi="Arial" w:cs="Arial"/>
                <w:sz w:val="18"/>
                <w:szCs w:val="21"/>
              </w:rPr>
            </w:pPr>
            <w:proofErr w:type="gramStart"/>
            <w:r>
              <w:rPr>
                <w:rFonts w:ascii="Arial" w:eastAsia="华文细黑" w:hAnsi="Arial" w:cs="Arial" w:hint="eastAsia"/>
                <w:sz w:val="18"/>
                <w:szCs w:val="21"/>
              </w:rPr>
              <w:t>证载</w:t>
            </w:r>
            <w:proofErr w:type="gramEnd"/>
          </w:p>
        </w:tc>
        <w:tc>
          <w:tcPr>
            <w:tcW w:w="3870" w:type="dxa"/>
          </w:tcPr>
          <w:p w:rsidR="00184596" w:rsidRDefault="00FD048A">
            <w:pPr>
              <w:wordWrap w:val="0"/>
              <w:overflowPunct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现状</w:t>
            </w:r>
          </w:p>
        </w:tc>
      </w:tr>
      <w:tr w:rsidR="00184596">
        <w:trPr>
          <w:cantSplit/>
          <w:jc w:val="center"/>
        </w:trPr>
        <w:tc>
          <w:tcPr>
            <w:tcW w:w="1560" w:type="dxa"/>
          </w:tcPr>
          <w:p w:rsidR="00184596" w:rsidRDefault="00FD048A">
            <w:pPr>
              <w:wordWrap w:val="0"/>
              <w:overflowPunct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东</w:t>
            </w:r>
          </w:p>
        </w:tc>
        <w:tc>
          <w:tcPr>
            <w:tcW w:w="3869" w:type="dxa"/>
          </w:tcPr>
          <w:p w:rsidR="00184596" w:rsidRDefault="00FD048A">
            <w:pPr>
              <w:wordWrap w:val="0"/>
              <w:overflowPunct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北京市土地整理储备中心房山区分中心</w:t>
            </w:r>
          </w:p>
        </w:tc>
        <w:tc>
          <w:tcPr>
            <w:tcW w:w="3870" w:type="dxa"/>
          </w:tcPr>
          <w:p w:rsidR="00184596" w:rsidRDefault="00FD048A">
            <w:pPr>
              <w:wordWrap w:val="0"/>
              <w:overflowPunct w:val="0"/>
              <w:spacing w:line="240" w:lineRule="exact"/>
              <w:jc w:val="both"/>
              <w:textAlignment w:val="auto"/>
              <w:rPr>
                <w:rFonts w:ascii="Arial" w:eastAsia="华文细黑" w:hAnsi="Arial" w:cs="Arial"/>
                <w:sz w:val="18"/>
                <w:szCs w:val="21"/>
              </w:rPr>
            </w:pPr>
            <w:proofErr w:type="gramStart"/>
            <w:r>
              <w:rPr>
                <w:rFonts w:ascii="Arial" w:eastAsia="华文细黑" w:hAnsi="Arial" w:cs="Arial" w:hint="eastAsia"/>
                <w:sz w:val="18"/>
                <w:szCs w:val="21"/>
              </w:rPr>
              <w:t>阜</w:t>
            </w:r>
            <w:proofErr w:type="gramEnd"/>
            <w:r>
              <w:rPr>
                <w:rFonts w:ascii="Arial" w:eastAsia="华文细黑" w:hAnsi="Arial" w:cs="Arial" w:hint="eastAsia"/>
                <w:sz w:val="18"/>
                <w:szCs w:val="21"/>
              </w:rPr>
              <w:t>盛西街</w:t>
            </w:r>
          </w:p>
        </w:tc>
      </w:tr>
      <w:tr w:rsidR="00184596">
        <w:trPr>
          <w:cantSplit/>
          <w:jc w:val="center"/>
        </w:trPr>
        <w:tc>
          <w:tcPr>
            <w:tcW w:w="1560" w:type="dxa"/>
          </w:tcPr>
          <w:p w:rsidR="00184596" w:rsidRDefault="00FD048A">
            <w:pPr>
              <w:wordWrap w:val="0"/>
              <w:overflowPunct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南</w:t>
            </w:r>
          </w:p>
        </w:tc>
        <w:tc>
          <w:tcPr>
            <w:tcW w:w="3869" w:type="dxa"/>
          </w:tcPr>
          <w:p w:rsidR="00184596" w:rsidRDefault="00FD048A">
            <w:pPr>
              <w:wordWrap w:val="0"/>
              <w:overflowPunct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北京市土地整理储备中心房山区分中心</w:t>
            </w:r>
          </w:p>
        </w:tc>
        <w:tc>
          <w:tcPr>
            <w:tcW w:w="3870" w:type="dxa"/>
          </w:tcPr>
          <w:p w:rsidR="00184596" w:rsidRDefault="00FD048A">
            <w:pPr>
              <w:wordWrap w:val="0"/>
              <w:overflowPunct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良乡东路</w:t>
            </w:r>
          </w:p>
        </w:tc>
      </w:tr>
      <w:tr w:rsidR="00184596">
        <w:trPr>
          <w:cantSplit/>
          <w:jc w:val="center"/>
        </w:trPr>
        <w:tc>
          <w:tcPr>
            <w:tcW w:w="1560" w:type="dxa"/>
          </w:tcPr>
          <w:p w:rsidR="00184596" w:rsidRDefault="00FD048A">
            <w:pPr>
              <w:wordWrap w:val="0"/>
              <w:overflowPunct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西</w:t>
            </w:r>
          </w:p>
        </w:tc>
        <w:tc>
          <w:tcPr>
            <w:tcW w:w="3869" w:type="dxa"/>
          </w:tcPr>
          <w:p w:rsidR="00184596" w:rsidRDefault="00FD048A">
            <w:pPr>
              <w:wordWrap w:val="0"/>
              <w:overflowPunct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北京市土地整理储备中心房山区分中心</w:t>
            </w:r>
          </w:p>
        </w:tc>
        <w:tc>
          <w:tcPr>
            <w:tcW w:w="3870" w:type="dxa"/>
          </w:tcPr>
          <w:p w:rsidR="00184596" w:rsidRDefault="00FD048A">
            <w:pPr>
              <w:wordWrap w:val="0"/>
              <w:overflowPunct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长于大街</w:t>
            </w:r>
          </w:p>
        </w:tc>
      </w:tr>
      <w:tr w:rsidR="00184596">
        <w:trPr>
          <w:cantSplit/>
          <w:jc w:val="center"/>
        </w:trPr>
        <w:tc>
          <w:tcPr>
            <w:tcW w:w="1560" w:type="dxa"/>
          </w:tcPr>
          <w:p w:rsidR="00184596" w:rsidRDefault="00FD048A">
            <w:pPr>
              <w:wordWrap w:val="0"/>
              <w:overflowPunct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北</w:t>
            </w:r>
          </w:p>
        </w:tc>
        <w:tc>
          <w:tcPr>
            <w:tcW w:w="3869" w:type="dxa"/>
          </w:tcPr>
          <w:p w:rsidR="00184596" w:rsidRDefault="00FD048A">
            <w:pPr>
              <w:wordWrap w:val="0"/>
              <w:overflowPunct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北京市土地整理储备中心房山区分中心</w:t>
            </w:r>
          </w:p>
        </w:tc>
        <w:tc>
          <w:tcPr>
            <w:tcW w:w="3870" w:type="dxa"/>
          </w:tcPr>
          <w:p w:rsidR="00184596" w:rsidRDefault="00FD048A">
            <w:pPr>
              <w:wordWrap w:val="0"/>
              <w:overflowPunct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文昌东路</w:t>
            </w:r>
          </w:p>
        </w:tc>
      </w:tr>
    </w:tbl>
    <w:p w:rsidR="00184596" w:rsidRDefault="00184596">
      <w:pPr>
        <w:spacing w:line="480" w:lineRule="auto"/>
        <w:ind w:firstLineChars="200" w:firstLine="420"/>
        <w:jc w:val="both"/>
        <w:rPr>
          <w:rFonts w:ascii="Arial" w:hAnsi="Arial" w:cs="Arial"/>
          <w:bCs/>
          <w:sz w:val="21"/>
          <w:szCs w:val="21"/>
        </w:rPr>
      </w:pPr>
    </w:p>
    <w:p w:rsidR="00184596" w:rsidRDefault="00FD048A">
      <w:pPr>
        <w:wordWrap w:val="0"/>
        <w:overflowPunct w:val="0"/>
        <w:spacing w:line="480" w:lineRule="auto"/>
        <w:jc w:val="both"/>
        <w:textAlignment w:val="auto"/>
        <w:rPr>
          <w:rFonts w:ascii="Arial" w:hAnsi="Arial" w:cs="Arial"/>
          <w:sz w:val="21"/>
          <w:szCs w:val="21"/>
        </w:rPr>
      </w:pPr>
      <w:r>
        <w:rPr>
          <w:rFonts w:ascii="Arial" w:eastAsia="楷体_GB2312" w:hAnsi="Arial" w:cs="Arial" w:hint="eastAsia"/>
          <w:bCs/>
          <w:sz w:val="21"/>
          <w:szCs w:val="21"/>
        </w:rPr>
        <w:t>（转下页）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8647"/>
        <w:gridCol w:w="367"/>
      </w:tblGrid>
      <w:tr w:rsidR="00184596">
        <w:trPr>
          <w:cantSplit/>
          <w:trHeight w:hRule="exact" w:val="5670"/>
          <w:jc w:val="center"/>
        </w:trPr>
        <w:tc>
          <w:tcPr>
            <w:tcW w:w="285" w:type="dxa"/>
            <w:tcBorders>
              <w:top w:val="nil"/>
              <w:left w:val="nil"/>
              <w:bottom w:val="nil"/>
              <w:right w:val="nil"/>
            </w:tcBorders>
          </w:tcPr>
          <w:p w:rsidR="00184596" w:rsidRDefault="00FD048A">
            <w:pPr>
              <w:wordWrap w:val="0"/>
              <w:overflowPunct w:val="0"/>
              <w:spacing w:line="480" w:lineRule="auto"/>
              <w:jc w:val="both"/>
              <w:textAlignment w:val="auto"/>
            </w:pPr>
            <w:r>
              <w:rPr>
                <w:rFonts w:ascii="Arial" w:hAnsi="Arial" w:cs="Arial"/>
                <w:b/>
                <w:color w:val="548DD4"/>
                <w:sz w:val="21"/>
                <w:szCs w:val="21"/>
              </w:rPr>
              <w:lastRenderedPageBreak/>
              <w:br w:type="page"/>
            </w: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2089785</wp:posOffset>
                      </wp:positionV>
                      <wp:extent cx="2891790" cy="1579245"/>
                      <wp:effectExtent l="19050" t="19050" r="3810" b="1905"/>
                      <wp:wrapNone/>
                      <wp:docPr id="1203938415" name="直接连接符 2"/>
                      <wp:cNvGraphicFramePr/>
                      <a:graphic xmlns:a="http://schemas.openxmlformats.org/drawingml/2006/main">
                        <a:graphicData uri="http://schemas.microsoft.com/office/word/2010/wordprocessingShape">
                          <wps:wsp>
                            <wps:cNvCnPr/>
                            <wps:spPr>
                              <a:xfrm flipH="1">
                                <a:off x="0" y="0"/>
                                <a:ext cx="2891790" cy="1579245"/>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xmlns:wpsCustomData="http://www.wps.cn/officeDocument/2013/wpsCustomData" xmlns:w15="http://schemas.microsoft.com/office/word/2012/wordml">
                  <w:pict>
                    <v:line id="直接连接符 2" o:spid="_x0000_s1026" o:spt="20" style="position:absolute;left:0pt;flip:x;margin-left:0pt;margin-top:164.55pt;height:124.35pt;width:227.7pt;z-index:251665408;mso-width-relative:page;mso-height-relative:page;" filled="f" stroked="t" coordsize="21600,21600" o:gfxdata="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YxySfYAAAACAEAAA8AAAAAAAAAAQAg&#10;AAAAIgAAAGRycy9kb3ducmV2LnhtbFBLAQIUABQAAAAIAIdO4kDrSMlGDgIAAPsDAAAOAAAAAAAA&#10;AAEAIAAAACcBAABkcnMvZTJvRG9jLnhtbFBLBQYAAAAABgAGAFkBAACnBQAAAAA=&#10;">
                      <v:fill on="f" focussize="0,0"/>
                      <v:stroke weight="2.25pt" color="#4A7EBB" joinstyle="round"/>
                      <v:imagedata o:title=""/>
                      <o:lock v:ext="edit" aspectratio="f"/>
                    </v:line>
                  </w:pict>
                </mc:Fallback>
              </mc:AlternateContent>
            </w:r>
          </w:p>
        </w:tc>
        <w:tc>
          <w:tcPr>
            <w:tcW w:w="8647" w:type="dxa"/>
            <w:tcBorders>
              <w:top w:val="nil"/>
              <w:left w:val="nil"/>
              <w:bottom w:val="nil"/>
              <w:right w:val="nil"/>
            </w:tcBorders>
          </w:tcPr>
          <w:p w:rsidR="00184596" w:rsidRDefault="00FD048A">
            <w:r>
              <w:rPr>
                <w:noProof/>
              </w:rPr>
              <mc:AlternateContent>
                <mc:Choice Requires="wps">
                  <w:drawing>
                    <wp:anchor distT="0" distB="0" distL="114300" distR="114300" simplePos="0" relativeHeight="251658752" behindDoc="0" locked="0" layoutInCell="1" allowOverlap="1">
                      <wp:simplePos x="0" y="0"/>
                      <wp:positionH relativeFrom="column">
                        <wp:posOffset>2937510</wp:posOffset>
                      </wp:positionH>
                      <wp:positionV relativeFrom="paragraph">
                        <wp:posOffset>2091055</wp:posOffset>
                      </wp:positionV>
                      <wp:extent cx="2759075" cy="1577975"/>
                      <wp:effectExtent l="19050" t="19050" r="3175" b="3175"/>
                      <wp:wrapNone/>
                      <wp:docPr id="2134805870" name="直接连接符 1"/>
                      <wp:cNvGraphicFramePr/>
                      <a:graphic xmlns:a="http://schemas.openxmlformats.org/drawingml/2006/main">
                        <a:graphicData uri="http://schemas.microsoft.com/office/word/2010/wordprocessingShape">
                          <wps:wsp>
                            <wps:cNvCnPr/>
                            <wps:spPr>
                              <a:xfrm>
                                <a:off x="0" y="0"/>
                                <a:ext cx="2759075" cy="1577975"/>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xmlns:wpsCustomData="http://www.wps.cn/officeDocument/2013/wpsCustomData" xmlns:w15="http://schemas.microsoft.com/office/word/2012/wordml">
                  <w:pict>
                    <v:line id="直接连接符 1" o:spid="_x0000_s1026" o:spt="20" style="position:absolute;left:0pt;margin-left:231.3pt;margin-top:164.65pt;height:124.25pt;width:217.25pt;z-index:251665408;mso-width-relative:page;mso-height-relative:page;" filled="f" stroked="t" coordsize="21600,21600" o:gfxdata="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5qal9wAAAALAQAADwAAAAAAAAABACAAAAAi&#10;AAAAZHJzL2Rvd25yZXYueG1sUEsBAhQAFAAAAAgAh07iQN8UxhQGAgAA8QMAAA4AAAAAAAAAAQAg&#10;AAAAKwEAAGRycy9lMm9Eb2MueG1sUEsFBgAAAAAGAAYAWQEAAKMFAAAAAA==&#10;">
                      <v:fill on="f" focussize="0,0"/>
                      <v:stroke weight="2.25pt" color="#4A7EBB" joinstyle="round"/>
                      <v:imagedata o:title=""/>
                      <o:lock v:ext="edit" aspectratio="f"/>
                    </v:lin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margin">
                        <wp:posOffset>2667635</wp:posOffset>
                      </wp:positionH>
                      <wp:positionV relativeFrom="margin">
                        <wp:posOffset>1820545</wp:posOffset>
                      </wp:positionV>
                      <wp:extent cx="325120" cy="228600"/>
                      <wp:effectExtent l="19685" t="18415" r="18415" b="18415"/>
                      <wp:wrapNone/>
                      <wp:docPr id="1810842814"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5120" cy="228600"/>
                              </a:xfrm>
                              <a:prstGeom prst="rect">
                                <a:avLst/>
                              </a:prstGeom>
                              <a:noFill/>
                              <a:ln w="28575" cmpd="sng">
                                <a:solidFill>
                                  <a:srgbClr val="4F81BD"/>
                                </a:solidFill>
                                <a:miter lim="800000"/>
                              </a:ln>
                              <a:effectLst/>
                            </wps:spPr>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rect id="矩形 26" o:spid="_x0000_s1026" o:spt="1" style="position:absolute;left:0pt;margin-left:210.05pt;margin-top:143.35pt;height:18pt;width:25.6pt;mso-position-horizontal-relative:margin;mso-position-vertical-relative:margin;rotation:-5898240f;z-index:251666432;mso-width-relative:page;mso-height-relative:page;" filled="f" stroked="t" coordsize="21600,21600" o:gfxdata="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Hpa5C2gAAAAsBAAAPAAAAAAAAAAEA&#10;IAAAACIAAABkcnMvZG93bnJldi54bWxQSwECFAAUAAAACACHTuJAlwZlPUYCAABoBAAADgAAAAAA&#10;AAABACAAAAApAQAAZHJzL2Uyb0RvYy54bWxQSwUGAAAAAAYABgBZAQAA4QUAAAAA&#10;">
                      <v:fill on="f" focussize="0,0"/>
                      <v:stroke weight="2.25pt" color="#4F81BD" miterlimit="8" joinstyle="miter"/>
                      <v:imagedata o:title=""/>
                      <o:lock v:ext="edit" aspectratio="f"/>
                      <v:textbox inset="0mm,0mm,0mm,0mm"/>
                    </v:rect>
                  </w:pict>
                </mc:Fallback>
              </mc:AlternateContent>
            </w:r>
            <w:r>
              <w:rPr>
                <w:noProof/>
              </w:rPr>
              <w:drawing>
                <wp:inline distT="0" distB="0" distL="0" distR="0">
                  <wp:extent cx="5492115" cy="3837305"/>
                  <wp:effectExtent l="0" t="0" r="0" b="0"/>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92115" cy="3837305"/>
                          </a:xfrm>
                          <a:prstGeom prst="rect">
                            <a:avLst/>
                          </a:prstGeom>
                          <a:noFill/>
                          <a:ln>
                            <a:noFill/>
                          </a:ln>
                        </pic:spPr>
                      </pic:pic>
                    </a:graphicData>
                  </a:graphic>
                </wp:inline>
              </w:drawing>
            </w:r>
          </w:p>
        </w:tc>
        <w:tc>
          <w:tcPr>
            <w:tcW w:w="367" w:type="dxa"/>
            <w:tcBorders>
              <w:top w:val="nil"/>
              <w:left w:val="nil"/>
              <w:bottom w:val="nil"/>
              <w:right w:val="nil"/>
            </w:tcBorders>
          </w:tcPr>
          <w:p w:rsidR="00184596" w:rsidRDefault="00184596"/>
        </w:tc>
      </w:tr>
      <w:tr w:rsidR="00184596">
        <w:trPr>
          <w:cantSplit/>
          <w:trHeight w:hRule="exact" w:val="113"/>
          <w:jc w:val="center"/>
        </w:trPr>
        <w:tc>
          <w:tcPr>
            <w:tcW w:w="285" w:type="dxa"/>
            <w:tcBorders>
              <w:top w:val="nil"/>
              <w:left w:val="nil"/>
              <w:bottom w:val="single" w:sz="18" w:space="0" w:color="4F81BD"/>
              <w:right w:val="nil"/>
            </w:tcBorders>
          </w:tcPr>
          <w:p w:rsidR="00184596" w:rsidRDefault="00184596"/>
        </w:tc>
        <w:tc>
          <w:tcPr>
            <w:tcW w:w="8647" w:type="dxa"/>
            <w:tcBorders>
              <w:top w:val="nil"/>
              <w:left w:val="nil"/>
              <w:bottom w:val="single" w:sz="18" w:space="0" w:color="4F81BD"/>
              <w:right w:val="nil"/>
            </w:tcBorders>
          </w:tcPr>
          <w:p w:rsidR="00184596" w:rsidRDefault="00184596"/>
        </w:tc>
        <w:tc>
          <w:tcPr>
            <w:tcW w:w="367" w:type="dxa"/>
            <w:tcBorders>
              <w:top w:val="nil"/>
              <w:left w:val="nil"/>
              <w:bottom w:val="single" w:sz="18" w:space="0" w:color="4F81BD"/>
              <w:right w:val="nil"/>
            </w:tcBorders>
          </w:tcPr>
          <w:p w:rsidR="00184596" w:rsidRDefault="00184596"/>
        </w:tc>
      </w:tr>
      <w:tr w:rsidR="00184596">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rsidR="00184596" w:rsidRDefault="00FD048A">
            <w:r>
              <w:rPr>
                <w:noProof/>
              </w:rPr>
              <mc:AlternateContent>
                <mc:Choice Requires="wps">
                  <w:drawing>
                    <wp:anchor distT="0" distB="0" distL="114300" distR="114300" simplePos="0" relativeHeight="251656704" behindDoc="0" locked="0" layoutInCell="1" allowOverlap="1">
                      <wp:simplePos x="0" y="0"/>
                      <wp:positionH relativeFrom="column">
                        <wp:posOffset>2885440</wp:posOffset>
                      </wp:positionH>
                      <wp:positionV relativeFrom="paragraph">
                        <wp:posOffset>1517650</wp:posOffset>
                      </wp:positionV>
                      <wp:extent cx="1365250" cy="876935"/>
                      <wp:effectExtent l="18415" t="29845" r="28575" b="33655"/>
                      <wp:wrapNone/>
                      <wp:docPr id="237523296" name="任意多边形 11"/>
                      <wp:cNvGraphicFramePr/>
                      <a:graphic xmlns:a="http://schemas.openxmlformats.org/drawingml/2006/main">
                        <a:graphicData uri="http://schemas.microsoft.com/office/word/2010/wordprocessingShape">
                          <wps:wsp>
                            <wps:cNvSpPr/>
                            <wps:spPr bwMode="auto">
                              <a:xfrm rot="-5400000">
                                <a:off x="0" y="0"/>
                                <a:ext cx="1365250" cy="876935"/>
                              </a:xfrm>
                              <a:custGeom>
                                <a:avLst/>
                                <a:gdLst>
                                  <a:gd name="T0" fmla="*/ 158261 w 656492"/>
                                  <a:gd name="T1" fmla="*/ 0 h 351693"/>
                                  <a:gd name="T2" fmla="*/ 650631 w 656492"/>
                                  <a:gd name="T3" fmla="*/ 0 h 351693"/>
                                  <a:gd name="T4" fmla="*/ 656492 w 656492"/>
                                  <a:gd name="T5" fmla="*/ 345831 h 351693"/>
                                  <a:gd name="T6" fmla="*/ 0 w 656492"/>
                                  <a:gd name="T7" fmla="*/ 351693 h 351693"/>
                                  <a:gd name="T8" fmla="*/ 158261 w 656492"/>
                                  <a:gd name="T9" fmla="*/ 0 h 351693"/>
                                </a:gdLst>
                                <a:ahLst/>
                                <a:cxnLst>
                                  <a:cxn ang="0">
                                    <a:pos x="T0" y="T1"/>
                                  </a:cxn>
                                  <a:cxn ang="0">
                                    <a:pos x="T2" y="T3"/>
                                  </a:cxn>
                                  <a:cxn ang="0">
                                    <a:pos x="T4" y="T5"/>
                                  </a:cxn>
                                  <a:cxn ang="0">
                                    <a:pos x="T6" y="T7"/>
                                  </a:cxn>
                                  <a:cxn ang="0">
                                    <a:pos x="T8" y="T9"/>
                                  </a:cxn>
                                </a:cxnLst>
                                <a:rect l="0" t="0" r="r" b="b"/>
                                <a:pathLst>
                                  <a:path w="656492" h="351693">
                                    <a:moveTo>
                                      <a:pt x="158261" y="0"/>
                                    </a:moveTo>
                                    <a:lnTo>
                                      <a:pt x="650631" y="0"/>
                                    </a:lnTo>
                                    <a:cubicBezTo>
                                      <a:pt x="652585" y="115277"/>
                                      <a:pt x="654538" y="230554"/>
                                      <a:pt x="656492" y="345831"/>
                                    </a:cubicBezTo>
                                    <a:lnTo>
                                      <a:pt x="0" y="351693"/>
                                    </a:lnTo>
                                    <a:lnTo>
                                      <a:pt x="158261" y="0"/>
                                    </a:lnTo>
                                    <a:close/>
                                  </a:path>
                                </a:pathLst>
                              </a:custGeom>
                              <a:noFill/>
                              <a:ln w="25400" cmpd="sng">
                                <a:solidFill>
                                  <a:srgbClr val="385D8A"/>
                                </a:solidFill>
                                <a:round/>
                              </a:ln>
                              <a:effectLst/>
                            </wps:spPr>
                            <wps:bodyPr rot="0" vert="horz" wrap="square" lIns="91440" tIns="45720" rIns="91440" bIns="45720" anchor="ctr" anchorCtr="0" upright="1">
                              <a:noAutofit/>
                            </wps:bodyPr>
                          </wps:wsp>
                        </a:graphicData>
                      </a:graphic>
                    </wp:anchor>
                  </w:drawing>
                </mc:Choice>
                <mc:Fallback xmlns:wpsCustomData="http://www.wps.cn/officeDocument/2013/wpsCustomData" xmlns:w15="http://schemas.microsoft.com/office/word/2012/wordml">
                  <w:pict>
                    <v:shape id="任意多边形 11" o:spid="_x0000_s1026" o:spt="100" style="position:absolute;left:0pt;margin-left:227.2pt;margin-top:119.5pt;height:69.05pt;width:107.5pt;rotation:-5898240f;z-index:251664384;v-text-anchor:middle;mso-width-relative:page;mso-height-relative:page;" filled="f" stroked="t" coordsize="656492,351693" o:gfxdata="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BP&#10;PLcq2QAAAAsBAAAPAAAAAAAAAAEAIAAAACIAAABkcnMvZG93bnJldi54bWxQSwECFAAUAAAACACH&#10;TuJAiTbQ4XkDAABsCAAADgAAAAAAAAABACAAAAAoAQAAZHJzL2Uyb0RvYy54bWxQSwUGAAAAAAYA&#10;BgBZAQAAEwcAAAAA&#10;" path="m158261,0l650631,0c652585,115277,654538,230554,656492,345831l0,351693,158261,0xe">
                      <v:path o:connectlocs="329121,0;1353061,0;1365250,862318;0,876935;329121,0" o:connectangles="0,0,0,0,0"/>
                      <v:fill on="f" focussize="0,0"/>
                      <v:stroke weight="2pt" color="#385D8A" joinstyle="round"/>
                      <v:imagedata o:title=""/>
                      <o:lock v:ext="edit" aspectratio="f"/>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4354830</wp:posOffset>
                      </wp:positionH>
                      <wp:positionV relativeFrom="paragraph">
                        <wp:posOffset>1036320</wp:posOffset>
                      </wp:positionV>
                      <wp:extent cx="914400" cy="289560"/>
                      <wp:effectExtent l="386715" t="20955" r="13335" b="89535"/>
                      <wp:wrapNone/>
                      <wp:docPr id="1039055987" name="线形标注 1 6"/>
                      <wp:cNvGraphicFramePr/>
                      <a:graphic xmlns:a="http://schemas.openxmlformats.org/drawingml/2006/main">
                        <a:graphicData uri="http://schemas.microsoft.com/office/word/2010/wordprocessingShape">
                          <wps:wsp>
                            <wps:cNvSpPr/>
                            <wps:spPr bwMode="auto">
                              <a:xfrm>
                                <a:off x="0" y="0"/>
                                <a:ext cx="914400" cy="289560"/>
                              </a:xfrm>
                              <a:prstGeom prst="borderCallout1">
                                <a:avLst>
                                  <a:gd name="adj1" fmla="val 18750"/>
                                  <a:gd name="adj2" fmla="val -8333"/>
                                  <a:gd name="adj3" fmla="val 125657"/>
                                  <a:gd name="adj4" fmla="val -40759"/>
                                </a:avLst>
                              </a:prstGeom>
                              <a:solidFill>
                                <a:srgbClr val="4F81BD"/>
                              </a:solidFill>
                              <a:ln w="25400" cmpd="sng">
                                <a:solidFill>
                                  <a:srgbClr val="385D8A"/>
                                </a:solidFill>
                                <a:miter lim="800000"/>
                              </a:ln>
                              <a:effectLst/>
                            </wps:spPr>
                            <wps:txbx>
                              <w:txbxContent>
                                <w:p w:rsidR="00FD048A" w:rsidRDefault="00FD048A">
                                  <w:pPr>
                                    <w:spacing w:line="240" w:lineRule="exact"/>
                                    <w:jc w:val="center"/>
                                    <w:rPr>
                                      <w:b/>
                                      <w:color w:val="FFFFFF"/>
                                    </w:rPr>
                                  </w:pPr>
                                  <w:r>
                                    <w:rPr>
                                      <w:rFonts w:hint="eastAsia"/>
                                      <w:b/>
                                      <w:color w:val="FFFFFF"/>
                                    </w:rPr>
                                    <w:t>估价对象</w:t>
                                  </w:r>
                                </w:p>
                              </w:txbxContent>
                            </wps:txbx>
                            <wps:bodyPr rot="0" vert="horz" wrap="square" lIns="91440" tIns="45720" rIns="91440" bIns="45720" anchor="ctr" anchorCtr="0" upright="1">
                              <a:noAutofit/>
                            </wps:bodyPr>
                          </wps:wsp>
                        </a:graphicData>
                      </a:graphic>
                    </wp:anchor>
                  </w:drawing>
                </mc:Choice>
                <mc:Fallback xmlns:wpsCustomData="http://www.wps.cn/officeDocument/2013/wpsCustomData" xmlns:w15="http://schemas.microsoft.com/office/word/2012/wordml">
                  <w:pict>
                    <v:shape id="线形标注 1 6" o:spid="_x0000_s1026" o:spt="47" type="#_x0000_t47" style="position:absolute;left:0pt;margin-left:342.9pt;margin-top:81.6pt;height:22.8pt;width:72pt;z-index:251663360;v-text-anchor:middle;mso-width-relative:page;mso-height-relative:page;" fillcolor="#4F81BD" filled="t" stroked="t" coordsize="21600,21600" o:gfxdata="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rY/u9UAAAALAQAADwAAAAAAAAAB&#10;ACAAAAAiAAAAZHJzL2Rvd25yZXYueG1sUEsBAhQAFAAAAAgAh07iQM+Fnr2FAgAAGwUAAA4AAAAA&#10;AAAAAQAgAAAAJAEAAGRycy9lMm9Eb2MueG1sUEsFBgAAAAAGAAYAWQEAABsGAAAAAA==&#10;" adj="-8804,27142,-1800,4050">
                      <v:fill on="t" focussize="0,0"/>
                      <v:stroke weight="2pt" color="#385D8A" miterlimit="8" joinstyle="miter"/>
                      <v:imagedata o:title=""/>
                      <o:lock v:ext="edit" aspectratio="f"/>
                      <v:textbox>
                        <w:txbxContent>
                          <w:p w14:paraId="2D6AFB9A">
                            <w:pPr>
                              <w:spacing w:line="240" w:lineRule="exact"/>
                              <w:jc w:val="center"/>
                              <w:rPr>
                                <w:b/>
                                <w:color w:val="FFFFFF"/>
                              </w:rPr>
                            </w:pPr>
                            <w:r>
                              <w:rPr>
                                <w:rFonts w:hint="eastAsia"/>
                                <w:b/>
                                <w:color w:val="FFFFFF"/>
                              </w:rPr>
                              <w:t>估价对象</w:t>
                            </w:r>
                          </w:p>
                        </w:txbxContent>
                      </v:textbox>
                    </v:shape>
                  </w:pict>
                </mc:Fallback>
              </mc:AlternateContent>
            </w:r>
            <w:r>
              <w:rPr>
                <w:noProof/>
              </w:rPr>
              <w:drawing>
                <wp:inline distT="0" distB="0" distL="0" distR="0">
                  <wp:extent cx="5873750" cy="4083685"/>
                  <wp:effectExtent l="0" t="0" r="0" b="0"/>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873750" cy="4083685"/>
                          </a:xfrm>
                          <a:prstGeom prst="rect">
                            <a:avLst/>
                          </a:prstGeom>
                          <a:noFill/>
                          <a:ln>
                            <a:noFill/>
                          </a:ln>
                        </pic:spPr>
                      </pic:pic>
                    </a:graphicData>
                  </a:graphic>
                </wp:inline>
              </w:drawing>
            </w:r>
          </w:p>
        </w:tc>
      </w:tr>
    </w:tbl>
    <w:p w:rsidR="00184596" w:rsidRDefault="00184596">
      <w:pPr>
        <w:wordWrap w:val="0"/>
        <w:overflowPunct w:val="0"/>
        <w:spacing w:line="240" w:lineRule="exact"/>
        <w:ind w:firstLineChars="200" w:firstLine="420"/>
        <w:jc w:val="both"/>
        <w:textAlignment w:val="auto"/>
        <w:rPr>
          <w:rFonts w:ascii="Arial" w:hAnsi="Arial" w:cs="Arial"/>
          <w:i/>
          <w:color w:val="548DD4"/>
          <w:sz w:val="21"/>
          <w:szCs w:val="21"/>
        </w:rPr>
      </w:pP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4.</w:t>
      </w:r>
      <w:r>
        <w:rPr>
          <w:rFonts w:ascii="Arial" w:hAnsi="Arial" w:cs="Arial"/>
          <w:sz w:val="21"/>
          <w:szCs w:val="21"/>
        </w:rPr>
        <w:t>估价对象所属项目用地呈近似规则形状，场地地势较平坦。</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基础设施状况：</w:t>
      </w:r>
    </w:p>
    <w:p w:rsidR="00184596" w:rsidRDefault="00FD048A">
      <w:pPr>
        <w:wordWrap w:val="0"/>
        <w:overflowPunct w:val="0"/>
        <w:spacing w:line="480" w:lineRule="auto"/>
        <w:ind w:firstLineChars="200" w:firstLine="420"/>
        <w:jc w:val="both"/>
        <w:textAlignment w:val="auto"/>
        <w:rPr>
          <w:rFonts w:ascii="Arial" w:hAnsi="Arial" w:cs="Arial"/>
          <w:color w:val="000000"/>
          <w:sz w:val="21"/>
          <w:szCs w:val="21"/>
        </w:rPr>
      </w:pPr>
      <w:r>
        <w:rPr>
          <w:rFonts w:ascii="Arial" w:hAnsi="Arial" w:cs="Arial"/>
          <w:color w:val="000000"/>
          <w:sz w:val="21"/>
          <w:szCs w:val="21"/>
        </w:rPr>
        <w:t>估价对象现状市政基础</w:t>
      </w:r>
      <w:r>
        <w:rPr>
          <w:rFonts w:ascii="Arial" w:hAnsi="Arial" w:cs="Arial"/>
          <w:sz w:val="21"/>
          <w:szCs w:val="21"/>
        </w:rPr>
        <w:t>设施</w:t>
      </w:r>
      <w:r>
        <w:rPr>
          <w:rFonts w:ascii="Arial" w:hAnsi="Arial" w:cs="Arial" w:hint="eastAsia"/>
          <w:sz w:val="21"/>
          <w:szCs w:val="21"/>
        </w:rPr>
        <w:t>较</w:t>
      </w:r>
      <w:r>
        <w:rPr>
          <w:rFonts w:ascii="Arial" w:hAnsi="Arial" w:cs="Arial"/>
          <w:sz w:val="21"/>
          <w:szCs w:val="21"/>
        </w:rPr>
        <w:t>完备，达</w:t>
      </w:r>
      <w:r>
        <w:rPr>
          <w:rFonts w:ascii="Arial" w:hAnsi="Arial" w:hint="eastAsia"/>
          <w:kern w:val="2"/>
          <w:sz w:val="21"/>
        </w:rPr>
        <w:t>“六通”（即通路、通电、通讯、通上水、通下水、通燃气）</w:t>
      </w:r>
      <w:r>
        <w:rPr>
          <w:rFonts w:ascii="Arial" w:hAnsi="Arial" w:cs="Arial"/>
          <w:sz w:val="21"/>
          <w:szCs w:val="21"/>
        </w:rPr>
        <w:t>。</w:t>
      </w:r>
    </w:p>
    <w:p w:rsidR="00184596" w:rsidRDefault="00FD048A">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lastRenderedPageBreak/>
        <w:t>（四）建筑物基本状况</w:t>
      </w:r>
    </w:p>
    <w:p w:rsidR="00184596" w:rsidRDefault="00FD048A">
      <w:pPr>
        <w:wordWrap w:val="0"/>
        <w:overflowPunct w:val="0"/>
        <w:spacing w:line="480" w:lineRule="auto"/>
        <w:ind w:firstLineChars="200" w:firstLine="420"/>
        <w:jc w:val="both"/>
        <w:textAlignment w:val="auto"/>
        <w:rPr>
          <w:rFonts w:ascii="Arial" w:hAnsi="Arial"/>
          <w:kern w:val="2"/>
          <w:sz w:val="21"/>
        </w:rPr>
      </w:pPr>
      <w:r>
        <w:rPr>
          <w:rFonts w:ascii="Arial" w:hAnsi="Arial"/>
          <w:kern w:val="2"/>
          <w:sz w:val="21"/>
        </w:rPr>
        <w:t>估价对象为</w:t>
      </w:r>
      <w:r>
        <w:rPr>
          <w:rFonts w:ascii="Arial" w:hAnsi="Arial" w:cs="Arial" w:hint="eastAsia"/>
          <w:kern w:val="2"/>
          <w:sz w:val="21"/>
          <w:szCs w:val="21"/>
        </w:rPr>
        <w:t>北京市房山区阜盛西街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号楼地上</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29</w:t>
      </w:r>
      <w:r>
        <w:rPr>
          <w:rFonts w:ascii="Arial" w:hAnsi="Arial" w:cs="Arial" w:hint="eastAsia"/>
          <w:kern w:val="2"/>
          <w:sz w:val="21"/>
          <w:szCs w:val="21"/>
        </w:rPr>
        <w:t>套商业用房。</w:t>
      </w:r>
      <w:r>
        <w:rPr>
          <w:rFonts w:ascii="Arial" w:hAnsi="Arial" w:hint="eastAsia"/>
          <w:kern w:val="2"/>
          <w:sz w:val="21"/>
        </w:rPr>
        <w:t>所属项目位于</w:t>
      </w:r>
      <w:r>
        <w:rPr>
          <w:rFonts w:ascii="Arial" w:hAnsi="Arial" w:hint="eastAsia"/>
          <w:bCs/>
          <w:sz w:val="21"/>
        </w:rPr>
        <w:t>北京市房山区长于大街与良乡东路交口东北角</w:t>
      </w:r>
      <w:r>
        <w:rPr>
          <w:rFonts w:ascii="Arial" w:hAnsi="Arial" w:hint="eastAsia"/>
          <w:kern w:val="2"/>
          <w:sz w:val="21"/>
        </w:rPr>
        <w:t>，地处良乡大学城商</w:t>
      </w:r>
      <w:proofErr w:type="gramStart"/>
      <w:r>
        <w:rPr>
          <w:rFonts w:ascii="Arial" w:hAnsi="Arial" w:hint="eastAsia"/>
          <w:kern w:val="2"/>
          <w:sz w:val="21"/>
        </w:rPr>
        <w:t>圈核心</w:t>
      </w:r>
      <w:proofErr w:type="gramEnd"/>
      <w:r>
        <w:rPr>
          <w:rFonts w:ascii="Arial" w:hAnsi="Arial" w:hint="eastAsia"/>
          <w:kern w:val="2"/>
          <w:sz w:val="21"/>
        </w:rPr>
        <w:t>位置，介于高教园区与居民生活区之间，紧邻地铁房山线——良乡大学城北站及城市主干道长于大街，交通出行便捷。项目由</w:t>
      </w:r>
      <w:r>
        <w:rPr>
          <w:rFonts w:ascii="Arial" w:hAnsi="Arial"/>
          <w:kern w:val="2"/>
          <w:sz w:val="21"/>
        </w:rPr>
        <w:t>042</w:t>
      </w:r>
      <w:r>
        <w:rPr>
          <w:rFonts w:ascii="Arial" w:hAnsi="Arial"/>
          <w:kern w:val="2"/>
          <w:sz w:val="21"/>
        </w:rPr>
        <w:t>、</w:t>
      </w:r>
      <w:r>
        <w:rPr>
          <w:rFonts w:ascii="Arial" w:hAnsi="Arial"/>
          <w:kern w:val="2"/>
          <w:sz w:val="21"/>
        </w:rPr>
        <w:t>044</w:t>
      </w:r>
      <w:r>
        <w:rPr>
          <w:rFonts w:ascii="Arial" w:hAnsi="Arial"/>
          <w:kern w:val="2"/>
          <w:sz w:val="21"/>
        </w:rPr>
        <w:t>、</w:t>
      </w:r>
      <w:r>
        <w:rPr>
          <w:rFonts w:ascii="Arial" w:hAnsi="Arial"/>
          <w:kern w:val="2"/>
          <w:sz w:val="21"/>
        </w:rPr>
        <w:t>047</w:t>
      </w:r>
      <w:r>
        <w:rPr>
          <w:rFonts w:ascii="Arial" w:hAnsi="Arial" w:hint="eastAsia"/>
          <w:kern w:val="2"/>
          <w:sz w:val="21"/>
        </w:rPr>
        <w:t>号三个地块组成，项目总建筑面积</w:t>
      </w:r>
      <w:r>
        <w:rPr>
          <w:rFonts w:ascii="Arial" w:hAnsi="Arial" w:hint="eastAsia"/>
          <w:kern w:val="2"/>
          <w:sz w:val="21"/>
        </w:rPr>
        <w:t>301466.92</w:t>
      </w:r>
      <w:r>
        <w:rPr>
          <w:rFonts w:ascii="Arial" w:hAnsi="Arial" w:hint="eastAsia"/>
          <w:kern w:val="2"/>
          <w:sz w:val="21"/>
        </w:rPr>
        <w:t>平方米，地上建筑面积</w:t>
      </w:r>
      <w:r>
        <w:rPr>
          <w:rFonts w:ascii="Arial" w:hAnsi="Arial" w:hint="eastAsia"/>
          <w:kern w:val="2"/>
          <w:sz w:val="21"/>
        </w:rPr>
        <w:t>179120.40</w:t>
      </w:r>
      <w:r>
        <w:rPr>
          <w:rFonts w:ascii="Arial" w:hAnsi="Arial" w:hint="eastAsia"/>
          <w:kern w:val="2"/>
          <w:sz w:val="21"/>
        </w:rPr>
        <w:t>平方米（包含</w:t>
      </w:r>
      <w:proofErr w:type="gramStart"/>
      <w:r>
        <w:rPr>
          <w:rFonts w:ascii="Arial" w:hAnsi="Arial" w:hint="eastAsia"/>
          <w:kern w:val="2"/>
          <w:sz w:val="21"/>
        </w:rPr>
        <w:t>自持</w:t>
      </w:r>
      <w:proofErr w:type="gramEnd"/>
      <w:r>
        <w:rPr>
          <w:rFonts w:ascii="Arial" w:hAnsi="Arial" w:hint="eastAsia"/>
          <w:kern w:val="2"/>
          <w:sz w:val="21"/>
        </w:rPr>
        <w:t>商业和销售商业），地下商业建筑面积</w:t>
      </w:r>
      <w:r>
        <w:rPr>
          <w:rFonts w:ascii="Arial" w:hAnsi="Arial" w:hint="eastAsia"/>
          <w:kern w:val="2"/>
          <w:sz w:val="21"/>
        </w:rPr>
        <w:t>37795.93</w:t>
      </w:r>
      <w:r>
        <w:rPr>
          <w:rFonts w:ascii="Arial" w:hAnsi="Arial" w:hint="eastAsia"/>
          <w:kern w:val="2"/>
          <w:sz w:val="21"/>
        </w:rPr>
        <w:t>平方米，地下车库建筑面积</w:t>
      </w:r>
      <w:r>
        <w:rPr>
          <w:rFonts w:ascii="Arial" w:hAnsi="Arial" w:hint="eastAsia"/>
          <w:kern w:val="2"/>
          <w:sz w:val="21"/>
        </w:rPr>
        <w:t>84550.59</w:t>
      </w:r>
      <w:r>
        <w:rPr>
          <w:rFonts w:ascii="Arial" w:hAnsi="Arial" w:hint="eastAsia"/>
          <w:kern w:val="2"/>
          <w:sz w:val="21"/>
        </w:rPr>
        <w:t>平方米</w:t>
      </w:r>
      <w:r>
        <w:rPr>
          <w:rFonts w:ascii="Arial" w:hAnsi="Arial" w:cs="Arial" w:hint="eastAsia"/>
          <w:sz w:val="21"/>
          <w:szCs w:val="21"/>
        </w:rPr>
        <w:t>‌。</w:t>
      </w:r>
    </w:p>
    <w:p w:rsidR="00184596" w:rsidRDefault="00FD048A">
      <w:pPr>
        <w:wordWrap w:val="0"/>
        <w:overflowPunct w:val="0"/>
        <w:spacing w:line="480" w:lineRule="auto"/>
        <w:ind w:firstLineChars="200" w:firstLine="420"/>
        <w:jc w:val="both"/>
        <w:textAlignment w:val="auto"/>
        <w:rPr>
          <w:rFonts w:ascii="Arial" w:hAnsi="Arial"/>
          <w:bCs/>
          <w:sz w:val="21"/>
        </w:rPr>
      </w:pPr>
      <w:r>
        <w:rPr>
          <w:rFonts w:ascii="Arial" w:hAnsi="Arial" w:hint="eastAsia"/>
          <w:kern w:val="2"/>
          <w:sz w:val="21"/>
        </w:rPr>
        <w:t>估价对象为</w:t>
      </w:r>
      <w:r>
        <w:rPr>
          <w:rFonts w:ascii="Arial" w:hAnsi="Arial" w:cs="Arial" w:hint="eastAsia"/>
          <w:kern w:val="2"/>
          <w:sz w:val="21"/>
          <w:szCs w:val="21"/>
        </w:rPr>
        <w:t>北京市房山区阜盛西街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号楼地上</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29</w:t>
      </w:r>
      <w:r>
        <w:rPr>
          <w:rFonts w:ascii="Arial" w:hAnsi="Arial" w:cs="Arial" w:hint="eastAsia"/>
          <w:kern w:val="2"/>
          <w:sz w:val="21"/>
          <w:szCs w:val="21"/>
        </w:rPr>
        <w:t>套商业用房，总建筑面积</w:t>
      </w:r>
      <w:r>
        <w:rPr>
          <w:rFonts w:ascii="Arial" w:hAnsi="Arial" w:cs="Arial" w:hint="eastAsia"/>
          <w:kern w:val="2"/>
          <w:sz w:val="21"/>
          <w:szCs w:val="21"/>
        </w:rPr>
        <w:t>24871.67</w:t>
      </w:r>
      <w:r>
        <w:rPr>
          <w:rFonts w:ascii="Arial" w:hAnsi="Arial" w:cs="Arial" w:hint="eastAsia"/>
          <w:kern w:val="2"/>
          <w:sz w:val="21"/>
          <w:szCs w:val="21"/>
        </w:rPr>
        <w:t>平方米，</w:t>
      </w:r>
      <w:r>
        <w:rPr>
          <w:rFonts w:ascii="Arial" w:hAnsi="Arial" w:hint="eastAsia"/>
          <w:kern w:val="2"/>
          <w:sz w:val="21"/>
        </w:rPr>
        <w:t>其中，</w:t>
      </w:r>
      <w:r>
        <w:rPr>
          <w:rFonts w:ascii="Arial" w:hAnsi="Arial" w:hint="eastAsia"/>
          <w:kern w:val="2"/>
          <w:sz w:val="21"/>
        </w:rPr>
        <w:t>042</w:t>
      </w:r>
      <w:r>
        <w:rPr>
          <w:rFonts w:ascii="Arial" w:hAnsi="Arial" w:hint="eastAsia"/>
          <w:kern w:val="2"/>
          <w:sz w:val="21"/>
        </w:rPr>
        <w:t>地块中包含</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号楼（总层数为</w:t>
      </w:r>
      <w:r>
        <w:rPr>
          <w:rFonts w:ascii="Arial" w:hAnsi="Arial" w:cs="Arial" w:hint="eastAsia"/>
          <w:kern w:val="2"/>
          <w:sz w:val="21"/>
          <w:szCs w:val="21"/>
        </w:rPr>
        <w:t>2</w:t>
      </w: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）层），地上</w:t>
      </w:r>
      <w:r>
        <w:rPr>
          <w:rFonts w:ascii="Arial" w:hAnsi="Arial" w:cs="Arial" w:hint="eastAsia"/>
          <w:kern w:val="2"/>
          <w:sz w:val="21"/>
          <w:szCs w:val="21"/>
        </w:rPr>
        <w:t>1-2</w:t>
      </w:r>
      <w:r>
        <w:rPr>
          <w:rFonts w:ascii="Arial" w:hAnsi="Arial" w:cs="Arial" w:hint="eastAsia"/>
          <w:kern w:val="2"/>
          <w:sz w:val="21"/>
          <w:szCs w:val="21"/>
        </w:rPr>
        <w:t>层共</w:t>
      </w:r>
      <w:r>
        <w:rPr>
          <w:rFonts w:ascii="Arial" w:hAnsi="Arial" w:cs="Arial" w:hint="eastAsia"/>
          <w:kern w:val="2"/>
          <w:sz w:val="21"/>
          <w:szCs w:val="21"/>
        </w:rPr>
        <w:t>7</w:t>
      </w:r>
      <w:r>
        <w:rPr>
          <w:rFonts w:ascii="Arial" w:hAnsi="Arial" w:cs="Arial" w:hint="eastAsia"/>
          <w:kern w:val="2"/>
          <w:sz w:val="21"/>
          <w:szCs w:val="21"/>
        </w:rPr>
        <w:t>套商业用房，总建筑面积</w:t>
      </w:r>
      <w:r>
        <w:rPr>
          <w:rFonts w:ascii="Arial" w:hAnsi="Arial" w:cs="Arial" w:hint="eastAsia"/>
          <w:kern w:val="2"/>
          <w:sz w:val="21"/>
          <w:szCs w:val="21"/>
        </w:rPr>
        <w:t>5287.83</w:t>
      </w:r>
      <w:r>
        <w:rPr>
          <w:rFonts w:ascii="Arial" w:hAnsi="Arial" w:cs="Arial" w:hint="eastAsia"/>
          <w:kern w:val="2"/>
          <w:sz w:val="21"/>
          <w:szCs w:val="21"/>
        </w:rPr>
        <w:t>平方米；</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6</w:t>
      </w:r>
      <w:r>
        <w:rPr>
          <w:rFonts w:ascii="Arial" w:hAnsi="Arial" w:cs="Arial" w:hint="eastAsia"/>
          <w:kern w:val="2"/>
          <w:sz w:val="21"/>
          <w:szCs w:val="21"/>
        </w:rPr>
        <w:t>号楼（总层数为</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）层），地下</w:t>
      </w:r>
      <w:r>
        <w:rPr>
          <w:rFonts w:ascii="Arial" w:hAnsi="Arial" w:cs="Arial" w:hint="eastAsia"/>
          <w:kern w:val="2"/>
          <w:sz w:val="21"/>
          <w:szCs w:val="21"/>
        </w:rPr>
        <w:t>1</w:t>
      </w:r>
      <w:r>
        <w:rPr>
          <w:rFonts w:ascii="Arial" w:hAnsi="Arial" w:cs="Arial" w:hint="eastAsia"/>
          <w:kern w:val="2"/>
          <w:sz w:val="21"/>
          <w:szCs w:val="21"/>
        </w:rPr>
        <w:t>层共</w:t>
      </w:r>
      <w:r>
        <w:rPr>
          <w:rFonts w:ascii="Arial" w:hAnsi="Arial" w:cs="Arial" w:hint="eastAsia"/>
          <w:kern w:val="2"/>
          <w:sz w:val="21"/>
          <w:szCs w:val="21"/>
        </w:rPr>
        <w:t>9</w:t>
      </w:r>
      <w:r>
        <w:rPr>
          <w:rFonts w:ascii="Arial" w:hAnsi="Arial" w:cs="Arial" w:hint="eastAsia"/>
          <w:kern w:val="2"/>
          <w:sz w:val="21"/>
          <w:szCs w:val="21"/>
        </w:rPr>
        <w:t>套商业用房，总建筑面积</w:t>
      </w:r>
      <w:r>
        <w:rPr>
          <w:rFonts w:ascii="Arial" w:hAnsi="Arial" w:cs="Arial" w:hint="eastAsia"/>
          <w:kern w:val="2"/>
          <w:sz w:val="21"/>
          <w:szCs w:val="21"/>
        </w:rPr>
        <w:t>8822.48</w:t>
      </w:r>
      <w:r>
        <w:rPr>
          <w:rFonts w:ascii="Arial" w:hAnsi="Arial" w:cs="Arial" w:hint="eastAsia"/>
          <w:kern w:val="2"/>
          <w:sz w:val="21"/>
          <w:szCs w:val="21"/>
        </w:rPr>
        <w:t>平方米，于</w:t>
      </w:r>
      <w:r>
        <w:rPr>
          <w:rFonts w:ascii="Arial" w:hAnsi="Arial" w:cs="Arial" w:hint="eastAsia"/>
          <w:kern w:val="2"/>
          <w:sz w:val="21"/>
          <w:szCs w:val="21"/>
        </w:rPr>
        <w:t>2021</w:t>
      </w:r>
      <w:r>
        <w:rPr>
          <w:rFonts w:ascii="Arial" w:hAnsi="Arial" w:cs="Arial" w:hint="eastAsia"/>
          <w:kern w:val="2"/>
          <w:sz w:val="21"/>
          <w:szCs w:val="21"/>
        </w:rPr>
        <w:t>年办理竣工验收</w:t>
      </w:r>
      <w:r>
        <w:rPr>
          <w:rFonts w:ascii="Arial" w:hAnsi="Arial" w:hint="eastAsia"/>
          <w:bCs/>
          <w:sz w:val="21"/>
        </w:rPr>
        <w:t>。</w:t>
      </w:r>
      <w:r>
        <w:rPr>
          <w:rFonts w:ascii="Arial" w:hAnsi="Arial" w:hint="eastAsia"/>
          <w:bCs/>
          <w:sz w:val="21"/>
        </w:rPr>
        <w:t>0</w:t>
      </w:r>
      <w:r>
        <w:rPr>
          <w:rFonts w:ascii="Arial" w:hAnsi="Arial"/>
          <w:bCs/>
          <w:sz w:val="21"/>
        </w:rPr>
        <w:t>44</w:t>
      </w:r>
      <w:r>
        <w:rPr>
          <w:rFonts w:ascii="Arial" w:hAnsi="Arial" w:hint="eastAsia"/>
          <w:bCs/>
          <w:sz w:val="21"/>
        </w:rPr>
        <w:t>地块中包含</w:t>
      </w:r>
      <w:r>
        <w:rPr>
          <w:rFonts w:ascii="Arial" w:hAnsi="Arial" w:cs="Arial" w:hint="eastAsia"/>
          <w:kern w:val="2"/>
          <w:sz w:val="21"/>
          <w:szCs w:val="21"/>
        </w:rPr>
        <w:t>长于大街</w:t>
      </w:r>
      <w:r>
        <w:rPr>
          <w:rFonts w:ascii="Arial" w:hAnsi="Arial" w:cs="Arial" w:hint="eastAsia"/>
          <w:kern w:val="2"/>
          <w:sz w:val="21"/>
          <w:szCs w:val="21"/>
        </w:rPr>
        <w:t>28</w:t>
      </w:r>
      <w:r>
        <w:rPr>
          <w:rFonts w:ascii="Arial" w:hAnsi="Arial" w:cs="Arial" w:hint="eastAsia"/>
          <w:kern w:val="2"/>
          <w:sz w:val="21"/>
          <w:szCs w:val="21"/>
        </w:rPr>
        <w:t>号院</w:t>
      </w:r>
      <w:r>
        <w:rPr>
          <w:rFonts w:ascii="Arial" w:hAnsi="Arial" w:cs="Arial" w:hint="eastAsia"/>
          <w:kern w:val="2"/>
          <w:sz w:val="21"/>
          <w:szCs w:val="21"/>
        </w:rPr>
        <w:t>100</w:t>
      </w:r>
      <w:r>
        <w:rPr>
          <w:rFonts w:ascii="Arial" w:hAnsi="Arial" w:cs="Arial" w:hint="eastAsia"/>
          <w:kern w:val="2"/>
          <w:sz w:val="21"/>
          <w:szCs w:val="21"/>
        </w:rPr>
        <w:t>幢（总层数为</w:t>
      </w:r>
      <w:r>
        <w:rPr>
          <w:rFonts w:ascii="Arial" w:hAnsi="Arial" w:cs="Arial" w:hint="eastAsia"/>
          <w:kern w:val="2"/>
          <w:sz w:val="21"/>
          <w:szCs w:val="21"/>
        </w:rPr>
        <w:t>-2</w:t>
      </w:r>
      <w:r>
        <w:rPr>
          <w:rFonts w:ascii="Arial" w:hAnsi="Arial" w:cs="Arial" w:hint="eastAsia"/>
          <w:kern w:val="2"/>
          <w:sz w:val="21"/>
          <w:szCs w:val="21"/>
        </w:rPr>
        <w:t>层），地下</w:t>
      </w:r>
      <w:r>
        <w:rPr>
          <w:rFonts w:ascii="Arial" w:hAnsi="Arial" w:cs="Arial" w:hint="eastAsia"/>
          <w:kern w:val="2"/>
          <w:sz w:val="21"/>
          <w:szCs w:val="21"/>
        </w:rPr>
        <w:t>1</w:t>
      </w:r>
      <w:r>
        <w:rPr>
          <w:rFonts w:ascii="Arial" w:hAnsi="Arial" w:cs="Arial" w:hint="eastAsia"/>
          <w:kern w:val="2"/>
          <w:sz w:val="21"/>
          <w:szCs w:val="21"/>
        </w:rPr>
        <w:t>层共</w:t>
      </w:r>
      <w:r>
        <w:rPr>
          <w:rFonts w:ascii="Arial" w:hAnsi="Arial" w:cs="Arial" w:hint="eastAsia"/>
          <w:kern w:val="2"/>
          <w:sz w:val="21"/>
          <w:szCs w:val="21"/>
        </w:rPr>
        <w:t>7</w:t>
      </w:r>
      <w:r>
        <w:rPr>
          <w:rFonts w:ascii="Arial" w:hAnsi="Arial" w:cs="Arial" w:hint="eastAsia"/>
          <w:kern w:val="2"/>
          <w:sz w:val="21"/>
          <w:szCs w:val="21"/>
        </w:rPr>
        <w:t>套商业用房，总建筑面积</w:t>
      </w:r>
      <w:r>
        <w:rPr>
          <w:rFonts w:ascii="Arial" w:hAnsi="Arial" w:cs="Arial" w:hint="eastAsia"/>
          <w:kern w:val="2"/>
          <w:sz w:val="21"/>
          <w:szCs w:val="21"/>
        </w:rPr>
        <w:t>5976.27</w:t>
      </w:r>
      <w:r>
        <w:rPr>
          <w:rFonts w:ascii="Arial" w:hAnsi="Arial" w:cs="Arial" w:hint="eastAsia"/>
          <w:kern w:val="2"/>
          <w:sz w:val="21"/>
          <w:szCs w:val="21"/>
        </w:rPr>
        <w:t>平方米，于</w:t>
      </w:r>
      <w:r>
        <w:rPr>
          <w:rFonts w:ascii="Arial" w:hAnsi="Arial" w:cs="Arial" w:hint="eastAsia"/>
          <w:kern w:val="2"/>
          <w:sz w:val="21"/>
          <w:szCs w:val="21"/>
        </w:rPr>
        <w:t>2021</w:t>
      </w:r>
      <w:r>
        <w:rPr>
          <w:rFonts w:ascii="Arial" w:hAnsi="Arial" w:cs="Arial" w:hint="eastAsia"/>
          <w:kern w:val="2"/>
          <w:sz w:val="21"/>
          <w:szCs w:val="21"/>
        </w:rPr>
        <w:t>年办理竣工验收</w:t>
      </w:r>
      <w:r>
        <w:rPr>
          <w:rFonts w:ascii="Arial" w:hAnsi="Arial" w:hint="eastAsia"/>
          <w:bCs/>
          <w:sz w:val="21"/>
        </w:rPr>
        <w:t>。</w:t>
      </w:r>
      <w:r>
        <w:rPr>
          <w:rFonts w:ascii="Arial" w:hAnsi="Arial" w:hint="eastAsia"/>
          <w:color w:val="000000"/>
          <w:kern w:val="2"/>
          <w:sz w:val="21"/>
        </w:rPr>
        <w:t>长阳镇</w:t>
      </w:r>
      <w:r>
        <w:rPr>
          <w:rFonts w:ascii="Arial" w:hAnsi="Arial" w:hint="eastAsia"/>
          <w:color w:val="000000"/>
          <w:kern w:val="2"/>
          <w:sz w:val="21"/>
        </w:rPr>
        <w:t>FS00-LX10-0044</w:t>
      </w:r>
      <w:r>
        <w:rPr>
          <w:rFonts w:ascii="Arial" w:hAnsi="Arial" w:hint="eastAsia"/>
          <w:color w:val="000000"/>
          <w:kern w:val="2"/>
          <w:sz w:val="21"/>
        </w:rPr>
        <w:t>地块</w:t>
      </w:r>
      <w:r>
        <w:rPr>
          <w:rFonts w:ascii="Arial" w:hAnsi="Arial" w:hint="eastAsia"/>
          <w:color w:val="000000"/>
          <w:kern w:val="2"/>
          <w:sz w:val="21"/>
        </w:rPr>
        <w:t>6</w:t>
      </w:r>
      <w:r>
        <w:rPr>
          <w:rFonts w:ascii="Arial" w:hAnsi="Arial" w:hint="eastAsia"/>
          <w:color w:val="000000"/>
          <w:kern w:val="2"/>
          <w:sz w:val="21"/>
        </w:rPr>
        <w:t>号商业楼（测绘地址）（</w:t>
      </w:r>
      <w:r>
        <w:rPr>
          <w:rFonts w:ascii="Arial" w:hAnsi="Arial" w:cs="Arial" w:hint="eastAsia"/>
          <w:kern w:val="2"/>
          <w:sz w:val="21"/>
          <w:szCs w:val="21"/>
        </w:rPr>
        <w:t>总层数为</w:t>
      </w:r>
      <w:r>
        <w:rPr>
          <w:rFonts w:ascii="Arial" w:hAnsi="Arial" w:cs="Arial" w:hint="eastAsia"/>
          <w:kern w:val="2"/>
          <w:sz w:val="21"/>
          <w:szCs w:val="21"/>
        </w:rPr>
        <w:t>2</w:t>
      </w: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）层），地上</w:t>
      </w:r>
      <w:r>
        <w:rPr>
          <w:rFonts w:ascii="Arial" w:hAnsi="Arial" w:cs="Arial" w:hint="eastAsia"/>
          <w:kern w:val="2"/>
          <w:sz w:val="21"/>
          <w:szCs w:val="21"/>
        </w:rPr>
        <w:t>1-2</w:t>
      </w:r>
      <w:r>
        <w:rPr>
          <w:rFonts w:ascii="Arial" w:hAnsi="Arial" w:cs="Arial" w:hint="eastAsia"/>
          <w:kern w:val="2"/>
          <w:sz w:val="21"/>
          <w:szCs w:val="21"/>
        </w:rPr>
        <w:t>层</w:t>
      </w:r>
      <w:r>
        <w:rPr>
          <w:rFonts w:ascii="Arial" w:hAnsi="Arial" w:hint="eastAsia"/>
          <w:bCs/>
          <w:sz w:val="21"/>
        </w:rPr>
        <w:t>共</w:t>
      </w:r>
      <w:r>
        <w:rPr>
          <w:rFonts w:ascii="Arial" w:hAnsi="Arial" w:hint="eastAsia"/>
          <w:bCs/>
          <w:sz w:val="21"/>
        </w:rPr>
        <w:t>6</w:t>
      </w:r>
      <w:r>
        <w:rPr>
          <w:rFonts w:ascii="Arial" w:hAnsi="Arial" w:hint="eastAsia"/>
          <w:bCs/>
          <w:sz w:val="21"/>
        </w:rPr>
        <w:t>套商业用房，总建筑面积</w:t>
      </w:r>
      <w:r>
        <w:rPr>
          <w:rFonts w:ascii="Arial" w:hAnsi="Arial" w:hint="eastAsia"/>
          <w:bCs/>
          <w:sz w:val="21"/>
        </w:rPr>
        <w:t>4785.09</w:t>
      </w:r>
      <w:r>
        <w:rPr>
          <w:rFonts w:ascii="Arial" w:hAnsi="Arial" w:hint="eastAsia"/>
          <w:bCs/>
          <w:sz w:val="21"/>
        </w:rPr>
        <w:t>平方米，现尚未办理不动产权证书，根据《估价委托书》，设定已</w:t>
      </w:r>
      <w:proofErr w:type="gramStart"/>
      <w:r>
        <w:rPr>
          <w:rFonts w:ascii="Arial" w:hAnsi="Arial" w:hint="eastAsia"/>
          <w:bCs/>
          <w:sz w:val="21"/>
        </w:rPr>
        <w:t>具备竣备条件</w:t>
      </w:r>
      <w:proofErr w:type="gramEnd"/>
      <w:r>
        <w:rPr>
          <w:rFonts w:ascii="Arial" w:hAnsi="Arial" w:hint="eastAsia"/>
          <w:bCs/>
          <w:sz w:val="21"/>
        </w:rPr>
        <w:t>。估价对象地上商业多位于地块内部，主要分布在地上</w:t>
      </w:r>
      <w:r>
        <w:rPr>
          <w:rFonts w:ascii="Arial" w:hAnsi="Arial" w:hint="eastAsia"/>
          <w:bCs/>
          <w:sz w:val="21"/>
        </w:rPr>
        <w:t>1-2</w:t>
      </w:r>
      <w:r>
        <w:rPr>
          <w:rFonts w:ascii="Arial" w:hAnsi="Arial" w:hint="eastAsia"/>
          <w:bCs/>
          <w:sz w:val="21"/>
        </w:rPr>
        <w:t>层商业。地下商业多属于下沉式商业、封闭式地下商业，出入口有限，通达性较差，</w:t>
      </w:r>
      <w:proofErr w:type="gramStart"/>
      <w:r>
        <w:rPr>
          <w:rFonts w:ascii="Arial" w:hAnsi="Arial" w:hint="eastAsia"/>
          <w:bCs/>
          <w:sz w:val="21"/>
        </w:rPr>
        <w:t>展示面遮挡</w:t>
      </w:r>
      <w:proofErr w:type="gramEnd"/>
      <w:r>
        <w:rPr>
          <w:rFonts w:ascii="Arial" w:hAnsi="Arial" w:hint="eastAsia"/>
          <w:bCs/>
          <w:sz w:val="21"/>
        </w:rPr>
        <w:t>严重，可视性较差。所属</w:t>
      </w:r>
      <w:r>
        <w:rPr>
          <w:rFonts w:ascii="Arial" w:hAnsi="Arial" w:hint="eastAsia"/>
          <w:kern w:val="2"/>
          <w:sz w:val="21"/>
        </w:rPr>
        <w:t>楼栋建筑结构均为钢混，</w:t>
      </w:r>
      <w:r>
        <w:rPr>
          <w:rFonts w:ascii="Arial" w:hAnsi="Arial" w:hint="eastAsia"/>
          <w:bCs/>
          <w:sz w:val="21"/>
        </w:rPr>
        <w:t>项目外立面装修均以金属外挂板为主，层高约</w:t>
      </w:r>
      <w:r>
        <w:rPr>
          <w:rFonts w:ascii="Arial" w:hAnsi="Arial" w:hint="eastAsia"/>
          <w:bCs/>
          <w:sz w:val="21"/>
        </w:rPr>
        <w:t>6</w:t>
      </w:r>
      <w:r>
        <w:rPr>
          <w:rFonts w:ascii="Arial" w:hAnsi="Arial" w:hint="eastAsia"/>
          <w:bCs/>
          <w:sz w:val="21"/>
        </w:rPr>
        <w:t>米，地上商业用房使用率约</w:t>
      </w:r>
      <w:r>
        <w:rPr>
          <w:rFonts w:ascii="Arial" w:hAnsi="Arial" w:hint="eastAsia"/>
          <w:bCs/>
          <w:sz w:val="21"/>
        </w:rPr>
        <w:t>75%-85%</w:t>
      </w:r>
      <w:r>
        <w:rPr>
          <w:rFonts w:ascii="Arial" w:hAnsi="Arial" w:hint="eastAsia"/>
          <w:bCs/>
          <w:sz w:val="21"/>
        </w:rPr>
        <w:t>，地下商业用房使用率约</w:t>
      </w:r>
      <w:r>
        <w:rPr>
          <w:rFonts w:ascii="Arial" w:hAnsi="Arial" w:hint="eastAsia"/>
          <w:bCs/>
          <w:sz w:val="21"/>
        </w:rPr>
        <w:t>60%-65%</w:t>
      </w:r>
      <w:r>
        <w:rPr>
          <w:rFonts w:ascii="Arial" w:hAnsi="Arial" w:hint="eastAsia"/>
          <w:bCs/>
          <w:sz w:val="21"/>
        </w:rPr>
        <w:t>，内部装修均为毛坯。</w:t>
      </w:r>
    </w:p>
    <w:p w:rsidR="00184596" w:rsidRDefault="00FD048A">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hint="eastAsia"/>
          <w:bCs/>
          <w:sz w:val="21"/>
        </w:rPr>
        <w:t>根据评估专业人员实地查勘，估价对象商业用房现状处于空置状态，未来用作出租经营使用，内部为毛坯，房屋维护情况良好。</w:t>
      </w:r>
    </w:p>
    <w:p w:rsidR="00184596" w:rsidRDefault="00FD048A">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17"/>
      <w:bookmarkStart w:id="29" w:name="_Toc477252445"/>
      <w:r>
        <w:rPr>
          <w:rFonts w:eastAsia="宋体"/>
          <w:kern w:val="2"/>
          <w:sz w:val="21"/>
          <w:szCs w:val="21"/>
        </w:rPr>
        <w:t>五</w:t>
      </w:r>
      <w:bookmarkEnd w:id="28"/>
      <w:r>
        <w:rPr>
          <w:rFonts w:eastAsia="宋体"/>
          <w:kern w:val="2"/>
          <w:sz w:val="21"/>
          <w:szCs w:val="21"/>
        </w:rPr>
        <w:t>、价值时点</w:t>
      </w:r>
      <w:bookmarkEnd w:id="29"/>
    </w:p>
    <w:p w:rsidR="00184596" w:rsidRDefault="00FD048A">
      <w:pPr>
        <w:pStyle w:val="a9"/>
        <w:wordWrap w:val="0"/>
        <w:overflowPunct w:val="0"/>
        <w:spacing w:line="480" w:lineRule="auto"/>
        <w:ind w:firstLineChars="200" w:firstLine="420"/>
        <w:textAlignment w:val="auto"/>
        <w:rPr>
          <w:rFonts w:ascii="Arial" w:hAnsi="Arial" w:cs="Arial"/>
          <w:sz w:val="21"/>
          <w:szCs w:val="21"/>
        </w:rPr>
      </w:pPr>
      <w:r>
        <w:rPr>
          <w:rFonts w:ascii="Arial" w:eastAsia="宋体" w:hAnsi="Arial" w:cs="Arial" w:hint="eastAsia"/>
          <w:b w:val="0"/>
          <w:bCs/>
          <w:sz w:val="21"/>
          <w:szCs w:val="21"/>
        </w:rPr>
        <w:t>根据《估价委托书》，本次评估价值时点为</w:t>
      </w:r>
      <w:r>
        <w:rPr>
          <w:rFonts w:ascii="Arial" w:eastAsia="宋体" w:hAnsi="Arial" w:cs="Arial" w:hint="eastAsia"/>
          <w:b w:val="0"/>
          <w:bCs/>
          <w:sz w:val="21"/>
          <w:szCs w:val="21"/>
        </w:rPr>
        <w:t>2026</w:t>
      </w:r>
      <w:r>
        <w:rPr>
          <w:rFonts w:ascii="Arial" w:eastAsia="宋体" w:hAnsi="Arial" w:cs="Arial" w:hint="eastAsia"/>
          <w:b w:val="0"/>
          <w:bCs/>
          <w:sz w:val="21"/>
          <w:szCs w:val="21"/>
        </w:rPr>
        <w:t>年</w:t>
      </w:r>
      <w:r>
        <w:rPr>
          <w:rFonts w:ascii="Arial" w:eastAsia="宋体" w:hAnsi="Arial" w:cs="Arial" w:hint="eastAsia"/>
          <w:b w:val="0"/>
          <w:bCs/>
          <w:sz w:val="21"/>
          <w:szCs w:val="21"/>
        </w:rPr>
        <w:t>1</w:t>
      </w:r>
      <w:r>
        <w:rPr>
          <w:rFonts w:ascii="Arial" w:eastAsia="宋体" w:hAnsi="Arial" w:cs="Arial" w:hint="eastAsia"/>
          <w:b w:val="0"/>
          <w:bCs/>
          <w:sz w:val="21"/>
          <w:szCs w:val="21"/>
        </w:rPr>
        <w:t>月</w:t>
      </w:r>
      <w:r>
        <w:rPr>
          <w:rFonts w:ascii="Arial" w:eastAsia="宋体" w:hAnsi="Arial" w:cs="Arial" w:hint="eastAsia"/>
          <w:b w:val="0"/>
          <w:bCs/>
          <w:sz w:val="21"/>
          <w:szCs w:val="21"/>
        </w:rPr>
        <w:t>14</w:t>
      </w:r>
      <w:r>
        <w:rPr>
          <w:rFonts w:ascii="Arial" w:eastAsia="宋体" w:hAnsi="Arial" w:cs="Arial" w:hint="eastAsia"/>
          <w:b w:val="0"/>
          <w:bCs/>
          <w:sz w:val="21"/>
          <w:szCs w:val="21"/>
        </w:rPr>
        <w:t>日，且为评估专业人员实地查勘之日。</w:t>
      </w:r>
    </w:p>
    <w:p w:rsidR="00184596" w:rsidRDefault="00FD048A">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68225818"/>
      <w:bookmarkStart w:id="31" w:name="_Toc477252446"/>
      <w:r>
        <w:rPr>
          <w:rFonts w:eastAsia="宋体"/>
          <w:kern w:val="2"/>
          <w:sz w:val="21"/>
          <w:szCs w:val="21"/>
        </w:rPr>
        <w:t>六</w:t>
      </w:r>
      <w:bookmarkEnd w:id="30"/>
      <w:r>
        <w:rPr>
          <w:rFonts w:eastAsia="宋体"/>
          <w:kern w:val="2"/>
          <w:sz w:val="21"/>
          <w:szCs w:val="21"/>
        </w:rPr>
        <w:t>、价值类型</w:t>
      </w:r>
      <w:bookmarkEnd w:id="31"/>
    </w:p>
    <w:p w:rsidR="00184596" w:rsidRDefault="00FD048A" w:rsidP="00FD048A">
      <w:pPr>
        <w:spacing w:line="480" w:lineRule="auto"/>
        <w:ind w:firstLineChars="196" w:firstLine="412"/>
        <w:jc w:val="both"/>
        <w:rPr>
          <w:rFonts w:eastAsia="楷体_GB2312"/>
          <w:sz w:val="28"/>
          <w:szCs w:val="28"/>
        </w:rPr>
      </w:pPr>
      <w:r>
        <w:rPr>
          <w:rFonts w:ascii="Arial" w:hAnsi="Arial" w:hint="eastAsia"/>
          <w:bCs/>
          <w:sz w:val="21"/>
        </w:rPr>
        <w:t>根据房地产估价规范、国家现行有关标准规定和项目的具体要求，本次评估采用的是</w:t>
      </w:r>
      <w:r>
        <w:rPr>
          <w:rFonts w:ascii="Arial" w:hAnsi="Arial" w:cs="Arial" w:hint="eastAsia"/>
          <w:sz w:val="21"/>
          <w:szCs w:val="21"/>
        </w:rPr>
        <w:t>市场价值</w:t>
      </w:r>
      <w:r>
        <w:rPr>
          <w:rFonts w:ascii="Arial" w:hAnsi="Arial" w:hint="eastAsia"/>
          <w:bCs/>
          <w:sz w:val="21"/>
        </w:rPr>
        <w:t>标准。</w:t>
      </w:r>
      <w:r>
        <w:rPr>
          <w:rFonts w:ascii="Arial" w:hAnsi="Arial"/>
          <w:bCs/>
          <w:sz w:val="21"/>
        </w:rPr>
        <w:t>根据</w:t>
      </w:r>
      <w:r>
        <w:rPr>
          <w:rFonts w:ascii="Arial" w:hAnsi="Arial" w:hint="eastAsia"/>
          <w:bCs/>
          <w:sz w:val="21"/>
        </w:rPr>
        <w:t>《房地产估价基本术语标准》</w:t>
      </w:r>
      <w:r>
        <w:rPr>
          <w:rFonts w:ascii="Arial" w:hAnsi="Arial" w:hint="eastAsia"/>
          <w:bCs/>
          <w:sz w:val="21"/>
        </w:rPr>
        <w:t>[GB/T50899-2013]</w:t>
      </w:r>
      <w:r>
        <w:rPr>
          <w:rFonts w:ascii="Arial" w:hAnsi="Arial" w:hint="eastAsia"/>
          <w:bCs/>
          <w:sz w:val="21"/>
        </w:rPr>
        <w:t>，</w:t>
      </w:r>
      <w:r>
        <w:rPr>
          <w:rFonts w:ascii="Arial" w:hAnsi="Arial"/>
          <w:bCs/>
          <w:sz w:val="21"/>
        </w:rPr>
        <w:t>市场价值是经适当营销后，由熟悉情况、</w:t>
      </w:r>
      <w:r>
        <w:rPr>
          <w:rFonts w:ascii="Arial" w:hAnsi="Arial"/>
          <w:bCs/>
          <w:sz w:val="21"/>
        </w:rPr>
        <w:lastRenderedPageBreak/>
        <w:t>谨慎行事且不受强迫的交易双方，以公平交易方式在价值时点自愿进行交易的金额</w:t>
      </w:r>
      <w:r>
        <w:rPr>
          <w:rFonts w:ascii="Arial" w:hAnsi="Arial" w:hint="eastAsia"/>
          <w:bCs/>
          <w:sz w:val="21"/>
        </w:rPr>
        <w:t>。</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”是指在正常市场情况下，在价值时点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hint="eastAsia"/>
          <w:bCs/>
          <w:sz w:val="21"/>
        </w:rPr>
        <w:t>，估价对象规划用途为商业</w:t>
      </w:r>
      <w:r>
        <w:rPr>
          <w:rFonts w:ascii="Arial" w:hAnsi="Arial" w:cs="Arial" w:hint="eastAsia"/>
          <w:sz w:val="21"/>
          <w:szCs w:val="21"/>
        </w:rPr>
        <w:t>，</w:t>
      </w:r>
      <w:commentRangeStart w:id="32"/>
      <w:r>
        <w:rPr>
          <w:rFonts w:ascii="Arial" w:hAnsi="Arial"/>
          <w:bCs/>
          <w:sz w:val="21"/>
        </w:rPr>
        <w:t>土地取得方式</w:t>
      </w:r>
      <w:r>
        <w:rPr>
          <w:rFonts w:ascii="Arial" w:hAnsi="Arial" w:hint="eastAsia"/>
          <w:bCs/>
          <w:sz w:val="21"/>
        </w:rPr>
        <w:t>为出让的房地产租赁价格，不包含物业管理费、能源费、房地产经纪公司服务费等。</w:t>
      </w:r>
      <w:commentRangeEnd w:id="32"/>
      <w:r w:rsidR="00F21149">
        <w:rPr>
          <w:rStyle w:val="af5"/>
        </w:rPr>
        <w:commentReference w:id="32"/>
      </w:r>
    </w:p>
    <w:p w:rsidR="00184596" w:rsidRDefault="00FD048A">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68225819"/>
      <w:bookmarkStart w:id="34" w:name="_Toc477252447"/>
      <w:r>
        <w:rPr>
          <w:rFonts w:eastAsia="宋体"/>
          <w:kern w:val="2"/>
          <w:sz w:val="21"/>
          <w:szCs w:val="21"/>
        </w:rPr>
        <w:t>七、估价原则</w:t>
      </w:r>
      <w:bookmarkEnd w:id="33"/>
      <w:bookmarkEnd w:id="34"/>
    </w:p>
    <w:p w:rsidR="00184596" w:rsidRDefault="00FD048A">
      <w:pPr>
        <w:wordWrap w:val="0"/>
        <w:overflowPunct w:val="0"/>
        <w:spacing w:line="480" w:lineRule="auto"/>
        <w:jc w:val="both"/>
        <w:textAlignment w:val="auto"/>
        <w:rPr>
          <w:rFonts w:ascii="Arial" w:hAnsi="Arial" w:cs="Arial"/>
          <w:sz w:val="21"/>
          <w:szCs w:val="21"/>
        </w:rPr>
      </w:pPr>
      <w:r>
        <w:rPr>
          <w:rFonts w:ascii="Arial" w:hAnsi="Arial" w:cs="Arial"/>
          <w:sz w:val="21"/>
          <w:szCs w:val="21"/>
        </w:rPr>
        <w:t>我们在本次估价时遵循了以下原则：</w:t>
      </w:r>
    </w:p>
    <w:p w:rsidR="00184596" w:rsidRDefault="00FD048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rsidR="00184596" w:rsidRDefault="00FD048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估价对象在价值时点具有合法的产权且用途合法。估价对象</w:t>
      </w:r>
      <w:r>
        <w:rPr>
          <w:rFonts w:ascii="Arial" w:hAnsi="Arial" w:cs="Arial" w:hint="eastAsia"/>
          <w:sz w:val="21"/>
          <w:szCs w:val="21"/>
        </w:rPr>
        <w:t>042</w:t>
      </w:r>
      <w:r>
        <w:rPr>
          <w:rFonts w:ascii="Arial" w:hAnsi="Arial" w:cs="Arial" w:hint="eastAsia"/>
          <w:sz w:val="21"/>
          <w:szCs w:val="21"/>
        </w:rPr>
        <w:t>地块及</w:t>
      </w:r>
      <w:r>
        <w:rPr>
          <w:rFonts w:ascii="Arial" w:hAnsi="Arial" w:cs="Arial" w:hint="eastAsia"/>
          <w:sz w:val="21"/>
          <w:szCs w:val="21"/>
        </w:rPr>
        <w:t>044</w:t>
      </w:r>
      <w:r>
        <w:rPr>
          <w:rFonts w:ascii="Arial" w:hAnsi="Arial" w:cs="Arial" w:hint="eastAsia"/>
          <w:sz w:val="21"/>
          <w:szCs w:val="21"/>
        </w:rPr>
        <w:t>地块地下部分</w:t>
      </w:r>
      <w:r>
        <w:rPr>
          <w:rFonts w:ascii="Arial" w:hAnsi="Arial" w:cs="Arial"/>
          <w:sz w:val="21"/>
          <w:szCs w:val="21"/>
        </w:rPr>
        <w:t>已取得《不动产权证书》</w:t>
      </w:r>
      <w:r>
        <w:rPr>
          <w:rFonts w:ascii="Arial" w:hAnsi="Arial" w:cs="Arial" w:hint="eastAsia"/>
          <w:sz w:val="21"/>
          <w:szCs w:val="21"/>
        </w:rPr>
        <w:t>，</w:t>
      </w:r>
      <w:r>
        <w:rPr>
          <w:rFonts w:ascii="Arial" w:hAnsi="Arial" w:cs="Arial" w:hint="eastAsia"/>
          <w:sz w:val="21"/>
          <w:szCs w:val="21"/>
        </w:rPr>
        <w:t>044</w:t>
      </w:r>
      <w:r>
        <w:rPr>
          <w:rFonts w:ascii="Arial" w:hAnsi="Arial" w:cs="Arial" w:hint="eastAsia"/>
          <w:sz w:val="21"/>
          <w:szCs w:val="21"/>
        </w:rPr>
        <w:t>地块地上部分尚未取得《不动产权证书》</w:t>
      </w:r>
      <w:r>
        <w:rPr>
          <w:rFonts w:ascii="Arial" w:hAnsi="Arial" w:cs="Arial"/>
          <w:sz w:val="21"/>
          <w:szCs w:val="21"/>
        </w:rPr>
        <w:t>。</w:t>
      </w:r>
      <w:r>
        <w:rPr>
          <w:rFonts w:ascii="Arial" w:hAnsi="Arial" w:cs="Arial" w:hint="eastAsia"/>
          <w:sz w:val="21"/>
          <w:szCs w:val="21"/>
        </w:rPr>
        <w:t>根据《估价委托书》，本次评估设定</w:t>
      </w:r>
      <w:r>
        <w:rPr>
          <w:rFonts w:ascii="Arial" w:hAnsi="Arial" w:cs="Arial"/>
          <w:sz w:val="21"/>
          <w:szCs w:val="21"/>
        </w:rPr>
        <w:t>估价对象在价值时点交易或处分方式是合法的。</w:t>
      </w:r>
    </w:p>
    <w:p w:rsidR="00184596" w:rsidRDefault="00FD048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（三）价值时点原则</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184596" w:rsidRDefault="00FD048A">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w:t>
      </w:r>
      <w:r>
        <w:rPr>
          <w:rFonts w:ascii="Arial" w:hAnsi="Arial" w:cs="Arial"/>
          <w:sz w:val="21"/>
          <w:szCs w:val="21"/>
        </w:rPr>
        <w:lastRenderedPageBreak/>
        <w:t>的市场价值，才有可能根据市场资料对估价对象进行估价。</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rsidR="00184596" w:rsidRDefault="00FD048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（五）最高</w:t>
      </w:r>
      <w:proofErr w:type="gramStart"/>
      <w:r>
        <w:rPr>
          <w:rFonts w:ascii="Arial" w:hAnsi="Arial" w:cs="Arial"/>
          <w:b/>
          <w:sz w:val="21"/>
          <w:szCs w:val="21"/>
        </w:rPr>
        <w:t>最佳利用</w:t>
      </w:r>
      <w:proofErr w:type="gramEnd"/>
      <w:r>
        <w:rPr>
          <w:rFonts w:ascii="Arial" w:hAnsi="Arial" w:cs="Arial"/>
          <w:b/>
          <w:sz w:val="21"/>
          <w:szCs w:val="21"/>
        </w:rPr>
        <w:t>原则</w:t>
      </w:r>
    </w:p>
    <w:p w:rsidR="00184596" w:rsidRDefault="00FD048A">
      <w:pPr>
        <w:wordWrap w:val="0"/>
        <w:overflowPunct w:val="0"/>
        <w:spacing w:line="480" w:lineRule="auto"/>
        <w:ind w:firstLineChars="200" w:firstLine="420"/>
        <w:jc w:val="both"/>
        <w:textAlignment w:val="auto"/>
        <w:rPr>
          <w:rFonts w:ascii="Arial" w:hAnsi="Arial" w:cs="Arial"/>
          <w:b/>
          <w:kern w:val="2"/>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Pr>
          <w:rFonts w:ascii="Arial" w:hAnsi="Arial" w:cs="Arial"/>
          <w:sz w:val="21"/>
          <w:szCs w:val="21"/>
        </w:rPr>
        <w:t>最佳利用</w:t>
      </w:r>
      <w:proofErr w:type="gramEnd"/>
      <w:r>
        <w:rPr>
          <w:rFonts w:ascii="Arial" w:hAnsi="Arial" w:cs="Arial"/>
          <w:sz w:val="21"/>
          <w:szCs w:val="21"/>
        </w:rPr>
        <w:t>是在法律上可行、技术上可能、经济上可行，经过充分合理的论证，能使估价对象价值达到最大、最可能的使用。估价对象</w:t>
      </w:r>
      <w:r>
        <w:rPr>
          <w:rFonts w:ascii="Arial" w:hAnsi="Arial" w:cs="Arial" w:hint="eastAsia"/>
          <w:sz w:val="21"/>
          <w:szCs w:val="21"/>
        </w:rPr>
        <w:t>042</w:t>
      </w:r>
      <w:r>
        <w:rPr>
          <w:rFonts w:ascii="Arial" w:hAnsi="Arial" w:cs="Arial" w:hint="eastAsia"/>
          <w:sz w:val="21"/>
          <w:szCs w:val="21"/>
        </w:rPr>
        <w:t>地块及</w:t>
      </w:r>
      <w:r>
        <w:rPr>
          <w:rFonts w:ascii="Arial" w:hAnsi="Arial" w:cs="Arial" w:hint="eastAsia"/>
          <w:sz w:val="21"/>
          <w:szCs w:val="21"/>
        </w:rPr>
        <w:t>044</w:t>
      </w:r>
      <w:r>
        <w:rPr>
          <w:rFonts w:ascii="Arial" w:hAnsi="Arial" w:cs="Arial" w:hint="eastAsia"/>
          <w:sz w:val="21"/>
          <w:szCs w:val="21"/>
        </w:rPr>
        <w:t>地块地下部分</w:t>
      </w:r>
      <w:r>
        <w:rPr>
          <w:rFonts w:ascii="Arial" w:hAnsi="Arial" w:cs="Arial"/>
          <w:sz w:val="21"/>
          <w:szCs w:val="21"/>
        </w:rPr>
        <w:t>已取得《不动产权证书》</w:t>
      </w:r>
      <w:r>
        <w:rPr>
          <w:rFonts w:ascii="Arial" w:hAnsi="Arial" w:cs="Arial" w:hint="eastAsia"/>
          <w:sz w:val="21"/>
          <w:szCs w:val="21"/>
        </w:rPr>
        <w:t>，</w:t>
      </w:r>
      <w:r>
        <w:rPr>
          <w:rFonts w:ascii="Arial" w:hAnsi="Arial" w:cs="Arial" w:hint="eastAsia"/>
          <w:sz w:val="21"/>
          <w:szCs w:val="21"/>
        </w:rPr>
        <w:t>044</w:t>
      </w:r>
      <w:r>
        <w:rPr>
          <w:rFonts w:ascii="Arial" w:hAnsi="Arial" w:cs="Arial" w:hint="eastAsia"/>
          <w:sz w:val="21"/>
          <w:szCs w:val="21"/>
        </w:rPr>
        <w:t>地块地上部分尚未取得《不动产权证书》</w:t>
      </w:r>
      <w:r>
        <w:rPr>
          <w:rFonts w:ascii="Arial" w:hAnsi="Arial" w:cs="Arial"/>
          <w:sz w:val="21"/>
          <w:szCs w:val="21"/>
        </w:rPr>
        <w:t>。</w:t>
      </w:r>
      <w:r>
        <w:rPr>
          <w:rFonts w:ascii="Arial" w:hAnsi="Arial" w:cs="Arial" w:hint="eastAsia"/>
          <w:sz w:val="21"/>
          <w:szCs w:val="21"/>
        </w:rPr>
        <w:t>根据《估价委托书》，估价对象</w:t>
      </w:r>
      <w:r>
        <w:rPr>
          <w:rFonts w:ascii="Arial" w:hAnsi="Arial" w:cs="Arial"/>
          <w:sz w:val="21"/>
          <w:szCs w:val="21"/>
        </w:rPr>
        <w:t>用途</w:t>
      </w:r>
      <w:r>
        <w:rPr>
          <w:rFonts w:ascii="Arial" w:hAnsi="Arial" w:cs="Arial" w:hint="eastAsia"/>
          <w:sz w:val="21"/>
          <w:szCs w:val="21"/>
        </w:rPr>
        <w:t>均</w:t>
      </w:r>
      <w:r>
        <w:rPr>
          <w:rFonts w:ascii="Arial" w:hAnsi="Arial" w:cs="Arial"/>
          <w:sz w:val="21"/>
          <w:szCs w:val="21"/>
        </w:rPr>
        <w:t>为</w:t>
      </w:r>
      <w:r>
        <w:rPr>
          <w:rFonts w:ascii="Arial" w:hAnsi="Arial" w:cs="Arial" w:hint="eastAsia"/>
          <w:sz w:val="21"/>
          <w:szCs w:val="21"/>
        </w:rPr>
        <w:t>商业</w:t>
      </w:r>
      <w:r>
        <w:rPr>
          <w:rFonts w:ascii="Arial" w:hAnsi="Arial" w:cs="Arial"/>
          <w:sz w:val="21"/>
          <w:szCs w:val="21"/>
        </w:rPr>
        <w:t>，符合最高</w:t>
      </w:r>
      <w:proofErr w:type="gramStart"/>
      <w:r>
        <w:rPr>
          <w:rFonts w:ascii="Arial" w:hAnsi="Arial" w:cs="Arial"/>
          <w:sz w:val="21"/>
          <w:szCs w:val="21"/>
        </w:rPr>
        <w:t>最佳利用</w:t>
      </w:r>
      <w:proofErr w:type="gramEnd"/>
      <w:r>
        <w:rPr>
          <w:rFonts w:ascii="Arial" w:hAnsi="Arial" w:cs="Arial"/>
          <w:sz w:val="21"/>
          <w:szCs w:val="21"/>
        </w:rPr>
        <w:t>原则。</w:t>
      </w:r>
    </w:p>
    <w:p w:rsidR="00184596" w:rsidRDefault="00FD048A">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5" w:name="_Toc168225820"/>
      <w:bookmarkStart w:id="36" w:name="_Toc477252448"/>
      <w:r>
        <w:rPr>
          <w:rFonts w:eastAsia="宋体"/>
          <w:kern w:val="2"/>
          <w:sz w:val="21"/>
          <w:szCs w:val="21"/>
        </w:rPr>
        <w:t>八、估价</w:t>
      </w:r>
      <w:bookmarkEnd w:id="35"/>
      <w:r>
        <w:rPr>
          <w:rFonts w:eastAsia="宋体"/>
          <w:kern w:val="2"/>
          <w:sz w:val="21"/>
          <w:szCs w:val="21"/>
        </w:rPr>
        <w:t>依据</w:t>
      </w:r>
      <w:bookmarkEnd w:id="36"/>
    </w:p>
    <w:p w:rsidR="00184596" w:rsidRDefault="00FD048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日第十三届全国人大常委会第十二次会议通过第三次修正，自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《中华人民共和国资产评估法》（</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日第十二届全国人民代表大会常务委员会第二十一次会议通过，</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日中华人民共和国主席令第</w:t>
      </w:r>
      <w:r>
        <w:rPr>
          <w:rFonts w:ascii="Arial" w:hAnsi="Arial" w:cs="Arial" w:hint="eastAsia"/>
          <w:sz w:val="21"/>
          <w:szCs w:val="21"/>
        </w:rPr>
        <w:t>46</w:t>
      </w:r>
      <w:r>
        <w:rPr>
          <w:rFonts w:ascii="Arial" w:hAnsi="Arial" w:cs="Arial" w:hint="eastAsia"/>
          <w:sz w:val="21"/>
          <w:szCs w:val="21"/>
        </w:rPr>
        <w:t>号公布，自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《中华人民共和国民法典》（</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日第十三届全国人大三次会议表决通过，自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lastRenderedPageBreak/>
        <w:t>《中华人民共和国契税法》（</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11</w:t>
      </w:r>
      <w:r>
        <w:rPr>
          <w:rFonts w:ascii="Arial" w:hAnsi="Arial" w:cs="Arial" w:hint="eastAsia"/>
          <w:sz w:val="21"/>
          <w:szCs w:val="21"/>
        </w:rPr>
        <w:t>日第十三届全国人民代表大会常务委员会第二十一次会议通过）</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《中华人民共和国城市维护建设税法》（</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11</w:t>
      </w:r>
      <w:r>
        <w:rPr>
          <w:rFonts w:ascii="Arial" w:hAnsi="Arial" w:cs="Arial" w:hint="eastAsia"/>
          <w:sz w:val="21"/>
          <w:szCs w:val="21"/>
        </w:rPr>
        <w:t>日第十三届全国人民代表大会常务委员会第二十一次会议通过）</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《中华人民共和国印花税法》（</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10</w:t>
      </w:r>
      <w:r>
        <w:rPr>
          <w:rFonts w:ascii="Arial" w:hAnsi="Arial" w:cs="Arial" w:hint="eastAsia"/>
          <w:sz w:val="21"/>
          <w:szCs w:val="21"/>
        </w:rPr>
        <w:t>日第十三届全国人民代表大会常务委员会第二十九次会议通过）</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sz w:val="21"/>
          <w:szCs w:val="21"/>
        </w:rPr>
        <w:t>《中华人民共和国增值税法》（</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25</w:t>
      </w:r>
      <w:r>
        <w:rPr>
          <w:rFonts w:ascii="Arial" w:hAnsi="Arial" w:cs="Arial" w:hint="eastAsia"/>
          <w:sz w:val="21"/>
          <w:szCs w:val="21"/>
        </w:rPr>
        <w:t>日第十四届全国人民代表大会常务委员会第十三次会议通过</w:t>
      </w:r>
      <w:r>
        <w:rPr>
          <w:rFonts w:ascii="Arial" w:hAnsi="Arial" w:cs="Arial" w:hint="eastAsia"/>
          <w:sz w:val="21"/>
          <w:szCs w:val="21"/>
        </w:rPr>
        <w:t xml:space="preserve"> </w:t>
      </w:r>
      <w:r>
        <w:rPr>
          <w:rFonts w:ascii="Arial" w:hAnsi="Arial" w:cs="Arial" w:hint="eastAsia"/>
          <w:sz w:val="21"/>
          <w:szCs w:val="21"/>
        </w:rPr>
        <w:t>自</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sz w:val="21"/>
          <w:szCs w:val="21"/>
        </w:rPr>
        <w:t>）</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《中华人民共和国城镇国有土地使用权出让和转让暂行条例》（根据</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日中华人民共和国国务院令第</w:t>
      </w:r>
      <w:r>
        <w:rPr>
          <w:rFonts w:ascii="Arial" w:hAnsi="Arial" w:cs="Arial" w:hint="eastAsia"/>
          <w:sz w:val="21"/>
          <w:szCs w:val="21"/>
        </w:rPr>
        <w:t>732</w:t>
      </w:r>
      <w:r>
        <w:rPr>
          <w:rFonts w:ascii="Arial" w:hAnsi="Arial" w:cs="Arial" w:hint="eastAsia"/>
          <w:sz w:val="21"/>
          <w:szCs w:val="21"/>
        </w:rPr>
        <w:t>号公布的《国务院关于修改和废止部分行政法规的决定》修订，自公布之日起施行）</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《中华人民共和国土地管理法实施条例》（</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w:t>
      </w:r>
      <w:r>
        <w:rPr>
          <w:rFonts w:ascii="Arial" w:hAnsi="Arial" w:cs="Arial" w:hint="eastAsia"/>
          <w:sz w:val="21"/>
          <w:szCs w:val="21"/>
        </w:rPr>
        <w:t>21</w:t>
      </w:r>
      <w:r>
        <w:rPr>
          <w:rFonts w:ascii="Arial" w:hAnsi="Arial" w:cs="Arial" w:hint="eastAsia"/>
          <w:sz w:val="21"/>
          <w:szCs w:val="21"/>
        </w:rPr>
        <w:t>日国务院第</w:t>
      </w:r>
      <w:r>
        <w:rPr>
          <w:rFonts w:ascii="Arial" w:hAnsi="Arial" w:cs="Arial" w:hint="eastAsia"/>
          <w:sz w:val="21"/>
          <w:szCs w:val="21"/>
        </w:rPr>
        <w:t>132</w:t>
      </w:r>
      <w:r>
        <w:rPr>
          <w:rFonts w:ascii="Arial" w:hAnsi="Arial" w:cs="Arial" w:hint="eastAsia"/>
          <w:sz w:val="21"/>
          <w:szCs w:val="21"/>
        </w:rPr>
        <w:t>次会议第三次修订通过，</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日中华人民共和国国务院令第</w:t>
      </w:r>
      <w:r>
        <w:rPr>
          <w:rFonts w:ascii="Arial" w:hAnsi="Arial" w:cs="Arial" w:hint="eastAsia"/>
          <w:sz w:val="21"/>
          <w:szCs w:val="21"/>
        </w:rPr>
        <w:t>743</w:t>
      </w:r>
      <w:r>
        <w:rPr>
          <w:rFonts w:ascii="Arial" w:hAnsi="Arial" w:cs="Arial" w:hint="eastAsia"/>
          <w:sz w:val="21"/>
          <w:szCs w:val="21"/>
        </w:rPr>
        <w:t>号公布，自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《不动产登记暂行条例》（根据</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日中华人民共和国国务院令第</w:t>
      </w:r>
      <w:r>
        <w:rPr>
          <w:rFonts w:ascii="Arial" w:hAnsi="Arial" w:cs="Arial" w:hint="eastAsia"/>
          <w:sz w:val="21"/>
          <w:szCs w:val="21"/>
        </w:rPr>
        <w:t>710</w:t>
      </w:r>
      <w:r>
        <w:rPr>
          <w:rFonts w:ascii="Arial" w:hAnsi="Arial" w:cs="Arial" w:hint="eastAsia"/>
          <w:sz w:val="21"/>
          <w:szCs w:val="21"/>
        </w:rPr>
        <w:t>号公布的《国务院关于修改部分行政法规的决定》修订，自公布之日起施行）</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《不动产登记暂行条例实施细则》（根据</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日自然资源部第</w:t>
      </w:r>
      <w:r>
        <w:rPr>
          <w:rFonts w:ascii="Arial" w:hAnsi="Arial" w:cs="Arial" w:hint="eastAsia"/>
          <w:sz w:val="21"/>
          <w:szCs w:val="21"/>
        </w:rPr>
        <w:t>2</w:t>
      </w:r>
      <w:r>
        <w:rPr>
          <w:rFonts w:ascii="Arial" w:hAnsi="Arial" w:cs="Arial" w:hint="eastAsia"/>
          <w:sz w:val="21"/>
          <w:szCs w:val="21"/>
        </w:rPr>
        <w:t>次部务会议审议通过《自然资源部关于第一批废止和修改的部门规章的决定》</w:t>
      </w:r>
      <w:r>
        <w:rPr>
          <w:rFonts w:ascii="Arial" w:hAnsi="Arial" w:cs="Arial" w:hint="eastAsia"/>
          <w:sz w:val="21"/>
          <w:szCs w:val="21"/>
        </w:rPr>
        <w:t>[</w:t>
      </w:r>
      <w:r>
        <w:rPr>
          <w:rFonts w:ascii="Arial" w:hAnsi="Arial" w:cs="Arial" w:hint="eastAsia"/>
          <w:sz w:val="21"/>
          <w:szCs w:val="21"/>
        </w:rPr>
        <w:t>中华人民共和国自然资源部令第</w:t>
      </w:r>
      <w:r>
        <w:rPr>
          <w:rFonts w:ascii="Arial" w:hAnsi="Arial" w:cs="Arial" w:hint="eastAsia"/>
          <w:sz w:val="21"/>
          <w:szCs w:val="21"/>
        </w:rPr>
        <w:t>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修订，自公布之日起施行）</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《中华人民共和国增值税法实施条例》（</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日国务院第</w:t>
      </w:r>
      <w:r>
        <w:rPr>
          <w:rFonts w:ascii="Arial" w:hAnsi="Arial" w:cs="Arial" w:hint="eastAsia"/>
          <w:sz w:val="21"/>
          <w:szCs w:val="21"/>
        </w:rPr>
        <w:t>75</w:t>
      </w:r>
      <w:r>
        <w:rPr>
          <w:rFonts w:ascii="Arial" w:hAnsi="Arial" w:cs="Arial" w:hint="eastAsia"/>
          <w:sz w:val="21"/>
          <w:szCs w:val="21"/>
        </w:rPr>
        <w:t>次常务会议通过，</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proofErr w:type="gramStart"/>
      <w:r>
        <w:rPr>
          <w:rFonts w:ascii="Arial" w:hAnsi="Arial" w:cs="Arial" w:hint="eastAsia"/>
          <w:sz w:val="21"/>
          <w:szCs w:val="21"/>
        </w:rPr>
        <w:t>中华人民共和国国令第</w:t>
      </w:r>
      <w:r>
        <w:rPr>
          <w:rFonts w:ascii="Arial" w:hAnsi="Arial" w:cs="Arial" w:hint="eastAsia"/>
          <w:sz w:val="21"/>
          <w:szCs w:val="21"/>
        </w:rPr>
        <w:t>826</w:t>
      </w:r>
      <w:r>
        <w:rPr>
          <w:rFonts w:ascii="Arial" w:hAnsi="Arial" w:cs="Arial" w:hint="eastAsia"/>
          <w:sz w:val="21"/>
          <w:szCs w:val="21"/>
        </w:rPr>
        <w:t>号</w:t>
      </w:r>
      <w:proofErr w:type="gramEnd"/>
      <w:r>
        <w:rPr>
          <w:rFonts w:ascii="Arial" w:hAnsi="Arial" w:cs="Arial" w:hint="eastAsia"/>
          <w:sz w:val="21"/>
          <w:szCs w:val="21"/>
        </w:rPr>
        <w:t>发布，自</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《北京市人民代表大会常务委员会关于北京市契税具体适用税率等有关事项的决定》（</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日北京市第十五届人民代表大会常务委员会第三十二次会议通过）</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《关于印花税若干政策的通知》（财税</w:t>
      </w:r>
      <w:r>
        <w:rPr>
          <w:rFonts w:ascii="Arial" w:hAnsi="Arial" w:cs="Arial" w:hint="eastAsia"/>
          <w:sz w:val="21"/>
          <w:szCs w:val="21"/>
        </w:rPr>
        <w:t>[2006]162</w:t>
      </w:r>
      <w:r>
        <w:rPr>
          <w:rFonts w:ascii="Arial" w:hAnsi="Arial" w:cs="Arial" w:hint="eastAsia"/>
          <w:sz w:val="21"/>
          <w:szCs w:val="21"/>
        </w:rPr>
        <w:t>号）</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《北京市财政局</w:t>
      </w:r>
      <w:r>
        <w:rPr>
          <w:rFonts w:ascii="Arial" w:hAnsi="Arial" w:cs="Arial" w:hint="eastAsia"/>
          <w:sz w:val="21"/>
          <w:szCs w:val="21"/>
        </w:rPr>
        <w:t xml:space="preserve"> </w:t>
      </w:r>
      <w:r>
        <w:rPr>
          <w:rFonts w:ascii="Arial" w:hAnsi="Arial" w:cs="Arial" w:hint="eastAsia"/>
          <w:sz w:val="21"/>
          <w:szCs w:val="21"/>
        </w:rPr>
        <w:t>国家税务总局北京市税务局北京市民政局关于明确北京市城市维护建设税纳税人所在地具体地点的通知》</w:t>
      </w:r>
      <w:r>
        <w:rPr>
          <w:rFonts w:ascii="Arial" w:hAnsi="Arial" w:cs="Arial" w:hint="eastAsia"/>
          <w:sz w:val="21"/>
          <w:szCs w:val="21"/>
        </w:rPr>
        <w:t>[</w:t>
      </w:r>
      <w:r>
        <w:rPr>
          <w:rFonts w:ascii="Arial" w:hAnsi="Arial" w:cs="Arial" w:hint="eastAsia"/>
          <w:sz w:val="21"/>
          <w:szCs w:val="21"/>
        </w:rPr>
        <w:t>京财税〔</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1770</w:t>
      </w:r>
      <w:r>
        <w:rPr>
          <w:rFonts w:ascii="Arial" w:hAnsi="Arial" w:cs="Arial" w:hint="eastAsia"/>
          <w:sz w:val="21"/>
          <w:szCs w:val="21"/>
        </w:rPr>
        <w:t>号</w:t>
      </w:r>
      <w:r>
        <w:rPr>
          <w:rFonts w:ascii="Arial" w:hAnsi="Arial" w:cs="Arial" w:hint="eastAsia"/>
          <w:sz w:val="21"/>
          <w:szCs w:val="21"/>
        </w:rPr>
        <w:t>]</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lastRenderedPageBreak/>
        <w:t>《征收教育费附加的暂行规定》（国务院令〔</w:t>
      </w:r>
      <w:r>
        <w:rPr>
          <w:rFonts w:ascii="Arial" w:hAnsi="Arial" w:cs="Arial" w:hint="eastAsia"/>
          <w:sz w:val="21"/>
          <w:szCs w:val="21"/>
        </w:rPr>
        <w:t>2005</w:t>
      </w:r>
      <w:r>
        <w:rPr>
          <w:rFonts w:ascii="Arial" w:hAnsi="Arial" w:cs="Arial" w:hint="eastAsia"/>
          <w:sz w:val="21"/>
          <w:szCs w:val="21"/>
        </w:rPr>
        <w:t>〕</w:t>
      </w:r>
      <w:r>
        <w:rPr>
          <w:rFonts w:ascii="Arial" w:hAnsi="Arial" w:cs="Arial" w:hint="eastAsia"/>
          <w:sz w:val="21"/>
          <w:szCs w:val="21"/>
        </w:rPr>
        <w:t>448</w:t>
      </w:r>
      <w:r>
        <w:rPr>
          <w:rFonts w:ascii="Arial" w:hAnsi="Arial" w:cs="Arial" w:hint="eastAsia"/>
          <w:sz w:val="21"/>
          <w:szCs w:val="21"/>
        </w:rPr>
        <w:t>号）</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《财政部关于统一地方教育附加政策有关问题的通知》（财综〔</w:t>
      </w:r>
      <w:r>
        <w:rPr>
          <w:rFonts w:ascii="Arial" w:hAnsi="Arial" w:cs="Arial" w:hint="eastAsia"/>
          <w:sz w:val="21"/>
          <w:szCs w:val="21"/>
        </w:rPr>
        <w:t>2010</w:t>
      </w:r>
      <w:r>
        <w:rPr>
          <w:rFonts w:ascii="Arial" w:hAnsi="Arial" w:cs="Arial" w:hint="eastAsia"/>
          <w:sz w:val="21"/>
          <w:szCs w:val="21"/>
        </w:rPr>
        <w:t>〕</w:t>
      </w:r>
      <w:r>
        <w:rPr>
          <w:rFonts w:ascii="Arial" w:hAnsi="Arial" w:cs="Arial" w:hint="eastAsia"/>
          <w:sz w:val="21"/>
          <w:szCs w:val="21"/>
        </w:rPr>
        <w:t>98</w:t>
      </w:r>
      <w:r>
        <w:rPr>
          <w:rFonts w:ascii="Arial" w:hAnsi="Arial" w:cs="Arial" w:hint="eastAsia"/>
          <w:sz w:val="21"/>
          <w:szCs w:val="21"/>
        </w:rPr>
        <w:t>号）</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《北京市人民政府关于印发北京市地方教育附加征收使用管理办法的通知》</w:t>
      </w:r>
      <w:r>
        <w:rPr>
          <w:rFonts w:ascii="Arial" w:hAnsi="Arial" w:cs="Arial" w:hint="eastAsia"/>
          <w:sz w:val="21"/>
          <w:szCs w:val="21"/>
        </w:rPr>
        <w:t>[</w:t>
      </w:r>
      <w:r>
        <w:rPr>
          <w:rFonts w:ascii="Arial" w:hAnsi="Arial" w:cs="Arial" w:hint="eastAsia"/>
          <w:sz w:val="21"/>
          <w:szCs w:val="21"/>
        </w:rPr>
        <w:t>京政发</w:t>
      </w:r>
      <w:r>
        <w:rPr>
          <w:rFonts w:ascii="Arial" w:hAnsi="Arial" w:cs="Arial" w:hint="eastAsia"/>
          <w:sz w:val="21"/>
          <w:szCs w:val="21"/>
        </w:rPr>
        <w:t>[2011]72</w:t>
      </w:r>
      <w:r>
        <w:rPr>
          <w:rFonts w:ascii="Arial" w:hAnsi="Arial" w:cs="Arial" w:hint="eastAsia"/>
          <w:sz w:val="21"/>
          <w:szCs w:val="21"/>
        </w:rPr>
        <w:t>号</w:t>
      </w:r>
      <w:r>
        <w:rPr>
          <w:rFonts w:ascii="Arial" w:hAnsi="Arial" w:cs="Arial" w:hint="eastAsia"/>
          <w:sz w:val="21"/>
          <w:szCs w:val="21"/>
        </w:rPr>
        <w:t>]</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《中华人民共和国房产税暂行条例》</w:t>
      </w:r>
      <w:r>
        <w:rPr>
          <w:rFonts w:ascii="Arial" w:hAnsi="Arial" w:cs="Arial" w:hint="eastAsia"/>
          <w:sz w:val="21"/>
          <w:szCs w:val="21"/>
        </w:rPr>
        <w:t>[1986</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15</w:t>
      </w:r>
      <w:r>
        <w:rPr>
          <w:rFonts w:ascii="Arial" w:hAnsi="Arial" w:cs="Arial" w:hint="eastAsia"/>
          <w:sz w:val="21"/>
          <w:szCs w:val="21"/>
        </w:rPr>
        <w:t>日国务院发布，根据</w:t>
      </w:r>
      <w:r>
        <w:rPr>
          <w:rFonts w:ascii="Arial" w:hAnsi="Arial" w:cs="Arial" w:hint="eastAsia"/>
          <w:sz w:val="21"/>
          <w:szCs w:val="21"/>
        </w:rPr>
        <w:t>2011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8</w:t>
      </w:r>
      <w:r>
        <w:rPr>
          <w:rFonts w:ascii="Arial" w:hAnsi="Arial" w:cs="Arial" w:hint="eastAsia"/>
          <w:sz w:val="21"/>
          <w:szCs w:val="21"/>
        </w:rPr>
        <w:t>日《国务院关于废止和修改部分行政法规的决定》修订</w:t>
      </w:r>
      <w:r>
        <w:rPr>
          <w:rFonts w:ascii="Arial" w:hAnsi="Arial" w:cs="Arial" w:hint="eastAsia"/>
          <w:sz w:val="21"/>
          <w:szCs w:val="21"/>
        </w:rPr>
        <w:t>]</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《北京市人民政府关于进一步落实</w:t>
      </w:r>
      <w:r>
        <w:rPr>
          <w:rFonts w:ascii="Arial" w:hAnsi="Arial" w:cs="Arial" w:hint="eastAsia"/>
          <w:sz w:val="21"/>
          <w:szCs w:val="21"/>
        </w:rPr>
        <w:t>&lt;</w:t>
      </w:r>
      <w:r>
        <w:rPr>
          <w:rFonts w:ascii="Arial" w:hAnsi="Arial" w:cs="Arial" w:hint="eastAsia"/>
          <w:sz w:val="21"/>
          <w:szCs w:val="21"/>
        </w:rPr>
        <w:t>中华人民共和国房产税暂行条例</w:t>
      </w:r>
      <w:r>
        <w:rPr>
          <w:rFonts w:ascii="Arial" w:hAnsi="Arial" w:cs="Arial" w:hint="eastAsia"/>
          <w:sz w:val="21"/>
          <w:szCs w:val="21"/>
        </w:rPr>
        <w:t>&gt;</w:t>
      </w:r>
      <w:r>
        <w:rPr>
          <w:rFonts w:ascii="Arial" w:hAnsi="Arial" w:cs="Arial" w:hint="eastAsia"/>
          <w:sz w:val="21"/>
          <w:szCs w:val="21"/>
        </w:rPr>
        <w:t>有关规定的通知》</w:t>
      </w:r>
      <w:r>
        <w:rPr>
          <w:rFonts w:ascii="Arial" w:hAnsi="Arial" w:cs="Arial" w:hint="eastAsia"/>
          <w:sz w:val="21"/>
          <w:szCs w:val="21"/>
        </w:rPr>
        <w:t>[</w:t>
      </w:r>
      <w:r>
        <w:rPr>
          <w:rFonts w:ascii="Arial" w:hAnsi="Arial" w:cs="Arial" w:hint="eastAsia"/>
          <w:sz w:val="21"/>
          <w:szCs w:val="21"/>
        </w:rPr>
        <w:t>京政发〔</w:t>
      </w:r>
      <w:r>
        <w:rPr>
          <w:rFonts w:ascii="Arial" w:hAnsi="Arial" w:cs="Arial" w:hint="eastAsia"/>
          <w:sz w:val="21"/>
          <w:szCs w:val="21"/>
        </w:rPr>
        <w:t>2016</w:t>
      </w:r>
      <w:r>
        <w:rPr>
          <w:rFonts w:ascii="Arial" w:hAnsi="Arial" w:cs="Arial" w:hint="eastAsia"/>
          <w:sz w:val="21"/>
          <w:szCs w:val="21"/>
        </w:rPr>
        <w:t>〕</w:t>
      </w:r>
      <w:r>
        <w:rPr>
          <w:rFonts w:ascii="Arial" w:hAnsi="Arial" w:cs="Arial" w:hint="eastAsia"/>
          <w:sz w:val="21"/>
          <w:szCs w:val="21"/>
        </w:rPr>
        <w:t>24</w:t>
      </w:r>
      <w:r>
        <w:rPr>
          <w:rFonts w:ascii="Arial" w:hAnsi="Arial" w:cs="Arial" w:hint="eastAsia"/>
          <w:sz w:val="21"/>
          <w:szCs w:val="21"/>
        </w:rPr>
        <w:t>号</w:t>
      </w:r>
      <w:r>
        <w:rPr>
          <w:rFonts w:ascii="Arial" w:hAnsi="Arial" w:cs="Arial" w:hint="eastAsia"/>
          <w:sz w:val="21"/>
          <w:szCs w:val="21"/>
        </w:rPr>
        <w:t>]</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《中华人民共和国城镇土地使用税暂行条例》</w:t>
      </w:r>
      <w:r>
        <w:rPr>
          <w:rFonts w:ascii="Arial" w:hAnsi="Arial" w:cs="Arial" w:hint="eastAsia"/>
          <w:sz w:val="21"/>
          <w:szCs w:val="21"/>
        </w:rPr>
        <w:t>[</w:t>
      </w:r>
      <w:proofErr w:type="gramStart"/>
      <w:r>
        <w:rPr>
          <w:rFonts w:ascii="Arial" w:hAnsi="Arial" w:cs="Arial" w:hint="eastAsia"/>
          <w:sz w:val="21"/>
          <w:szCs w:val="21"/>
        </w:rPr>
        <w:t>国令第</w:t>
      </w:r>
      <w:proofErr w:type="gramEnd"/>
      <w:r>
        <w:rPr>
          <w:rFonts w:ascii="Arial" w:hAnsi="Arial" w:cs="Arial" w:hint="eastAsia"/>
          <w:sz w:val="21"/>
          <w:szCs w:val="21"/>
        </w:rPr>
        <w:t>〔</w:t>
      </w:r>
      <w:r>
        <w:rPr>
          <w:rFonts w:ascii="Arial" w:hAnsi="Arial" w:cs="Arial" w:hint="eastAsia"/>
          <w:sz w:val="21"/>
          <w:szCs w:val="21"/>
        </w:rPr>
        <w:t>1988</w:t>
      </w:r>
      <w:r>
        <w:rPr>
          <w:rFonts w:ascii="Arial" w:hAnsi="Arial" w:cs="Arial" w:hint="eastAsia"/>
          <w:sz w:val="21"/>
          <w:szCs w:val="21"/>
        </w:rPr>
        <w:t>〕</w:t>
      </w:r>
      <w:r>
        <w:rPr>
          <w:rFonts w:ascii="Arial" w:hAnsi="Arial" w:cs="Arial" w:hint="eastAsia"/>
          <w:sz w:val="21"/>
          <w:szCs w:val="21"/>
        </w:rPr>
        <w:t>17</w:t>
      </w:r>
      <w:r>
        <w:rPr>
          <w:rFonts w:ascii="Arial" w:hAnsi="Arial" w:cs="Arial" w:hint="eastAsia"/>
          <w:sz w:val="21"/>
          <w:szCs w:val="21"/>
        </w:rPr>
        <w:t>号，</w:t>
      </w:r>
      <w:r>
        <w:rPr>
          <w:rFonts w:ascii="Arial" w:hAnsi="Arial" w:cs="Arial" w:hint="eastAsia"/>
          <w:sz w:val="21"/>
          <w:szCs w:val="21"/>
        </w:rPr>
        <w:t>2011</w:t>
      </w:r>
      <w:r>
        <w:rPr>
          <w:rFonts w:ascii="Arial" w:hAnsi="Arial" w:cs="Arial" w:hint="eastAsia"/>
          <w:sz w:val="21"/>
          <w:szCs w:val="21"/>
        </w:rPr>
        <w:t>年修订</w:t>
      </w:r>
      <w:r>
        <w:rPr>
          <w:rFonts w:ascii="Arial" w:hAnsi="Arial" w:cs="Arial" w:hint="eastAsia"/>
          <w:sz w:val="21"/>
          <w:szCs w:val="21"/>
        </w:rPr>
        <w:t>]</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《北京市实施</w:t>
      </w:r>
      <w:r>
        <w:rPr>
          <w:rFonts w:ascii="Arial" w:hAnsi="Arial" w:cs="Arial" w:hint="eastAsia"/>
          <w:sz w:val="21"/>
          <w:szCs w:val="21"/>
        </w:rPr>
        <w:t>&lt;</w:t>
      </w:r>
      <w:r>
        <w:rPr>
          <w:rFonts w:ascii="Arial" w:hAnsi="Arial" w:cs="Arial" w:hint="eastAsia"/>
          <w:sz w:val="21"/>
          <w:szCs w:val="21"/>
        </w:rPr>
        <w:t>中华人民共和国城镇土地使用税暂行条例</w:t>
      </w:r>
      <w:r>
        <w:rPr>
          <w:rFonts w:ascii="Arial" w:hAnsi="Arial" w:cs="Arial" w:hint="eastAsia"/>
          <w:sz w:val="21"/>
          <w:szCs w:val="21"/>
        </w:rPr>
        <w:t>&gt;</w:t>
      </w:r>
      <w:r>
        <w:rPr>
          <w:rFonts w:ascii="Arial" w:hAnsi="Arial" w:cs="Arial" w:hint="eastAsia"/>
          <w:sz w:val="21"/>
          <w:szCs w:val="21"/>
        </w:rPr>
        <w:t>办法》</w:t>
      </w:r>
      <w:r>
        <w:rPr>
          <w:rFonts w:ascii="Arial" w:hAnsi="Arial" w:cs="Arial" w:hint="eastAsia"/>
          <w:sz w:val="21"/>
          <w:szCs w:val="21"/>
        </w:rPr>
        <w:t>[</w:t>
      </w:r>
      <w:r>
        <w:rPr>
          <w:rFonts w:ascii="Arial" w:hAnsi="Arial" w:cs="Arial" w:hint="eastAsia"/>
          <w:sz w:val="21"/>
          <w:szCs w:val="21"/>
        </w:rPr>
        <w:t>根据</w:t>
      </w:r>
      <w:r>
        <w:rPr>
          <w:rFonts w:ascii="Arial" w:hAnsi="Arial" w:cs="Arial" w:hint="eastAsia"/>
          <w:sz w:val="21"/>
          <w:szCs w:val="21"/>
        </w:rPr>
        <w:t>2007</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日北京市人民政府第</w:t>
      </w:r>
      <w:r>
        <w:rPr>
          <w:rFonts w:ascii="Arial" w:hAnsi="Arial" w:cs="Arial" w:hint="eastAsia"/>
          <w:sz w:val="21"/>
          <w:szCs w:val="21"/>
        </w:rPr>
        <w:t>188</w:t>
      </w:r>
      <w:r>
        <w:rPr>
          <w:rFonts w:ascii="Arial" w:hAnsi="Arial" w:cs="Arial" w:hint="eastAsia"/>
          <w:sz w:val="21"/>
          <w:szCs w:val="21"/>
        </w:rPr>
        <w:t>号令第二次修改</w:t>
      </w:r>
      <w:r>
        <w:rPr>
          <w:rFonts w:ascii="Arial" w:hAnsi="Arial" w:cs="Arial" w:hint="eastAsia"/>
          <w:sz w:val="21"/>
          <w:szCs w:val="21"/>
        </w:rPr>
        <w:t>]</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《北京市地方税务局关于调整北京市城镇土地纳税等级分级范围的公告》（</w:t>
      </w:r>
      <w:r>
        <w:rPr>
          <w:rFonts w:ascii="Arial" w:hAnsi="Arial" w:cs="Arial" w:hint="eastAsia"/>
          <w:sz w:val="21"/>
          <w:szCs w:val="21"/>
        </w:rPr>
        <w:t>2015</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日发布）</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bookmarkStart w:id="37" w:name="OLE_LINK8"/>
      <w:r>
        <w:rPr>
          <w:rFonts w:ascii="Arial" w:hAnsi="Arial" w:cs="Arial" w:hint="eastAsia"/>
          <w:sz w:val="21"/>
          <w:szCs w:val="21"/>
        </w:rPr>
        <w:t>《土地利用现状分类》</w:t>
      </w:r>
      <w:r>
        <w:rPr>
          <w:rFonts w:ascii="Arial" w:hAnsi="Arial" w:cs="Arial"/>
          <w:sz w:val="21"/>
          <w:szCs w:val="21"/>
        </w:rPr>
        <w:t>[GB/T 21010</w:t>
      </w:r>
      <w:r>
        <w:rPr>
          <w:rFonts w:ascii="Arial" w:hAnsi="Arial" w:cs="Arial" w:hint="eastAsia"/>
          <w:sz w:val="21"/>
          <w:szCs w:val="21"/>
        </w:rPr>
        <w:t>—</w:t>
      </w:r>
      <w:r>
        <w:rPr>
          <w:rFonts w:ascii="Arial" w:hAnsi="Arial" w:cs="Arial"/>
          <w:sz w:val="21"/>
          <w:szCs w:val="21"/>
        </w:rPr>
        <w:t>2017]</w:t>
      </w:r>
    </w:p>
    <w:bookmarkEnd w:id="37"/>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proofErr w:type="gramStart"/>
      <w:r>
        <w:rPr>
          <w:rFonts w:ascii="Arial" w:hAnsi="Arial" w:cs="Arial" w:hint="eastAsia"/>
          <w:sz w:val="21"/>
          <w:szCs w:val="21"/>
        </w:rPr>
        <w:t>《</w:t>
      </w:r>
      <w:proofErr w:type="gramEnd"/>
      <w:r>
        <w:rPr>
          <w:rFonts w:ascii="Arial" w:hAnsi="Arial" w:cs="Arial" w:hint="eastAsia"/>
          <w:sz w:val="21"/>
          <w:szCs w:val="21"/>
        </w:rPr>
        <w:t>自然资源部关于印发</w:t>
      </w:r>
      <w:proofErr w:type="gramStart"/>
      <w:r>
        <w:rPr>
          <w:rFonts w:ascii="Arial" w:hAnsi="Arial" w:cs="Arial" w:hint="eastAsia"/>
          <w:sz w:val="21"/>
          <w:szCs w:val="21"/>
        </w:rPr>
        <w:t>《</w:t>
      </w:r>
      <w:proofErr w:type="gramEnd"/>
      <w:r>
        <w:rPr>
          <w:rFonts w:ascii="Arial" w:hAnsi="Arial" w:cs="Arial" w:hint="eastAsia"/>
          <w:sz w:val="21"/>
          <w:szCs w:val="21"/>
        </w:rPr>
        <w:t>国土空间调查、规划、用途管制用地用海分类指南</w:t>
      </w:r>
      <w:proofErr w:type="gramStart"/>
      <w:r>
        <w:rPr>
          <w:rFonts w:ascii="Arial" w:hAnsi="Arial" w:cs="Arial" w:hint="eastAsia"/>
          <w:sz w:val="21"/>
          <w:szCs w:val="21"/>
        </w:rPr>
        <w:t>》</w:t>
      </w:r>
      <w:proofErr w:type="gramEnd"/>
      <w:r>
        <w:rPr>
          <w:rFonts w:ascii="Arial" w:hAnsi="Arial" w:cs="Arial" w:hint="eastAsia"/>
          <w:sz w:val="21"/>
          <w:szCs w:val="21"/>
        </w:rPr>
        <w:t>的通知</w:t>
      </w:r>
      <w:proofErr w:type="gramStart"/>
      <w:r>
        <w:rPr>
          <w:rFonts w:ascii="Arial" w:hAnsi="Arial" w:cs="Arial" w:hint="eastAsia"/>
          <w:sz w:val="21"/>
          <w:szCs w:val="21"/>
        </w:rPr>
        <w:t>》</w:t>
      </w:r>
      <w:proofErr w:type="gramEnd"/>
      <w:r>
        <w:rPr>
          <w:rFonts w:ascii="Arial" w:hAnsi="Arial" w:cs="Arial" w:hint="eastAsia"/>
          <w:sz w:val="21"/>
          <w:szCs w:val="21"/>
        </w:rPr>
        <w:t>[</w:t>
      </w:r>
      <w:proofErr w:type="gramStart"/>
      <w:r>
        <w:rPr>
          <w:rFonts w:ascii="Arial" w:hAnsi="Arial" w:cs="Arial" w:hint="eastAsia"/>
          <w:sz w:val="21"/>
          <w:szCs w:val="21"/>
        </w:rPr>
        <w:t>自然资发〔</w:t>
      </w:r>
      <w:r>
        <w:rPr>
          <w:rFonts w:ascii="Arial" w:hAnsi="Arial" w:cs="Arial" w:hint="eastAsia"/>
          <w:sz w:val="21"/>
          <w:szCs w:val="21"/>
        </w:rPr>
        <w:t>2023</w:t>
      </w:r>
      <w:r>
        <w:rPr>
          <w:rFonts w:ascii="Arial" w:hAnsi="Arial" w:cs="Arial" w:hint="eastAsia"/>
          <w:sz w:val="21"/>
          <w:szCs w:val="21"/>
        </w:rPr>
        <w:t>〕</w:t>
      </w:r>
      <w:proofErr w:type="gramEnd"/>
      <w:r>
        <w:rPr>
          <w:rFonts w:ascii="Arial" w:hAnsi="Arial" w:cs="Arial" w:hint="eastAsia"/>
          <w:sz w:val="21"/>
          <w:szCs w:val="21"/>
        </w:rPr>
        <w:t>234</w:t>
      </w:r>
      <w:r>
        <w:rPr>
          <w:rFonts w:ascii="Arial" w:hAnsi="Arial" w:cs="Arial" w:hint="eastAsia"/>
          <w:sz w:val="21"/>
          <w:szCs w:val="21"/>
        </w:rPr>
        <w:t>号</w:t>
      </w:r>
      <w:r>
        <w:rPr>
          <w:rFonts w:ascii="Arial" w:hAnsi="Arial" w:cs="Arial" w:hint="eastAsia"/>
          <w:sz w:val="21"/>
          <w:szCs w:val="21"/>
        </w:rPr>
        <w:t>]</w:t>
      </w:r>
    </w:p>
    <w:p w:rsidR="00184596" w:rsidRDefault="00FD048A">
      <w:pPr>
        <w:numPr>
          <w:ilvl w:val="0"/>
          <w:numId w:val="8"/>
        </w:numPr>
        <w:overflowPunct w:val="0"/>
        <w:spacing w:line="480" w:lineRule="auto"/>
        <w:ind w:left="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《北京市国土空间调查、规划、用途管制用地分类指南（试行）》</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《房地产估价规范》</w:t>
      </w:r>
      <w:r>
        <w:rPr>
          <w:rFonts w:ascii="Arial" w:hAnsi="Arial" w:cs="Arial"/>
          <w:sz w:val="21"/>
          <w:szCs w:val="21"/>
        </w:rPr>
        <w:t>[GB/T 50291-2015]</w:t>
      </w:r>
    </w:p>
    <w:p w:rsidR="00184596" w:rsidRDefault="00FD048A">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《房地产估价基本术语标准》</w:t>
      </w:r>
      <w:r>
        <w:rPr>
          <w:rFonts w:ascii="Arial" w:hAnsi="Arial" w:cs="Arial"/>
          <w:sz w:val="21"/>
          <w:szCs w:val="21"/>
        </w:rPr>
        <w:t>[GB/T 50899-2013]</w:t>
      </w:r>
    </w:p>
    <w:p w:rsidR="00184596" w:rsidRDefault="00FD048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（二）估价委托人提供的资料</w:t>
      </w:r>
    </w:p>
    <w:p w:rsidR="00184596" w:rsidRDefault="00FD048A">
      <w:pPr>
        <w:numPr>
          <w:ilvl w:val="0"/>
          <w:numId w:val="9"/>
        </w:numPr>
        <w:wordWrap w:val="0"/>
        <w:overflowPunct w:val="0"/>
        <w:spacing w:line="480" w:lineRule="auto"/>
        <w:ind w:left="0" w:firstLine="420"/>
        <w:jc w:val="both"/>
        <w:textAlignment w:val="auto"/>
        <w:rPr>
          <w:rFonts w:ascii="Arial" w:hAnsi="Arial" w:cs="Arial"/>
          <w:sz w:val="21"/>
          <w:szCs w:val="21"/>
        </w:rPr>
      </w:pPr>
      <w:r>
        <w:rPr>
          <w:rFonts w:ascii="Arial" w:hAnsi="Arial" w:cs="Arial"/>
          <w:sz w:val="21"/>
          <w:szCs w:val="21"/>
        </w:rPr>
        <w:t>《估价委托书》</w:t>
      </w:r>
    </w:p>
    <w:p w:rsidR="00184596" w:rsidRDefault="00FD048A">
      <w:pPr>
        <w:numPr>
          <w:ilvl w:val="0"/>
          <w:numId w:val="9"/>
        </w:numPr>
        <w:wordWrap w:val="0"/>
        <w:overflowPunct w:val="0"/>
        <w:spacing w:line="480" w:lineRule="auto"/>
        <w:ind w:left="0" w:firstLine="420"/>
        <w:jc w:val="both"/>
        <w:textAlignment w:val="auto"/>
        <w:rPr>
          <w:rFonts w:ascii="Arial" w:hAnsi="Arial" w:cs="Arial"/>
          <w:sz w:val="21"/>
          <w:szCs w:val="21"/>
        </w:rPr>
      </w:pP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w:t>
      </w:r>
      <w:r>
        <w:rPr>
          <w:rFonts w:ascii="Arial" w:hAnsi="Arial" w:hint="eastAsia"/>
          <w:bCs/>
          <w:sz w:val="21"/>
        </w:rPr>
        <w:t>]</w:t>
      </w:r>
    </w:p>
    <w:p w:rsidR="00184596" w:rsidRDefault="00FD048A">
      <w:pPr>
        <w:numPr>
          <w:ilvl w:val="0"/>
          <w:numId w:val="9"/>
        </w:numPr>
        <w:wordWrap w:val="0"/>
        <w:overflowPunct w:val="0"/>
        <w:spacing w:line="480" w:lineRule="auto"/>
        <w:ind w:left="0" w:firstLine="420"/>
        <w:jc w:val="both"/>
        <w:textAlignment w:val="auto"/>
        <w:rPr>
          <w:rFonts w:ascii="Arial" w:hAnsi="Arial" w:cs="Arial"/>
          <w:sz w:val="21"/>
          <w:szCs w:val="21"/>
        </w:rPr>
      </w:pP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p>
    <w:p w:rsidR="00184596" w:rsidRDefault="00FD048A">
      <w:pPr>
        <w:numPr>
          <w:ilvl w:val="0"/>
          <w:numId w:val="9"/>
        </w:numPr>
        <w:wordWrap w:val="0"/>
        <w:overflowPunct w:val="0"/>
        <w:spacing w:line="480" w:lineRule="auto"/>
        <w:ind w:left="0" w:firstLine="420"/>
        <w:jc w:val="both"/>
        <w:textAlignment w:val="auto"/>
        <w:rPr>
          <w:rFonts w:ascii="Arial" w:hAnsi="Arial" w:cs="Arial"/>
          <w:sz w:val="21"/>
          <w:szCs w:val="21"/>
        </w:rPr>
      </w:pPr>
      <w:r>
        <w:rPr>
          <w:rFonts w:ascii="Arial" w:hAnsi="Arial" w:hint="eastAsia"/>
          <w:bCs/>
          <w:sz w:val="21"/>
        </w:rPr>
        <w:t>《房屋面积测算技术报告书（商品房类使用）》</w:t>
      </w:r>
    </w:p>
    <w:p w:rsidR="00184596" w:rsidRDefault="00FD048A">
      <w:pPr>
        <w:numPr>
          <w:ilvl w:val="0"/>
          <w:numId w:val="9"/>
        </w:numPr>
        <w:wordWrap w:val="0"/>
        <w:overflowPunct w:val="0"/>
        <w:spacing w:line="480" w:lineRule="auto"/>
        <w:ind w:left="0" w:firstLine="420"/>
        <w:jc w:val="both"/>
        <w:textAlignment w:val="auto"/>
        <w:rPr>
          <w:rFonts w:ascii="Arial" w:hAnsi="Arial" w:cs="Arial"/>
          <w:sz w:val="21"/>
          <w:szCs w:val="21"/>
        </w:rPr>
      </w:pPr>
      <w:r>
        <w:rPr>
          <w:rFonts w:ascii="Arial" w:hAnsi="Arial" w:cs="Arial"/>
          <w:sz w:val="21"/>
          <w:szCs w:val="21"/>
        </w:rPr>
        <w:t>估价委托人《营业执照（副本）》复印件</w:t>
      </w:r>
    </w:p>
    <w:p w:rsidR="00184596" w:rsidRDefault="00FD048A">
      <w:pPr>
        <w:wordWrap w:val="0"/>
        <w:overflowPunct w:val="0"/>
        <w:spacing w:line="480" w:lineRule="auto"/>
        <w:jc w:val="both"/>
        <w:textAlignment w:val="auto"/>
        <w:rPr>
          <w:rFonts w:ascii="Arial" w:hAnsi="Arial" w:cs="Arial"/>
          <w:b/>
          <w:sz w:val="21"/>
          <w:szCs w:val="21"/>
        </w:rPr>
      </w:pPr>
      <w:r>
        <w:rPr>
          <w:rFonts w:ascii="Arial" w:hAnsi="Arial" w:cs="Arial"/>
          <w:b/>
          <w:color w:val="000000"/>
          <w:sz w:val="21"/>
          <w:szCs w:val="21"/>
        </w:rPr>
        <w:lastRenderedPageBreak/>
        <w:t>（</w:t>
      </w:r>
      <w:r>
        <w:rPr>
          <w:rFonts w:ascii="Arial" w:hAnsi="Arial" w:cs="Arial" w:hint="eastAsia"/>
          <w:b/>
          <w:color w:val="000000"/>
          <w:sz w:val="21"/>
          <w:szCs w:val="21"/>
        </w:rPr>
        <w:t>三</w:t>
      </w:r>
      <w:r>
        <w:rPr>
          <w:rFonts w:ascii="Arial" w:hAnsi="Arial" w:cs="Arial"/>
          <w:b/>
          <w:color w:val="000000"/>
          <w:sz w:val="21"/>
          <w:szCs w:val="21"/>
        </w:rPr>
        <w:t>）</w:t>
      </w:r>
      <w:r>
        <w:rPr>
          <w:rFonts w:ascii="Arial" w:hAnsi="Arial" w:cs="Arial" w:hint="eastAsia"/>
          <w:b/>
          <w:sz w:val="21"/>
          <w:szCs w:val="21"/>
        </w:rPr>
        <w:t>房地产估价机构及注册房地产估价师掌握和收集的估价所需资料</w:t>
      </w:r>
    </w:p>
    <w:p w:rsidR="00184596" w:rsidRDefault="00FD048A">
      <w:pPr>
        <w:numPr>
          <w:ilvl w:val="3"/>
          <w:numId w:val="10"/>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评估专业人员实地查勘估价对象的摄影和记录资料</w:t>
      </w:r>
    </w:p>
    <w:p w:rsidR="00184596" w:rsidRDefault="00FD048A">
      <w:pPr>
        <w:numPr>
          <w:ilvl w:val="3"/>
          <w:numId w:val="10"/>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评估专业人员现场调查的估价对象所在区域公服设施、基础设施、交通、环境条件等摄影和记录资料</w:t>
      </w:r>
    </w:p>
    <w:p w:rsidR="00184596" w:rsidRDefault="00FD048A">
      <w:pPr>
        <w:numPr>
          <w:ilvl w:val="3"/>
          <w:numId w:val="10"/>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估价对象及同类房地产的开发、交易、收益、成本等资料</w:t>
      </w:r>
    </w:p>
    <w:p w:rsidR="00184596" w:rsidRDefault="00FD048A">
      <w:pPr>
        <w:numPr>
          <w:ilvl w:val="3"/>
          <w:numId w:val="10"/>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区域社会经济统计数据、规划发展、产业政策等资料</w:t>
      </w:r>
    </w:p>
    <w:p w:rsidR="00184596" w:rsidRDefault="00FD048A">
      <w:pPr>
        <w:numPr>
          <w:ilvl w:val="3"/>
          <w:numId w:val="10"/>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区域城市资源、土地利用、不动产制度、金融及税收政策等资料</w:t>
      </w:r>
    </w:p>
    <w:p w:rsidR="00184596" w:rsidRDefault="00FD048A">
      <w:pPr>
        <w:numPr>
          <w:ilvl w:val="3"/>
          <w:numId w:val="10"/>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城市地价指数、房屋建安造价数据等资料</w:t>
      </w:r>
    </w:p>
    <w:p w:rsidR="00184596" w:rsidRDefault="00FD048A">
      <w:pPr>
        <w:numPr>
          <w:ilvl w:val="3"/>
          <w:numId w:val="10"/>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人民银行公布的资金存、贷款利率</w:t>
      </w:r>
    </w:p>
    <w:p w:rsidR="00184596" w:rsidRDefault="00FD048A">
      <w:pPr>
        <w:numPr>
          <w:ilvl w:val="3"/>
          <w:numId w:val="10"/>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房地产估价机构及评估专业人员掌握的其他相关信息资料</w:t>
      </w:r>
      <w:bookmarkStart w:id="38" w:name="_Toc168225821"/>
    </w:p>
    <w:p w:rsidR="00184596" w:rsidRDefault="00FD048A">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9" w:name="_Toc477252449"/>
      <w:r>
        <w:rPr>
          <w:rFonts w:eastAsia="宋体"/>
          <w:kern w:val="2"/>
          <w:sz w:val="21"/>
          <w:szCs w:val="21"/>
        </w:rPr>
        <w:t>九、估价方法</w:t>
      </w:r>
      <w:bookmarkEnd w:id="38"/>
      <w:bookmarkEnd w:id="39"/>
    </w:p>
    <w:p w:rsidR="00184596" w:rsidRDefault="00FD048A">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sz w:val="21"/>
          <w:szCs w:val="21"/>
        </w:rPr>
        <w:t>由于本次评估是</w:t>
      </w:r>
      <w:r>
        <w:rPr>
          <w:rFonts w:ascii="Arial" w:hAnsi="Arial" w:hint="eastAsia"/>
          <w:kern w:val="2"/>
          <w:sz w:val="21"/>
        </w:rPr>
        <w:t>为估价委托人了解估价对象房地</w:t>
      </w:r>
      <w:r>
        <w:rPr>
          <w:rFonts w:ascii="Arial" w:hAnsi="Arial" w:cs="Arial" w:hint="eastAsia"/>
          <w:bCs/>
          <w:spacing w:val="10"/>
          <w:sz w:val="21"/>
          <w:szCs w:val="21"/>
        </w:rPr>
        <w:t>产</w:t>
      </w:r>
      <w:r>
        <w:rPr>
          <w:rFonts w:ascii="Arial" w:hAnsi="Arial" w:hint="eastAsia"/>
          <w:sz w:val="21"/>
          <w:szCs w:val="21"/>
        </w:rPr>
        <w:t>市场租金水平</w:t>
      </w:r>
      <w:r>
        <w:rPr>
          <w:rFonts w:ascii="Arial" w:hAnsi="Arial" w:hint="eastAsia"/>
          <w:kern w:val="2"/>
          <w:sz w:val="21"/>
        </w:rPr>
        <w:t>提供参考依据</w:t>
      </w:r>
      <w:r>
        <w:rPr>
          <w:rFonts w:ascii="Arial" w:hAnsi="Arial" w:cs="Arial"/>
          <w:sz w:val="21"/>
          <w:szCs w:val="21"/>
        </w:rPr>
        <w:t>，因此我们在认真分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w:t>
      </w:r>
      <w:r>
        <w:rPr>
          <w:rFonts w:ascii="Arial" w:hAnsi="Arial" w:cs="Arial" w:hint="eastAsia"/>
          <w:sz w:val="21"/>
          <w:szCs w:val="21"/>
        </w:rPr>
        <w:t>结合本次评估估价目的，按照</w:t>
      </w:r>
      <w:r>
        <w:rPr>
          <w:rFonts w:ascii="Arial" w:hAnsi="Arial" w:cs="Arial"/>
          <w:sz w:val="21"/>
          <w:szCs w:val="21"/>
        </w:rPr>
        <w:t>《房地产估价规范》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w:t>
      </w:r>
      <w:r>
        <w:rPr>
          <w:rFonts w:ascii="Arial" w:hAnsi="Arial" w:cs="Arial" w:hint="eastAsia"/>
          <w:sz w:val="21"/>
          <w:szCs w:val="21"/>
        </w:rPr>
        <w:t>要求</w:t>
      </w:r>
      <w:r>
        <w:rPr>
          <w:rFonts w:ascii="Arial" w:hAnsi="Arial" w:cs="Arial"/>
          <w:sz w:val="21"/>
          <w:szCs w:val="21"/>
        </w:rPr>
        <w:t>，对估价方法分析如下：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4A0" w:firstRow="1" w:lastRow="0" w:firstColumn="1" w:lastColumn="0" w:noHBand="0" w:noVBand="1"/>
      </w:tblPr>
      <w:tblGrid>
        <w:gridCol w:w="1276"/>
        <w:gridCol w:w="6946"/>
        <w:gridCol w:w="1077"/>
      </w:tblGrid>
      <w:tr w:rsidR="00184596">
        <w:trPr>
          <w:cantSplit/>
          <w:tblHeader/>
          <w:jc w:val="center"/>
        </w:trPr>
        <w:tc>
          <w:tcPr>
            <w:tcW w:w="1276" w:type="dxa"/>
            <w:vAlign w:val="center"/>
          </w:tcPr>
          <w:p w:rsidR="00184596" w:rsidRDefault="00FD048A">
            <w:pPr>
              <w:pStyle w:val="12"/>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946" w:type="dxa"/>
            <w:vAlign w:val="center"/>
          </w:tcPr>
          <w:p w:rsidR="00184596" w:rsidRDefault="00FD048A">
            <w:pPr>
              <w:pStyle w:val="12"/>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适用性分析</w:t>
            </w:r>
          </w:p>
        </w:tc>
        <w:tc>
          <w:tcPr>
            <w:tcW w:w="1077" w:type="dxa"/>
            <w:vAlign w:val="center"/>
          </w:tcPr>
          <w:p w:rsidR="00184596" w:rsidRDefault="00FD048A">
            <w:pPr>
              <w:pStyle w:val="12"/>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184596">
        <w:trPr>
          <w:cantSplit/>
          <w:jc w:val="center"/>
        </w:trPr>
        <w:tc>
          <w:tcPr>
            <w:tcW w:w="1276" w:type="dxa"/>
            <w:vAlign w:val="center"/>
          </w:tcPr>
          <w:p w:rsidR="00184596" w:rsidRDefault="00FD048A">
            <w:pPr>
              <w:pStyle w:val="12"/>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比较法</w:t>
            </w:r>
          </w:p>
        </w:tc>
        <w:tc>
          <w:tcPr>
            <w:tcW w:w="6946" w:type="dxa"/>
            <w:vAlign w:val="center"/>
          </w:tcPr>
          <w:p w:rsidR="00184596" w:rsidRDefault="00FD048A">
            <w:pPr>
              <w:pStyle w:val="ad"/>
              <w:widowControl w:val="0"/>
              <w:autoSpaceDE w:val="0"/>
              <w:autoSpaceDN w:val="0"/>
              <w:adjustRightInd w:val="0"/>
              <w:snapToGrid w:val="0"/>
              <w:spacing w:line="240" w:lineRule="auto"/>
              <w:ind w:right="6"/>
              <w:textAlignment w:val="bottom"/>
              <w:rPr>
                <w:rFonts w:ascii="华文细黑" w:eastAsia="华文细黑" w:hAnsi="华文细黑" w:cs="Arial"/>
                <w:color w:val="000000"/>
              </w:rPr>
            </w:pPr>
            <w:r>
              <w:rPr>
                <w:rFonts w:ascii="Arial" w:eastAsia="华文细黑" w:hAnsi="Arial" w:cs="Arial"/>
              </w:rPr>
              <w:t>比较法主要用于同类房地产数量较多、经常发生交易且具有一定可比性的房地产。估价对象为信息服务用房，同小区同类房地产近期成交较多，可选用比较法。</w:t>
            </w:r>
          </w:p>
        </w:tc>
        <w:tc>
          <w:tcPr>
            <w:tcW w:w="1077" w:type="dxa"/>
            <w:vAlign w:val="center"/>
          </w:tcPr>
          <w:p w:rsidR="00184596" w:rsidRDefault="00FD048A">
            <w:pPr>
              <w:pStyle w:val="ad"/>
              <w:widowControl w:val="0"/>
              <w:autoSpaceDE w:val="0"/>
              <w:autoSpaceDN w:val="0"/>
              <w:adjustRightInd w:val="0"/>
              <w:spacing w:line="240" w:lineRule="auto"/>
              <w:ind w:right="6"/>
              <w:textAlignment w:val="bottom"/>
              <w:rPr>
                <w:rFonts w:ascii="华文细黑" w:eastAsia="华文细黑" w:hAnsi="华文细黑" w:cs="Arial"/>
                <w:color w:val="E36C0A"/>
              </w:rPr>
            </w:pPr>
            <w:r>
              <w:rPr>
                <w:rFonts w:ascii="Arial" w:eastAsia="华文细黑" w:hAnsi="Arial" w:cs="Arial"/>
              </w:rPr>
              <w:t>是</w:t>
            </w:r>
          </w:p>
        </w:tc>
      </w:tr>
      <w:tr w:rsidR="00184596">
        <w:trPr>
          <w:cantSplit/>
          <w:jc w:val="center"/>
        </w:trPr>
        <w:tc>
          <w:tcPr>
            <w:tcW w:w="1276" w:type="dxa"/>
            <w:vAlign w:val="center"/>
          </w:tcPr>
          <w:p w:rsidR="00184596" w:rsidRDefault="00FD048A">
            <w:pPr>
              <w:pStyle w:val="12"/>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946" w:type="dxa"/>
            <w:vAlign w:val="center"/>
          </w:tcPr>
          <w:p w:rsidR="00184596" w:rsidRDefault="00FD048A">
            <w:pPr>
              <w:pStyle w:val="ad"/>
              <w:widowControl w:val="0"/>
              <w:autoSpaceDE w:val="0"/>
              <w:autoSpaceDN w:val="0"/>
              <w:adjustRightInd w:val="0"/>
              <w:spacing w:line="240" w:lineRule="auto"/>
              <w:ind w:right="6"/>
              <w:textAlignment w:val="bottom"/>
              <w:rPr>
                <w:rFonts w:ascii="华文细黑" w:eastAsia="华文细黑" w:hAnsi="华文细黑" w:cs="Arial"/>
                <w:color w:val="000000"/>
              </w:rPr>
            </w:pPr>
            <w:r>
              <w:rPr>
                <w:rFonts w:ascii="Arial" w:eastAsia="华文细黑" w:hAnsi="Arial" w:cs="Arial"/>
              </w:rPr>
              <w:t>收益法适用于估价对象或其同类房地产通常有租金等经济收入的收益性房地产。根据评估专业人员对周边同类物业的调查，估价对象所属同类物业存在租赁市场，</w:t>
            </w:r>
            <w:proofErr w:type="gramStart"/>
            <w:r>
              <w:rPr>
                <w:rFonts w:ascii="Arial" w:eastAsia="华文细黑" w:hAnsi="Arial" w:cs="Arial"/>
              </w:rPr>
              <w:t>属可收益</w:t>
            </w:r>
            <w:proofErr w:type="gramEnd"/>
            <w:r>
              <w:rPr>
                <w:rFonts w:ascii="Arial" w:eastAsia="华文细黑" w:hAnsi="Arial" w:cs="Arial"/>
              </w:rPr>
              <w:t>物业，符合收益法的选用及应用条件，可采用收益法。</w:t>
            </w:r>
            <w:r>
              <w:rPr>
                <w:rFonts w:ascii="Arial" w:eastAsia="华文细黑" w:hAnsi="Arial" w:cs="Arial" w:hint="eastAsia"/>
              </w:rPr>
              <w:t>但因本次评估目的是为估价委托人了解估价对象房地产市场租金水平提供参考依据</w:t>
            </w:r>
            <w:r>
              <w:rPr>
                <w:rFonts w:ascii="Arial" w:eastAsia="华文细黑" w:hAnsi="Arial" w:cs="Arial"/>
              </w:rPr>
              <w:t>，故本次评估未选用</w:t>
            </w:r>
            <w:r>
              <w:rPr>
                <w:rFonts w:ascii="Arial" w:eastAsia="华文细黑" w:hAnsi="Arial" w:cs="Arial" w:hint="eastAsia"/>
              </w:rPr>
              <w:t>收益</w:t>
            </w:r>
            <w:r>
              <w:rPr>
                <w:rFonts w:ascii="Arial" w:eastAsia="华文细黑" w:hAnsi="Arial" w:cs="Arial"/>
              </w:rPr>
              <w:t>法。</w:t>
            </w:r>
          </w:p>
        </w:tc>
        <w:tc>
          <w:tcPr>
            <w:tcW w:w="1077" w:type="dxa"/>
            <w:vAlign w:val="center"/>
          </w:tcPr>
          <w:p w:rsidR="00184596" w:rsidRDefault="00FD048A">
            <w:pPr>
              <w:pStyle w:val="ad"/>
              <w:widowControl w:val="0"/>
              <w:autoSpaceDE w:val="0"/>
              <w:autoSpaceDN w:val="0"/>
              <w:adjustRightInd w:val="0"/>
              <w:spacing w:line="240" w:lineRule="auto"/>
              <w:ind w:right="6"/>
              <w:textAlignment w:val="bottom"/>
              <w:rPr>
                <w:rFonts w:ascii="华文细黑" w:eastAsia="华文细黑" w:hAnsi="华文细黑" w:cs="Arial"/>
                <w:color w:val="E36C0A"/>
              </w:rPr>
            </w:pPr>
            <w:r>
              <w:rPr>
                <w:rFonts w:ascii="Arial" w:eastAsia="华文细黑" w:hAnsi="Arial" w:cs="Arial" w:hint="eastAsia"/>
              </w:rPr>
              <w:t>否</w:t>
            </w:r>
          </w:p>
        </w:tc>
      </w:tr>
      <w:tr w:rsidR="00184596">
        <w:trPr>
          <w:cantSplit/>
          <w:jc w:val="center"/>
        </w:trPr>
        <w:tc>
          <w:tcPr>
            <w:tcW w:w="1276" w:type="dxa"/>
            <w:vAlign w:val="center"/>
          </w:tcPr>
          <w:p w:rsidR="00184596" w:rsidRDefault="00FD048A">
            <w:pPr>
              <w:pStyle w:val="12"/>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946" w:type="dxa"/>
            <w:vAlign w:val="center"/>
          </w:tcPr>
          <w:p w:rsidR="00184596" w:rsidRDefault="00FD048A">
            <w:pPr>
              <w:pStyle w:val="ad"/>
              <w:widowControl w:val="0"/>
              <w:autoSpaceDE w:val="0"/>
              <w:autoSpaceDN w:val="0"/>
              <w:adjustRightInd w:val="0"/>
              <w:spacing w:line="240" w:lineRule="auto"/>
              <w:ind w:right="6"/>
              <w:textAlignment w:val="bottom"/>
              <w:rPr>
                <w:rFonts w:ascii="华文细黑" w:eastAsia="华文细黑" w:hAnsi="华文细黑" w:cs="Arial"/>
                <w:color w:val="000000"/>
              </w:rPr>
            </w:pPr>
            <w:r>
              <w:rPr>
                <w:rFonts w:ascii="Arial" w:eastAsia="华文细黑" w:hAnsi="Arial" w:cs="Arial"/>
              </w:rPr>
              <w:t>成本法适用于新近开发完成的房地产</w:t>
            </w:r>
            <w:r>
              <w:rPr>
                <w:rFonts w:ascii="Arial" w:eastAsia="华文细黑" w:hAnsi="Arial" w:cs="Arial"/>
              </w:rPr>
              <w:t>(</w:t>
            </w:r>
            <w:r>
              <w:rPr>
                <w:rFonts w:ascii="Arial" w:eastAsia="华文细黑" w:hAnsi="Arial" w:cs="Arial"/>
              </w:rPr>
              <w:t>简称新开发的房地产</w:t>
            </w:r>
            <w:r>
              <w:rPr>
                <w:rFonts w:ascii="Arial" w:eastAsia="华文细黑" w:hAnsi="Arial" w:cs="Arial"/>
              </w:rPr>
              <w:t>)</w:t>
            </w:r>
            <w:r>
              <w:rPr>
                <w:rFonts w:ascii="Arial" w:eastAsia="华文细黑" w:hAnsi="Arial" w:cs="Arial"/>
              </w:rPr>
              <w:t>、可以假设重新开发的现有房地产</w:t>
            </w:r>
            <w:r>
              <w:rPr>
                <w:rFonts w:ascii="Arial" w:eastAsia="华文细黑" w:hAnsi="Arial" w:cs="Arial"/>
              </w:rPr>
              <w:t>(</w:t>
            </w:r>
            <w:r>
              <w:rPr>
                <w:rFonts w:ascii="Arial" w:eastAsia="华文细黑" w:hAnsi="Arial" w:cs="Arial"/>
              </w:rPr>
              <w:t>简称旧的房地产</w:t>
            </w:r>
            <w:r>
              <w:rPr>
                <w:rFonts w:ascii="Arial" w:eastAsia="华文细黑" w:hAnsi="Arial" w:cs="Arial"/>
              </w:rPr>
              <w:t>)</w:t>
            </w:r>
            <w:r>
              <w:rPr>
                <w:rFonts w:ascii="Arial" w:eastAsia="华文细黑" w:hAnsi="Arial" w:cs="Arial"/>
              </w:rPr>
              <w:t>、正在开发的房地产</w:t>
            </w:r>
            <w:r>
              <w:rPr>
                <w:rFonts w:ascii="Arial" w:eastAsia="华文细黑" w:hAnsi="Arial" w:cs="Arial"/>
              </w:rPr>
              <w:t>(</w:t>
            </w:r>
            <w:r>
              <w:rPr>
                <w:rFonts w:ascii="Arial" w:eastAsia="华文细黑" w:hAnsi="Arial" w:cs="Arial"/>
              </w:rPr>
              <w:t>即在建工程</w:t>
            </w:r>
            <w:r>
              <w:rPr>
                <w:rFonts w:ascii="Arial" w:eastAsia="华文细黑" w:hAnsi="Arial" w:cs="Arial"/>
              </w:rPr>
              <w:t>)</w:t>
            </w:r>
            <w:r>
              <w:rPr>
                <w:rFonts w:ascii="Arial" w:eastAsia="华文细黑" w:hAnsi="Arial" w:cs="Arial"/>
              </w:rPr>
              <w:t>、计划开发的房地产</w:t>
            </w:r>
            <w:r>
              <w:rPr>
                <w:rFonts w:ascii="Arial" w:eastAsia="华文细黑" w:hAnsi="Arial" w:cs="Arial"/>
              </w:rPr>
              <w:t>(</w:t>
            </w:r>
            <w:r>
              <w:rPr>
                <w:rFonts w:ascii="Arial" w:eastAsia="华文细黑" w:hAnsi="Arial" w:cs="Arial"/>
              </w:rPr>
              <w:t>如期房</w:t>
            </w:r>
            <w:r>
              <w:rPr>
                <w:rFonts w:ascii="Arial" w:eastAsia="华文细黑" w:hAnsi="Arial" w:cs="Arial"/>
              </w:rPr>
              <w:t>)</w:t>
            </w:r>
            <w:r>
              <w:rPr>
                <w:rFonts w:ascii="Arial" w:eastAsia="华文细黑" w:hAnsi="Arial" w:cs="Arial"/>
              </w:rPr>
              <w:t>或很少发生交易而限制了比较法运用，又没有经济收入或没有潜在经济收入而限制了收益法运用的房地产，估价对象为已建成物业，且交易市场活跃，故本次评估未选用成本法。</w:t>
            </w:r>
          </w:p>
        </w:tc>
        <w:tc>
          <w:tcPr>
            <w:tcW w:w="1077" w:type="dxa"/>
            <w:vAlign w:val="center"/>
          </w:tcPr>
          <w:p w:rsidR="00184596" w:rsidRDefault="00FD048A">
            <w:pPr>
              <w:pStyle w:val="ad"/>
              <w:widowControl w:val="0"/>
              <w:autoSpaceDE w:val="0"/>
              <w:autoSpaceDN w:val="0"/>
              <w:adjustRightInd w:val="0"/>
              <w:spacing w:line="240" w:lineRule="auto"/>
              <w:ind w:right="6"/>
              <w:textAlignment w:val="bottom"/>
              <w:rPr>
                <w:rFonts w:ascii="华文细黑" w:eastAsia="华文细黑" w:hAnsi="华文细黑" w:cs="Arial"/>
                <w:color w:val="E36C0A"/>
              </w:rPr>
            </w:pPr>
            <w:r>
              <w:rPr>
                <w:rFonts w:ascii="Arial" w:eastAsia="华文细黑" w:hAnsi="Arial" w:cs="Arial"/>
              </w:rPr>
              <w:t>否</w:t>
            </w:r>
          </w:p>
        </w:tc>
      </w:tr>
      <w:tr w:rsidR="00184596">
        <w:trPr>
          <w:cantSplit/>
          <w:jc w:val="center"/>
        </w:trPr>
        <w:tc>
          <w:tcPr>
            <w:tcW w:w="1276" w:type="dxa"/>
            <w:vAlign w:val="center"/>
          </w:tcPr>
          <w:p w:rsidR="00184596" w:rsidRDefault="00FD048A">
            <w:pPr>
              <w:pStyle w:val="12"/>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946" w:type="dxa"/>
            <w:vAlign w:val="center"/>
          </w:tcPr>
          <w:p w:rsidR="00184596" w:rsidRDefault="00FD048A">
            <w:pPr>
              <w:pStyle w:val="ad"/>
              <w:widowControl w:val="0"/>
              <w:autoSpaceDE w:val="0"/>
              <w:autoSpaceDN w:val="0"/>
              <w:adjustRightInd w:val="0"/>
              <w:snapToGrid w:val="0"/>
              <w:spacing w:line="240" w:lineRule="auto"/>
              <w:ind w:right="6"/>
              <w:textAlignment w:val="bottom"/>
              <w:rPr>
                <w:rFonts w:ascii="华文细黑" w:eastAsia="华文细黑" w:hAnsi="华文细黑" w:cs="Arial"/>
                <w:color w:val="000000"/>
              </w:rPr>
            </w:pPr>
            <w:r>
              <w:rPr>
                <w:rFonts w:ascii="Arial" w:eastAsia="华文细黑" w:hAnsi="Arial" w:cs="Arial"/>
              </w:rPr>
              <w:t>估价对象为已建成物业，且处于正常运营状态，尚不具备开发或在开发潜力，故不符合假设开发法的选用及应用条件。</w:t>
            </w:r>
          </w:p>
        </w:tc>
        <w:tc>
          <w:tcPr>
            <w:tcW w:w="1077" w:type="dxa"/>
            <w:vAlign w:val="center"/>
          </w:tcPr>
          <w:p w:rsidR="00184596" w:rsidRDefault="00FD048A">
            <w:pPr>
              <w:pStyle w:val="ad"/>
              <w:widowControl w:val="0"/>
              <w:autoSpaceDE w:val="0"/>
              <w:autoSpaceDN w:val="0"/>
              <w:adjustRightInd w:val="0"/>
              <w:snapToGrid w:val="0"/>
              <w:spacing w:line="240" w:lineRule="auto"/>
              <w:ind w:right="6"/>
              <w:textAlignment w:val="bottom"/>
              <w:rPr>
                <w:rFonts w:ascii="华文细黑" w:eastAsia="华文细黑" w:hAnsi="华文细黑" w:cs="Arial"/>
                <w:color w:val="E36C0A"/>
              </w:rPr>
            </w:pPr>
            <w:r>
              <w:rPr>
                <w:rFonts w:ascii="Arial" w:eastAsia="华文细黑" w:hAnsi="Arial" w:cs="Arial"/>
              </w:rPr>
              <w:t>否</w:t>
            </w:r>
          </w:p>
        </w:tc>
      </w:tr>
    </w:tbl>
    <w:p w:rsidR="00184596" w:rsidRDefault="00184596">
      <w:pPr>
        <w:pStyle w:val="12"/>
        <w:autoSpaceDE w:val="0"/>
        <w:autoSpaceDN w:val="0"/>
        <w:spacing w:line="240" w:lineRule="auto"/>
        <w:ind w:right="6"/>
        <w:jc w:val="left"/>
        <w:textAlignment w:val="bottom"/>
        <w:rPr>
          <w:rFonts w:ascii="Arial" w:eastAsia="华文细黑" w:hAnsi="Arial" w:cs="Arial"/>
          <w:color w:val="000000"/>
          <w:sz w:val="18"/>
          <w:szCs w:val="18"/>
        </w:rPr>
      </w:pPr>
    </w:p>
    <w:p w:rsidR="00184596" w:rsidRDefault="00FD048A">
      <w:pPr>
        <w:pStyle w:val="11"/>
        <w:wordWrap w:val="0"/>
        <w:overflowPunct w:val="0"/>
        <w:autoSpaceDE w:val="0"/>
        <w:autoSpaceDN w:val="0"/>
        <w:spacing w:line="480" w:lineRule="auto"/>
        <w:ind w:right="6" w:firstLineChars="200" w:firstLine="420"/>
        <w:jc w:val="both"/>
        <w:textAlignment w:val="auto"/>
        <w:rPr>
          <w:rFonts w:ascii="Arial" w:hAnsi="Arial" w:cs="Arial"/>
          <w:sz w:val="21"/>
          <w:szCs w:val="21"/>
        </w:rPr>
      </w:pPr>
      <w:r>
        <w:rPr>
          <w:rFonts w:ascii="Arial" w:hAnsi="Arial" w:cs="Arial" w:hint="eastAsia"/>
          <w:sz w:val="21"/>
          <w:szCs w:val="21"/>
        </w:rPr>
        <w:t>综上，本次评估</w:t>
      </w:r>
      <w:r>
        <w:rPr>
          <w:rFonts w:ascii="Arial" w:hAnsi="Arial" w:cs="Arial"/>
          <w:sz w:val="21"/>
          <w:szCs w:val="21"/>
        </w:rPr>
        <w:t>选用</w:t>
      </w:r>
      <w:r>
        <w:rPr>
          <w:rFonts w:ascii="Arial" w:hAnsi="Arial" w:cs="Arial" w:hint="eastAsia"/>
          <w:sz w:val="21"/>
          <w:szCs w:val="21"/>
        </w:rPr>
        <w:t>比较法</w:t>
      </w:r>
      <w:r>
        <w:rPr>
          <w:rFonts w:ascii="Arial" w:hAnsi="Arial" w:cs="Arial"/>
          <w:sz w:val="21"/>
          <w:szCs w:val="21"/>
        </w:rPr>
        <w:t>进行估价</w:t>
      </w:r>
      <w:r>
        <w:rPr>
          <w:rFonts w:ascii="Arial" w:hAnsi="Arial" w:cs="Arial" w:hint="eastAsia"/>
          <w:sz w:val="21"/>
          <w:szCs w:val="21"/>
        </w:rPr>
        <w:t>，</w:t>
      </w:r>
      <w:r>
        <w:rPr>
          <w:rFonts w:ascii="Arial" w:hAnsi="Arial" w:cs="Arial"/>
          <w:sz w:val="21"/>
          <w:szCs w:val="21"/>
        </w:rPr>
        <w:t>估价方法简述如下：</w:t>
      </w:r>
    </w:p>
    <w:p w:rsidR="00184596" w:rsidRDefault="00FD048A">
      <w:pPr>
        <w:pStyle w:val="11"/>
        <w:wordWrap w:val="0"/>
        <w:overflowPunct w:val="0"/>
        <w:autoSpaceDE w:val="0"/>
        <w:autoSpaceDN w:val="0"/>
        <w:spacing w:line="480" w:lineRule="auto"/>
        <w:ind w:right="6" w:firstLineChars="200" w:firstLine="420"/>
        <w:jc w:val="both"/>
        <w:textAlignment w:val="auto"/>
        <w:rPr>
          <w:rFonts w:ascii="Arial" w:hAnsi="Arial" w:cs="Arial"/>
          <w:sz w:val="21"/>
          <w:szCs w:val="21"/>
        </w:rPr>
      </w:pPr>
      <w:r>
        <w:rPr>
          <w:rFonts w:ascii="Arial" w:hAnsi="Arial" w:cs="Arial"/>
          <w:sz w:val="21"/>
          <w:szCs w:val="21"/>
        </w:rPr>
        <w:t>比较法：比较法是选取一定数量的可比实例，将它们与估价对象进行比较，根据其间的差异对可比实例成交价格进行处理后得到估价对象价值或价格的方法。比较法主要用于同类房地产数量较多、</w:t>
      </w:r>
      <w:r>
        <w:rPr>
          <w:rFonts w:ascii="Arial" w:hAnsi="Arial" w:cs="Arial"/>
          <w:sz w:val="21"/>
          <w:szCs w:val="21"/>
        </w:rPr>
        <w:lastRenderedPageBreak/>
        <w:t>经常发生交易且具有一定可比性的房地产。</w:t>
      </w:r>
    </w:p>
    <w:p w:rsidR="00184596" w:rsidRDefault="00FD048A">
      <w:pPr>
        <w:pStyle w:val="11"/>
        <w:wordWrap w:val="0"/>
        <w:overflowPunct w:val="0"/>
        <w:autoSpaceDE w:val="0"/>
        <w:autoSpaceDN w:val="0"/>
        <w:spacing w:line="480" w:lineRule="auto"/>
        <w:ind w:right="6" w:firstLineChars="200" w:firstLine="420"/>
        <w:jc w:val="both"/>
        <w:textAlignment w:val="auto"/>
        <w:rPr>
          <w:rFonts w:ascii="Arial" w:hAnsi="Arial" w:cs="Arial"/>
          <w:b/>
          <w:kern w:val="2"/>
          <w:sz w:val="21"/>
          <w:szCs w:val="21"/>
        </w:rPr>
      </w:pPr>
      <w:r>
        <w:rPr>
          <w:rFonts w:ascii="Arial" w:hAnsi="Arial" w:hint="eastAsia"/>
          <w:kern w:val="2"/>
          <w:sz w:val="21"/>
        </w:rPr>
        <w:t>本次估价的技术路线：首先，采用</w:t>
      </w:r>
      <w:r>
        <w:rPr>
          <w:rFonts w:ascii="Arial" w:hAnsi="Arial" w:hint="eastAsia"/>
          <w:sz w:val="21"/>
          <w:szCs w:val="21"/>
        </w:rPr>
        <w:t>比较法</w:t>
      </w:r>
      <w:r>
        <w:rPr>
          <w:rFonts w:ascii="Arial" w:hAnsi="Arial" w:hint="eastAsia"/>
          <w:kern w:val="2"/>
          <w:sz w:val="21"/>
        </w:rPr>
        <w:t>求取</w:t>
      </w:r>
      <w:r>
        <w:rPr>
          <w:rFonts w:ascii="Arial" w:hAnsi="Arial" w:cs="Arial" w:hint="eastAsia"/>
          <w:sz w:val="21"/>
          <w:szCs w:val="28"/>
        </w:rPr>
        <w:t>估价对象</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sz w:val="21"/>
          <w:szCs w:val="28"/>
        </w:rPr>
        <w:t>号楼</w:t>
      </w:r>
      <w:r>
        <w:rPr>
          <w:rFonts w:ascii="Arial" w:hAnsi="Arial" w:cs="Arial" w:hint="eastAsia"/>
          <w:sz w:val="21"/>
          <w:szCs w:val="28"/>
        </w:rPr>
        <w:t>1</w:t>
      </w:r>
      <w:r>
        <w:rPr>
          <w:rFonts w:ascii="Arial" w:hAnsi="Arial" w:cs="Arial" w:hint="eastAsia"/>
          <w:sz w:val="21"/>
          <w:szCs w:val="28"/>
        </w:rPr>
        <w:t>层商业用房</w:t>
      </w:r>
      <w:r>
        <w:rPr>
          <w:rFonts w:ascii="Arial" w:hAnsi="Arial" w:hint="eastAsia"/>
          <w:kern w:val="2"/>
          <w:sz w:val="21"/>
        </w:rPr>
        <w:t>房地产市场租金水平，其次，通过楼层、可视性、通达性、层高、使用率、平面布局等因素修正，</w:t>
      </w:r>
      <w:r>
        <w:rPr>
          <w:rFonts w:ascii="Arial" w:hAnsi="Arial" w:cs="Arial" w:hint="eastAsia"/>
          <w:sz w:val="21"/>
          <w:szCs w:val="28"/>
        </w:rPr>
        <w:t>求取估价对象各楼层商业用房房地产市场租金水平。</w:t>
      </w:r>
    </w:p>
    <w:p w:rsidR="00184596" w:rsidRDefault="00FD048A">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0" w:name="_Toc168225822"/>
      <w:bookmarkStart w:id="41" w:name="_Toc477252450"/>
      <w:r>
        <w:rPr>
          <w:rFonts w:eastAsia="宋体"/>
          <w:kern w:val="2"/>
          <w:sz w:val="21"/>
          <w:szCs w:val="21"/>
        </w:rPr>
        <w:t>十、估价结果</w:t>
      </w:r>
      <w:bookmarkEnd w:id="40"/>
      <w:bookmarkEnd w:id="41"/>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评估专业人员根据估价的目的，按照估价的程序，采用科学的估价方法，在认真分析现有资料的基础上，结合</w:t>
      </w:r>
      <w:r>
        <w:rPr>
          <w:rFonts w:ascii="Arial" w:hAnsi="Arial" w:cs="Arial"/>
          <w:sz w:val="21"/>
          <w:szCs w:val="28"/>
        </w:rPr>
        <w:t>本次评估的要求，通过仔细测算和认真分析各种影响房地产价格的因素，确定估价对象于价值时</w:t>
      </w:r>
      <w:r>
        <w:rPr>
          <w:rFonts w:ascii="Arial" w:hAnsi="Arial" w:cs="Arial"/>
          <w:sz w:val="21"/>
          <w:szCs w:val="21"/>
        </w:rPr>
        <w:t>点的房地产评估价格，详见估价结果一览表（币种：人民币）。</w:t>
      </w:r>
    </w:p>
    <w:p w:rsidR="00184596" w:rsidRDefault="00FD048A">
      <w:pPr>
        <w:spacing w:line="240" w:lineRule="auto"/>
        <w:jc w:val="center"/>
        <w:rPr>
          <w:rFonts w:ascii="Arial" w:eastAsia="方正黑体简体" w:hAnsi="Arial" w:cs="Arial"/>
          <w:szCs w:val="24"/>
        </w:rPr>
      </w:pPr>
      <w:r>
        <w:rPr>
          <w:rFonts w:ascii="Arial" w:eastAsia="方正黑体简体" w:hAnsi="Arial" w:cs="Arial" w:hint="eastAsia"/>
          <w:szCs w:val="24"/>
        </w:rPr>
        <w:t>估价结果一览表</w:t>
      </w:r>
    </w:p>
    <w:p w:rsidR="00184596" w:rsidRDefault="00FD048A">
      <w:pPr>
        <w:spacing w:line="240" w:lineRule="auto"/>
        <w:jc w:val="center"/>
        <w:rPr>
          <w:rFonts w:ascii="Arial" w:eastAsia="方正黑体简体" w:hAnsi="Arial" w:cs="Arial"/>
          <w:szCs w:val="24"/>
        </w:rPr>
      </w:pPr>
      <w:r>
        <w:rPr>
          <w:rFonts w:ascii="Arial" w:eastAsia="方正黑体简体" w:hAnsi="Arial" w:cs="Arial" w:hint="eastAsia"/>
          <w:szCs w:val="24"/>
        </w:rPr>
        <w:t>结果表</w:t>
      </w:r>
      <w:r>
        <w:rPr>
          <w:rFonts w:ascii="Arial" w:eastAsia="方正黑体简体" w:hAnsi="Arial" w:cs="Arial" w:hint="eastAsia"/>
          <w:szCs w:val="24"/>
        </w:rPr>
        <w:t>-1</w:t>
      </w:r>
    </w:p>
    <w:tbl>
      <w:tblPr>
        <w:tblW w:w="5000" w:type="pct"/>
        <w:jc w:val="center"/>
        <w:tblCellMar>
          <w:top w:w="57" w:type="dxa"/>
          <w:left w:w="57" w:type="dxa"/>
          <w:bottom w:w="57" w:type="dxa"/>
          <w:right w:w="57" w:type="dxa"/>
        </w:tblCellMar>
        <w:tblLook w:val="04A0" w:firstRow="1" w:lastRow="0" w:firstColumn="1" w:lastColumn="0" w:noHBand="0" w:noVBand="1"/>
      </w:tblPr>
      <w:tblGrid>
        <w:gridCol w:w="4612"/>
        <w:gridCol w:w="4801"/>
      </w:tblGrid>
      <w:tr w:rsidR="00184596">
        <w:trPr>
          <w:cantSplit/>
          <w:trHeight w:val="567"/>
          <w:jc w:val="center"/>
        </w:trPr>
        <w:tc>
          <w:tcPr>
            <w:tcW w:w="2450" w:type="pct"/>
            <w:tcBorders>
              <w:top w:val="thinThickThinSmallGap" w:sz="12" w:space="0" w:color="auto"/>
              <w:left w:val="dotted" w:sz="2" w:space="0" w:color="auto"/>
              <w:bottom w:val="dotted" w:sz="2" w:space="0" w:color="auto"/>
              <w:right w:val="dotted" w:sz="2" w:space="0" w:color="auto"/>
              <w:tl2br w:val="single" w:sz="4" w:space="0" w:color="auto"/>
            </w:tcBorders>
            <w:vAlign w:val="center"/>
          </w:tcPr>
          <w:p w:rsidR="00184596" w:rsidRDefault="00FD048A">
            <w:pPr>
              <w:widowControl/>
              <w:adjustRightInd/>
              <w:spacing w:line="240" w:lineRule="exact"/>
              <w:jc w:val="righ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                                 </w:t>
            </w:r>
            <w:r>
              <w:rPr>
                <w:rFonts w:ascii="Arial" w:eastAsia="华文细黑" w:hAnsi="Arial" w:cs="Arial" w:hint="eastAsia"/>
                <w:color w:val="000000"/>
                <w:sz w:val="18"/>
                <w:szCs w:val="18"/>
              </w:rPr>
              <w:t>租金水平</w:t>
            </w:r>
          </w:p>
          <w:p w:rsidR="00184596" w:rsidRDefault="00FD048A">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相关结果</w:t>
            </w:r>
          </w:p>
        </w:tc>
        <w:tc>
          <w:tcPr>
            <w:tcW w:w="2550" w:type="pct"/>
            <w:tcBorders>
              <w:top w:val="thinThickThinSmallGap" w:sz="1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房山区阜盛西街</w:t>
            </w:r>
            <w:r>
              <w:rPr>
                <w:rFonts w:ascii="Arial" w:eastAsia="华文细黑" w:hAnsi="Arial" w:cs="Arial" w:hint="eastAsia"/>
                <w:color w:val="000000"/>
                <w:sz w:val="18"/>
                <w:szCs w:val="18"/>
              </w:rPr>
              <w:t>11</w:t>
            </w:r>
            <w:r>
              <w:rPr>
                <w:rFonts w:ascii="Arial" w:eastAsia="华文细黑" w:hAnsi="Arial" w:cs="Arial" w:hint="eastAsia"/>
                <w:color w:val="000000"/>
                <w:sz w:val="18"/>
                <w:szCs w:val="18"/>
              </w:rPr>
              <w:t>号院</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号楼</w:t>
            </w:r>
            <w:r>
              <w:rPr>
                <w:rFonts w:ascii="Arial" w:eastAsia="华文细黑" w:hAnsi="Arial" w:cs="Arial" w:hint="eastAsia"/>
                <w:color w:val="000000"/>
                <w:sz w:val="18"/>
                <w:szCs w:val="18"/>
              </w:rPr>
              <w:t>101</w:t>
            </w:r>
            <w:r>
              <w:rPr>
                <w:rFonts w:ascii="Arial" w:eastAsia="华文细黑" w:hAnsi="Arial" w:cs="Arial" w:hint="eastAsia"/>
                <w:color w:val="000000"/>
                <w:sz w:val="18"/>
                <w:szCs w:val="18"/>
              </w:rPr>
              <w:t>号</w:t>
            </w:r>
          </w:p>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商业用房市场租金水平</w:t>
            </w:r>
          </w:p>
        </w:tc>
      </w:tr>
      <w:tr w:rsidR="00184596">
        <w:trPr>
          <w:cantSplit/>
          <w:trHeight w:val="567"/>
          <w:jc w:val="center"/>
        </w:trPr>
        <w:tc>
          <w:tcPr>
            <w:tcW w:w="2450" w:type="pct"/>
            <w:tcBorders>
              <w:top w:val="dotted" w:sz="2" w:space="0" w:color="auto"/>
              <w:left w:val="dotted" w:sz="2" w:space="0" w:color="auto"/>
              <w:bottom w:val="thinThickThinSmallGap" w:sz="1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评估结果</w:t>
            </w:r>
          </w:p>
        </w:tc>
        <w:tc>
          <w:tcPr>
            <w:tcW w:w="2550" w:type="pct"/>
            <w:tcBorders>
              <w:top w:val="dotted" w:sz="2" w:space="0" w:color="auto"/>
              <w:left w:val="dotted" w:sz="2" w:space="0" w:color="auto"/>
              <w:bottom w:val="thinThickThinSmallGap" w:sz="1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3.30</w:t>
            </w:r>
          </w:p>
        </w:tc>
      </w:tr>
    </w:tbl>
    <w:p w:rsidR="00184596" w:rsidRDefault="00FD048A">
      <w:pPr>
        <w:widowControl/>
        <w:adjustRightInd/>
        <w:spacing w:line="240" w:lineRule="auto"/>
        <w:jc w:val="both"/>
        <w:textAlignment w:val="auto"/>
        <w:rPr>
          <w:rFonts w:ascii="Arial" w:eastAsia="华文细黑" w:hAnsi="Arial" w:cs="宋体"/>
          <w:sz w:val="18"/>
          <w:szCs w:val="18"/>
        </w:rPr>
      </w:pPr>
      <w:r>
        <w:rPr>
          <w:rFonts w:ascii="Arial" w:eastAsia="华文细黑" w:hAnsi="Arial" w:cs="宋体" w:hint="eastAsia"/>
          <w:sz w:val="18"/>
          <w:szCs w:val="18"/>
        </w:rPr>
        <w:t>单位：元</w:t>
      </w:r>
      <w:r>
        <w:rPr>
          <w:rFonts w:ascii="Arial" w:eastAsia="华文细黑" w:hAnsi="Arial" w:cs="宋体" w:hint="eastAsia"/>
          <w:sz w:val="18"/>
          <w:szCs w:val="18"/>
        </w:rPr>
        <w:t>/</w:t>
      </w:r>
      <w:r>
        <w:rPr>
          <w:rFonts w:ascii="Arial" w:eastAsia="华文细黑" w:hAnsi="Arial" w:cs="宋体" w:hint="eastAsia"/>
          <w:sz w:val="18"/>
          <w:szCs w:val="18"/>
        </w:rPr>
        <w:t>建筑</w:t>
      </w:r>
      <w:r>
        <w:rPr>
          <w:rFonts w:ascii="Arial" w:eastAsia="华文细黑" w:hAnsi="Arial" w:cs="宋体"/>
          <w:sz w:val="18"/>
          <w:szCs w:val="18"/>
        </w:rPr>
        <w:t>面积</w:t>
      </w:r>
      <w:r>
        <w:rPr>
          <w:rFonts w:ascii="Arial" w:eastAsia="华文细黑" w:hAnsi="Arial" w:cs="宋体" w:hint="eastAsia"/>
          <w:sz w:val="18"/>
          <w:szCs w:val="18"/>
        </w:rPr>
        <w:t>平方米·天</w:t>
      </w:r>
    </w:p>
    <w:p w:rsidR="00184596" w:rsidRDefault="00FD048A">
      <w:pPr>
        <w:spacing w:line="240" w:lineRule="auto"/>
        <w:jc w:val="center"/>
        <w:outlineLvl w:val="0"/>
        <w:rPr>
          <w:rFonts w:ascii="Arial" w:eastAsia="方正黑体简体" w:hAnsi="Arial"/>
          <w:szCs w:val="24"/>
        </w:rPr>
      </w:pPr>
      <w:r>
        <w:rPr>
          <w:rFonts w:ascii="Arial" w:eastAsia="方正黑体简体" w:hAnsi="Arial" w:hint="eastAsia"/>
          <w:szCs w:val="24"/>
        </w:rPr>
        <w:t>结果表</w:t>
      </w:r>
      <w:r>
        <w:rPr>
          <w:rFonts w:ascii="Arial" w:eastAsia="方正黑体简体" w:hAnsi="Arial" w:hint="eastAsia"/>
          <w:szCs w:val="24"/>
        </w:rPr>
        <w:t>-2</w:t>
      </w:r>
    </w:p>
    <w:tbl>
      <w:tblPr>
        <w:tblW w:w="5000" w:type="pct"/>
        <w:jc w:val="center"/>
        <w:tblCellMar>
          <w:top w:w="57" w:type="dxa"/>
          <w:left w:w="57" w:type="dxa"/>
          <w:bottom w:w="57" w:type="dxa"/>
          <w:right w:w="57" w:type="dxa"/>
        </w:tblCellMar>
        <w:tblLook w:val="04A0" w:firstRow="1" w:lastRow="0" w:firstColumn="1" w:lastColumn="0" w:noHBand="0" w:noVBand="1"/>
      </w:tblPr>
      <w:tblGrid>
        <w:gridCol w:w="2746"/>
        <w:gridCol w:w="876"/>
        <w:gridCol w:w="1892"/>
        <w:gridCol w:w="2065"/>
        <w:gridCol w:w="1834"/>
      </w:tblGrid>
      <w:tr w:rsidR="00184596">
        <w:trPr>
          <w:cantSplit/>
          <w:trHeight w:val="567"/>
          <w:jc w:val="center"/>
        </w:trPr>
        <w:tc>
          <w:tcPr>
            <w:tcW w:w="1458" w:type="pct"/>
            <w:tcBorders>
              <w:top w:val="thinThickThinSmallGap" w:sz="12" w:space="0" w:color="auto"/>
              <w:left w:val="dotted" w:sz="2" w:space="0" w:color="auto"/>
              <w:bottom w:val="dotted" w:sz="2" w:space="0" w:color="auto"/>
              <w:right w:val="dotted" w:sz="2" w:space="0" w:color="auto"/>
              <w:tl2br w:val="single" w:sz="4" w:space="0" w:color="auto"/>
            </w:tcBorders>
            <w:vAlign w:val="center"/>
          </w:tcPr>
          <w:p w:rsidR="00184596" w:rsidRDefault="00FD048A">
            <w:pPr>
              <w:widowControl/>
              <w:adjustRightInd/>
              <w:spacing w:line="240" w:lineRule="exact"/>
              <w:jc w:val="righ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分层租金明细</w:t>
            </w:r>
          </w:p>
          <w:p w:rsidR="00184596" w:rsidRDefault="00FD048A">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估价对象</w:t>
            </w:r>
          </w:p>
        </w:tc>
        <w:tc>
          <w:tcPr>
            <w:tcW w:w="465" w:type="pct"/>
            <w:tcBorders>
              <w:top w:val="thinThickThinSmallGap" w:sz="1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楼层</w:t>
            </w:r>
          </w:p>
        </w:tc>
        <w:tc>
          <w:tcPr>
            <w:tcW w:w="1004" w:type="pct"/>
            <w:tcBorders>
              <w:top w:val="thinThickThinSmallGap" w:sz="1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楼号</w:t>
            </w:r>
            <w:r>
              <w:rPr>
                <w:rFonts w:ascii="Arial" w:eastAsia="华文细黑" w:hAnsi="Arial" w:cs="Arial" w:hint="eastAsia"/>
                <w:color w:val="000000"/>
                <w:sz w:val="18"/>
                <w:szCs w:val="18"/>
              </w:rPr>
              <w:t>/</w:t>
            </w:r>
            <w:r>
              <w:rPr>
                <w:rFonts w:ascii="Arial" w:eastAsia="华文细黑" w:hAnsi="Arial" w:cs="Arial" w:hint="eastAsia"/>
                <w:color w:val="000000"/>
                <w:sz w:val="18"/>
                <w:szCs w:val="18"/>
              </w:rPr>
              <w:t>地块</w:t>
            </w:r>
          </w:p>
        </w:tc>
        <w:tc>
          <w:tcPr>
            <w:tcW w:w="1097" w:type="pct"/>
            <w:tcBorders>
              <w:top w:val="thinThickThinSmallGap" w:sz="1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建筑面积</w:t>
            </w:r>
          </w:p>
        </w:tc>
        <w:tc>
          <w:tcPr>
            <w:tcW w:w="974" w:type="pct"/>
            <w:tcBorders>
              <w:top w:val="thinThickThinSmallGap" w:sz="1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平均租金单价</w:t>
            </w:r>
          </w:p>
        </w:tc>
      </w:tr>
      <w:tr w:rsidR="00184596">
        <w:trPr>
          <w:cantSplit/>
          <w:trHeight w:val="291"/>
          <w:jc w:val="center"/>
        </w:trPr>
        <w:tc>
          <w:tcPr>
            <w:tcW w:w="1458" w:type="pct"/>
            <w:vMerge w:val="restart"/>
            <w:tcBorders>
              <w:top w:val="dotted" w:sz="2" w:space="0" w:color="auto"/>
              <w:left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北京市房山区阜盛西街</w:t>
            </w:r>
            <w:r>
              <w:rPr>
                <w:rFonts w:ascii="Arial" w:eastAsia="华文细黑" w:hAnsi="Arial" w:cs="Arial" w:hint="eastAsia"/>
                <w:color w:val="000000"/>
                <w:sz w:val="18"/>
                <w:szCs w:val="18"/>
              </w:rPr>
              <w:t>11</w:t>
            </w:r>
            <w:r>
              <w:rPr>
                <w:rFonts w:ascii="Arial" w:eastAsia="华文细黑" w:hAnsi="Arial" w:cs="Arial" w:hint="eastAsia"/>
                <w:color w:val="000000"/>
                <w:sz w:val="18"/>
                <w:szCs w:val="18"/>
              </w:rPr>
              <w:t>号院</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号楼地上</w:t>
            </w:r>
            <w:r>
              <w:rPr>
                <w:rFonts w:ascii="Arial" w:eastAsia="华文细黑" w:hAnsi="Arial" w:cs="Arial" w:hint="eastAsia"/>
                <w:color w:val="000000"/>
                <w:sz w:val="18"/>
                <w:szCs w:val="18"/>
              </w:rPr>
              <w:t>1</w:t>
            </w:r>
            <w:r>
              <w:rPr>
                <w:rFonts w:ascii="Arial" w:eastAsia="华文细黑" w:hAnsi="Arial" w:cs="Arial" w:hint="eastAsia"/>
                <w:color w:val="000000"/>
                <w:sz w:val="18"/>
                <w:szCs w:val="18"/>
              </w:rPr>
              <w:t>层</w:t>
            </w:r>
            <w:r>
              <w:rPr>
                <w:rFonts w:ascii="Arial" w:eastAsia="华文细黑" w:hAnsi="Arial" w:cs="Arial" w:hint="eastAsia"/>
                <w:color w:val="000000"/>
                <w:sz w:val="18"/>
                <w:szCs w:val="18"/>
              </w:rPr>
              <w:t>101</w:t>
            </w:r>
            <w:r>
              <w:rPr>
                <w:rFonts w:ascii="Arial" w:eastAsia="华文细黑" w:hAnsi="Arial" w:cs="Arial" w:hint="eastAsia"/>
                <w:color w:val="000000"/>
                <w:sz w:val="18"/>
                <w:szCs w:val="18"/>
              </w:rPr>
              <w:t>号等</w:t>
            </w:r>
            <w:r>
              <w:rPr>
                <w:rFonts w:ascii="Arial" w:eastAsia="华文细黑" w:hAnsi="Arial" w:cs="Arial" w:hint="eastAsia"/>
                <w:color w:val="000000"/>
                <w:sz w:val="18"/>
                <w:szCs w:val="18"/>
              </w:rPr>
              <w:t>29</w:t>
            </w:r>
            <w:r>
              <w:rPr>
                <w:rFonts w:ascii="Arial" w:eastAsia="华文细黑" w:hAnsi="Arial" w:cs="Arial" w:hint="eastAsia"/>
                <w:color w:val="000000"/>
                <w:sz w:val="18"/>
                <w:szCs w:val="18"/>
              </w:rPr>
              <w:t>套商业用房</w:t>
            </w:r>
          </w:p>
        </w:tc>
        <w:tc>
          <w:tcPr>
            <w:tcW w:w="465" w:type="pct"/>
            <w:vMerge w:val="restart"/>
            <w:tcBorders>
              <w:top w:val="dotted" w:sz="2" w:space="0" w:color="auto"/>
              <w:left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p>
        </w:tc>
        <w:tc>
          <w:tcPr>
            <w:tcW w:w="1004"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1097"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2591.43 </w:t>
            </w:r>
          </w:p>
        </w:tc>
        <w:tc>
          <w:tcPr>
            <w:tcW w:w="974"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3.30</w:t>
            </w:r>
          </w:p>
        </w:tc>
      </w:tr>
      <w:tr w:rsidR="00184596">
        <w:trPr>
          <w:cantSplit/>
          <w:trHeight w:val="297"/>
          <w:jc w:val="center"/>
        </w:trPr>
        <w:tc>
          <w:tcPr>
            <w:tcW w:w="1458" w:type="pct"/>
            <w:vMerge/>
            <w:tcBorders>
              <w:left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465" w:type="pct"/>
            <w:vMerge/>
            <w:tcBorders>
              <w:left w:val="dotted" w:sz="2" w:space="0" w:color="auto"/>
              <w:bottom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1004"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1097"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2385.48 </w:t>
            </w:r>
          </w:p>
        </w:tc>
        <w:tc>
          <w:tcPr>
            <w:tcW w:w="974"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3.14</w:t>
            </w:r>
          </w:p>
        </w:tc>
      </w:tr>
      <w:tr w:rsidR="00184596">
        <w:trPr>
          <w:cantSplit/>
          <w:trHeight w:val="317"/>
          <w:jc w:val="center"/>
        </w:trPr>
        <w:tc>
          <w:tcPr>
            <w:tcW w:w="1458" w:type="pct"/>
            <w:vMerge/>
            <w:tcBorders>
              <w:left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465" w:type="pct"/>
            <w:vMerge w:val="restart"/>
            <w:tcBorders>
              <w:top w:val="dotted" w:sz="2" w:space="0" w:color="auto"/>
              <w:left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w:t>
            </w:r>
          </w:p>
        </w:tc>
        <w:tc>
          <w:tcPr>
            <w:tcW w:w="1004"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1097"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2696.40 </w:t>
            </w:r>
          </w:p>
        </w:tc>
        <w:tc>
          <w:tcPr>
            <w:tcW w:w="974"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2.15</w:t>
            </w:r>
          </w:p>
        </w:tc>
      </w:tr>
      <w:tr w:rsidR="00184596">
        <w:trPr>
          <w:cantSplit/>
          <w:trHeight w:val="295"/>
          <w:jc w:val="center"/>
        </w:trPr>
        <w:tc>
          <w:tcPr>
            <w:tcW w:w="1458" w:type="pct"/>
            <w:vMerge/>
            <w:tcBorders>
              <w:left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465" w:type="pct"/>
            <w:vMerge/>
            <w:tcBorders>
              <w:left w:val="dotted" w:sz="2" w:space="0" w:color="auto"/>
              <w:bottom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1004"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1097"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2399.61 </w:t>
            </w:r>
          </w:p>
        </w:tc>
        <w:tc>
          <w:tcPr>
            <w:tcW w:w="974"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2.04</w:t>
            </w:r>
          </w:p>
        </w:tc>
      </w:tr>
      <w:tr w:rsidR="00184596">
        <w:trPr>
          <w:cantSplit/>
          <w:trHeight w:val="315"/>
          <w:jc w:val="center"/>
        </w:trPr>
        <w:tc>
          <w:tcPr>
            <w:tcW w:w="1458" w:type="pct"/>
            <w:vMerge/>
            <w:tcBorders>
              <w:left w:val="dotted" w:sz="2" w:space="0" w:color="auto"/>
              <w:bottom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465" w:type="pct"/>
            <w:vMerge w:val="restart"/>
            <w:tcBorders>
              <w:top w:val="dotted" w:sz="2" w:space="0" w:color="auto"/>
              <w:left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p>
        </w:tc>
        <w:tc>
          <w:tcPr>
            <w:tcW w:w="1004"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p>
        </w:tc>
        <w:tc>
          <w:tcPr>
            <w:tcW w:w="1097"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8822.48 </w:t>
            </w:r>
          </w:p>
        </w:tc>
        <w:tc>
          <w:tcPr>
            <w:tcW w:w="974"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1.04</w:t>
            </w:r>
          </w:p>
        </w:tc>
      </w:tr>
      <w:tr w:rsidR="00184596">
        <w:trPr>
          <w:cantSplit/>
          <w:trHeight w:val="315"/>
          <w:jc w:val="center"/>
        </w:trPr>
        <w:tc>
          <w:tcPr>
            <w:tcW w:w="1458" w:type="pct"/>
            <w:vMerge/>
            <w:tcBorders>
              <w:left w:val="dotted" w:sz="2" w:space="0" w:color="auto"/>
              <w:bottom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465" w:type="pct"/>
            <w:vMerge/>
            <w:tcBorders>
              <w:left w:val="dotted" w:sz="2" w:space="0" w:color="auto"/>
              <w:bottom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1004"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p>
        </w:tc>
        <w:tc>
          <w:tcPr>
            <w:tcW w:w="1097"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5976.27 </w:t>
            </w:r>
          </w:p>
        </w:tc>
        <w:tc>
          <w:tcPr>
            <w:tcW w:w="974" w:type="pct"/>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1.17</w:t>
            </w:r>
          </w:p>
        </w:tc>
      </w:tr>
      <w:tr w:rsidR="00184596">
        <w:trPr>
          <w:cantSplit/>
          <w:trHeight w:val="307"/>
          <w:jc w:val="center"/>
        </w:trPr>
        <w:tc>
          <w:tcPr>
            <w:tcW w:w="2928" w:type="pct"/>
            <w:gridSpan w:val="3"/>
            <w:tcBorders>
              <w:top w:val="dotted" w:sz="2" w:space="0" w:color="auto"/>
              <w:left w:val="dotted" w:sz="2" w:space="0" w:color="auto"/>
              <w:bottom w:val="thinThickThinSmallGap" w:sz="1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合计</w:t>
            </w:r>
          </w:p>
        </w:tc>
        <w:tc>
          <w:tcPr>
            <w:tcW w:w="1097" w:type="pct"/>
            <w:tcBorders>
              <w:top w:val="dotted" w:sz="2" w:space="0" w:color="auto"/>
              <w:left w:val="dotted" w:sz="2" w:space="0" w:color="auto"/>
              <w:bottom w:val="thinThickThinSmallGap" w:sz="1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24871.67 </w:t>
            </w:r>
          </w:p>
        </w:tc>
        <w:tc>
          <w:tcPr>
            <w:tcW w:w="974" w:type="pct"/>
            <w:tcBorders>
              <w:top w:val="dotted" w:sz="2" w:space="0" w:color="auto"/>
              <w:left w:val="dotted" w:sz="2" w:space="0" w:color="auto"/>
              <w:bottom w:val="thinThickThinSmallGap" w:sz="1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w:t>
            </w:r>
          </w:p>
        </w:tc>
      </w:tr>
    </w:tbl>
    <w:p w:rsidR="00184596" w:rsidRDefault="00FD048A">
      <w:pPr>
        <w:widowControl/>
        <w:adjustRightInd/>
        <w:spacing w:line="240" w:lineRule="auto"/>
        <w:ind w:firstLineChars="100" w:firstLine="180"/>
        <w:jc w:val="both"/>
        <w:textAlignment w:val="auto"/>
        <w:rPr>
          <w:rFonts w:ascii="Arial" w:eastAsia="华文细黑" w:hAnsi="Arial"/>
          <w:sz w:val="18"/>
        </w:rPr>
      </w:pPr>
      <w:r>
        <w:rPr>
          <w:rFonts w:ascii="Arial" w:eastAsia="华文细黑" w:hAnsi="Arial" w:hint="eastAsia"/>
          <w:sz w:val="18"/>
        </w:rPr>
        <w:t>单位：</w:t>
      </w:r>
      <w:r>
        <w:rPr>
          <w:rFonts w:ascii="Arial" w:eastAsia="华文细黑" w:hAnsi="Arial" w:cs="宋体" w:hint="eastAsia"/>
          <w:sz w:val="18"/>
          <w:szCs w:val="18"/>
        </w:rPr>
        <w:t>平方米、元</w:t>
      </w:r>
      <w:r>
        <w:rPr>
          <w:rFonts w:ascii="Arial" w:eastAsia="华文细黑" w:hAnsi="Arial" w:cs="宋体" w:hint="eastAsia"/>
          <w:sz w:val="18"/>
          <w:szCs w:val="18"/>
        </w:rPr>
        <w:t>/</w:t>
      </w:r>
      <w:r>
        <w:rPr>
          <w:rFonts w:ascii="Arial" w:eastAsia="华文细黑" w:hAnsi="Arial" w:cs="宋体" w:hint="eastAsia"/>
          <w:sz w:val="18"/>
          <w:szCs w:val="18"/>
        </w:rPr>
        <w:t>建筑</w:t>
      </w:r>
      <w:r>
        <w:rPr>
          <w:rFonts w:ascii="Arial" w:eastAsia="华文细黑" w:hAnsi="Arial" w:cs="宋体"/>
          <w:sz w:val="18"/>
          <w:szCs w:val="18"/>
        </w:rPr>
        <w:t>面积</w:t>
      </w:r>
      <w:r>
        <w:rPr>
          <w:rFonts w:ascii="Arial" w:eastAsia="华文细黑" w:hAnsi="Arial" w:cs="宋体" w:hint="eastAsia"/>
          <w:sz w:val="18"/>
          <w:szCs w:val="18"/>
        </w:rPr>
        <w:t>平方米·天</w:t>
      </w:r>
      <w:r>
        <w:rPr>
          <w:rFonts w:ascii="Arial" w:eastAsia="华文细黑" w:hAnsi="Arial" w:hint="eastAsia"/>
          <w:sz w:val="18"/>
        </w:rPr>
        <w:t>（币种：人民币）</w:t>
      </w:r>
    </w:p>
    <w:p w:rsidR="00184596" w:rsidRDefault="00FD048A">
      <w:pPr>
        <w:widowControl/>
        <w:adjustRightInd/>
        <w:spacing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备注：因市场情况复杂，实际签订价格将受交易双方对项目心理预期的影响，会在估价结果的基础上出现一定范围内的上下浮动。</w:t>
      </w:r>
    </w:p>
    <w:p w:rsidR="00184596" w:rsidRDefault="00184596">
      <w:pPr>
        <w:wordWrap w:val="0"/>
        <w:overflowPunct w:val="0"/>
        <w:spacing w:line="480" w:lineRule="auto"/>
        <w:ind w:firstLineChars="200" w:firstLine="420"/>
        <w:jc w:val="both"/>
        <w:textAlignment w:val="auto"/>
        <w:rPr>
          <w:rFonts w:ascii="Arial" w:hAnsi="Arial" w:cs="Arial"/>
          <w:sz w:val="21"/>
          <w:szCs w:val="21"/>
        </w:rPr>
      </w:pPr>
    </w:p>
    <w:p w:rsidR="00184596" w:rsidRDefault="00184596">
      <w:pPr>
        <w:spacing w:line="360" w:lineRule="auto"/>
        <w:jc w:val="both"/>
        <w:rPr>
          <w:rFonts w:ascii="Arial" w:eastAsia="楷体_GB2312" w:hAnsi="Arial" w:cs="Arial"/>
          <w:sz w:val="28"/>
        </w:rPr>
        <w:sectPr w:rsidR="00184596">
          <w:footerReference w:type="default" r:id="rId28"/>
          <w:pgSz w:w="11907" w:h="16840"/>
          <w:pgMar w:top="1843" w:right="1304" w:bottom="1134" w:left="1304" w:header="1134" w:footer="907" w:gutter="0"/>
          <w:cols w:space="720"/>
          <w:docGrid w:linePitch="326"/>
        </w:sectPr>
      </w:pPr>
    </w:p>
    <w:p w:rsidR="00184596" w:rsidRDefault="00184596">
      <w:pPr>
        <w:spacing w:line="240" w:lineRule="auto"/>
        <w:jc w:val="center"/>
        <w:rPr>
          <w:rFonts w:ascii="Arial" w:eastAsia="方正黑体简体" w:hAnsi="Arial"/>
          <w:szCs w:val="24"/>
        </w:rPr>
      </w:pPr>
    </w:p>
    <w:p w:rsidR="00184596" w:rsidRDefault="00FD048A">
      <w:pPr>
        <w:pStyle w:val="2"/>
        <w:numPr>
          <w:ilvl w:val="0"/>
          <w:numId w:val="0"/>
        </w:numPr>
        <w:overflowPunct w:val="0"/>
        <w:spacing w:line="480" w:lineRule="auto"/>
        <w:jc w:val="both"/>
        <w:textAlignment w:val="auto"/>
        <w:rPr>
          <w:rFonts w:eastAsia="宋体"/>
          <w:kern w:val="2"/>
          <w:sz w:val="21"/>
          <w:szCs w:val="21"/>
        </w:rPr>
      </w:pPr>
      <w:bookmarkStart w:id="42" w:name="_Toc168225824"/>
      <w:bookmarkStart w:id="43" w:name="_Toc477252451"/>
      <w:r>
        <w:rPr>
          <w:rFonts w:eastAsia="宋体"/>
          <w:kern w:val="2"/>
          <w:sz w:val="21"/>
          <w:szCs w:val="21"/>
        </w:rPr>
        <w:t>十</w:t>
      </w:r>
      <w:bookmarkEnd w:id="42"/>
      <w:r>
        <w:rPr>
          <w:rFonts w:eastAsia="宋体"/>
          <w:kern w:val="2"/>
          <w:sz w:val="21"/>
          <w:szCs w:val="21"/>
        </w:rPr>
        <w:t>一、</w:t>
      </w:r>
      <w:r>
        <w:rPr>
          <w:rFonts w:eastAsia="宋体" w:hint="eastAsia"/>
          <w:kern w:val="2"/>
          <w:sz w:val="21"/>
          <w:szCs w:val="21"/>
        </w:rPr>
        <w:t>评估专业</w:t>
      </w:r>
      <w:r>
        <w:rPr>
          <w:rFonts w:eastAsia="宋体"/>
          <w:kern w:val="2"/>
          <w:sz w:val="21"/>
          <w:szCs w:val="21"/>
        </w:rPr>
        <w:t>人员</w:t>
      </w:r>
      <w:bookmarkEnd w:id="43"/>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4A0" w:firstRow="1" w:lastRow="0" w:firstColumn="1" w:lastColumn="0" w:noHBand="0" w:noVBand="1"/>
      </w:tblPr>
      <w:tblGrid>
        <w:gridCol w:w="1746"/>
        <w:gridCol w:w="2197"/>
        <w:gridCol w:w="2774"/>
        <w:gridCol w:w="2582"/>
      </w:tblGrid>
      <w:tr w:rsidR="00184596">
        <w:trPr>
          <w:cantSplit/>
          <w:trHeight w:hRule="exact" w:val="454"/>
          <w:jc w:val="center"/>
        </w:trPr>
        <w:tc>
          <w:tcPr>
            <w:tcW w:w="9027" w:type="dxa"/>
            <w:gridSpan w:val="4"/>
            <w:vAlign w:val="center"/>
          </w:tcPr>
          <w:p w:rsidR="00184596" w:rsidRDefault="00FD048A">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184596">
        <w:trPr>
          <w:cantSplit/>
          <w:trHeight w:hRule="exact" w:val="454"/>
          <w:jc w:val="center"/>
        </w:trPr>
        <w:tc>
          <w:tcPr>
            <w:tcW w:w="1695" w:type="dxa"/>
            <w:vAlign w:val="center"/>
          </w:tcPr>
          <w:p w:rsidR="00184596" w:rsidRDefault="00FD048A">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33" w:type="dxa"/>
            <w:vAlign w:val="center"/>
          </w:tcPr>
          <w:p w:rsidR="00184596" w:rsidRDefault="00FD048A">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693" w:type="dxa"/>
            <w:vAlign w:val="center"/>
          </w:tcPr>
          <w:p w:rsidR="00184596" w:rsidRDefault="00FD048A">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06" w:type="dxa"/>
            <w:vAlign w:val="center"/>
          </w:tcPr>
          <w:p w:rsidR="00184596" w:rsidRDefault="00FD048A">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184596">
        <w:trPr>
          <w:cantSplit/>
          <w:trHeight w:hRule="exact" w:val="1134"/>
          <w:jc w:val="center"/>
        </w:trPr>
        <w:tc>
          <w:tcPr>
            <w:tcW w:w="1695" w:type="dxa"/>
            <w:vAlign w:val="center"/>
          </w:tcPr>
          <w:p w:rsidR="00184596" w:rsidRDefault="00FD048A">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常</w:t>
            </w:r>
            <w:r>
              <w:rPr>
                <w:rFonts w:ascii="Arial" w:hAnsi="Arial" w:cs="Arial" w:hint="eastAsia"/>
                <w:color w:val="000000"/>
                <w:sz w:val="21"/>
                <w:szCs w:val="21"/>
              </w:rPr>
              <w:t xml:space="preserve">  </w:t>
            </w:r>
            <w:r>
              <w:rPr>
                <w:rFonts w:ascii="Arial" w:hAnsi="Arial" w:cs="Arial" w:hint="eastAsia"/>
                <w:color w:val="000000"/>
                <w:sz w:val="21"/>
                <w:szCs w:val="21"/>
              </w:rPr>
              <w:t>畅</w:t>
            </w:r>
          </w:p>
        </w:tc>
        <w:tc>
          <w:tcPr>
            <w:tcW w:w="2133" w:type="dxa"/>
            <w:vAlign w:val="center"/>
          </w:tcPr>
          <w:p w:rsidR="00184596" w:rsidRDefault="00FD048A">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1120250061</w:t>
            </w:r>
          </w:p>
        </w:tc>
        <w:tc>
          <w:tcPr>
            <w:tcW w:w="2693" w:type="dxa"/>
            <w:vAlign w:val="center"/>
          </w:tcPr>
          <w:p w:rsidR="00184596" w:rsidRDefault="00184596">
            <w:pPr>
              <w:tabs>
                <w:tab w:val="left" w:pos="5160"/>
              </w:tabs>
              <w:overflowPunct w:val="0"/>
              <w:spacing w:line="240" w:lineRule="exact"/>
              <w:rPr>
                <w:rFonts w:ascii="Arial" w:hAnsi="Arial" w:cs="Arial"/>
                <w:color w:val="000000"/>
                <w:sz w:val="21"/>
                <w:szCs w:val="21"/>
              </w:rPr>
            </w:pPr>
          </w:p>
        </w:tc>
        <w:tc>
          <w:tcPr>
            <w:tcW w:w="2506" w:type="dxa"/>
            <w:vAlign w:val="center"/>
          </w:tcPr>
          <w:p w:rsidR="00184596" w:rsidRDefault="00FD048A">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184596">
        <w:trPr>
          <w:cantSplit/>
          <w:trHeight w:hRule="exact" w:val="1134"/>
          <w:jc w:val="center"/>
        </w:trPr>
        <w:tc>
          <w:tcPr>
            <w:tcW w:w="1695" w:type="dxa"/>
            <w:vAlign w:val="center"/>
          </w:tcPr>
          <w:p w:rsidR="00184596" w:rsidRDefault="00FD048A">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33" w:type="dxa"/>
            <w:vAlign w:val="center"/>
          </w:tcPr>
          <w:p w:rsidR="00184596" w:rsidRDefault="00FD048A">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693" w:type="dxa"/>
            <w:vAlign w:val="center"/>
          </w:tcPr>
          <w:p w:rsidR="00184596" w:rsidRDefault="00184596">
            <w:pPr>
              <w:tabs>
                <w:tab w:val="left" w:pos="5160"/>
              </w:tabs>
              <w:overflowPunct w:val="0"/>
              <w:spacing w:line="240" w:lineRule="exact"/>
              <w:rPr>
                <w:rFonts w:ascii="Arial" w:hAnsi="Arial" w:cs="Arial"/>
                <w:color w:val="000000"/>
                <w:sz w:val="21"/>
                <w:szCs w:val="21"/>
              </w:rPr>
            </w:pPr>
          </w:p>
        </w:tc>
        <w:tc>
          <w:tcPr>
            <w:tcW w:w="2506" w:type="dxa"/>
            <w:vAlign w:val="center"/>
          </w:tcPr>
          <w:p w:rsidR="00184596" w:rsidRDefault="00FD048A">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184596">
        <w:trPr>
          <w:cantSplit/>
          <w:trHeight w:hRule="exact" w:val="454"/>
          <w:jc w:val="center"/>
        </w:trPr>
        <w:tc>
          <w:tcPr>
            <w:tcW w:w="9027" w:type="dxa"/>
            <w:gridSpan w:val="4"/>
            <w:vAlign w:val="center"/>
          </w:tcPr>
          <w:p w:rsidR="00184596" w:rsidRDefault="00FD048A">
            <w:pPr>
              <w:tabs>
                <w:tab w:val="left" w:pos="5160"/>
              </w:tabs>
              <w:overflowPunct w:val="0"/>
              <w:spacing w:line="240" w:lineRule="exact"/>
              <w:rPr>
                <w:rFonts w:ascii="Arial" w:hAnsi="Arial" w:cs="Arial"/>
                <w:b/>
                <w:color w:val="000000"/>
                <w:kern w:val="2"/>
                <w:sz w:val="21"/>
                <w:szCs w:val="21"/>
              </w:rPr>
            </w:pPr>
            <w:r>
              <w:rPr>
                <w:rFonts w:ascii="Arial" w:hAnsi="Arial" w:cs="Arial" w:hint="eastAsia"/>
                <w:b/>
                <w:color w:val="000000"/>
                <w:kern w:val="2"/>
                <w:sz w:val="21"/>
                <w:szCs w:val="21"/>
              </w:rPr>
              <w:t>其他评估专业</w:t>
            </w:r>
            <w:r>
              <w:rPr>
                <w:rFonts w:ascii="Arial" w:hAnsi="Arial" w:cs="Arial"/>
                <w:b/>
                <w:color w:val="000000"/>
                <w:kern w:val="2"/>
                <w:sz w:val="21"/>
                <w:szCs w:val="21"/>
              </w:rPr>
              <w:t>人员</w:t>
            </w:r>
            <w:r>
              <w:rPr>
                <w:rFonts w:ascii="Arial" w:hAnsi="Arial" w:cs="Arial" w:hint="eastAsia"/>
                <w:b/>
                <w:color w:val="000000"/>
                <w:kern w:val="2"/>
                <w:sz w:val="21"/>
                <w:szCs w:val="21"/>
              </w:rPr>
              <w:t xml:space="preserve"> </w:t>
            </w:r>
          </w:p>
        </w:tc>
      </w:tr>
      <w:tr w:rsidR="00184596">
        <w:trPr>
          <w:cantSplit/>
          <w:trHeight w:hRule="exact" w:val="454"/>
          <w:jc w:val="center"/>
        </w:trPr>
        <w:tc>
          <w:tcPr>
            <w:tcW w:w="1695" w:type="dxa"/>
            <w:vAlign w:val="center"/>
          </w:tcPr>
          <w:p w:rsidR="00184596" w:rsidRDefault="00FD048A">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33" w:type="dxa"/>
            <w:vAlign w:val="center"/>
          </w:tcPr>
          <w:p w:rsidR="00184596" w:rsidRDefault="00FD048A">
            <w:pPr>
              <w:tabs>
                <w:tab w:val="left" w:pos="5160"/>
              </w:tabs>
              <w:overflowPunct w:val="0"/>
              <w:spacing w:line="240" w:lineRule="exact"/>
              <w:rPr>
                <w:rFonts w:ascii="Arial" w:hAnsi="Arial" w:cs="Arial"/>
                <w:color w:val="000000"/>
                <w:sz w:val="21"/>
                <w:szCs w:val="21"/>
              </w:rPr>
            </w:pPr>
            <w:r>
              <w:rPr>
                <w:rFonts w:ascii="Arial" w:hAnsi="Arial" w:cs="Arial"/>
                <w:color w:val="000000"/>
                <w:kern w:val="2"/>
                <w:sz w:val="21"/>
                <w:szCs w:val="21"/>
              </w:rPr>
              <w:t>相关资格或职称</w:t>
            </w:r>
          </w:p>
        </w:tc>
        <w:tc>
          <w:tcPr>
            <w:tcW w:w="2693" w:type="dxa"/>
            <w:vAlign w:val="center"/>
          </w:tcPr>
          <w:p w:rsidR="00184596" w:rsidRDefault="00FD048A">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06" w:type="dxa"/>
            <w:vAlign w:val="center"/>
          </w:tcPr>
          <w:p w:rsidR="00184596" w:rsidRDefault="00FD048A">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184596">
        <w:trPr>
          <w:cantSplit/>
          <w:trHeight w:hRule="exact" w:val="1134"/>
          <w:jc w:val="center"/>
        </w:trPr>
        <w:tc>
          <w:tcPr>
            <w:tcW w:w="1695" w:type="dxa"/>
            <w:vAlign w:val="center"/>
          </w:tcPr>
          <w:p w:rsidR="00184596" w:rsidRDefault="00FD048A">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李诗霖</w:t>
            </w:r>
          </w:p>
        </w:tc>
        <w:tc>
          <w:tcPr>
            <w:tcW w:w="2133" w:type="dxa"/>
            <w:vAlign w:val="center"/>
          </w:tcPr>
          <w:p w:rsidR="00184596" w:rsidRDefault="00FD048A">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w:t>
            </w:r>
          </w:p>
        </w:tc>
        <w:tc>
          <w:tcPr>
            <w:tcW w:w="2693" w:type="dxa"/>
            <w:vAlign w:val="center"/>
          </w:tcPr>
          <w:p w:rsidR="00184596" w:rsidRDefault="00184596">
            <w:pPr>
              <w:tabs>
                <w:tab w:val="left" w:pos="5160"/>
              </w:tabs>
              <w:overflowPunct w:val="0"/>
              <w:spacing w:line="240" w:lineRule="exact"/>
              <w:rPr>
                <w:rFonts w:ascii="Arial" w:hAnsi="Arial" w:cs="Arial"/>
                <w:color w:val="000000"/>
                <w:sz w:val="21"/>
                <w:szCs w:val="21"/>
              </w:rPr>
            </w:pPr>
          </w:p>
        </w:tc>
        <w:tc>
          <w:tcPr>
            <w:tcW w:w="2506" w:type="dxa"/>
            <w:vAlign w:val="center"/>
          </w:tcPr>
          <w:p w:rsidR="00184596" w:rsidRDefault="00FD048A">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rsidR="00184596" w:rsidRDefault="00184596">
      <w:pPr>
        <w:overflowPunct w:val="0"/>
        <w:spacing w:line="480" w:lineRule="auto"/>
        <w:jc w:val="both"/>
        <w:textAlignment w:val="auto"/>
        <w:rPr>
          <w:rFonts w:ascii="Arial" w:hAnsi="Arial" w:cs="Arial"/>
          <w:kern w:val="2"/>
          <w:sz w:val="21"/>
          <w:szCs w:val="21"/>
        </w:rPr>
      </w:pPr>
    </w:p>
    <w:p w:rsidR="00184596" w:rsidRDefault="00FD048A">
      <w:pPr>
        <w:pStyle w:val="2"/>
        <w:numPr>
          <w:ilvl w:val="0"/>
          <w:numId w:val="0"/>
        </w:numPr>
        <w:overflowPunct w:val="0"/>
        <w:spacing w:line="480" w:lineRule="auto"/>
        <w:jc w:val="both"/>
        <w:textAlignment w:val="auto"/>
        <w:rPr>
          <w:rFonts w:eastAsia="宋体"/>
          <w:kern w:val="2"/>
          <w:sz w:val="21"/>
          <w:szCs w:val="21"/>
        </w:rPr>
      </w:pPr>
      <w:bookmarkStart w:id="44" w:name="_Toc477252452"/>
      <w:r>
        <w:rPr>
          <w:rFonts w:eastAsia="宋体"/>
          <w:kern w:val="2"/>
          <w:sz w:val="21"/>
          <w:szCs w:val="21"/>
        </w:rPr>
        <w:t>十二、实地查勘期</w:t>
      </w:r>
      <w:bookmarkEnd w:id="44"/>
    </w:p>
    <w:p w:rsidR="00184596" w:rsidRDefault="00FD048A">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p>
    <w:p w:rsidR="00184596" w:rsidRDefault="00184596">
      <w:pPr>
        <w:overflowPunct w:val="0"/>
        <w:spacing w:line="480" w:lineRule="auto"/>
        <w:jc w:val="both"/>
        <w:textAlignment w:val="auto"/>
        <w:rPr>
          <w:rFonts w:ascii="Arial" w:hAnsi="Arial" w:cs="Arial"/>
          <w:kern w:val="2"/>
          <w:sz w:val="21"/>
          <w:szCs w:val="21"/>
        </w:rPr>
      </w:pPr>
    </w:p>
    <w:p w:rsidR="00184596" w:rsidRDefault="00FD048A">
      <w:pPr>
        <w:pStyle w:val="2"/>
        <w:numPr>
          <w:ilvl w:val="0"/>
          <w:numId w:val="0"/>
        </w:numPr>
        <w:overflowPunct w:val="0"/>
        <w:spacing w:line="480" w:lineRule="auto"/>
        <w:jc w:val="both"/>
        <w:textAlignment w:val="auto"/>
        <w:rPr>
          <w:rFonts w:eastAsia="宋体"/>
          <w:kern w:val="2"/>
          <w:sz w:val="21"/>
          <w:szCs w:val="21"/>
        </w:rPr>
      </w:pPr>
      <w:bookmarkStart w:id="45" w:name="_Toc168225825"/>
      <w:bookmarkStart w:id="46" w:name="_Toc477252453"/>
      <w:r>
        <w:rPr>
          <w:rFonts w:eastAsia="宋体"/>
          <w:kern w:val="2"/>
          <w:sz w:val="21"/>
          <w:szCs w:val="21"/>
        </w:rPr>
        <w:t>十三、估价作业期</w:t>
      </w:r>
      <w:bookmarkEnd w:id="45"/>
      <w:bookmarkEnd w:id="46"/>
      <w:r>
        <w:rPr>
          <w:rFonts w:eastAsia="宋体" w:hint="eastAsia"/>
          <w:kern w:val="2"/>
          <w:sz w:val="21"/>
          <w:szCs w:val="21"/>
        </w:rPr>
        <w:t xml:space="preserve">  </w:t>
      </w:r>
    </w:p>
    <w:p w:rsidR="00184596" w:rsidRDefault="00FD048A">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sz w:val="21"/>
          <w:szCs w:val="21"/>
        </w:rPr>
        <w:t>至</w:t>
      </w:r>
      <w:r>
        <w:rPr>
          <w:rFonts w:ascii="Arial" w:hAnsi="Arial" w:cs="Arial"/>
          <w:sz w:val="21"/>
          <w:szCs w:val="21"/>
        </w:rPr>
        <w:t>20</w:t>
      </w:r>
      <w:r>
        <w:rPr>
          <w:rFonts w:ascii="Arial" w:hAnsi="Arial" w:cs="Arial" w:hint="eastAsia"/>
          <w:sz w:val="21"/>
          <w:szCs w:val="21"/>
        </w:rPr>
        <w:t>26</w:t>
      </w:r>
      <w:r>
        <w:rPr>
          <w:rFonts w:ascii="Arial" w:hAnsi="Arial" w:cs="Arial"/>
          <w:sz w:val="21"/>
          <w:szCs w:val="21"/>
        </w:rPr>
        <w:t>年</w:t>
      </w:r>
      <w:r>
        <w:rPr>
          <w:rFonts w:ascii="Arial" w:hAnsi="Arial" w:cs="Arial" w:hint="eastAsia"/>
          <w:sz w:val="21"/>
          <w:szCs w:val="21"/>
        </w:rPr>
        <w:t>1</w:t>
      </w:r>
      <w:r>
        <w:rPr>
          <w:rFonts w:ascii="Arial" w:hAnsi="Arial" w:cs="Arial"/>
          <w:sz w:val="21"/>
          <w:szCs w:val="21"/>
        </w:rPr>
        <w:t>月</w:t>
      </w:r>
      <w:r>
        <w:rPr>
          <w:rFonts w:ascii="Arial" w:hAnsi="Arial" w:cs="Arial" w:hint="eastAsia"/>
          <w:sz w:val="21"/>
          <w:szCs w:val="21"/>
        </w:rPr>
        <w:t>30</w:t>
      </w:r>
      <w:r>
        <w:rPr>
          <w:rFonts w:ascii="Arial" w:hAnsi="Arial" w:cs="Arial"/>
          <w:sz w:val="21"/>
          <w:szCs w:val="21"/>
        </w:rPr>
        <w:t>日</w:t>
      </w:r>
    </w:p>
    <w:p w:rsidR="00184596" w:rsidRDefault="00184596">
      <w:pPr>
        <w:overflowPunct w:val="0"/>
        <w:spacing w:line="480" w:lineRule="auto"/>
        <w:jc w:val="both"/>
        <w:textAlignment w:val="auto"/>
        <w:outlineLvl w:val="0"/>
        <w:rPr>
          <w:rFonts w:ascii="Arial" w:hAnsi="Arial" w:cs="Arial"/>
          <w:b/>
          <w:kern w:val="2"/>
          <w:sz w:val="21"/>
          <w:szCs w:val="21"/>
        </w:rPr>
        <w:sectPr w:rsidR="00184596">
          <w:headerReference w:type="default" r:id="rId29"/>
          <w:footerReference w:type="even" r:id="rId30"/>
          <w:footerReference w:type="default" r:id="rId31"/>
          <w:pgSz w:w="11907" w:h="16840"/>
          <w:pgMar w:top="1843" w:right="1304" w:bottom="1134" w:left="1304" w:header="1134" w:footer="907" w:gutter="0"/>
          <w:cols w:space="720"/>
          <w:docGrid w:linePitch="326"/>
        </w:sectPr>
      </w:pPr>
    </w:p>
    <w:p w:rsidR="00184596" w:rsidRDefault="00FD048A">
      <w:pPr>
        <w:pStyle w:val="1"/>
        <w:spacing w:line="480" w:lineRule="auto"/>
        <w:jc w:val="center"/>
        <w:rPr>
          <w:rFonts w:eastAsia="方正黑体简体"/>
          <w:b w:val="0"/>
          <w:kern w:val="2"/>
          <w:sz w:val="32"/>
          <w:szCs w:val="32"/>
        </w:rPr>
      </w:pPr>
      <w:bookmarkStart w:id="47" w:name="_Toc477252454"/>
      <w:r>
        <w:rPr>
          <w:rFonts w:eastAsia="方正黑体简体" w:hint="eastAsia"/>
          <w:b w:val="0"/>
          <w:kern w:val="2"/>
          <w:sz w:val="32"/>
          <w:szCs w:val="32"/>
        </w:rPr>
        <w:lastRenderedPageBreak/>
        <w:t>估价技术报告</w:t>
      </w:r>
      <w:bookmarkEnd w:id="47"/>
    </w:p>
    <w:p w:rsidR="00184596" w:rsidRDefault="00FD048A">
      <w:pPr>
        <w:pStyle w:val="2"/>
        <w:numPr>
          <w:ilvl w:val="0"/>
          <w:numId w:val="0"/>
        </w:numPr>
        <w:spacing w:line="480" w:lineRule="auto"/>
        <w:ind w:left="358" w:hangingChars="170" w:hanging="358"/>
        <w:jc w:val="both"/>
        <w:rPr>
          <w:rFonts w:eastAsia="宋体"/>
          <w:kern w:val="2"/>
          <w:sz w:val="21"/>
          <w:szCs w:val="21"/>
        </w:rPr>
      </w:pPr>
      <w:bookmarkStart w:id="48" w:name="_Toc477252455"/>
      <w:r>
        <w:rPr>
          <w:rFonts w:eastAsia="宋体"/>
          <w:kern w:val="2"/>
          <w:sz w:val="21"/>
          <w:szCs w:val="21"/>
        </w:rPr>
        <w:t>一、估价对象描述与分析</w:t>
      </w:r>
      <w:bookmarkEnd w:id="48"/>
    </w:p>
    <w:p w:rsidR="00184596" w:rsidRDefault="00FD048A" w:rsidP="00FD048A">
      <w:pPr>
        <w:pStyle w:val="2"/>
        <w:numPr>
          <w:ilvl w:val="0"/>
          <w:numId w:val="0"/>
        </w:numPr>
        <w:spacing w:line="480" w:lineRule="auto"/>
        <w:ind w:left="360" w:hangingChars="171" w:hanging="360"/>
        <w:jc w:val="both"/>
        <w:rPr>
          <w:rFonts w:eastAsia="宋体"/>
          <w:kern w:val="2"/>
          <w:sz w:val="21"/>
          <w:szCs w:val="21"/>
        </w:rPr>
      </w:pPr>
      <w:bookmarkStart w:id="49" w:name="_Toc477252456"/>
      <w:r>
        <w:rPr>
          <w:rFonts w:eastAsia="宋体"/>
          <w:kern w:val="2"/>
          <w:sz w:val="21"/>
          <w:szCs w:val="21"/>
        </w:rPr>
        <w:t>（一）实物状况分析</w:t>
      </w:r>
      <w:bookmarkEnd w:id="49"/>
    </w:p>
    <w:p w:rsidR="00184596" w:rsidRDefault="00FD048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土地实物状况</w:t>
      </w:r>
    </w:p>
    <w:p w:rsidR="00184596" w:rsidRDefault="00FD048A">
      <w:pPr>
        <w:spacing w:line="480" w:lineRule="auto"/>
        <w:ind w:firstLineChars="200" w:firstLine="420"/>
        <w:jc w:val="both"/>
        <w:rPr>
          <w:rFonts w:ascii="Arial" w:hAnsi="Arial"/>
          <w:bCs/>
          <w:sz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土地面积：根据</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w:t>
      </w:r>
      <w:r>
        <w:rPr>
          <w:rFonts w:ascii="Arial" w:hAnsi="Arial" w:hint="eastAsia"/>
          <w:bCs/>
          <w:sz w:val="21"/>
        </w:rPr>
        <w:t>]</w:t>
      </w:r>
      <w:r>
        <w:rPr>
          <w:rFonts w:ascii="Arial" w:hAnsi="Arial" w:hint="eastAsia"/>
          <w:bCs/>
          <w:sz w:val="21"/>
        </w:rPr>
        <w:t>，估价对象所属房山区长于大街</w:t>
      </w:r>
      <w:r>
        <w:rPr>
          <w:rFonts w:ascii="Arial" w:hAnsi="Arial" w:hint="eastAsia"/>
          <w:bCs/>
          <w:sz w:val="21"/>
        </w:rPr>
        <w:t>28</w:t>
      </w:r>
      <w:r>
        <w:rPr>
          <w:rFonts w:ascii="Arial" w:hAnsi="Arial" w:hint="eastAsia"/>
          <w:bCs/>
          <w:sz w:val="21"/>
        </w:rPr>
        <w:t>号院</w:t>
      </w:r>
      <w:r>
        <w:rPr>
          <w:rFonts w:ascii="Arial" w:hAnsi="Arial" w:hint="eastAsia"/>
          <w:bCs/>
          <w:sz w:val="21"/>
        </w:rPr>
        <w:t>100</w:t>
      </w:r>
      <w:r>
        <w:rPr>
          <w:rFonts w:ascii="Arial" w:hAnsi="Arial" w:hint="eastAsia"/>
          <w:bCs/>
          <w:sz w:val="21"/>
        </w:rPr>
        <w:t>幢（</w:t>
      </w:r>
      <w:r>
        <w:rPr>
          <w:rFonts w:ascii="Arial" w:hAnsi="Arial" w:hint="eastAsia"/>
          <w:bCs/>
          <w:sz w:val="21"/>
        </w:rPr>
        <w:t>044</w:t>
      </w:r>
      <w:r>
        <w:rPr>
          <w:rFonts w:ascii="Arial" w:hAnsi="Arial" w:hint="eastAsia"/>
          <w:bCs/>
          <w:sz w:val="21"/>
        </w:rPr>
        <w:t>号地块）共有宗地面积</w:t>
      </w:r>
      <w:r>
        <w:rPr>
          <w:rFonts w:ascii="Arial" w:hAnsi="Arial" w:hint="eastAsia"/>
          <w:bCs/>
          <w:sz w:val="21"/>
        </w:rPr>
        <w:t>24641.28</w:t>
      </w:r>
      <w:r>
        <w:rPr>
          <w:rFonts w:ascii="Arial" w:hAnsi="Arial" w:hint="eastAsia"/>
          <w:bCs/>
          <w:sz w:val="21"/>
        </w:rPr>
        <w:t>平方米，用途为商业，土地使用期限自</w:t>
      </w:r>
      <w:r>
        <w:rPr>
          <w:rFonts w:ascii="Arial" w:hAnsi="Arial" w:hint="eastAsia"/>
          <w:bCs/>
          <w:sz w:val="21"/>
        </w:rPr>
        <w:t>2016</w:t>
      </w:r>
      <w:r>
        <w:rPr>
          <w:rFonts w:ascii="Arial" w:hAnsi="Arial" w:hint="eastAsia"/>
          <w:bCs/>
          <w:sz w:val="21"/>
        </w:rPr>
        <w:t>年</w:t>
      </w:r>
      <w:r>
        <w:rPr>
          <w:rFonts w:ascii="Arial" w:hAnsi="Arial" w:hint="eastAsia"/>
          <w:bCs/>
          <w:sz w:val="21"/>
        </w:rPr>
        <w:t>12</w:t>
      </w:r>
      <w:r>
        <w:rPr>
          <w:rFonts w:ascii="Arial" w:hAnsi="Arial" w:hint="eastAsia"/>
          <w:bCs/>
          <w:sz w:val="21"/>
        </w:rPr>
        <w:t>月</w:t>
      </w:r>
      <w:r>
        <w:rPr>
          <w:rFonts w:ascii="Arial" w:hAnsi="Arial" w:hint="eastAsia"/>
          <w:bCs/>
          <w:sz w:val="21"/>
        </w:rPr>
        <w:t>26</w:t>
      </w:r>
      <w:r>
        <w:rPr>
          <w:rFonts w:ascii="Arial" w:hAnsi="Arial" w:hint="eastAsia"/>
          <w:bCs/>
          <w:sz w:val="21"/>
        </w:rPr>
        <w:t>日起至</w:t>
      </w:r>
      <w:r>
        <w:rPr>
          <w:rFonts w:ascii="Arial" w:hAnsi="Arial" w:hint="eastAsia"/>
          <w:bCs/>
          <w:sz w:val="21"/>
        </w:rPr>
        <w:t>2056</w:t>
      </w:r>
      <w:r>
        <w:rPr>
          <w:rFonts w:ascii="Arial" w:hAnsi="Arial" w:hint="eastAsia"/>
          <w:bCs/>
          <w:sz w:val="21"/>
        </w:rPr>
        <w:t>年</w:t>
      </w:r>
      <w:r>
        <w:rPr>
          <w:rFonts w:ascii="Arial" w:hAnsi="Arial" w:hint="eastAsia"/>
          <w:bCs/>
          <w:sz w:val="21"/>
        </w:rPr>
        <w:t>12</w:t>
      </w:r>
      <w:r>
        <w:rPr>
          <w:rFonts w:ascii="Arial" w:hAnsi="Arial" w:hint="eastAsia"/>
          <w:bCs/>
          <w:sz w:val="21"/>
        </w:rPr>
        <w:t>月</w:t>
      </w:r>
      <w:r>
        <w:rPr>
          <w:rFonts w:ascii="Arial" w:hAnsi="Arial" w:hint="eastAsia"/>
          <w:bCs/>
          <w:sz w:val="21"/>
        </w:rPr>
        <w:t>25</w:t>
      </w:r>
      <w:r>
        <w:rPr>
          <w:rFonts w:ascii="Arial" w:hAnsi="Arial" w:hint="eastAsia"/>
          <w:bCs/>
          <w:sz w:val="21"/>
        </w:rPr>
        <w:t>日止。</w:t>
      </w:r>
    </w:p>
    <w:p w:rsidR="00184596" w:rsidRDefault="00FD048A">
      <w:pPr>
        <w:spacing w:line="480" w:lineRule="auto"/>
        <w:ind w:firstLineChars="200" w:firstLine="420"/>
        <w:jc w:val="both"/>
        <w:rPr>
          <w:rFonts w:ascii="Arial" w:hAnsi="Arial"/>
          <w:bCs/>
          <w:sz w:val="21"/>
        </w:rPr>
      </w:pPr>
      <w:r>
        <w:rPr>
          <w:rFonts w:ascii="Arial" w:hAnsi="Arial" w:cs="Arial"/>
          <w:sz w:val="21"/>
          <w:szCs w:val="21"/>
        </w:rPr>
        <w:t>根据</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，估价对象所属房山区阜盛西街</w:t>
      </w:r>
      <w:r>
        <w:rPr>
          <w:rFonts w:ascii="Arial" w:hAnsi="Arial" w:hint="eastAsia"/>
          <w:bCs/>
          <w:sz w:val="21"/>
        </w:rPr>
        <w:t>11</w:t>
      </w:r>
      <w:r>
        <w:rPr>
          <w:rFonts w:ascii="Arial" w:hAnsi="Arial" w:hint="eastAsia"/>
          <w:bCs/>
          <w:sz w:val="21"/>
        </w:rPr>
        <w:t>号院</w:t>
      </w:r>
      <w:r>
        <w:rPr>
          <w:rFonts w:ascii="Arial" w:hAnsi="Arial" w:hint="eastAsia"/>
          <w:bCs/>
          <w:sz w:val="21"/>
        </w:rPr>
        <w:t>3</w:t>
      </w:r>
      <w:r>
        <w:rPr>
          <w:rFonts w:ascii="Arial" w:hAnsi="Arial" w:hint="eastAsia"/>
          <w:bCs/>
          <w:sz w:val="21"/>
        </w:rPr>
        <w:t>、</w:t>
      </w:r>
      <w:r>
        <w:rPr>
          <w:rFonts w:ascii="Arial" w:hAnsi="Arial" w:hint="eastAsia"/>
          <w:bCs/>
          <w:sz w:val="21"/>
        </w:rPr>
        <w:t>6</w:t>
      </w:r>
      <w:r>
        <w:rPr>
          <w:rFonts w:ascii="Arial" w:hAnsi="Arial" w:hint="eastAsia"/>
          <w:bCs/>
          <w:sz w:val="21"/>
        </w:rPr>
        <w:t>号楼（</w:t>
      </w:r>
      <w:r>
        <w:rPr>
          <w:rFonts w:ascii="Arial" w:hAnsi="Arial" w:hint="eastAsia"/>
          <w:bCs/>
          <w:sz w:val="21"/>
        </w:rPr>
        <w:t>042</w:t>
      </w:r>
      <w:r>
        <w:rPr>
          <w:rFonts w:ascii="Arial" w:hAnsi="Arial" w:hint="eastAsia"/>
          <w:bCs/>
          <w:sz w:val="21"/>
        </w:rPr>
        <w:t>号地块）共有宗地面积</w:t>
      </w:r>
      <w:r>
        <w:rPr>
          <w:rFonts w:ascii="Arial" w:hAnsi="Arial" w:hint="eastAsia"/>
          <w:bCs/>
          <w:sz w:val="21"/>
        </w:rPr>
        <w:t>28738.33</w:t>
      </w:r>
      <w:r>
        <w:rPr>
          <w:rFonts w:ascii="Arial" w:hAnsi="Arial" w:hint="eastAsia"/>
          <w:bCs/>
          <w:sz w:val="21"/>
        </w:rPr>
        <w:t>平方米，用途为商业，土地使用期限自</w:t>
      </w:r>
      <w:r>
        <w:rPr>
          <w:rFonts w:ascii="Arial" w:hAnsi="Arial" w:hint="eastAsia"/>
          <w:bCs/>
          <w:sz w:val="21"/>
        </w:rPr>
        <w:t>2016</w:t>
      </w:r>
      <w:r>
        <w:rPr>
          <w:rFonts w:ascii="Arial" w:hAnsi="Arial" w:hint="eastAsia"/>
          <w:bCs/>
          <w:sz w:val="21"/>
        </w:rPr>
        <w:t>年</w:t>
      </w:r>
      <w:r>
        <w:rPr>
          <w:rFonts w:ascii="Arial" w:hAnsi="Arial" w:hint="eastAsia"/>
          <w:bCs/>
          <w:sz w:val="21"/>
        </w:rPr>
        <w:t>12</w:t>
      </w:r>
      <w:r>
        <w:rPr>
          <w:rFonts w:ascii="Arial" w:hAnsi="Arial" w:hint="eastAsia"/>
          <w:bCs/>
          <w:sz w:val="21"/>
        </w:rPr>
        <w:t>月</w:t>
      </w:r>
      <w:r>
        <w:rPr>
          <w:rFonts w:ascii="Arial" w:hAnsi="Arial" w:hint="eastAsia"/>
          <w:bCs/>
          <w:sz w:val="21"/>
        </w:rPr>
        <w:t>26</w:t>
      </w:r>
      <w:r>
        <w:rPr>
          <w:rFonts w:ascii="Arial" w:hAnsi="Arial" w:hint="eastAsia"/>
          <w:bCs/>
          <w:sz w:val="21"/>
        </w:rPr>
        <w:t>日起至</w:t>
      </w:r>
      <w:r>
        <w:rPr>
          <w:rFonts w:ascii="Arial" w:hAnsi="Arial" w:hint="eastAsia"/>
          <w:bCs/>
          <w:sz w:val="21"/>
        </w:rPr>
        <w:t>2056</w:t>
      </w:r>
      <w:r>
        <w:rPr>
          <w:rFonts w:ascii="Arial" w:hAnsi="Arial" w:hint="eastAsia"/>
          <w:bCs/>
          <w:sz w:val="21"/>
        </w:rPr>
        <w:t>年</w:t>
      </w:r>
      <w:r>
        <w:rPr>
          <w:rFonts w:ascii="Arial" w:hAnsi="Arial" w:hint="eastAsia"/>
          <w:bCs/>
          <w:sz w:val="21"/>
        </w:rPr>
        <w:t>12</w:t>
      </w:r>
      <w:r>
        <w:rPr>
          <w:rFonts w:ascii="Arial" w:hAnsi="Arial" w:hint="eastAsia"/>
          <w:bCs/>
          <w:sz w:val="21"/>
        </w:rPr>
        <w:t>月</w:t>
      </w:r>
      <w:r>
        <w:rPr>
          <w:rFonts w:ascii="Arial" w:hAnsi="Arial" w:hint="eastAsia"/>
          <w:bCs/>
          <w:sz w:val="21"/>
        </w:rPr>
        <w:t>25</w:t>
      </w:r>
      <w:r>
        <w:rPr>
          <w:rFonts w:ascii="Arial" w:hAnsi="Arial" w:hint="eastAsia"/>
          <w:bCs/>
          <w:sz w:val="21"/>
        </w:rPr>
        <w:t>日止。</w:t>
      </w:r>
    </w:p>
    <w:p w:rsidR="00184596" w:rsidRDefault="00FD048A">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土地利用状况：</w:t>
      </w:r>
      <w:r>
        <w:rPr>
          <w:rFonts w:ascii="Arial" w:hAnsi="Arial" w:cs="Arial" w:hint="eastAsia"/>
          <w:sz w:val="21"/>
          <w:szCs w:val="21"/>
        </w:rPr>
        <w:t>估价对象</w:t>
      </w:r>
      <w:proofErr w:type="gramStart"/>
      <w:r>
        <w:rPr>
          <w:rFonts w:ascii="Arial" w:hAnsi="Arial" w:cs="Arial" w:hint="eastAsia"/>
          <w:sz w:val="21"/>
          <w:szCs w:val="21"/>
        </w:rPr>
        <w:t>属熙悦天</w:t>
      </w:r>
      <w:proofErr w:type="gramEnd"/>
      <w:r>
        <w:rPr>
          <w:rFonts w:ascii="Arial" w:hAnsi="Arial" w:cs="Arial" w:hint="eastAsia"/>
          <w:sz w:val="21"/>
          <w:szCs w:val="21"/>
        </w:rPr>
        <w:t>街项目，项目</w:t>
      </w:r>
      <w:r>
        <w:rPr>
          <w:rFonts w:ascii="Arial" w:hAnsi="Arial" w:cs="Arial"/>
          <w:sz w:val="21"/>
          <w:szCs w:val="21"/>
        </w:rPr>
        <w:t>现状已完成开发建设。项目用地呈近似规则形状，场地地势较平坦，水文状况良好，工程地质条件良好，无不良地质现象。估价对象</w:t>
      </w:r>
      <w:r>
        <w:rPr>
          <w:rFonts w:ascii="Arial" w:hAnsi="Arial" w:cs="Arial" w:hint="eastAsia"/>
          <w:sz w:val="21"/>
          <w:szCs w:val="21"/>
        </w:rPr>
        <w:t>所属项目紧邻长于大街</w:t>
      </w:r>
      <w:r>
        <w:rPr>
          <w:rFonts w:ascii="Arial" w:hAnsi="Arial" w:cs="Arial"/>
          <w:sz w:val="21"/>
          <w:szCs w:val="21"/>
        </w:rPr>
        <w:t>，宽度及深度比例</w:t>
      </w:r>
      <w:r>
        <w:rPr>
          <w:rFonts w:ascii="Arial" w:hAnsi="Arial" w:cs="Arial" w:hint="eastAsia"/>
          <w:sz w:val="21"/>
          <w:szCs w:val="21"/>
        </w:rPr>
        <w:t>较适宜</w:t>
      </w:r>
      <w:r>
        <w:rPr>
          <w:rFonts w:ascii="Arial" w:hAnsi="Arial" w:cs="Arial"/>
          <w:sz w:val="21"/>
          <w:szCs w:val="21"/>
        </w:rPr>
        <w:t>。综上，该</w:t>
      </w:r>
      <w:r>
        <w:rPr>
          <w:rFonts w:ascii="Arial" w:hAnsi="Arial" w:cs="Arial" w:hint="eastAsia"/>
          <w:sz w:val="21"/>
          <w:szCs w:val="21"/>
        </w:rPr>
        <w:t>项目</w:t>
      </w:r>
      <w:r>
        <w:rPr>
          <w:rFonts w:ascii="Arial" w:hAnsi="Arial" w:cs="Arial"/>
          <w:sz w:val="21"/>
          <w:szCs w:val="21"/>
        </w:rPr>
        <w:t>土地利用程度较好。</w:t>
      </w:r>
    </w:p>
    <w:p w:rsidR="00184596" w:rsidRDefault="00FD048A">
      <w:pPr>
        <w:spacing w:line="480" w:lineRule="auto"/>
        <w:ind w:right="205"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土地开发程度：估价对象现状市政基础设施达</w:t>
      </w:r>
      <w:r>
        <w:rPr>
          <w:rFonts w:ascii="Arial" w:hAnsi="Arial" w:hint="eastAsia"/>
          <w:sz w:val="21"/>
          <w:szCs w:val="21"/>
        </w:rPr>
        <w:t>“六通”（即通路、通电、通讯、通上水、通下水、通燃气）</w:t>
      </w:r>
      <w:r>
        <w:rPr>
          <w:rFonts w:ascii="Arial" w:hAnsi="Arial" w:cs="Arial"/>
          <w:sz w:val="21"/>
          <w:szCs w:val="21"/>
        </w:rPr>
        <w:t>，保障程度较高。</w:t>
      </w:r>
    </w:p>
    <w:p w:rsidR="00184596" w:rsidRDefault="00FD048A">
      <w:pPr>
        <w:spacing w:line="480" w:lineRule="auto"/>
        <w:ind w:firstLineChars="200" w:firstLine="420"/>
        <w:jc w:val="both"/>
        <w:rPr>
          <w:rFonts w:ascii="Arial" w:hAnsi="Arial" w:cs="Arial"/>
          <w:sz w:val="21"/>
          <w:szCs w:val="21"/>
        </w:rPr>
      </w:pPr>
      <w:r>
        <w:rPr>
          <w:rFonts w:ascii="Arial" w:hAnsi="Arial" w:cs="Arial"/>
          <w:sz w:val="21"/>
          <w:szCs w:val="21"/>
        </w:rPr>
        <w:t>道路：城市主干道</w:t>
      </w:r>
      <w:r>
        <w:rPr>
          <w:rFonts w:ascii="Arial" w:hAnsi="Arial" w:cs="Arial"/>
          <w:sz w:val="21"/>
          <w:szCs w:val="21"/>
        </w:rPr>
        <w:t>——</w:t>
      </w:r>
      <w:r>
        <w:rPr>
          <w:rFonts w:ascii="Arial" w:hAnsi="Arial" w:cs="Arial" w:hint="eastAsia"/>
          <w:sz w:val="21"/>
          <w:szCs w:val="21"/>
        </w:rPr>
        <w:t>长于大街</w:t>
      </w:r>
      <w:r>
        <w:rPr>
          <w:rFonts w:ascii="Arial" w:hAnsi="Arial" w:cs="Arial"/>
          <w:sz w:val="21"/>
          <w:szCs w:val="21"/>
        </w:rPr>
        <w:t>；</w:t>
      </w:r>
    </w:p>
    <w:p w:rsidR="00184596" w:rsidRDefault="00FD048A">
      <w:pPr>
        <w:spacing w:line="480" w:lineRule="auto"/>
        <w:ind w:right="205" w:firstLineChars="200" w:firstLine="420"/>
        <w:jc w:val="both"/>
        <w:rPr>
          <w:rFonts w:ascii="Arial" w:hAnsi="Arial" w:cs="Arial"/>
          <w:sz w:val="21"/>
          <w:szCs w:val="21"/>
        </w:rPr>
      </w:pPr>
      <w:r>
        <w:rPr>
          <w:rFonts w:ascii="Arial" w:hAnsi="Arial" w:cs="Arial"/>
          <w:sz w:val="21"/>
          <w:szCs w:val="21"/>
        </w:rPr>
        <w:t>电力：市政供电；</w:t>
      </w:r>
    </w:p>
    <w:p w:rsidR="00184596" w:rsidRDefault="00FD048A">
      <w:pPr>
        <w:spacing w:line="480" w:lineRule="auto"/>
        <w:ind w:right="205" w:firstLineChars="200" w:firstLine="420"/>
        <w:jc w:val="both"/>
        <w:rPr>
          <w:rFonts w:ascii="Arial" w:hAnsi="Arial" w:cs="Arial"/>
          <w:sz w:val="21"/>
          <w:szCs w:val="21"/>
        </w:rPr>
      </w:pPr>
      <w:r>
        <w:rPr>
          <w:rFonts w:ascii="Arial" w:hAnsi="Arial" w:cs="Arial"/>
          <w:sz w:val="21"/>
          <w:szCs w:val="21"/>
        </w:rPr>
        <w:t>通讯：电话线入楼、有线电视入楼、宽带入楼；</w:t>
      </w:r>
    </w:p>
    <w:p w:rsidR="00184596" w:rsidRDefault="00FD048A">
      <w:pPr>
        <w:spacing w:line="480" w:lineRule="auto"/>
        <w:ind w:right="205" w:firstLineChars="200" w:firstLine="420"/>
        <w:jc w:val="both"/>
        <w:rPr>
          <w:rFonts w:ascii="Arial" w:hAnsi="Arial" w:cs="Arial"/>
          <w:sz w:val="21"/>
          <w:szCs w:val="21"/>
        </w:rPr>
      </w:pPr>
      <w:r>
        <w:rPr>
          <w:rFonts w:ascii="Arial" w:hAnsi="Arial" w:cs="Arial"/>
          <w:sz w:val="21"/>
          <w:szCs w:val="21"/>
        </w:rPr>
        <w:t>上水：市政管网供水；</w:t>
      </w:r>
    </w:p>
    <w:p w:rsidR="00184596" w:rsidRDefault="00FD048A">
      <w:pPr>
        <w:spacing w:line="480" w:lineRule="auto"/>
        <w:ind w:right="205" w:firstLineChars="200" w:firstLine="420"/>
        <w:jc w:val="both"/>
        <w:rPr>
          <w:rFonts w:ascii="Arial" w:hAnsi="Arial" w:cs="Arial"/>
          <w:sz w:val="21"/>
          <w:szCs w:val="21"/>
        </w:rPr>
      </w:pPr>
      <w:r>
        <w:rPr>
          <w:rFonts w:ascii="Arial" w:hAnsi="Arial" w:cs="Arial"/>
          <w:sz w:val="21"/>
          <w:szCs w:val="21"/>
        </w:rPr>
        <w:t>下水：市政管网排水；</w:t>
      </w:r>
    </w:p>
    <w:p w:rsidR="00184596" w:rsidRDefault="00FD048A">
      <w:pPr>
        <w:spacing w:line="480" w:lineRule="auto"/>
        <w:ind w:right="205" w:firstLineChars="200" w:firstLine="420"/>
        <w:jc w:val="both"/>
        <w:rPr>
          <w:rFonts w:ascii="Arial" w:hAnsi="Arial" w:cs="Arial"/>
          <w:sz w:val="21"/>
          <w:szCs w:val="21"/>
        </w:rPr>
      </w:pPr>
      <w:r>
        <w:rPr>
          <w:rFonts w:ascii="Arial" w:hAnsi="Arial" w:cs="Arial"/>
          <w:sz w:val="21"/>
          <w:szCs w:val="21"/>
        </w:rPr>
        <w:t>天然气：管道天然气；</w:t>
      </w:r>
    </w:p>
    <w:p w:rsidR="00184596" w:rsidRDefault="00FD048A">
      <w:pPr>
        <w:spacing w:line="480" w:lineRule="auto"/>
        <w:ind w:right="205" w:firstLineChars="200" w:firstLine="420"/>
        <w:jc w:val="both"/>
        <w:rPr>
          <w:rFonts w:ascii="Arial" w:hAnsi="Arial" w:cs="Arial"/>
          <w:sz w:val="21"/>
          <w:szCs w:val="21"/>
        </w:rPr>
      </w:pPr>
      <w:r>
        <w:rPr>
          <w:rFonts w:ascii="Arial" w:hAnsi="Arial" w:cs="Arial"/>
          <w:sz w:val="21"/>
          <w:szCs w:val="21"/>
        </w:rPr>
        <w:t>热力：</w:t>
      </w:r>
      <w:r>
        <w:rPr>
          <w:rFonts w:ascii="Arial" w:hAnsi="Arial" w:cs="Arial" w:hint="eastAsia"/>
          <w:sz w:val="21"/>
          <w:szCs w:val="21"/>
        </w:rPr>
        <w:t>中央空调</w:t>
      </w:r>
      <w:r>
        <w:rPr>
          <w:rFonts w:ascii="Arial" w:hAnsi="Arial" w:cs="Arial"/>
          <w:sz w:val="21"/>
          <w:szCs w:val="21"/>
        </w:rPr>
        <w:t>。</w:t>
      </w:r>
    </w:p>
    <w:p w:rsidR="00184596" w:rsidRDefault="00FD048A">
      <w:pPr>
        <w:spacing w:line="480" w:lineRule="auto"/>
        <w:ind w:firstLineChars="200" w:firstLine="420"/>
        <w:jc w:val="both"/>
        <w:rPr>
          <w:rFonts w:ascii="Arial" w:hAnsi="Arial" w:cs="Arial"/>
          <w:sz w:val="21"/>
          <w:szCs w:val="21"/>
        </w:rPr>
      </w:pPr>
      <w:r>
        <w:rPr>
          <w:rFonts w:ascii="Arial" w:hAnsi="Arial" w:cs="Arial"/>
          <w:sz w:val="21"/>
          <w:szCs w:val="21"/>
        </w:rPr>
        <w:lastRenderedPageBreak/>
        <w:t>2.</w:t>
      </w:r>
      <w:r>
        <w:rPr>
          <w:rFonts w:ascii="Arial" w:hAnsi="Arial" w:cs="Arial"/>
          <w:sz w:val="21"/>
          <w:szCs w:val="21"/>
        </w:rPr>
        <w:t>建筑物实物状况</w:t>
      </w:r>
    </w:p>
    <w:p w:rsidR="00184596" w:rsidRDefault="00FD048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估价对象所属首开龙湖北京</w:t>
      </w:r>
      <w:proofErr w:type="gramStart"/>
      <w:r>
        <w:rPr>
          <w:rFonts w:ascii="Arial" w:hAnsi="Arial" w:cs="Arial" w:hint="eastAsia"/>
          <w:sz w:val="21"/>
          <w:szCs w:val="21"/>
        </w:rPr>
        <w:t>熙悦天</w:t>
      </w:r>
      <w:proofErr w:type="gramEnd"/>
      <w:r>
        <w:rPr>
          <w:rFonts w:ascii="Arial" w:hAnsi="Arial" w:cs="Arial" w:hint="eastAsia"/>
          <w:sz w:val="21"/>
          <w:szCs w:val="21"/>
        </w:rPr>
        <w:t>街项目，是龙湖集团在北京布局的第六座天</w:t>
      </w:r>
      <w:proofErr w:type="gramStart"/>
      <w:r>
        <w:rPr>
          <w:rFonts w:ascii="Arial" w:hAnsi="Arial" w:cs="Arial" w:hint="eastAsia"/>
          <w:sz w:val="21"/>
          <w:szCs w:val="21"/>
        </w:rPr>
        <w:t>街系列</w:t>
      </w:r>
      <w:proofErr w:type="gramEnd"/>
      <w:r>
        <w:rPr>
          <w:rFonts w:ascii="Arial" w:hAnsi="Arial" w:cs="Arial" w:hint="eastAsia"/>
          <w:sz w:val="21"/>
          <w:szCs w:val="21"/>
        </w:rPr>
        <w:t>项目，由北京首开龙湖盈泰置业有限公司开发运营。项目位于北京市房山区长阳镇，地处良乡大学城商圈与长阳休闲购物板块的交汇处，紧邻地铁房山线良乡大学城北站，交通便利。项目定位为“‌阳光生活新空间‌”，</w:t>
      </w:r>
      <w:r>
        <w:rPr>
          <w:rFonts w:ascii="Arial" w:hAnsi="Arial" w:hint="eastAsia"/>
          <w:kern w:val="2"/>
          <w:sz w:val="21"/>
        </w:rPr>
        <w:t>房山</w:t>
      </w:r>
      <w:proofErr w:type="gramStart"/>
      <w:r>
        <w:rPr>
          <w:rFonts w:ascii="Arial" w:hAnsi="Arial" w:hint="eastAsia"/>
          <w:kern w:val="2"/>
          <w:sz w:val="21"/>
        </w:rPr>
        <w:t>熙悦天街项目</w:t>
      </w:r>
      <w:proofErr w:type="gramEnd"/>
      <w:r>
        <w:rPr>
          <w:rFonts w:ascii="Arial" w:hAnsi="Arial" w:hint="eastAsia"/>
          <w:kern w:val="2"/>
          <w:sz w:val="21"/>
        </w:rPr>
        <w:t>由</w:t>
      </w:r>
      <w:r>
        <w:rPr>
          <w:rFonts w:ascii="Arial" w:hAnsi="Arial"/>
          <w:kern w:val="2"/>
          <w:sz w:val="21"/>
        </w:rPr>
        <w:t>042</w:t>
      </w:r>
      <w:r>
        <w:rPr>
          <w:rFonts w:ascii="Arial" w:hAnsi="Arial"/>
          <w:kern w:val="2"/>
          <w:sz w:val="21"/>
        </w:rPr>
        <w:t>、</w:t>
      </w:r>
      <w:r>
        <w:rPr>
          <w:rFonts w:ascii="Arial" w:hAnsi="Arial"/>
          <w:kern w:val="2"/>
          <w:sz w:val="21"/>
        </w:rPr>
        <w:t>044</w:t>
      </w:r>
      <w:r>
        <w:rPr>
          <w:rFonts w:ascii="Arial" w:hAnsi="Arial"/>
          <w:kern w:val="2"/>
          <w:sz w:val="21"/>
        </w:rPr>
        <w:t>、</w:t>
      </w:r>
      <w:r>
        <w:rPr>
          <w:rFonts w:ascii="Arial" w:hAnsi="Arial"/>
          <w:kern w:val="2"/>
          <w:sz w:val="21"/>
        </w:rPr>
        <w:t>047</w:t>
      </w:r>
      <w:r>
        <w:rPr>
          <w:rFonts w:ascii="Arial" w:hAnsi="Arial" w:hint="eastAsia"/>
          <w:kern w:val="2"/>
          <w:sz w:val="21"/>
        </w:rPr>
        <w:t>号三个地块组成，项目总建筑面积</w:t>
      </w:r>
      <w:r>
        <w:rPr>
          <w:rFonts w:ascii="Arial" w:hAnsi="Arial" w:hint="eastAsia"/>
          <w:kern w:val="2"/>
          <w:sz w:val="21"/>
        </w:rPr>
        <w:t>301466.92</w:t>
      </w:r>
      <w:r>
        <w:rPr>
          <w:rFonts w:ascii="Arial" w:hAnsi="Arial" w:hint="eastAsia"/>
          <w:kern w:val="2"/>
          <w:sz w:val="21"/>
        </w:rPr>
        <w:t>平方米，地上建筑面积</w:t>
      </w:r>
      <w:r>
        <w:rPr>
          <w:rFonts w:ascii="Arial" w:hAnsi="Arial" w:hint="eastAsia"/>
          <w:kern w:val="2"/>
          <w:sz w:val="21"/>
        </w:rPr>
        <w:t>179120.40</w:t>
      </w:r>
      <w:r>
        <w:rPr>
          <w:rFonts w:ascii="Arial" w:hAnsi="Arial" w:hint="eastAsia"/>
          <w:kern w:val="2"/>
          <w:sz w:val="21"/>
        </w:rPr>
        <w:t>平方米（包含</w:t>
      </w:r>
      <w:proofErr w:type="gramStart"/>
      <w:r>
        <w:rPr>
          <w:rFonts w:ascii="Arial" w:hAnsi="Arial" w:hint="eastAsia"/>
          <w:kern w:val="2"/>
          <w:sz w:val="21"/>
        </w:rPr>
        <w:t>自持</w:t>
      </w:r>
      <w:proofErr w:type="gramEnd"/>
      <w:r>
        <w:rPr>
          <w:rFonts w:ascii="Arial" w:hAnsi="Arial" w:hint="eastAsia"/>
          <w:kern w:val="2"/>
          <w:sz w:val="21"/>
        </w:rPr>
        <w:t>商业和销售商业），地下商业建筑面积</w:t>
      </w:r>
      <w:r>
        <w:rPr>
          <w:rFonts w:ascii="Arial" w:hAnsi="Arial" w:hint="eastAsia"/>
          <w:kern w:val="2"/>
          <w:sz w:val="21"/>
        </w:rPr>
        <w:t>37795.93</w:t>
      </w:r>
      <w:r>
        <w:rPr>
          <w:rFonts w:ascii="Arial" w:hAnsi="Arial" w:hint="eastAsia"/>
          <w:kern w:val="2"/>
          <w:sz w:val="21"/>
        </w:rPr>
        <w:t>平方米，地下车库建筑面积</w:t>
      </w:r>
      <w:r>
        <w:rPr>
          <w:rFonts w:ascii="Arial" w:hAnsi="Arial" w:hint="eastAsia"/>
          <w:kern w:val="2"/>
          <w:sz w:val="21"/>
        </w:rPr>
        <w:t>84550.59</w:t>
      </w:r>
      <w:r>
        <w:rPr>
          <w:rFonts w:ascii="Arial" w:hAnsi="Arial" w:hint="eastAsia"/>
          <w:kern w:val="2"/>
          <w:sz w:val="21"/>
        </w:rPr>
        <w:t>平方米，</w:t>
      </w:r>
      <w:r>
        <w:rPr>
          <w:rFonts w:ascii="Arial" w:hAnsi="Arial" w:cs="Arial" w:hint="eastAsia"/>
          <w:sz w:val="21"/>
          <w:szCs w:val="21"/>
        </w:rPr>
        <w:t>拥有超过‌</w:t>
      </w:r>
      <w:r>
        <w:rPr>
          <w:rFonts w:ascii="Arial" w:hAnsi="Arial" w:cs="Arial" w:hint="eastAsia"/>
          <w:sz w:val="21"/>
          <w:szCs w:val="21"/>
        </w:rPr>
        <w:t>1200</w:t>
      </w:r>
      <w:r>
        <w:rPr>
          <w:rFonts w:ascii="Arial" w:hAnsi="Arial" w:cs="Arial" w:hint="eastAsia"/>
          <w:sz w:val="21"/>
          <w:szCs w:val="21"/>
        </w:rPr>
        <w:t>个车位‌。‌</w:t>
      </w:r>
    </w:p>
    <w:p w:rsidR="00184596" w:rsidRDefault="00FD048A">
      <w:pPr>
        <w:wordWrap w:val="0"/>
        <w:overflowPunct w:val="0"/>
        <w:spacing w:line="480" w:lineRule="auto"/>
        <w:ind w:firstLineChars="200" w:firstLine="420"/>
        <w:jc w:val="both"/>
        <w:textAlignment w:val="auto"/>
        <w:rPr>
          <w:rFonts w:ascii="Arial" w:hAnsi="Arial"/>
          <w:bCs/>
          <w:sz w:val="21"/>
        </w:rPr>
      </w:pPr>
      <w:r>
        <w:rPr>
          <w:rFonts w:ascii="Arial" w:hAnsi="Arial" w:hint="eastAsia"/>
          <w:kern w:val="2"/>
          <w:sz w:val="21"/>
        </w:rPr>
        <w:t>估价对象为</w:t>
      </w:r>
      <w:r>
        <w:rPr>
          <w:rFonts w:ascii="Arial" w:hAnsi="Arial" w:cs="Arial" w:hint="eastAsia"/>
          <w:kern w:val="2"/>
          <w:sz w:val="21"/>
          <w:szCs w:val="21"/>
        </w:rPr>
        <w:t>北京市房山区阜盛西街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号楼地上</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101</w:t>
      </w:r>
      <w:r>
        <w:rPr>
          <w:rFonts w:ascii="Arial" w:hAnsi="Arial" w:cs="Arial" w:hint="eastAsia"/>
          <w:kern w:val="2"/>
          <w:sz w:val="21"/>
          <w:szCs w:val="21"/>
        </w:rPr>
        <w:t>号等</w:t>
      </w:r>
      <w:r>
        <w:rPr>
          <w:rFonts w:ascii="Arial" w:hAnsi="Arial" w:cs="Arial" w:hint="eastAsia"/>
          <w:kern w:val="2"/>
          <w:sz w:val="21"/>
          <w:szCs w:val="21"/>
        </w:rPr>
        <w:t>29</w:t>
      </w:r>
      <w:r>
        <w:rPr>
          <w:rFonts w:ascii="Arial" w:hAnsi="Arial" w:cs="Arial" w:hint="eastAsia"/>
          <w:kern w:val="2"/>
          <w:sz w:val="21"/>
          <w:szCs w:val="21"/>
        </w:rPr>
        <w:t>套商业用房，总建筑面积</w:t>
      </w:r>
      <w:r>
        <w:rPr>
          <w:rFonts w:ascii="Arial" w:hAnsi="Arial" w:cs="Arial" w:hint="eastAsia"/>
          <w:kern w:val="2"/>
          <w:sz w:val="21"/>
          <w:szCs w:val="21"/>
        </w:rPr>
        <w:t>24871.67</w:t>
      </w:r>
      <w:r>
        <w:rPr>
          <w:rFonts w:ascii="Arial" w:hAnsi="Arial" w:cs="Arial" w:hint="eastAsia"/>
          <w:kern w:val="2"/>
          <w:sz w:val="21"/>
          <w:szCs w:val="21"/>
        </w:rPr>
        <w:t>平方米，</w:t>
      </w:r>
      <w:r>
        <w:rPr>
          <w:rFonts w:ascii="Arial" w:hAnsi="Arial" w:hint="eastAsia"/>
          <w:kern w:val="2"/>
          <w:sz w:val="21"/>
        </w:rPr>
        <w:t>其中，</w:t>
      </w:r>
      <w:r>
        <w:rPr>
          <w:rFonts w:ascii="Arial" w:hAnsi="Arial" w:hint="eastAsia"/>
          <w:kern w:val="2"/>
          <w:sz w:val="21"/>
        </w:rPr>
        <w:t>042</w:t>
      </w:r>
      <w:r>
        <w:rPr>
          <w:rFonts w:ascii="Arial" w:hAnsi="Arial" w:hint="eastAsia"/>
          <w:kern w:val="2"/>
          <w:sz w:val="21"/>
        </w:rPr>
        <w:t>地块中包含</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号楼（总层数为</w:t>
      </w:r>
      <w:r>
        <w:rPr>
          <w:rFonts w:ascii="Arial" w:hAnsi="Arial" w:cs="Arial" w:hint="eastAsia"/>
          <w:kern w:val="2"/>
          <w:sz w:val="21"/>
          <w:szCs w:val="21"/>
        </w:rPr>
        <w:t>2</w:t>
      </w: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）层），地上</w:t>
      </w:r>
      <w:r>
        <w:rPr>
          <w:rFonts w:ascii="Arial" w:hAnsi="Arial" w:cs="Arial" w:hint="eastAsia"/>
          <w:kern w:val="2"/>
          <w:sz w:val="21"/>
          <w:szCs w:val="21"/>
        </w:rPr>
        <w:t>1-2</w:t>
      </w:r>
      <w:r>
        <w:rPr>
          <w:rFonts w:ascii="Arial" w:hAnsi="Arial" w:cs="Arial" w:hint="eastAsia"/>
          <w:kern w:val="2"/>
          <w:sz w:val="21"/>
          <w:szCs w:val="21"/>
        </w:rPr>
        <w:t>层共</w:t>
      </w:r>
      <w:r>
        <w:rPr>
          <w:rFonts w:ascii="Arial" w:hAnsi="Arial" w:cs="Arial" w:hint="eastAsia"/>
          <w:kern w:val="2"/>
          <w:sz w:val="21"/>
          <w:szCs w:val="21"/>
        </w:rPr>
        <w:t>7</w:t>
      </w:r>
      <w:r>
        <w:rPr>
          <w:rFonts w:ascii="Arial" w:hAnsi="Arial" w:cs="Arial" w:hint="eastAsia"/>
          <w:kern w:val="2"/>
          <w:sz w:val="21"/>
          <w:szCs w:val="21"/>
        </w:rPr>
        <w:t>套商业用房，总建筑面积</w:t>
      </w:r>
      <w:r>
        <w:rPr>
          <w:rFonts w:ascii="Arial" w:hAnsi="Arial" w:cs="Arial" w:hint="eastAsia"/>
          <w:kern w:val="2"/>
          <w:sz w:val="21"/>
          <w:szCs w:val="21"/>
        </w:rPr>
        <w:t>5287.83</w:t>
      </w:r>
      <w:r>
        <w:rPr>
          <w:rFonts w:ascii="Arial" w:hAnsi="Arial" w:cs="Arial" w:hint="eastAsia"/>
          <w:kern w:val="2"/>
          <w:sz w:val="21"/>
          <w:szCs w:val="21"/>
        </w:rPr>
        <w:t>平方米；</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6</w:t>
      </w:r>
      <w:r>
        <w:rPr>
          <w:rFonts w:ascii="Arial" w:hAnsi="Arial" w:cs="Arial" w:hint="eastAsia"/>
          <w:kern w:val="2"/>
          <w:sz w:val="21"/>
          <w:szCs w:val="21"/>
        </w:rPr>
        <w:t>号楼（总层数为</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）层），地下</w:t>
      </w:r>
      <w:r>
        <w:rPr>
          <w:rFonts w:ascii="Arial" w:hAnsi="Arial" w:cs="Arial" w:hint="eastAsia"/>
          <w:kern w:val="2"/>
          <w:sz w:val="21"/>
          <w:szCs w:val="21"/>
        </w:rPr>
        <w:t>1</w:t>
      </w:r>
      <w:r>
        <w:rPr>
          <w:rFonts w:ascii="Arial" w:hAnsi="Arial" w:cs="Arial" w:hint="eastAsia"/>
          <w:kern w:val="2"/>
          <w:sz w:val="21"/>
          <w:szCs w:val="21"/>
        </w:rPr>
        <w:t>层共</w:t>
      </w:r>
      <w:r>
        <w:rPr>
          <w:rFonts w:ascii="Arial" w:hAnsi="Arial" w:cs="Arial" w:hint="eastAsia"/>
          <w:kern w:val="2"/>
          <w:sz w:val="21"/>
          <w:szCs w:val="21"/>
        </w:rPr>
        <w:t>9</w:t>
      </w:r>
      <w:r>
        <w:rPr>
          <w:rFonts w:ascii="Arial" w:hAnsi="Arial" w:cs="Arial" w:hint="eastAsia"/>
          <w:kern w:val="2"/>
          <w:sz w:val="21"/>
          <w:szCs w:val="21"/>
        </w:rPr>
        <w:t>套商业用房，总建筑面积</w:t>
      </w:r>
      <w:r>
        <w:rPr>
          <w:rFonts w:ascii="Arial" w:hAnsi="Arial" w:cs="Arial" w:hint="eastAsia"/>
          <w:kern w:val="2"/>
          <w:sz w:val="21"/>
          <w:szCs w:val="21"/>
        </w:rPr>
        <w:t>8822.48</w:t>
      </w:r>
      <w:r>
        <w:rPr>
          <w:rFonts w:ascii="Arial" w:hAnsi="Arial" w:cs="Arial" w:hint="eastAsia"/>
          <w:kern w:val="2"/>
          <w:sz w:val="21"/>
          <w:szCs w:val="21"/>
        </w:rPr>
        <w:t>平方米，于</w:t>
      </w:r>
      <w:r>
        <w:rPr>
          <w:rFonts w:ascii="Arial" w:hAnsi="Arial" w:cs="Arial" w:hint="eastAsia"/>
          <w:kern w:val="2"/>
          <w:sz w:val="21"/>
          <w:szCs w:val="21"/>
        </w:rPr>
        <w:t>2021</w:t>
      </w:r>
      <w:r>
        <w:rPr>
          <w:rFonts w:ascii="Arial" w:hAnsi="Arial" w:cs="Arial" w:hint="eastAsia"/>
          <w:kern w:val="2"/>
          <w:sz w:val="21"/>
          <w:szCs w:val="21"/>
        </w:rPr>
        <w:t>年办理竣工验收</w:t>
      </w:r>
      <w:r>
        <w:rPr>
          <w:rFonts w:ascii="Arial" w:hAnsi="Arial" w:hint="eastAsia"/>
          <w:bCs/>
          <w:sz w:val="21"/>
        </w:rPr>
        <w:t>。</w:t>
      </w:r>
      <w:r>
        <w:rPr>
          <w:rFonts w:ascii="Arial" w:hAnsi="Arial" w:hint="eastAsia"/>
          <w:bCs/>
          <w:sz w:val="21"/>
        </w:rPr>
        <w:t>0</w:t>
      </w:r>
      <w:r>
        <w:rPr>
          <w:rFonts w:ascii="Arial" w:hAnsi="Arial"/>
          <w:bCs/>
          <w:sz w:val="21"/>
        </w:rPr>
        <w:t>44</w:t>
      </w:r>
      <w:r>
        <w:rPr>
          <w:rFonts w:ascii="Arial" w:hAnsi="Arial" w:hint="eastAsia"/>
          <w:bCs/>
          <w:sz w:val="21"/>
        </w:rPr>
        <w:t>地块中包含</w:t>
      </w:r>
      <w:r>
        <w:rPr>
          <w:rFonts w:ascii="Arial" w:hAnsi="Arial" w:cs="Arial" w:hint="eastAsia"/>
          <w:kern w:val="2"/>
          <w:sz w:val="21"/>
          <w:szCs w:val="21"/>
        </w:rPr>
        <w:t>长于大街</w:t>
      </w:r>
      <w:r>
        <w:rPr>
          <w:rFonts w:ascii="Arial" w:hAnsi="Arial" w:cs="Arial" w:hint="eastAsia"/>
          <w:kern w:val="2"/>
          <w:sz w:val="21"/>
          <w:szCs w:val="21"/>
        </w:rPr>
        <w:t>28</w:t>
      </w:r>
      <w:r>
        <w:rPr>
          <w:rFonts w:ascii="Arial" w:hAnsi="Arial" w:cs="Arial" w:hint="eastAsia"/>
          <w:kern w:val="2"/>
          <w:sz w:val="21"/>
          <w:szCs w:val="21"/>
        </w:rPr>
        <w:t>号院</w:t>
      </w:r>
      <w:r>
        <w:rPr>
          <w:rFonts w:ascii="Arial" w:hAnsi="Arial" w:cs="Arial" w:hint="eastAsia"/>
          <w:kern w:val="2"/>
          <w:sz w:val="21"/>
          <w:szCs w:val="21"/>
        </w:rPr>
        <w:t>100</w:t>
      </w:r>
      <w:r>
        <w:rPr>
          <w:rFonts w:ascii="Arial" w:hAnsi="Arial" w:cs="Arial" w:hint="eastAsia"/>
          <w:kern w:val="2"/>
          <w:sz w:val="21"/>
          <w:szCs w:val="21"/>
        </w:rPr>
        <w:t>幢（总层数为</w:t>
      </w:r>
      <w:r>
        <w:rPr>
          <w:rFonts w:ascii="Arial" w:hAnsi="Arial" w:cs="Arial" w:hint="eastAsia"/>
          <w:kern w:val="2"/>
          <w:sz w:val="21"/>
          <w:szCs w:val="21"/>
        </w:rPr>
        <w:t>-2</w:t>
      </w:r>
      <w:r>
        <w:rPr>
          <w:rFonts w:ascii="Arial" w:hAnsi="Arial" w:cs="Arial" w:hint="eastAsia"/>
          <w:kern w:val="2"/>
          <w:sz w:val="21"/>
          <w:szCs w:val="21"/>
        </w:rPr>
        <w:t>层），地下</w:t>
      </w:r>
      <w:r>
        <w:rPr>
          <w:rFonts w:ascii="Arial" w:hAnsi="Arial" w:cs="Arial" w:hint="eastAsia"/>
          <w:kern w:val="2"/>
          <w:sz w:val="21"/>
          <w:szCs w:val="21"/>
        </w:rPr>
        <w:t>1</w:t>
      </w:r>
      <w:r>
        <w:rPr>
          <w:rFonts w:ascii="Arial" w:hAnsi="Arial" w:cs="Arial" w:hint="eastAsia"/>
          <w:kern w:val="2"/>
          <w:sz w:val="21"/>
          <w:szCs w:val="21"/>
        </w:rPr>
        <w:t>层共</w:t>
      </w:r>
      <w:r>
        <w:rPr>
          <w:rFonts w:ascii="Arial" w:hAnsi="Arial" w:cs="Arial" w:hint="eastAsia"/>
          <w:kern w:val="2"/>
          <w:sz w:val="21"/>
          <w:szCs w:val="21"/>
        </w:rPr>
        <w:t>7</w:t>
      </w:r>
      <w:r>
        <w:rPr>
          <w:rFonts w:ascii="Arial" w:hAnsi="Arial" w:cs="Arial" w:hint="eastAsia"/>
          <w:kern w:val="2"/>
          <w:sz w:val="21"/>
          <w:szCs w:val="21"/>
        </w:rPr>
        <w:t>套商业用房，总建筑面积</w:t>
      </w:r>
      <w:r>
        <w:rPr>
          <w:rFonts w:ascii="Arial" w:hAnsi="Arial" w:cs="Arial" w:hint="eastAsia"/>
          <w:kern w:val="2"/>
          <w:sz w:val="21"/>
          <w:szCs w:val="21"/>
        </w:rPr>
        <w:t>5976.27</w:t>
      </w:r>
      <w:r>
        <w:rPr>
          <w:rFonts w:ascii="Arial" w:hAnsi="Arial" w:cs="Arial" w:hint="eastAsia"/>
          <w:kern w:val="2"/>
          <w:sz w:val="21"/>
          <w:szCs w:val="21"/>
        </w:rPr>
        <w:t>平方米，于</w:t>
      </w:r>
      <w:r>
        <w:rPr>
          <w:rFonts w:ascii="Arial" w:hAnsi="Arial" w:cs="Arial" w:hint="eastAsia"/>
          <w:kern w:val="2"/>
          <w:sz w:val="21"/>
          <w:szCs w:val="21"/>
        </w:rPr>
        <w:t>2021</w:t>
      </w:r>
      <w:r>
        <w:rPr>
          <w:rFonts w:ascii="Arial" w:hAnsi="Arial" w:cs="Arial" w:hint="eastAsia"/>
          <w:kern w:val="2"/>
          <w:sz w:val="21"/>
          <w:szCs w:val="21"/>
        </w:rPr>
        <w:t>年办理竣工验收</w:t>
      </w:r>
      <w:r>
        <w:rPr>
          <w:rFonts w:ascii="Arial" w:hAnsi="Arial" w:hint="eastAsia"/>
          <w:bCs/>
          <w:sz w:val="21"/>
        </w:rPr>
        <w:t>。</w:t>
      </w:r>
      <w:r>
        <w:rPr>
          <w:rFonts w:ascii="Arial" w:hAnsi="Arial" w:hint="eastAsia"/>
          <w:color w:val="000000"/>
          <w:kern w:val="2"/>
          <w:sz w:val="21"/>
        </w:rPr>
        <w:t>长阳镇</w:t>
      </w:r>
      <w:r>
        <w:rPr>
          <w:rFonts w:ascii="Arial" w:hAnsi="Arial" w:hint="eastAsia"/>
          <w:color w:val="000000"/>
          <w:kern w:val="2"/>
          <w:sz w:val="21"/>
        </w:rPr>
        <w:t>FS00-LX10-0044</w:t>
      </w:r>
      <w:r>
        <w:rPr>
          <w:rFonts w:ascii="Arial" w:hAnsi="Arial" w:hint="eastAsia"/>
          <w:color w:val="000000"/>
          <w:kern w:val="2"/>
          <w:sz w:val="21"/>
        </w:rPr>
        <w:t>地块</w:t>
      </w:r>
      <w:r>
        <w:rPr>
          <w:rFonts w:ascii="Arial" w:hAnsi="Arial" w:hint="eastAsia"/>
          <w:color w:val="000000"/>
          <w:kern w:val="2"/>
          <w:sz w:val="21"/>
        </w:rPr>
        <w:t>6</w:t>
      </w:r>
      <w:r>
        <w:rPr>
          <w:rFonts w:ascii="Arial" w:hAnsi="Arial" w:hint="eastAsia"/>
          <w:color w:val="000000"/>
          <w:kern w:val="2"/>
          <w:sz w:val="21"/>
        </w:rPr>
        <w:t>号商业楼（测绘地址）（</w:t>
      </w:r>
      <w:r>
        <w:rPr>
          <w:rFonts w:ascii="Arial" w:hAnsi="Arial" w:cs="Arial" w:hint="eastAsia"/>
          <w:kern w:val="2"/>
          <w:sz w:val="21"/>
          <w:szCs w:val="21"/>
        </w:rPr>
        <w:t>总层数为</w:t>
      </w:r>
      <w:r>
        <w:rPr>
          <w:rFonts w:ascii="Arial" w:hAnsi="Arial" w:cs="Arial" w:hint="eastAsia"/>
          <w:kern w:val="2"/>
          <w:sz w:val="21"/>
          <w:szCs w:val="21"/>
        </w:rPr>
        <w:t>2</w:t>
      </w: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）层），地上</w:t>
      </w:r>
      <w:r>
        <w:rPr>
          <w:rFonts w:ascii="Arial" w:hAnsi="Arial" w:cs="Arial" w:hint="eastAsia"/>
          <w:kern w:val="2"/>
          <w:sz w:val="21"/>
          <w:szCs w:val="21"/>
        </w:rPr>
        <w:t>1-2</w:t>
      </w:r>
      <w:r>
        <w:rPr>
          <w:rFonts w:ascii="Arial" w:hAnsi="Arial" w:cs="Arial" w:hint="eastAsia"/>
          <w:kern w:val="2"/>
          <w:sz w:val="21"/>
          <w:szCs w:val="21"/>
        </w:rPr>
        <w:t>层</w:t>
      </w:r>
      <w:r>
        <w:rPr>
          <w:rFonts w:ascii="Arial" w:hAnsi="Arial" w:hint="eastAsia"/>
          <w:bCs/>
          <w:sz w:val="21"/>
        </w:rPr>
        <w:t>共</w:t>
      </w:r>
      <w:r>
        <w:rPr>
          <w:rFonts w:ascii="Arial" w:hAnsi="Arial" w:hint="eastAsia"/>
          <w:bCs/>
          <w:sz w:val="21"/>
        </w:rPr>
        <w:t>6</w:t>
      </w:r>
      <w:r>
        <w:rPr>
          <w:rFonts w:ascii="Arial" w:hAnsi="Arial" w:hint="eastAsia"/>
          <w:bCs/>
          <w:sz w:val="21"/>
        </w:rPr>
        <w:t>套商业用房，总建筑面积</w:t>
      </w:r>
      <w:r>
        <w:rPr>
          <w:rFonts w:ascii="Arial" w:hAnsi="Arial" w:hint="eastAsia"/>
          <w:bCs/>
          <w:sz w:val="21"/>
        </w:rPr>
        <w:t>4785.09</w:t>
      </w:r>
      <w:r>
        <w:rPr>
          <w:rFonts w:ascii="Arial" w:hAnsi="Arial" w:hint="eastAsia"/>
          <w:bCs/>
          <w:sz w:val="21"/>
        </w:rPr>
        <w:t>平方米，现尚未办理不动产权证书，根据《估价委托书》，设定现已</w:t>
      </w:r>
      <w:proofErr w:type="gramStart"/>
      <w:r>
        <w:rPr>
          <w:rFonts w:ascii="Arial" w:hAnsi="Arial" w:hint="eastAsia"/>
          <w:bCs/>
          <w:sz w:val="21"/>
        </w:rPr>
        <w:t>具备竣备条件</w:t>
      </w:r>
      <w:proofErr w:type="gramEnd"/>
      <w:r>
        <w:rPr>
          <w:rFonts w:ascii="Arial" w:hAnsi="Arial" w:hint="eastAsia"/>
          <w:bCs/>
          <w:sz w:val="21"/>
        </w:rPr>
        <w:t>。估价对象地上商业多位于地块内部，主要分布在地上</w:t>
      </w:r>
      <w:r>
        <w:rPr>
          <w:rFonts w:ascii="Arial" w:hAnsi="Arial" w:hint="eastAsia"/>
          <w:bCs/>
          <w:sz w:val="21"/>
        </w:rPr>
        <w:t>1-2</w:t>
      </w:r>
      <w:r>
        <w:rPr>
          <w:rFonts w:ascii="Arial" w:hAnsi="Arial" w:hint="eastAsia"/>
          <w:bCs/>
          <w:sz w:val="21"/>
        </w:rPr>
        <w:t>层商业。地下商业多属于下沉式商业、封闭式地下商业，出入口有限，通达性较差，</w:t>
      </w:r>
      <w:proofErr w:type="gramStart"/>
      <w:r>
        <w:rPr>
          <w:rFonts w:ascii="Arial" w:hAnsi="Arial" w:hint="eastAsia"/>
          <w:bCs/>
          <w:sz w:val="21"/>
        </w:rPr>
        <w:t>展示面遮挡</w:t>
      </w:r>
      <w:proofErr w:type="gramEnd"/>
      <w:r>
        <w:rPr>
          <w:rFonts w:ascii="Arial" w:hAnsi="Arial" w:hint="eastAsia"/>
          <w:bCs/>
          <w:sz w:val="21"/>
        </w:rPr>
        <w:t>严重，可视性较差。所属</w:t>
      </w:r>
      <w:r>
        <w:rPr>
          <w:rFonts w:ascii="Arial" w:hAnsi="Arial" w:hint="eastAsia"/>
          <w:kern w:val="2"/>
          <w:sz w:val="21"/>
        </w:rPr>
        <w:t>楼栋建筑结构均为钢混，</w:t>
      </w:r>
      <w:r>
        <w:rPr>
          <w:rFonts w:ascii="Arial" w:hAnsi="Arial" w:hint="eastAsia"/>
          <w:bCs/>
          <w:sz w:val="21"/>
        </w:rPr>
        <w:t>项目外立面装修均以金属外挂板为主，层高约</w:t>
      </w:r>
      <w:r>
        <w:rPr>
          <w:rFonts w:ascii="Arial" w:hAnsi="Arial" w:hint="eastAsia"/>
          <w:bCs/>
          <w:sz w:val="21"/>
        </w:rPr>
        <w:t>6</w:t>
      </w:r>
      <w:r>
        <w:rPr>
          <w:rFonts w:ascii="Arial" w:hAnsi="Arial" w:hint="eastAsia"/>
          <w:bCs/>
          <w:sz w:val="21"/>
        </w:rPr>
        <w:t>米，地上商业用房使用率约</w:t>
      </w:r>
      <w:r>
        <w:rPr>
          <w:rFonts w:ascii="Arial" w:hAnsi="Arial" w:hint="eastAsia"/>
          <w:bCs/>
          <w:sz w:val="21"/>
        </w:rPr>
        <w:t>75%-85%</w:t>
      </w:r>
      <w:r>
        <w:rPr>
          <w:rFonts w:ascii="Arial" w:hAnsi="Arial" w:hint="eastAsia"/>
          <w:bCs/>
          <w:sz w:val="21"/>
        </w:rPr>
        <w:t>，地下商业用房使用率约</w:t>
      </w:r>
      <w:r>
        <w:rPr>
          <w:rFonts w:ascii="Arial" w:hAnsi="Arial" w:hint="eastAsia"/>
          <w:bCs/>
          <w:sz w:val="21"/>
        </w:rPr>
        <w:t>60%-65%</w:t>
      </w:r>
      <w:r>
        <w:rPr>
          <w:rFonts w:ascii="Arial" w:hAnsi="Arial" w:hint="eastAsia"/>
          <w:bCs/>
          <w:sz w:val="21"/>
        </w:rPr>
        <w:t>，内部装修均为毛坯。</w:t>
      </w:r>
    </w:p>
    <w:p w:rsidR="00184596" w:rsidRDefault="00FD048A">
      <w:pPr>
        <w:spacing w:line="480" w:lineRule="auto"/>
        <w:ind w:firstLineChars="200" w:firstLine="420"/>
        <w:jc w:val="both"/>
        <w:rPr>
          <w:rFonts w:ascii="Arial" w:hAnsi="Arial" w:cs="Arial"/>
          <w:sz w:val="21"/>
          <w:szCs w:val="21"/>
        </w:rPr>
      </w:pPr>
      <w:r>
        <w:rPr>
          <w:rFonts w:ascii="Arial" w:hAnsi="Arial" w:cs="Arial" w:hint="eastAsia"/>
          <w:sz w:val="21"/>
          <w:szCs w:val="21"/>
        </w:rPr>
        <w:t>根据评估专业人员实地查勘，估价对象地面、墙面平整；门窗开启关闭灵活；墙面、顶棚面层涂料完好，设备、管道通畅，水卫、电</w:t>
      </w:r>
      <w:proofErr w:type="gramStart"/>
      <w:r>
        <w:rPr>
          <w:rFonts w:ascii="Arial" w:hAnsi="Arial" w:cs="Arial" w:hint="eastAsia"/>
          <w:sz w:val="21"/>
          <w:szCs w:val="21"/>
        </w:rPr>
        <w:t>照设备</w:t>
      </w:r>
      <w:proofErr w:type="gramEnd"/>
      <w:r>
        <w:rPr>
          <w:rFonts w:ascii="Arial" w:hAnsi="Arial" w:cs="Arial" w:hint="eastAsia"/>
          <w:sz w:val="21"/>
          <w:szCs w:val="21"/>
        </w:rPr>
        <w:t>完好，维护情况良好。结合估价对象的建成年代、建筑结构，采用直线折旧法计算估价对象成新率：</w:t>
      </w:r>
    </w:p>
    <w:p w:rsidR="00184596" w:rsidRDefault="00FD048A">
      <w:pPr>
        <w:spacing w:line="480" w:lineRule="auto"/>
        <w:ind w:firstLineChars="200" w:firstLine="420"/>
        <w:jc w:val="both"/>
        <w:rPr>
          <w:rFonts w:ascii="Arial" w:hAnsi="Arial" w:cs="Arial"/>
          <w:sz w:val="21"/>
          <w:szCs w:val="21"/>
        </w:rPr>
      </w:pPr>
      <w:r>
        <w:rPr>
          <w:rFonts w:ascii="Arial" w:hAnsi="Arial" w:cs="Arial" w:hint="eastAsia"/>
          <w:kern w:val="2"/>
          <w:sz w:val="21"/>
          <w:szCs w:val="21"/>
        </w:rPr>
        <w:t>房山区阜盛西街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地上</w:t>
      </w:r>
      <w:r>
        <w:rPr>
          <w:rFonts w:ascii="Arial" w:hAnsi="Arial" w:cs="Arial" w:hint="eastAsia"/>
          <w:kern w:val="2"/>
          <w:sz w:val="21"/>
          <w:szCs w:val="21"/>
        </w:rPr>
        <w:t>1-2</w:t>
      </w:r>
      <w:r>
        <w:rPr>
          <w:rFonts w:ascii="Arial" w:hAnsi="Arial" w:cs="Arial" w:hint="eastAsia"/>
          <w:kern w:val="2"/>
          <w:sz w:val="21"/>
          <w:szCs w:val="21"/>
        </w:rPr>
        <w:t>层、</w:t>
      </w:r>
      <w:r>
        <w:rPr>
          <w:rFonts w:ascii="Arial" w:hAnsi="Arial" w:cs="Arial" w:hint="eastAsia"/>
          <w:kern w:val="2"/>
          <w:sz w:val="21"/>
          <w:szCs w:val="21"/>
        </w:rPr>
        <w:t>6</w:t>
      </w:r>
      <w:r>
        <w:rPr>
          <w:rFonts w:ascii="Arial" w:hAnsi="Arial" w:cs="Arial" w:hint="eastAsia"/>
          <w:kern w:val="2"/>
          <w:sz w:val="21"/>
          <w:szCs w:val="21"/>
        </w:rPr>
        <w:t>号楼地下</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044</w:t>
      </w:r>
      <w:r>
        <w:rPr>
          <w:rFonts w:ascii="Arial" w:hAnsi="Arial" w:cs="Arial" w:hint="eastAsia"/>
          <w:kern w:val="2"/>
          <w:sz w:val="21"/>
          <w:szCs w:val="21"/>
        </w:rPr>
        <w:t>地块地下</w:t>
      </w:r>
      <w:r>
        <w:rPr>
          <w:rFonts w:ascii="Arial" w:hAnsi="Arial" w:cs="Arial" w:hint="eastAsia"/>
          <w:kern w:val="2"/>
          <w:sz w:val="21"/>
          <w:szCs w:val="21"/>
        </w:rPr>
        <w:t>1</w:t>
      </w:r>
      <w:r>
        <w:rPr>
          <w:rFonts w:ascii="Arial" w:hAnsi="Arial" w:cs="Arial" w:hint="eastAsia"/>
          <w:kern w:val="2"/>
          <w:sz w:val="21"/>
          <w:szCs w:val="21"/>
        </w:rPr>
        <w:t>层商业用房</w:t>
      </w:r>
      <w:r>
        <w:rPr>
          <w:rFonts w:ascii="Arial" w:hAnsi="Arial" w:cs="Arial"/>
          <w:color w:val="000000"/>
          <w:sz w:val="21"/>
          <w:szCs w:val="21"/>
        </w:rPr>
        <w:t>成新率＝</w:t>
      </w:r>
      <w:r>
        <w:rPr>
          <w:rFonts w:ascii="Arial" w:hAnsi="Arial" w:cs="Arial"/>
          <w:color w:val="000000"/>
          <w:sz w:val="21"/>
          <w:szCs w:val="21"/>
        </w:rPr>
        <w:t>1-</w:t>
      </w:r>
      <w:r>
        <w:rPr>
          <w:rFonts w:ascii="Arial" w:hAnsi="Arial" w:cs="Arial"/>
          <w:color w:val="000000"/>
          <w:sz w:val="21"/>
          <w:szCs w:val="21"/>
        </w:rPr>
        <w:lastRenderedPageBreak/>
        <w:t>（</w:t>
      </w:r>
      <w:r>
        <w:rPr>
          <w:rFonts w:ascii="Arial" w:hAnsi="Arial" w:cs="Arial"/>
          <w:color w:val="000000"/>
          <w:sz w:val="21"/>
          <w:szCs w:val="21"/>
        </w:rPr>
        <w:t>1-</w:t>
      </w:r>
      <w:r>
        <w:rPr>
          <w:rFonts w:ascii="Arial" w:hAnsi="Arial" w:cs="Arial"/>
          <w:color w:val="000000"/>
          <w:sz w:val="21"/>
          <w:szCs w:val="21"/>
        </w:rPr>
        <w:t>残值率）</w:t>
      </w:r>
      <w:r>
        <w:rPr>
          <w:rFonts w:ascii="Arial" w:hAnsi="Arial" w:cs="Arial"/>
          <w:color w:val="000000"/>
          <w:sz w:val="21"/>
          <w:szCs w:val="21"/>
        </w:rPr>
        <w:t>×</w:t>
      </w:r>
      <w:r>
        <w:rPr>
          <w:rFonts w:ascii="Arial" w:hAnsi="Arial" w:cs="Arial"/>
          <w:color w:val="000000"/>
          <w:sz w:val="21"/>
          <w:szCs w:val="21"/>
        </w:rPr>
        <w:t>已经使</w:t>
      </w:r>
      <w:r>
        <w:rPr>
          <w:rFonts w:ascii="Arial" w:hAnsi="Arial" w:cs="Arial"/>
          <w:sz w:val="21"/>
          <w:szCs w:val="21"/>
        </w:rPr>
        <w:t>用年限</w:t>
      </w:r>
      <w:r>
        <w:rPr>
          <w:rFonts w:ascii="Arial" w:hAnsi="Arial" w:cs="Arial"/>
          <w:sz w:val="21"/>
          <w:szCs w:val="21"/>
        </w:rPr>
        <w:t>÷</w:t>
      </w:r>
      <w:r>
        <w:rPr>
          <w:rFonts w:ascii="Arial" w:hAnsi="Arial" w:cs="Arial"/>
          <w:sz w:val="21"/>
          <w:szCs w:val="21"/>
        </w:rPr>
        <w:t>经济耐用年限＝</w:t>
      </w:r>
      <w:r>
        <w:rPr>
          <w:rFonts w:ascii="Arial" w:hAnsi="Arial" w:cs="Arial"/>
          <w:sz w:val="21"/>
          <w:szCs w:val="21"/>
        </w:rPr>
        <w:t>1-</w:t>
      </w:r>
      <w:r>
        <w:rPr>
          <w:rFonts w:ascii="Arial" w:hAnsi="Arial" w:cs="Arial"/>
          <w:sz w:val="21"/>
          <w:szCs w:val="21"/>
        </w:rPr>
        <w:t>（</w:t>
      </w:r>
      <w:r>
        <w:rPr>
          <w:rFonts w:ascii="Arial" w:hAnsi="Arial" w:cs="Arial"/>
          <w:sz w:val="21"/>
          <w:szCs w:val="21"/>
        </w:rPr>
        <w:t>1-</w:t>
      </w:r>
      <w:r>
        <w:rPr>
          <w:rFonts w:ascii="Arial" w:hAnsi="Arial" w:cs="Arial" w:hint="eastAsia"/>
          <w:sz w:val="21"/>
          <w:szCs w:val="21"/>
        </w:rPr>
        <w:t>0</w:t>
      </w:r>
      <w:r>
        <w:rPr>
          <w:rFonts w:ascii="Arial" w:hAnsi="Arial" w:cs="Arial"/>
          <w:sz w:val="21"/>
          <w:szCs w:val="21"/>
        </w:rPr>
        <w:t>%</w:t>
      </w:r>
      <w:r>
        <w:rPr>
          <w:rFonts w:ascii="Arial" w:hAnsi="Arial" w:cs="Arial"/>
          <w:sz w:val="21"/>
          <w:szCs w:val="21"/>
        </w:rPr>
        <w:t>）</w:t>
      </w:r>
      <w:r>
        <w:rPr>
          <w:rFonts w:ascii="Arial" w:hAnsi="Arial" w:cs="Arial"/>
          <w:sz w:val="21"/>
          <w:szCs w:val="21"/>
        </w:rPr>
        <w:t>×</w:t>
      </w:r>
      <w:r>
        <w:rPr>
          <w:rFonts w:ascii="Arial" w:hAnsi="Arial" w:cs="Arial" w:hint="eastAsia"/>
          <w:sz w:val="21"/>
          <w:szCs w:val="21"/>
        </w:rPr>
        <w:t>5</w:t>
      </w:r>
      <w:r>
        <w:rPr>
          <w:rFonts w:ascii="Arial" w:hAnsi="Arial" w:cs="Arial"/>
          <w:sz w:val="21"/>
          <w:szCs w:val="21"/>
        </w:rPr>
        <w:t>÷</w:t>
      </w:r>
      <w:r>
        <w:rPr>
          <w:rFonts w:ascii="Arial" w:hAnsi="Arial" w:cs="Arial" w:hint="eastAsia"/>
          <w:sz w:val="21"/>
          <w:szCs w:val="21"/>
        </w:rPr>
        <w:t>60</w:t>
      </w:r>
      <w:r>
        <w:rPr>
          <w:rFonts w:ascii="Arial" w:hAnsi="Arial" w:cs="Arial"/>
          <w:sz w:val="21"/>
          <w:szCs w:val="21"/>
        </w:rPr>
        <w:t>＝</w:t>
      </w:r>
      <w:r>
        <w:rPr>
          <w:rFonts w:ascii="Arial" w:hAnsi="Arial" w:cs="Arial" w:hint="eastAsia"/>
          <w:sz w:val="21"/>
          <w:szCs w:val="21"/>
        </w:rPr>
        <w:t>92</w:t>
      </w:r>
      <w:r>
        <w:rPr>
          <w:rFonts w:ascii="Arial" w:hAnsi="Arial" w:cs="Arial"/>
          <w:sz w:val="21"/>
          <w:szCs w:val="21"/>
        </w:rPr>
        <w:t>%</w:t>
      </w:r>
    </w:p>
    <w:p w:rsidR="00184596" w:rsidRDefault="00FD048A">
      <w:pPr>
        <w:spacing w:line="480" w:lineRule="auto"/>
        <w:ind w:firstLineChars="200" w:firstLine="420"/>
        <w:jc w:val="both"/>
        <w:rPr>
          <w:rFonts w:ascii="Arial" w:hAnsi="Arial" w:cs="Arial"/>
          <w:sz w:val="21"/>
          <w:szCs w:val="21"/>
        </w:rPr>
      </w:pPr>
      <w:r>
        <w:rPr>
          <w:rFonts w:ascii="Arial" w:hAnsi="Arial" w:cs="Arial" w:hint="eastAsia"/>
          <w:kern w:val="2"/>
          <w:sz w:val="21"/>
          <w:szCs w:val="21"/>
        </w:rPr>
        <w:t>044</w:t>
      </w:r>
      <w:r>
        <w:rPr>
          <w:rFonts w:ascii="Arial" w:hAnsi="Arial" w:cs="Arial" w:hint="eastAsia"/>
          <w:kern w:val="2"/>
          <w:sz w:val="21"/>
          <w:szCs w:val="21"/>
        </w:rPr>
        <w:t>地块地上</w:t>
      </w:r>
      <w:r>
        <w:rPr>
          <w:rFonts w:ascii="Arial" w:hAnsi="Arial" w:cs="Arial" w:hint="eastAsia"/>
          <w:kern w:val="2"/>
          <w:sz w:val="21"/>
          <w:szCs w:val="21"/>
        </w:rPr>
        <w:t>1-2</w:t>
      </w:r>
      <w:r>
        <w:rPr>
          <w:rFonts w:ascii="Arial" w:hAnsi="Arial" w:cs="Arial" w:hint="eastAsia"/>
          <w:kern w:val="2"/>
          <w:sz w:val="21"/>
          <w:szCs w:val="21"/>
        </w:rPr>
        <w:t>层商业用房</w:t>
      </w:r>
      <w:r>
        <w:rPr>
          <w:rFonts w:ascii="Arial" w:hAnsi="Arial" w:cs="Arial"/>
          <w:color w:val="000000"/>
          <w:sz w:val="21"/>
          <w:szCs w:val="21"/>
        </w:rPr>
        <w:t>成新率</w:t>
      </w:r>
      <w:r>
        <w:rPr>
          <w:rFonts w:ascii="Arial" w:hAnsi="Arial" w:cs="Arial" w:hint="eastAsia"/>
          <w:color w:val="000000"/>
          <w:sz w:val="21"/>
          <w:szCs w:val="21"/>
        </w:rPr>
        <w:t>为</w:t>
      </w:r>
      <w:r>
        <w:rPr>
          <w:rFonts w:ascii="Arial" w:hAnsi="Arial" w:cs="Arial" w:hint="eastAsia"/>
          <w:color w:val="000000"/>
          <w:sz w:val="21"/>
          <w:szCs w:val="21"/>
        </w:rPr>
        <w:t>100%</w:t>
      </w:r>
      <w:r>
        <w:rPr>
          <w:rFonts w:ascii="Arial" w:hAnsi="Arial" w:cs="Arial" w:hint="eastAsia"/>
          <w:color w:val="000000"/>
          <w:sz w:val="21"/>
          <w:szCs w:val="21"/>
        </w:rPr>
        <w:t>。</w:t>
      </w:r>
    </w:p>
    <w:p w:rsidR="00184596" w:rsidRDefault="00FD048A" w:rsidP="00FD048A">
      <w:pPr>
        <w:pStyle w:val="2"/>
        <w:numPr>
          <w:ilvl w:val="0"/>
          <w:numId w:val="0"/>
        </w:numPr>
        <w:spacing w:line="480" w:lineRule="auto"/>
        <w:ind w:left="360" w:hangingChars="171" w:hanging="360"/>
        <w:jc w:val="both"/>
        <w:rPr>
          <w:rFonts w:eastAsia="宋体"/>
          <w:kern w:val="2"/>
          <w:sz w:val="21"/>
          <w:szCs w:val="21"/>
        </w:rPr>
      </w:pPr>
      <w:bookmarkStart w:id="50" w:name="_Toc477252457"/>
      <w:r>
        <w:rPr>
          <w:rFonts w:eastAsia="宋体"/>
          <w:kern w:val="2"/>
          <w:sz w:val="21"/>
          <w:szCs w:val="21"/>
        </w:rPr>
        <w:t>（二）权益状况分析</w:t>
      </w:r>
      <w:bookmarkEnd w:id="50"/>
    </w:p>
    <w:p w:rsidR="00184596" w:rsidRDefault="00FD048A">
      <w:pPr>
        <w:spacing w:line="480" w:lineRule="auto"/>
        <w:ind w:right="205"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用途及规划条件</w:t>
      </w:r>
    </w:p>
    <w:p w:rsidR="00184596" w:rsidRDefault="00FD048A">
      <w:pPr>
        <w:spacing w:line="480" w:lineRule="auto"/>
        <w:ind w:right="205" w:firstLineChars="200" w:firstLine="420"/>
        <w:jc w:val="both"/>
        <w:rPr>
          <w:rFonts w:ascii="Arial" w:hAnsi="Arial" w:cs="Arial"/>
          <w:sz w:val="21"/>
          <w:szCs w:val="21"/>
        </w:rPr>
      </w:pPr>
      <w:r>
        <w:rPr>
          <w:rFonts w:ascii="Arial" w:hAnsi="Arial" w:cs="Arial"/>
          <w:sz w:val="21"/>
          <w:szCs w:val="21"/>
        </w:rPr>
        <w:t>根据</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及《估价委托书》</w:t>
      </w:r>
      <w:r>
        <w:rPr>
          <w:rFonts w:ascii="Arial" w:hAnsi="Arial" w:cs="Arial"/>
          <w:sz w:val="21"/>
          <w:szCs w:val="21"/>
        </w:rPr>
        <w:t>，</w:t>
      </w:r>
      <w:r>
        <w:rPr>
          <w:rFonts w:ascii="Arial" w:hAnsi="Arial" w:cs="Arial" w:hint="eastAsia"/>
          <w:sz w:val="21"/>
          <w:szCs w:val="21"/>
        </w:rPr>
        <w:t>估价对象土地用途为商业</w:t>
      </w:r>
      <w:r>
        <w:rPr>
          <w:rFonts w:ascii="Arial" w:hAnsi="Arial" w:cs="Arial" w:hint="eastAsia"/>
          <w:color w:val="E36C0A"/>
          <w:sz w:val="21"/>
          <w:szCs w:val="21"/>
        </w:rPr>
        <w:t>，</w:t>
      </w:r>
      <w:r>
        <w:rPr>
          <w:rFonts w:ascii="Arial" w:hAnsi="Arial" w:cs="Arial" w:hint="eastAsia"/>
          <w:sz w:val="21"/>
          <w:szCs w:val="21"/>
        </w:rPr>
        <w:t>房屋用途为商业，已完成建筑物信息登记，其现状利用符合规划要求。</w:t>
      </w:r>
    </w:p>
    <w:p w:rsidR="00184596" w:rsidRDefault="00FD048A">
      <w:pPr>
        <w:spacing w:line="480" w:lineRule="auto"/>
        <w:ind w:right="205"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所有权</w:t>
      </w:r>
    </w:p>
    <w:p w:rsidR="00184596" w:rsidRDefault="00FD048A">
      <w:pPr>
        <w:spacing w:line="480" w:lineRule="auto"/>
        <w:ind w:right="205" w:firstLineChars="200" w:firstLine="420"/>
        <w:jc w:val="both"/>
        <w:rPr>
          <w:rFonts w:ascii="Arial" w:hAnsi="Arial"/>
          <w:bCs/>
          <w:sz w:val="21"/>
        </w:rPr>
      </w:pPr>
      <w:r>
        <w:rPr>
          <w:rFonts w:ascii="Arial" w:hAnsi="Arial" w:cs="Arial"/>
          <w:sz w:val="21"/>
          <w:szCs w:val="21"/>
        </w:rPr>
        <w:t>根据</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及《估价委托书》</w:t>
      </w:r>
      <w:r>
        <w:rPr>
          <w:rFonts w:ascii="Arial" w:hAnsi="Arial" w:cs="Arial" w:hint="eastAsia"/>
          <w:sz w:val="21"/>
          <w:szCs w:val="21"/>
        </w:rPr>
        <w:t>，</w:t>
      </w:r>
      <w:r>
        <w:rPr>
          <w:rFonts w:ascii="Arial" w:hAnsi="Arial" w:cs="Arial"/>
          <w:sz w:val="21"/>
          <w:szCs w:val="21"/>
        </w:rPr>
        <w:t>估价对象土</w:t>
      </w:r>
      <w:r>
        <w:rPr>
          <w:rFonts w:ascii="Arial" w:hAnsi="Arial" w:hint="eastAsia"/>
          <w:bCs/>
          <w:sz w:val="21"/>
        </w:rPr>
        <w:t>地为国有土地，土地所有权归国家所有，估价对象房屋所有权为北京首开龙湖盈泰置业有限公司单独所有。</w:t>
      </w:r>
    </w:p>
    <w:p w:rsidR="00184596" w:rsidRDefault="00FD048A">
      <w:pPr>
        <w:spacing w:line="480" w:lineRule="auto"/>
        <w:ind w:right="205"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用益物权</w:t>
      </w:r>
    </w:p>
    <w:p w:rsidR="00184596" w:rsidRDefault="00FD048A">
      <w:pPr>
        <w:spacing w:line="480" w:lineRule="auto"/>
        <w:ind w:right="205" w:firstLineChars="200" w:firstLine="420"/>
        <w:jc w:val="both"/>
        <w:rPr>
          <w:rFonts w:ascii="Arial" w:hAnsi="Arial" w:cs="Arial"/>
          <w:sz w:val="21"/>
          <w:szCs w:val="21"/>
        </w:rPr>
      </w:pPr>
      <w:r>
        <w:rPr>
          <w:rFonts w:ascii="Arial" w:hAnsi="Arial" w:cs="Arial" w:hint="eastAsia"/>
          <w:sz w:val="21"/>
          <w:szCs w:val="21"/>
        </w:rPr>
        <w:t>建设用地使用权：</w:t>
      </w:r>
      <w:r>
        <w:rPr>
          <w:rFonts w:ascii="Arial" w:hAnsi="Arial" w:cs="Arial"/>
          <w:sz w:val="21"/>
          <w:szCs w:val="21"/>
        </w:rPr>
        <w:t>根据</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及《估价委托书》</w:t>
      </w:r>
      <w:r>
        <w:rPr>
          <w:rFonts w:ascii="Arial" w:hAnsi="Arial" w:cs="Arial"/>
          <w:sz w:val="21"/>
          <w:szCs w:val="21"/>
        </w:rPr>
        <w:t>，</w:t>
      </w:r>
      <w:r>
        <w:rPr>
          <w:rFonts w:ascii="Arial" w:hAnsi="Arial" w:hint="eastAsia"/>
          <w:bCs/>
          <w:sz w:val="21"/>
        </w:rPr>
        <w:t>北京首开龙湖盈泰置业有限公司</w:t>
      </w:r>
      <w:r>
        <w:rPr>
          <w:rFonts w:ascii="Arial" w:hAnsi="Arial" w:cs="Arial"/>
          <w:sz w:val="21"/>
          <w:szCs w:val="21"/>
        </w:rPr>
        <w:t>拥有估价对象出让国有建设用地使用权，土地用途为</w:t>
      </w:r>
      <w:r>
        <w:rPr>
          <w:rFonts w:ascii="Arial" w:hAnsi="Arial" w:cs="Arial" w:hint="eastAsia"/>
          <w:sz w:val="21"/>
          <w:szCs w:val="21"/>
        </w:rPr>
        <w:t>商业</w:t>
      </w:r>
      <w:r>
        <w:rPr>
          <w:rFonts w:ascii="Arial" w:hAnsi="Arial" w:cs="Arial"/>
          <w:sz w:val="21"/>
          <w:szCs w:val="21"/>
        </w:rPr>
        <w:t>，</w:t>
      </w:r>
      <w:r>
        <w:rPr>
          <w:rFonts w:ascii="Arial" w:hAnsi="Arial" w:hint="eastAsia"/>
          <w:bCs/>
          <w:sz w:val="21"/>
        </w:rPr>
        <w:t>土地使用年限为</w:t>
      </w:r>
      <w:r>
        <w:rPr>
          <w:rFonts w:ascii="Arial" w:hAnsi="Arial" w:hint="eastAsia"/>
          <w:bCs/>
          <w:sz w:val="21"/>
        </w:rPr>
        <w:t>4</w:t>
      </w:r>
      <w:r>
        <w:rPr>
          <w:rFonts w:ascii="Arial" w:hAnsi="Arial"/>
          <w:bCs/>
          <w:sz w:val="21"/>
        </w:rPr>
        <w:t>0</w:t>
      </w:r>
      <w:r>
        <w:rPr>
          <w:rFonts w:ascii="Arial" w:hAnsi="Arial" w:hint="eastAsia"/>
          <w:bCs/>
          <w:sz w:val="21"/>
        </w:rPr>
        <w:t>年，自</w:t>
      </w:r>
      <w:r>
        <w:rPr>
          <w:rFonts w:ascii="Arial" w:hAnsi="Arial" w:hint="eastAsia"/>
          <w:bCs/>
          <w:sz w:val="21"/>
        </w:rPr>
        <w:t>2</w:t>
      </w:r>
      <w:r>
        <w:rPr>
          <w:rFonts w:ascii="Arial" w:hAnsi="Arial"/>
          <w:bCs/>
          <w:sz w:val="21"/>
        </w:rPr>
        <w:t>016</w:t>
      </w:r>
      <w:r>
        <w:rPr>
          <w:rFonts w:ascii="Arial" w:hAnsi="Arial" w:hint="eastAsia"/>
          <w:bCs/>
          <w:sz w:val="21"/>
        </w:rPr>
        <w:t>年</w:t>
      </w:r>
      <w:r>
        <w:rPr>
          <w:rFonts w:ascii="Arial" w:hAnsi="Arial"/>
          <w:bCs/>
          <w:sz w:val="21"/>
        </w:rPr>
        <w:t>12</w:t>
      </w:r>
      <w:r>
        <w:rPr>
          <w:rFonts w:ascii="Arial" w:hAnsi="Arial" w:hint="eastAsia"/>
          <w:bCs/>
          <w:sz w:val="21"/>
        </w:rPr>
        <w:t>月</w:t>
      </w:r>
      <w:r>
        <w:rPr>
          <w:rFonts w:ascii="Arial" w:hAnsi="Arial" w:hint="eastAsia"/>
          <w:bCs/>
          <w:sz w:val="21"/>
        </w:rPr>
        <w:t>2</w:t>
      </w:r>
      <w:r>
        <w:rPr>
          <w:rFonts w:ascii="Arial" w:hAnsi="Arial"/>
          <w:bCs/>
          <w:sz w:val="21"/>
        </w:rPr>
        <w:t>6</w:t>
      </w:r>
      <w:r>
        <w:rPr>
          <w:rFonts w:ascii="Arial" w:hAnsi="Arial" w:hint="eastAsia"/>
          <w:bCs/>
          <w:sz w:val="21"/>
        </w:rPr>
        <w:t>日起</w:t>
      </w:r>
      <w:r>
        <w:rPr>
          <w:rFonts w:ascii="Arial" w:hAnsi="Arial" w:hint="eastAsia"/>
          <w:bCs/>
          <w:sz w:val="21"/>
        </w:rPr>
        <w:t>20</w:t>
      </w:r>
      <w:r>
        <w:rPr>
          <w:rFonts w:ascii="Arial" w:hAnsi="Arial"/>
          <w:bCs/>
          <w:sz w:val="21"/>
        </w:rPr>
        <w:t>56</w:t>
      </w:r>
      <w:r>
        <w:rPr>
          <w:rFonts w:ascii="Arial" w:hAnsi="Arial" w:hint="eastAsia"/>
          <w:bCs/>
          <w:sz w:val="21"/>
        </w:rPr>
        <w:t>年</w:t>
      </w:r>
      <w:r>
        <w:rPr>
          <w:rFonts w:ascii="Arial" w:hAnsi="Arial"/>
          <w:bCs/>
          <w:sz w:val="21"/>
        </w:rPr>
        <w:t>12</w:t>
      </w:r>
      <w:r>
        <w:rPr>
          <w:rFonts w:ascii="Arial" w:hAnsi="Arial" w:hint="eastAsia"/>
          <w:bCs/>
          <w:sz w:val="21"/>
        </w:rPr>
        <w:t>月</w:t>
      </w:r>
      <w:r>
        <w:rPr>
          <w:rFonts w:ascii="Arial" w:hAnsi="Arial" w:hint="eastAsia"/>
          <w:bCs/>
          <w:sz w:val="21"/>
        </w:rPr>
        <w:t>2</w:t>
      </w:r>
      <w:r>
        <w:rPr>
          <w:rFonts w:ascii="Arial" w:hAnsi="Arial"/>
          <w:bCs/>
          <w:sz w:val="21"/>
        </w:rPr>
        <w:t>5</w:t>
      </w:r>
      <w:r>
        <w:rPr>
          <w:rFonts w:ascii="Arial" w:hAnsi="Arial" w:hint="eastAsia"/>
          <w:bCs/>
          <w:sz w:val="21"/>
        </w:rPr>
        <w:t>日止，</w:t>
      </w:r>
      <w:r>
        <w:rPr>
          <w:rFonts w:ascii="Arial" w:hAnsi="Arial" w:cs="Arial"/>
          <w:sz w:val="21"/>
          <w:szCs w:val="21"/>
        </w:rPr>
        <w:t>出让国有建设用地使用权剩余土地使用年限为</w:t>
      </w:r>
      <w:r>
        <w:rPr>
          <w:rFonts w:ascii="Arial" w:hAnsi="Arial" w:cs="Arial" w:hint="eastAsia"/>
          <w:sz w:val="21"/>
          <w:szCs w:val="21"/>
        </w:rPr>
        <w:t>30.95</w:t>
      </w:r>
      <w:r>
        <w:rPr>
          <w:rFonts w:ascii="Arial" w:hAnsi="Arial" w:cs="Arial"/>
          <w:sz w:val="21"/>
          <w:szCs w:val="21"/>
        </w:rPr>
        <w:t>年。</w:t>
      </w:r>
    </w:p>
    <w:p w:rsidR="00184596" w:rsidRDefault="00FD048A">
      <w:pPr>
        <w:spacing w:line="480" w:lineRule="auto"/>
        <w:ind w:right="205" w:firstLineChars="200" w:firstLine="420"/>
        <w:jc w:val="both"/>
        <w:rPr>
          <w:rFonts w:ascii="Arial" w:hAnsi="Arial" w:cs="Arial"/>
          <w:sz w:val="21"/>
          <w:szCs w:val="21"/>
        </w:rPr>
      </w:pPr>
      <w:r>
        <w:rPr>
          <w:rFonts w:ascii="Arial" w:hAnsi="Arial" w:cs="Arial" w:hint="eastAsia"/>
          <w:sz w:val="21"/>
          <w:szCs w:val="21"/>
        </w:rPr>
        <w:t>地役权：根据不动产权利人介绍及评估专业人员实地查勘，估价对象未设定地役权。</w:t>
      </w:r>
    </w:p>
    <w:p w:rsidR="00184596" w:rsidRDefault="00FD048A">
      <w:pPr>
        <w:spacing w:line="480" w:lineRule="auto"/>
        <w:ind w:right="205" w:firstLineChars="200" w:firstLine="420"/>
        <w:jc w:val="both"/>
        <w:rPr>
          <w:rFonts w:ascii="Arial" w:hAnsi="Arial" w:cs="Arial"/>
          <w:sz w:val="21"/>
          <w:szCs w:val="21"/>
        </w:rPr>
      </w:pPr>
      <w:r>
        <w:rPr>
          <w:rFonts w:ascii="Arial" w:hAnsi="Arial" w:cs="Arial" w:hint="eastAsia"/>
          <w:sz w:val="21"/>
          <w:szCs w:val="21"/>
        </w:rPr>
        <w:t>4.</w:t>
      </w:r>
      <w:r>
        <w:rPr>
          <w:rFonts w:ascii="Arial" w:hAnsi="Arial" w:cs="Arial" w:hint="eastAsia"/>
          <w:sz w:val="21"/>
          <w:szCs w:val="21"/>
        </w:rPr>
        <w:t>担保物权</w:t>
      </w:r>
    </w:p>
    <w:p w:rsidR="00184596" w:rsidRDefault="00FD048A">
      <w:pPr>
        <w:spacing w:line="480" w:lineRule="auto"/>
        <w:ind w:right="205" w:firstLineChars="200" w:firstLine="420"/>
        <w:jc w:val="both"/>
        <w:rPr>
          <w:rFonts w:ascii="Arial" w:hAnsi="Arial" w:cs="Arial"/>
          <w:sz w:val="21"/>
          <w:szCs w:val="21"/>
        </w:rPr>
      </w:pPr>
      <w:r>
        <w:rPr>
          <w:rFonts w:ascii="Arial" w:hAnsi="Arial" w:cs="Arial"/>
          <w:sz w:val="21"/>
          <w:szCs w:val="21"/>
        </w:rPr>
        <w:t>根据</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及《估价委托书》</w:t>
      </w:r>
      <w:r>
        <w:rPr>
          <w:rFonts w:ascii="Arial" w:hAnsi="Arial" w:cs="Arial"/>
          <w:sz w:val="21"/>
          <w:szCs w:val="21"/>
        </w:rPr>
        <w:t>，</w:t>
      </w:r>
      <w:r>
        <w:rPr>
          <w:rFonts w:ascii="Arial" w:hAnsi="Arial" w:cs="Arial"/>
          <w:bCs/>
          <w:sz w:val="21"/>
          <w:szCs w:val="21"/>
        </w:rPr>
        <w:t>截至价值时点，估价对象</w:t>
      </w:r>
      <w:r>
        <w:rPr>
          <w:rFonts w:ascii="Arial" w:hAnsi="Arial" w:cs="Arial" w:hint="eastAsia"/>
          <w:bCs/>
          <w:sz w:val="21"/>
          <w:szCs w:val="21"/>
        </w:rPr>
        <w:t>未设定</w:t>
      </w:r>
      <w:r>
        <w:rPr>
          <w:rFonts w:ascii="Arial" w:hAnsi="Arial" w:cs="Arial"/>
          <w:bCs/>
          <w:sz w:val="21"/>
          <w:szCs w:val="21"/>
        </w:rPr>
        <w:t>抵押权。</w:t>
      </w:r>
    </w:p>
    <w:p w:rsidR="00184596" w:rsidRDefault="00FD048A">
      <w:pPr>
        <w:spacing w:line="480" w:lineRule="auto"/>
        <w:ind w:right="205" w:firstLineChars="200" w:firstLine="420"/>
        <w:jc w:val="both"/>
        <w:rPr>
          <w:rFonts w:ascii="Arial" w:hAnsi="Arial" w:cs="Arial"/>
          <w:sz w:val="21"/>
          <w:szCs w:val="21"/>
        </w:rPr>
      </w:pPr>
      <w:r>
        <w:rPr>
          <w:rFonts w:ascii="Arial" w:hAnsi="Arial" w:cs="Arial" w:hint="eastAsia"/>
          <w:sz w:val="21"/>
          <w:szCs w:val="21"/>
        </w:rPr>
        <w:t>5.</w:t>
      </w:r>
      <w:r>
        <w:rPr>
          <w:rFonts w:ascii="Arial" w:hAnsi="Arial" w:cs="Arial" w:hint="eastAsia"/>
          <w:sz w:val="21"/>
          <w:szCs w:val="21"/>
        </w:rPr>
        <w:t>租赁或占用情况</w:t>
      </w:r>
    </w:p>
    <w:p w:rsidR="00184596" w:rsidRDefault="00FD048A">
      <w:pPr>
        <w:spacing w:line="480" w:lineRule="auto"/>
        <w:ind w:right="205" w:firstLineChars="200" w:firstLine="420"/>
        <w:jc w:val="both"/>
        <w:rPr>
          <w:rFonts w:ascii="Arial" w:hAnsi="Arial" w:cs="Arial"/>
          <w:sz w:val="21"/>
          <w:szCs w:val="21"/>
        </w:rPr>
      </w:pPr>
      <w:r>
        <w:rPr>
          <w:rFonts w:ascii="Arial" w:hAnsi="Arial" w:cs="Arial"/>
          <w:sz w:val="21"/>
          <w:szCs w:val="21"/>
        </w:rPr>
        <w:t>根据不动产权利人介绍</w:t>
      </w:r>
      <w:r>
        <w:rPr>
          <w:rFonts w:ascii="Arial" w:hAnsi="Arial" w:cs="Arial" w:hint="eastAsia"/>
          <w:sz w:val="21"/>
          <w:szCs w:val="21"/>
        </w:rPr>
        <w:t>及评估专业人员实地查勘</w:t>
      </w:r>
      <w:r>
        <w:rPr>
          <w:rFonts w:ascii="Arial" w:hAnsi="Arial" w:cs="Arial"/>
          <w:sz w:val="21"/>
          <w:szCs w:val="21"/>
        </w:rPr>
        <w:t>，截至价值时点，估价对象北京市房山区阜盛</w:t>
      </w:r>
      <w:r>
        <w:rPr>
          <w:rFonts w:ascii="Arial" w:hAnsi="Arial" w:cs="Arial"/>
          <w:sz w:val="21"/>
          <w:szCs w:val="21"/>
        </w:rPr>
        <w:lastRenderedPageBreak/>
        <w:t>西街</w:t>
      </w:r>
      <w:r>
        <w:rPr>
          <w:rFonts w:ascii="Arial" w:hAnsi="Arial" w:cs="Arial"/>
          <w:sz w:val="21"/>
          <w:szCs w:val="21"/>
        </w:rPr>
        <w:t>11</w:t>
      </w:r>
      <w:r>
        <w:rPr>
          <w:rFonts w:ascii="Arial" w:hAnsi="Arial" w:cs="Arial"/>
          <w:sz w:val="21"/>
          <w:szCs w:val="21"/>
        </w:rPr>
        <w:t>号院</w:t>
      </w:r>
      <w:r>
        <w:rPr>
          <w:rFonts w:ascii="Arial" w:hAnsi="Arial" w:cs="Arial"/>
          <w:sz w:val="21"/>
          <w:szCs w:val="21"/>
        </w:rPr>
        <w:t>3</w:t>
      </w:r>
      <w:r>
        <w:rPr>
          <w:rFonts w:ascii="Arial" w:hAnsi="Arial" w:cs="Arial"/>
          <w:sz w:val="21"/>
          <w:szCs w:val="21"/>
        </w:rPr>
        <w:t>号楼地上</w:t>
      </w:r>
      <w:r>
        <w:rPr>
          <w:rFonts w:ascii="Arial" w:hAnsi="Arial" w:cs="Arial"/>
          <w:sz w:val="21"/>
          <w:szCs w:val="21"/>
        </w:rPr>
        <w:t>1</w:t>
      </w:r>
      <w:r>
        <w:rPr>
          <w:rFonts w:ascii="Arial" w:hAnsi="Arial" w:cs="Arial"/>
          <w:sz w:val="21"/>
          <w:szCs w:val="21"/>
        </w:rPr>
        <w:t>层</w:t>
      </w:r>
      <w:r>
        <w:rPr>
          <w:rFonts w:ascii="Arial" w:hAnsi="Arial" w:cs="Arial"/>
          <w:sz w:val="21"/>
          <w:szCs w:val="21"/>
        </w:rPr>
        <w:t>101</w:t>
      </w:r>
      <w:r>
        <w:rPr>
          <w:rFonts w:ascii="Arial" w:hAnsi="Arial" w:cs="Arial"/>
          <w:sz w:val="21"/>
          <w:szCs w:val="21"/>
        </w:rPr>
        <w:t>号</w:t>
      </w:r>
      <w:r>
        <w:rPr>
          <w:rFonts w:ascii="Arial" w:hAnsi="Arial" w:cs="Arial" w:hint="eastAsia"/>
          <w:sz w:val="21"/>
          <w:szCs w:val="21"/>
        </w:rPr>
        <w:t>商业用房已出租作为售楼处使用，其余房源均未出租，本次评估是</w:t>
      </w:r>
      <w:r>
        <w:rPr>
          <w:rFonts w:ascii="Arial" w:hAnsi="Arial" w:hint="eastAsia"/>
          <w:kern w:val="2"/>
          <w:sz w:val="21"/>
        </w:rPr>
        <w:t>为估价委托人了解估价对象房地产市场租金水平提供参考依据，经与估价委托人确认，本次评估不考虑上述租赁情况对估价结果的影响</w:t>
      </w:r>
      <w:r>
        <w:rPr>
          <w:rFonts w:ascii="Arial" w:hAnsi="Arial" w:cs="Arial"/>
          <w:sz w:val="21"/>
          <w:szCs w:val="21"/>
        </w:rPr>
        <w:t>。</w:t>
      </w:r>
    </w:p>
    <w:p w:rsidR="00184596" w:rsidRDefault="00FD048A">
      <w:pPr>
        <w:spacing w:line="480" w:lineRule="auto"/>
        <w:ind w:right="205" w:firstLineChars="200" w:firstLine="420"/>
        <w:jc w:val="both"/>
        <w:rPr>
          <w:rFonts w:ascii="Arial" w:hAnsi="Arial" w:cs="Arial"/>
          <w:sz w:val="21"/>
          <w:szCs w:val="21"/>
        </w:rPr>
      </w:pPr>
      <w:r>
        <w:rPr>
          <w:rFonts w:ascii="Arial" w:hAnsi="Arial" w:cs="Arial" w:hint="eastAsia"/>
          <w:sz w:val="21"/>
          <w:szCs w:val="21"/>
        </w:rPr>
        <w:t>6.</w:t>
      </w:r>
      <w:r>
        <w:rPr>
          <w:rFonts w:ascii="Arial" w:hAnsi="Arial" w:cs="Arial" w:hint="eastAsia"/>
          <w:sz w:val="21"/>
          <w:szCs w:val="21"/>
        </w:rPr>
        <w:t>拖欠税费情况</w:t>
      </w:r>
    </w:p>
    <w:p w:rsidR="00184596" w:rsidRDefault="00FD048A">
      <w:pPr>
        <w:spacing w:line="480" w:lineRule="auto"/>
        <w:ind w:right="205" w:firstLineChars="200" w:firstLine="420"/>
        <w:jc w:val="both"/>
        <w:rPr>
          <w:rFonts w:ascii="Arial" w:hAnsi="Arial" w:cs="Arial"/>
          <w:sz w:val="21"/>
          <w:szCs w:val="21"/>
        </w:rPr>
      </w:pPr>
      <w:r>
        <w:rPr>
          <w:rFonts w:ascii="Arial" w:hAnsi="Arial" w:cs="Arial" w:hint="eastAsia"/>
          <w:sz w:val="21"/>
          <w:szCs w:val="21"/>
        </w:rPr>
        <w:t>估价对象出让国有建设用地使用权和建筑物所有权均为合法方式取得，并支付相关税费，已取得</w:t>
      </w: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，根据《估价委托书》</w:t>
      </w:r>
      <w:r>
        <w:rPr>
          <w:rFonts w:ascii="Arial" w:hAnsi="Arial" w:cs="Arial" w:hint="eastAsia"/>
          <w:sz w:val="21"/>
          <w:szCs w:val="21"/>
        </w:rPr>
        <w:t>，估价对象不存在拖欠税费的情况。</w:t>
      </w:r>
    </w:p>
    <w:p w:rsidR="00184596" w:rsidRDefault="00FD048A">
      <w:pPr>
        <w:spacing w:line="480" w:lineRule="auto"/>
        <w:ind w:right="205" w:firstLineChars="200" w:firstLine="420"/>
        <w:jc w:val="both"/>
        <w:rPr>
          <w:rFonts w:ascii="Arial" w:hAnsi="Arial" w:cs="Arial"/>
          <w:sz w:val="21"/>
          <w:szCs w:val="21"/>
        </w:rPr>
      </w:pPr>
      <w:r>
        <w:rPr>
          <w:rFonts w:ascii="Arial" w:hAnsi="Arial" w:cs="Arial" w:hint="eastAsia"/>
          <w:sz w:val="21"/>
          <w:szCs w:val="21"/>
        </w:rPr>
        <w:t>综上，估价对象不动产权属合法、清晰且无争议，可正常上市交易。</w:t>
      </w:r>
    </w:p>
    <w:p w:rsidR="00184596" w:rsidRDefault="00FD048A" w:rsidP="00FD048A">
      <w:pPr>
        <w:pStyle w:val="2"/>
        <w:numPr>
          <w:ilvl w:val="0"/>
          <w:numId w:val="0"/>
        </w:numPr>
        <w:spacing w:line="480" w:lineRule="auto"/>
        <w:ind w:left="360" w:hangingChars="171" w:hanging="360"/>
        <w:jc w:val="both"/>
        <w:rPr>
          <w:rFonts w:eastAsia="宋体"/>
          <w:kern w:val="2"/>
          <w:sz w:val="21"/>
          <w:szCs w:val="21"/>
        </w:rPr>
      </w:pPr>
      <w:bookmarkStart w:id="51" w:name="_Toc477252458"/>
      <w:r>
        <w:rPr>
          <w:rFonts w:eastAsia="宋体"/>
          <w:kern w:val="2"/>
          <w:sz w:val="21"/>
          <w:szCs w:val="21"/>
        </w:rPr>
        <w:t>（三）区位状况分析</w:t>
      </w:r>
      <w:bookmarkEnd w:id="51"/>
    </w:p>
    <w:p w:rsidR="00184596" w:rsidRDefault="00FD048A">
      <w:pPr>
        <w:spacing w:line="480" w:lineRule="auto"/>
        <w:ind w:firstLineChars="200" w:firstLine="420"/>
        <w:jc w:val="both"/>
        <w:rPr>
          <w:rFonts w:ascii="Arial" w:hAnsi="Arial"/>
          <w:sz w:val="21"/>
          <w:szCs w:val="21"/>
        </w:rPr>
      </w:pPr>
      <w:r>
        <w:rPr>
          <w:rFonts w:ascii="Arial" w:hAnsi="Arial"/>
          <w:sz w:val="21"/>
          <w:szCs w:val="21"/>
        </w:rPr>
        <w:t>1.</w:t>
      </w:r>
      <w:r>
        <w:rPr>
          <w:rFonts w:ascii="Arial" w:hAnsi="Arial"/>
          <w:sz w:val="21"/>
          <w:szCs w:val="21"/>
        </w:rPr>
        <w:t>位置状况</w:t>
      </w:r>
    </w:p>
    <w:p w:rsidR="00184596" w:rsidRDefault="00FD048A">
      <w:pPr>
        <w:spacing w:line="480" w:lineRule="auto"/>
        <w:ind w:firstLineChars="200" w:firstLine="420"/>
        <w:jc w:val="both"/>
        <w:rPr>
          <w:rFonts w:ascii="Arial" w:hAnsi="Arial" w:cs="Arial"/>
          <w:bCs/>
          <w:sz w:val="21"/>
        </w:rPr>
      </w:pPr>
      <w:r>
        <w:rPr>
          <w:rFonts w:ascii="Arial" w:hAnsi="Arial" w:hint="eastAsia"/>
          <w:kern w:val="2"/>
          <w:sz w:val="21"/>
        </w:rPr>
        <w:t>估价对象所属项目位于</w:t>
      </w:r>
      <w:r>
        <w:rPr>
          <w:rFonts w:ascii="Arial" w:hAnsi="Arial" w:hint="eastAsia"/>
          <w:bCs/>
          <w:sz w:val="21"/>
        </w:rPr>
        <w:t>北京市房山区长于大街与良乡东路交口东北角</w:t>
      </w:r>
      <w:r>
        <w:rPr>
          <w:rFonts w:ascii="Arial" w:hAnsi="Arial" w:hint="eastAsia"/>
          <w:kern w:val="2"/>
          <w:sz w:val="21"/>
        </w:rPr>
        <w:t>，地处良乡大学城商</w:t>
      </w:r>
      <w:proofErr w:type="gramStart"/>
      <w:r>
        <w:rPr>
          <w:rFonts w:ascii="Arial" w:hAnsi="Arial" w:hint="eastAsia"/>
          <w:kern w:val="2"/>
          <w:sz w:val="21"/>
        </w:rPr>
        <w:t>圈核心</w:t>
      </w:r>
      <w:proofErr w:type="gramEnd"/>
      <w:r>
        <w:rPr>
          <w:rFonts w:ascii="Arial" w:hAnsi="Arial" w:hint="eastAsia"/>
          <w:kern w:val="2"/>
          <w:sz w:val="21"/>
        </w:rPr>
        <w:t>位置，紧邻城市次主干道——长于大街，直通地铁房山线——良乡大学城北站。</w:t>
      </w:r>
      <w:r>
        <w:rPr>
          <w:rFonts w:ascii="Arial" w:hAnsi="Arial" w:cs="Arial"/>
          <w:bCs/>
          <w:sz w:val="21"/>
        </w:rPr>
        <w:t>估价对象</w:t>
      </w:r>
      <w:r>
        <w:rPr>
          <w:rFonts w:ascii="Arial" w:hAnsi="Arial" w:cs="Arial"/>
          <w:kern w:val="2"/>
          <w:sz w:val="21"/>
        </w:rPr>
        <w:t>所在区域地理</w:t>
      </w:r>
      <w:r>
        <w:rPr>
          <w:rFonts w:ascii="Arial" w:hAnsi="Arial" w:cs="Arial"/>
          <w:bCs/>
          <w:sz w:val="21"/>
        </w:rPr>
        <w:t>位置状况</w:t>
      </w:r>
      <w:r>
        <w:rPr>
          <w:rFonts w:ascii="Arial" w:hAnsi="Arial" w:cs="Arial" w:hint="eastAsia"/>
          <w:bCs/>
          <w:sz w:val="21"/>
        </w:rPr>
        <w:t>较好</w:t>
      </w:r>
      <w:r>
        <w:rPr>
          <w:rFonts w:ascii="Arial" w:hAnsi="Arial" w:cs="Arial"/>
          <w:bCs/>
          <w:sz w:val="21"/>
        </w:rPr>
        <w:t>。</w:t>
      </w:r>
    </w:p>
    <w:p w:rsidR="00184596" w:rsidRDefault="00FD048A">
      <w:pPr>
        <w:spacing w:line="480" w:lineRule="auto"/>
        <w:ind w:firstLineChars="200" w:firstLine="420"/>
        <w:jc w:val="both"/>
        <w:rPr>
          <w:rFonts w:ascii="Arial" w:hAnsi="Arial" w:cs="Arial"/>
          <w:kern w:val="2"/>
          <w:sz w:val="21"/>
        </w:rPr>
      </w:pPr>
      <w:r>
        <w:rPr>
          <w:rFonts w:ascii="Arial" w:hAnsi="Arial" w:cs="Arial"/>
          <w:sz w:val="21"/>
          <w:szCs w:val="21"/>
        </w:rPr>
        <w:t>2.</w:t>
      </w:r>
      <w:r>
        <w:rPr>
          <w:rFonts w:ascii="Arial" w:hAnsi="Arial" w:cs="Arial"/>
          <w:sz w:val="21"/>
          <w:szCs w:val="21"/>
        </w:rPr>
        <w:t>商业繁华度</w:t>
      </w:r>
    </w:p>
    <w:p w:rsidR="00184596" w:rsidRDefault="00FD048A">
      <w:pPr>
        <w:spacing w:line="480" w:lineRule="auto"/>
        <w:ind w:firstLineChars="200" w:firstLine="420"/>
        <w:rPr>
          <w:rFonts w:ascii="Arial" w:hAnsi="Arial" w:cs="Arial"/>
          <w:color w:val="548DD4"/>
          <w:sz w:val="21"/>
          <w:szCs w:val="21"/>
        </w:rPr>
      </w:pPr>
      <w:r>
        <w:rPr>
          <w:rFonts w:ascii="Arial" w:hAnsi="Arial" w:cs="Arial" w:hint="eastAsia"/>
          <w:bCs/>
          <w:sz w:val="21"/>
        </w:rPr>
        <w:t>估价对象周边</w:t>
      </w:r>
      <w:r>
        <w:rPr>
          <w:rFonts w:ascii="Arial" w:hAnsi="Arial" w:cs="Arial" w:hint="eastAsia"/>
          <w:bCs/>
          <w:sz w:val="21"/>
        </w:rPr>
        <w:t>3</w:t>
      </w:r>
      <w:r>
        <w:rPr>
          <w:rFonts w:ascii="Arial" w:hAnsi="Arial" w:cs="Arial" w:hint="eastAsia"/>
          <w:bCs/>
          <w:sz w:val="21"/>
        </w:rPr>
        <w:t>公里范围内无大型购物中心，多以社区底商为主</w:t>
      </w:r>
      <w:r>
        <w:rPr>
          <w:rFonts w:ascii="Arial" w:hAnsi="Arial" w:cs="Arial" w:hint="eastAsia"/>
          <w:sz w:val="21"/>
          <w:szCs w:val="21"/>
        </w:rPr>
        <w:t>，</w:t>
      </w:r>
      <w:r>
        <w:rPr>
          <w:rFonts w:ascii="Arial" w:hAnsi="Arial" w:cs="Arial"/>
          <w:sz w:val="21"/>
          <w:szCs w:val="21"/>
        </w:rPr>
        <w:t>人流量</w:t>
      </w:r>
      <w:r>
        <w:rPr>
          <w:rFonts w:ascii="Arial" w:hAnsi="Arial" w:cs="Arial" w:hint="eastAsia"/>
          <w:sz w:val="21"/>
          <w:szCs w:val="21"/>
        </w:rPr>
        <w:t>较少</w:t>
      </w:r>
      <w:r>
        <w:rPr>
          <w:rFonts w:ascii="Arial" w:hAnsi="Arial" w:cs="Arial"/>
          <w:sz w:val="21"/>
          <w:szCs w:val="21"/>
        </w:rPr>
        <w:t>，商业繁华度</w:t>
      </w:r>
      <w:r>
        <w:rPr>
          <w:rFonts w:ascii="Arial" w:hAnsi="Arial" w:cs="Arial" w:hint="eastAsia"/>
          <w:sz w:val="21"/>
          <w:szCs w:val="21"/>
        </w:rPr>
        <w:t>一般</w:t>
      </w:r>
      <w:r>
        <w:rPr>
          <w:rFonts w:ascii="Arial" w:hAnsi="Arial" w:cs="Arial"/>
          <w:sz w:val="21"/>
          <w:szCs w:val="21"/>
        </w:rPr>
        <w:t>。</w:t>
      </w:r>
    </w:p>
    <w:p w:rsidR="00184596" w:rsidRDefault="00FD048A">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hint="eastAsia"/>
          <w:sz w:val="21"/>
          <w:szCs w:val="21"/>
        </w:rPr>
        <w:t>交</w:t>
      </w:r>
      <w:r>
        <w:rPr>
          <w:rFonts w:ascii="Arial" w:hAnsi="Arial" w:cs="Arial"/>
          <w:sz w:val="21"/>
          <w:szCs w:val="21"/>
        </w:rPr>
        <w:t>通状况</w:t>
      </w:r>
    </w:p>
    <w:p w:rsidR="00184596" w:rsidRDefault="00FD048A">
      <w:pPr>
        <w:spacing w:line="480" w:lineRule="auto"/>
        <w:ind w:firstLineChars="200" w:firstLine="420"/>
        <w:jc w:val="both"/>
        <w:rPr>
          <w:rFonts w:ascii="Arial" w:hAnsi="Arial" w:cs="Arial"/>
          <w:sz w:val="21"/>
          <w:szCs w:val="21"/>
        </w:rPr>
      </w:pPr>
      <w:r>
        <w:rPr>
          <w:rFonts w:ascii="Arial" w:hAnsi="Arial" w:cs="Arial"/>
          <w:kern w:val="2"/>
          <w:sz w:val="21"/>
          <w:szCs w:val="21"/>
        </w:rPr>
        <w:t>估价对象周边有</w:t>
      </w:r>
      <w:r>
        <w:rPr>
          <w:rFonts w:ascii="Arial" w:hAnsi="Arial" w:cs="Arial"/>
          <w:kern w:val="2"/>
          <w:sz w:val="21"/>
          <w:szCs w:val="21"/>
        </w:rPr>
        <w:t>832</w:t>
      </w:r>
      <w:r>
        <w:rPr>
          <w:rFonts w:ascii="Arial" w:hAnsi="Arial" w:cs="Arial" w:hint="eastAsia"/>
          <w:kern w:val="2"/>
          <w:sz w:val="21"/>
          <w:szCs w:val="21"/>
        </w:rPr>
        <w:t>路、</w:t>
      </w:r>
      <w:commentRangeStart w:id="52"/>
      <w:r>
        <w:rPr>
          <w:rFonts w:ascii="Arial" w:hAnsi="Arial" w:cs="Arial"/>
          <w:kern w:val="2"/>
          <w:sz w:val="21"/>
          <w:szCs w:val="21"/>
        </w:rPr>
        <w:t>F12</w:t>
      </w:r>
      <w:r>
        <w:rPr>
          <w:rFonts w:ascii="Arial" w:hAnsi="Arial" w:cs="Arial" w:hint="eastAsia"/>
          <w:kern w:val="2"/>
          <w:sz w:val="21"/>
          <w:szCs w:val="21"/>
        </w:rPr>
        <w:t>路、</w:t>
      </w:r>
      <w:r>
        <w:rPr>
          <w:rFonts w:ascii="Arial" w:hAnsi="Arial" w:cs="Arial"/>
          <w:kern w:val="2"/>
          <w:sz w:val="21"/>
          <w:szCs w:val="21"/>
        </w:rPr>
        <w:t>F1</w:t>
      </w:r>
      <w:r>
        <w:rPr>
          <w:rFonts w:ascii="Arial" w:hAnsi="Arial" w:cs="Arial" w:hint="eastAsia"/>
          <w:kern w:val="2"/>
          <w:sz w:val="21"/>
          <w:szCs w:val="21"/>
        </w:rPr>
        <w:t>路内环、</w:t>
      </w:r>
      <w:r>
        <w:rPr>
          <w:rFonts w:ascii="Arial" w:hAnsi="Arial" w:cs="Arial" w:hint="eastAsia"/>
          <w:kern w:val="2"/>
          <w:sz w:val="21"/>
          <w:szCs w:val="21"/>
        </w:rPr>
        <w:t>F</w:t>
      </w:r>
      <w:r>
        <w:rPr>
          <w:rFonts w:ascii="Arial" w:hAnsi="Arial" w:cs="Arial"/>
          <w:kern w:val="2"/>
          <w:sz w:val="21"/>
          <w:szCs w:val="21"/>
        </w:rPr>
        <w:t>1</w:t>
      </w:r>
      <w:r>
        <w:rPr>
          <w:rFonts w:ascii="Arial" w:hAnsi="Arial" w:cs="Arial" w:hint="eastAsia"/>
          <w:kern w:val="2"/>
          <w:sz w:val="21"/>
          <w:szCs w:val="21"/>
        </w:rPr>
        <w:t>路外环</w:t>
      </w:r>
      <w:commentRangeEnd w:id="52"/>
      <w:r w:rsidR="006B311D">
        <w:rPr>
          <w:rStyle w:val="af5"/>
        </w:rPr>
        <w:commentReference w:id="52"/>
      </w:r>
      <w:r>
        <w:rPr>
          <w:rFonts w:ascii="Arial" w:hAnsi="Arial" w:cs="Arial" w:hint="eastAsia"/>
          <w:kern w:val="2"/>
          <w:sz w:val="21"/>
          <w:szCs w:val="21"/>
        </w:rPr>
        <w:t>、</w:t>
      </w:r>
      <w:r>
        <w:rPr>
          <w:rFonts w:ascii="Arial" w:hAnsi="Arial" w:cs="Arial" w:hint="eastAsia"/>
          <w:kern w:val="2"/>
          <w:sz w:val="21"/>
          <w:szCs w:val="21"/>
        </w:rPr>
        <w:t>F</w:t>
      </w:r>
      <w:r>
        <w:rPr>
          <w:rFonts w:ascii="Arial" w:hAnsi="Arial" w:cs="Arial"/>
          <w:kern w:val="2"/>
          <w:sz w:val="21"/>
          <w:szCs w:val="21"/>
        </w:rPr>
        <w:t>46</w:t>
      </w:r>
      <w:r>
        <w:rPr>
          <w:rFonts w:ascii="Arial" w:hAnsi="Arial" w:cs="Arial" w:hint="eastAsia"/>
          <w:kern w:val="2"/>
          <w:sz w:val="21"/>
          <w:szCs w:val="21"/>
        </w:rPr>
        <w:t>路、</w:t>
      </w:r>
      <w:r>
        <w:rPr>
          <w:rFonts w:ascii="Arial" w:hAnsi="Arial" w:cs="Arial" w:hint="eastAsia"/>
          <w:kern w:val="2"/>
          <w:sz w:val="21"/>
          <w:szCs w:val="21"/>
        </w:rPr>
        <w:t>F</w:t>
      </w:r>
      <w:r>
        <w:rPr>
          <w:rFonts w:ascii="Arial" w:hAnsi="Arial" w:cs="Arial"/>
          <w:kern w:val="2"/>
          <w:sz w:val="21"/>
          <w:szCs w:val="21"/>
        </w:rPr>
        <w:t>81</w:t>
      </w:r>
      <w:r>
        <w:rPr>
          <w:rFonts w:ascii="Arial" w:hAnsi="Arial" w:cs="Arial" w:hint="eastAsia"/>
          <w:kern w:val="2"/>
          <w:sz w:val="21"/>
          <w:szCs w:val="21"/>
        </w:rPr>
        <w:t>路</w:t>
      </w:r>
      <w:r>
        <w:rPr>
          <w:rFonts w:ascii="Arial" w:hAnsi="Arial" w:cs="Arial"/>
          <w:kern w:val="2"/>
          <w:sz w:val="21"/>
          <w:szCs w:val="21"/>
        </w:rPr>
        <w:t>等多条公交线路</w:t>
      </w:r>
      <w:r>
        <w:rPr>
          <w:rFonts w:ascii="Arial" w:hAnsi="Arial" w:cs="Arial" w:hint="eastAsia"/>
          <w:kern w:val="2"/>
          <w:sz w:val="21"/>
          <w:szCs w:val="21"/>
        </w:rPr>
        <w:t>，</w:t>
      </w:r>
      <w:r>
        <w:rPr>
          <w:rFonts w:ascii="Arial" w:hAnsi="Arial" w:hint="eastAsia"/>
          <w:kern w:val="2"/>
          <w:sz w:val="21"/>
        </w:rPr>
        <w:t>直通地铁房山线——良乡大学城北站，</w:t>
      </w:r>
      <w:r>
        <w:rPr>
          <w:rFonts w:ascii="Arial" w:hAnsi="Arial" w:cs="Arial" w:hint="eastAsia"/>
          <w:kern w:val="2"/>
          <w:sz w:val="21"/>
          <w:szCs w:val="21"/>
        </w:rPr>
        <w:t>道路通达度较好</w:t>
      </w:r>
      <w:r>
        <w:rPr>
          <w:rFonts w:ascii="Arial" w:hAnsi="Arial" w:cs="Arial"/>
          <w:kern w:val="2"/>
          <w:sz w:val="21"/>
          <w:szCs w:val="21"/>
        </w:rPr>
        <w:t>。综合评价</w:t>
      </w:r>
      <w:r>
        <w:rPr>
          <w:rFonts w:ascii="Arial" w:hAnsi="Arial" w:cs="Arial"/>
          <w:sz w:val="21"/>
          <w:szCs w:val="21"/>
        </w:rPr>
        <w:t>交通便捷度较好</w:t>
      </w:r>
      <w:r>
        <w:rPr>
          <w:rFonts w:ascii="Arial" w:hAnsi="Arial" w:cs="Arial" w:hint="eastAsia"/>
          <w:sz w:val="21"/>
          <w:szCs w:val="21"/>
        </w:rPr>
        <w:t>。</w:t>
      </w:r>
    </w:p>
    <w:p w:rsidR="00184596" w:rsidRDefault="00FD048A">
      <w:pPr>
        <w:spacing w:line="480" w:lineRule="auto"/>
        <w:ind w:firstLineChars="200" w:firstLine="420"/>
        <w:jc w:val="both"/>
        <w:rPr>
          <w:rFonts w:ascii="Arial" w:hAnsi="Arial" w:cs="Arial"/>
          <w:color w:val="000000"/>
          <w:sz w:val="21"/>
          <w:szCs w:val="21"/>
        </w:rPr>
      </w:pPr>
      <w:r>
        <w:rPr>
          <w:rFonts w:ascii="Arial" w:hAnsi="Arial" w:cs="Arial"/>
          <w:sz w:val="21"/>
          <w:szCs w:val="21"/>
        </w:rPr>
        <w:t>4.</w:t>
      </w:r>
      <w:r>
        <w:rPr>
          <w:rFonts w:ascii="Arial" w:hAnsi="Arial" w:cs="Arial"/>
          <w:color w:val="000000"/>
          <w:sz w:val="21"/>
          <w:szCs w:val="21"/>
        </w:rPr>
        <w:t>环境状况</w:t>
      </w:r>
    </w:p>
    <w:p w:rsidR="00184596" w:rsidRDefault="00FD048A">
      <w:pPr>
        <w:spacing w:line="480" w:lineRule="auto"/>
        <w:ind w:firstLineChars="200" w:firstLine="420"/>
        <w:jc w:val="both"/>
        <w:rPr>
          <w:rFonts w:ascii="Arial" w:hAnsi="Arial" w:cs="Arial"/>
          <w:color w:val="548DD4"/>
          <w:sz w:val="21"/>
          <w:szCs w:val="21"/>
        </w:rPr>
      </w:pPr>
      <w:r>
        <w:rPr>
          <w:rFonts w:ascii="Arial" w:hAnsi="Arial" w:hint="eastAsia"/>
          <w:sz w:val="21"/>
          <w:szCs w:val="21"/>
        </w:rPr>
        <w:t>估价对象周边有广阳城森林公园、金隅公园、郊野生态区公园、小清河等绿化景观，有北京理工大学、中国社会科学院大学、北京工商大学、首都师范大学等高等学校，综合</w:t>
      </w:r>
      <w:r>
        <w:rPr>
          <w:rFonts w:ascii="Arial" w:hAnsi="Arial" w:cs="Arial" w:hint="eastAsia"/>
          <w:sz w:val="21"/>
          <w:szCs w:val="21"/>
        </w:rPr>
        <w:t>评价环境状况</w:t>
      </w:r>
      <w:r>
        <w:rPr>
          <w:rFonts w:ascii="Arial" w:hAnsi="Arial" w:hint="eastAsia"/>
          <w:sz w:val="21"/>
          <w:szCs w:val="21"/>
        </w:rPr>
        <w:t>较好。</w:t>
      </w:r>
    </w:p>
    <w:p w:rsidR="00184596" w:rsidRDefault="00FD048A">
      <w:pPr>
        <w:spacing w:line="480" w:lineRule="auto"/>
        <w:ind w:firstLineChars="200" w:firstLine="420"/>
        <w:jc w:val="both"/>
        <w:rPr>
          <w:rFonts w:ascii="Arial" w:hAnsi="Arial" w:cs="Arial"/>
          <w:color w:val="548DD4"/>
          <w:sz w:val="21"/>
          <w:szCs w:val="21"/>
        </w:rPr>
      </w:pPr>
      <w:r>
        <w:rPr>
          <w:rFonts w:ascii="Arial" w:hAnsi="Arial" w:cs="Arial"/>
          <w:color w:val="000000"/>
          <w:sz w:val="21"/>
          <w:szCs w:val="21"/>
        </w:rPr>
        <w:t>5</w:t>
      </w:r>
      <w:r>
        <w:rPr>
          <w:rFonts w:ascii="Arial" w:hAnsi="Arial" w:cs="Arial"/>
          <w:sz w:val="21"/>
          <w:szCs w:val="21"/>
        </w:rPr>
        <w:t>.</w:t>
      </w:r>
      <w:r>
        <w:rPr>
          <w:rFonts w:ascii="Arial" w:hAnsi="Arial" w:cs="Arial"/>
          <w:sz w:val="21"/>
          <w:szCs w:val="21"/>
        </w:rPr>
        <w:t>外部配套设施状况</w:t>
      </w:r>
    </w:p>
    <w:p w:rsidR="00184596" w:rsidRDefault="00FD048A">
      <w:pPr>
        <w:spacing w:line="480" w:lineRule="auto"/>
        <w:ind w:firstLineChars="200" w:firstLine="420"/>
        <w:rPr>
          <w:rFonts w:ascii="Arial" w:hAnsi="Arial"/>
          <w:sz w:val="21"/>
          <w:szCs w:val="21"/>
        </w:rPr>
      </w:pPr>
      <w:r>
        <w:rPr>
          <w:rFonts w:ascii="Arial" w:hAnsi="Arial"/>
          <w:sz w:val="21"/>
          <w:szCs w:val="21"/>
        </w:rPr>
        <w:lastRenderedPageBreak/>
        <w:t>估价对象所处区域目前已拥有</w:t>
      </w:r>
      <w:r>
        <w:rPr>
          <w:rFonts w:ascii="Arial" w:hAnsi="Arial" w:hint="eastAsia"/>
          <w:sz w:val="21"/>
          <w:szCs w:val="21"/>
        </w:rPr>
        <w:t>较</w:t>
      </w:r>
      <w:r>
        <w:rPr>
          <w:rFonts w:ascii="Arial" w:hAnsi="Arial"/>
          <w:sz w:val="21"/>
          <w:szCs w:val="21"/>
        </w:rPr>
        <w:t>完善的基础设施配套保障，区内大部分区域基础设施配套目前可达到</w:t>
      </w:r>
      <w:r>
        <w:rPr>
          <w:rFonts w:ascii="Arial" w:hAnsi="Arial" w:hint="eastAsia"/>
          <w:sz w:val="21"/>
          <w:szCs w:val="21"/>
        </w:rPr>
        <w:t>“七</w:t>
      </w:r>
      <w:r>
        <w:rPr>
          <w:rFonts w:ascii="Arial" w:hAnsi="Arial"/>
          <w:sz w:val="21"/>
          <w:szCs w:val="21"/>
        </w:rPr>
        <w:t>通</w:t>
      </w:r>
      <w:r>
        <w:rPr>
          <w:rFonts w:ascii="Arial" w:hAnsi="Arial" w:hint="eastAsia"/>
          <w:sz w:val="21"/>
          <w:szCs w:val="21"/>
        </w:rPr>
        <w:t>”</w:t>
      </w:r>
      <w:r>
        <w:rPr>
          <w:rFonts w:ascii="Arial" w:hAnsi="Arial"/>
          <w:sz w:val="21"/>
          <w:szCs w:val="21"/>
        </w:rPr>
        <w:t>（</w:t>
      </w:r>
      <w:r>
        <w:rPr>
          <w:rFonts w:ascii="Arial" w:hAnsi="Arial" w:hint="eastAsia"/>
          <w:kern w:val="2"/>
          <w:sz w:val="21"/>
        </w:rPr>
        <w:t xml:space="preserve"> </w:t>
      </w:r>
      <w:r>
        <w:rPr>
          <w:rFonts w:ascii="Arial" w:hAnsi="Arial" w:hint="eastAsia"/>
          <w:kern w:val="2"/>
          <w:sz w:val="21"/>
        </w:rPr>
        <w:t>通路、通电、通讯、通上水、通下水、通燃气、通热</w:t>
      </w:r>
      <w:r>
        <w:rPr>
          <w:rFonts w:ascii="Arial" w:hAnsi="Arial"/>
          <w:sz w:val="21"/>
          <w:szCs w:val="21"/>
        </w:rPr>
        <w:t>）条件，且保证程度高。</w:t>
      </w:r>
    </w:p>
    <w:p w:rsidR="00184596" w:rsidRDefault="00FD048A">
      <w:pPr>
        <w:spacing w:line="480" w:lineRule="auto"/>
        <w:ind w:firstLineChars="200" w:firstLine="420"/>
        <w:jc w:val="both"/>
        <w:rPr>
          <w:rFonts w:ascii="Arial" w:eastAsia="楷体_GB2312" w:hAnsi="Arial" w:cs="Arial"/>
          <w:sz w:val="28"/>
        </w:rPr>
      </w:pPr>
      <w:r>
        <w:rPr>
          <w:rFonts w:ascii="Arial" w:hAnsi="Arial"/>
          <w:sz w:val="21"/>
          <w:szCs w:val="21"/>
        </w:rPr>
        <w:t>周边</w:t>
      </w:r>
      <w:r>
        <w:rPr>
          <w:rFonts w:ascii="Arial" w:hAnsi="Arial"/>
          <w:sz w:val="21"/>
          <w:szCs w:val="21"/>
        </w:rPr>
        <w:t>3</w:t>
      </w:r>
      <w:r>
        <w:rPr>
          <w:rFonts w:ascii="Arial" w:hAnsi="Arial"/>
          <w:sz w:val="21"/>
          <w:szCs w:val="21"/>
        </w:rPr>
        <w:t>公里内的公共服务配套设施齐备</w:t>
      </w:r>
      <w:r>
        <w:rPr>
          <w:rFonts w:ascii="Arial" w:hAnsi="Arial" w:hint="eastAsia"/>
          <w:sz w:val="21"/>
          <w:szCs w:val="21"/>
        </w:rPr>
        <w:t>度一般</w:t>
      </w:r>
      <w:r>
        <w:rPr>
          <w:rFonts w:ascii="Arial" w:hAnsi="Arial"/>
          <w:sz w:val="21"/>
          <w:szCs w:val="21"/>
        </w:rPr>
        <w:t>，医院（</w:t>
      </w:r>
      <w:r>
        <w:rPr>
          <w:rFonts w:ascii="Arial" w:hAnsi="Arial" w:hint="eastAsia"/>
          <w:sz w:val="21"/>
          <w:szCs w:val="21"/>
        </w:rPr>
        <w:t>北京理工大学良乡校区门诊部、北京中医药大学良乡校区门诊部、北京市房山</w:t>
      </w:r>
      <w:proofErr w:type="gramStart"/>
      <w:r>
        <w:rPr>
          <w:rFonts w:ascii="Arial" w:hAnsi="Arial" w:hint="eastAsia"/>
          <w:sz w:val="21"/>
          <w:szCs w:val="21"/>
        </w:rPr>
        <w:t>区鹏园</w:t>
      </w:r>
      <w:proofErr w:type="gramEnd"/>
      <w:r>
        <w:rPr>
          <w:rFonts w:ascii="Arial" w:hAnsi="Arial" w:hint="eastAsia"/>
          <w:sz w:val="21"/>
          <w:szCs w:val="21"/>
        </w:rPr>
        <w:t>医院</w:t>
      </w:r>
      <w:r>
        <w:rPr>
          <w:rFonts w:ascii="Arial" w:hAnsi="Arial"/>
          <w:sz w:val="21"/>
          <w:szCs w:val="21"/>
        </w:rPr>
        <w:t>）、银行（</w:t>
      </w:r>
      <w:r>
        <w:rPr>
          <w:rFonts w:ascii="Arial" w:hAnsi="Arial" w:hint="eastAsia"/>
          <w:sz w:val="21"/>
          <w:szCs w:val="21"/>
        </w:rPr>
        <w:t>北京农商银行、中国农业银行等</w:t>
      </w:r>
      <w:r>
        <w:rPr>
          <w:rFonts w:ascii="Arial" w:hAnsi="Arial"/>
          <w:sz w:val="21"/>
          <w:szCs w:val="21"/>
        </w:rPr>
        <w:t>）、学校（</w:t>
      </w:r>
      <w:r>
        <w:rPr>
          <w:rFonts w:ascii="Arial" w:hAnsi="Arial" w:hint="eastAsia"/>
          <w:sz w:val="21"/>
          <w:szCs w:val="21"/>
        </w:rPr>
        <w:t>北京理工大学附属实验学校、北京四中、长阳中心小学、北京市房山</w:t>
      </w:r>
      <w:proofErr w:type="gramStart"/>
      <w:r>
        <w:rPr>
          <w:rFonts w:ascii="Arial" w:hAnsi="Arial" w:hint="eastAsia"/>
          <w:sz w:val="21"/>
          <w:szCs w:val="21"/>
        </w:rPr>
        <w:t>区首实中兴广悦居</w:t>
      </w:r>
      <w:proofErr w:type="gramEnd"/>
      <w:r>
        <w:rPr>
          <w:rFonts w:ascii="Arial" w:hAnsi="Arial" w:hint="eastAsia"/>
          <w:sz w:val="21"/>
          <w:szCs w:val="21"/>
        </w:rPr>
        <w:t>幼儿园等</w:t>
      </w:r>
      <w:r>
        <w:rPr>
          <w:rFonts w:ascii="Arial" w:hAnsi="Arial"/>
          <w:sz w:val="21"/>
          <w:szCs w:val="21"/>
        </w:rPr>
        <w:t>）等公共服务配套设施。</w:t>
      </w:r>
    </w:p>
    <w:p w:rsidR="00184596" w:rsidRDefault="00FD048A">
      <w:pPr>
        <w:spacing w:line="480" w:lineRule="auto"/>
        <w:ind w:firstLineChars="200" w:firstLine="420"/>
        <w:jc w:val="both"/>
        <w:rPr>
          <w:rFonts w:ascii="Arial" w:hAnsi="Arial" w:cs="Arial"/>
          <w:b/>
          <w:bCs/>
          <w:sz w:val="21"/>
          <w:szCs w:val="21"/>
        </w:rPr>
      </w:pPr>
      <w:r>
        <w:rPr>
          <w:rFonts w:ascii="Arial" w:hAnsi="Arial"/>
          <w:sz w:val="21"/>
          <w:szCs w:val="21"/>
        </w:rPr>
        <w:t>综上，</w:t>
      </w:r>
      <w:r>
        <w:rPr>
          <w:rFonts w:ascii="Arial" w:hAnsi="Arial" w:hint="eastAsia"/>
          <w:sz w:val="21"/>
          <w:szCs w:val="21"/>
        </w:rPr>
        <w:t>估价对象位置状况较好，商业繁华度一般，交通便捷度较好，环境状况较好，外部配套设施齐备度一般，区域市政基础设施达“七通”，估价对象总体区位状况一般。</w:t>
      </w:r>
    </w:p>
    <w:p w:rsidR="00184596" w:rsidRDefault="00FD048A">
      <w:pPr>
        <w:pStyle w:val="2"/>
        <w:numPr>
          <w:ilvl w:val="0"/>
          <w:numId w:val="0"/>
        </w:numPr>
        <w:spacing w:line="480" w:lineRule="auto"/>
        <w:ind w:left="358" w:hangingChars="170" w:hanging="358"/>
        <w:jc w:val="both"/>
        <w:rPr>
          <w:rFonts w:eastAsia="宋体"/>
          <w:kern w:val="2"/>
          <w:sz w:val="21"/>
          <w:szCs w:val="21"/>
        </w:rPr>
      </w:pPr>
      <w:bookmarkStart w:id="53" w:name="_Toc477252459"/>
      <w:r>
        <w:rPr>
          <w:rFonts w:eastAsia="宋体"/>
          <w:kern w:val="2"/>
          <w:sz w:val="21"/>
          <w:szCs w:val="21"/>
        </w:rPr>
        <w:t>二、市场背景描述与分析</w:t>
      </w:r>
      <w:bookmarkEnd w:id="53"/>
    </w:p>
    <w:p w:rsidR="00184596" w:rsidRDefault="00FD048A">
      <w:pPr>
        <w:spacing w:line="480" w:lineRule="auto"/>
        <w:jc w:val="both"/>
        <w:rPr>
          <w:rFonts w:ascii="Arial" w:hAnsi="Arial"/>
          <w:b/>
          <w:bCs/>
          <w:color w:val="548DD4"/>
          <w:sz w:val="21"/>
          <w:szCs w:val="28"/>
        </w:rPr>
      </w:pPr>
      <w:r>
        <w:rPr>
          <w:rFonts w:ascii="Arial" w:hAnsi="Arial" w:hint="eastAsia"/>
          <w:b/>
          <w:bCs/>
          <w:sz w:val="21"/>
          <w:szCs w:val="28"/>
        </w:rPr>
        <w:t>（一）北京市商业及办公用房房地产市场状况</w:t>
      </w:r>
    </w:p>
    <w:p w:rsidR="00184596" w:rsidRDefault="00FD048A">
      <w:pPr>
        <w:spacing w:line="480" w:lineRule="auto"/>
        <w:ind w:right="-187" w:firstLineChars="200" w:firstLine="420"/>
        <w:jc w:val="both"/>
        <w:rPr>
          <w:rFonts w:ascii="Arial" w:hAnsi="Arial" w:cs="Arial"/>
          <w:sz w:val="21"/>
        </w:rPr>
      </w:pPr>
      <w:r>
        <w:rPr>
          <w:rFonts w:ascii="Arial" w:hAnsi="Arial" w:cs="Arial" w:hint="eastAsia"/>
          <w:sz w:val="21"/>
        </w:rPr>
        <w:t>1.</w:t>
      </w:r>
      <w:r>
        <w:rPr>
          <w:rFonts w:ascii="Arial" w:hAnsi="Arial" w:cs="Arial" w:hint="eastAsia"/>
          <w:sz w:val="21"/>
        </w:rPr>
        <w:t>宏观环境</w:t>
      </w:r>
    </w:p>
    <w:p w:rsidR="00184596" w:rsidRDefault="00FD048A">
      <w:pPr>
        <w:widowControl/>
        <w:adjustRightInd/>
        <w:spacing w:line="480" w:lineRule="auto"/>
        <w:ind w:firstLineChars="200" w:firstLine="420"/>
        <w:jc w:val="both"/>
        <w:rPr>
          <w:rFonts w:ascii="Arial" w:hAnsi="Arial"/>
          <w:color w:val="000000"/>
          <w:sz w:val="21"/>
          <w:szCs w:val="21"/>
        </w:rPr>
      </w:pPr>
      <w:bookmarkStart w:id="54" w:name="OLE_LINK42"/>
      <w:bookmarkStart w:id="55" w:name="OLE_LINK41"/>
      <w:r>
        <w:rPr>
          <w:rFonts w:ascii="Arial" w:hAnsi="Arial" w:hint="eastAsia"/>
          <w:color w:val="000000"/>
          <w:sz w:val="21"/>
          <w:szCs w:val="21"/>
        </w:rPr>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rsidR="00184596" w:rsidRDefault="00FD048A">
      <w:pPr>
        <w:widowControl/>
        <w:adjustRightInd/>
        <w:spacing w:line="480" w:lineRule="auto"/>
        <w:ind w:firstLineChars="200" w:firstLine="420"/>
        <w:jc w:val="both"/>
        <w:rPr>
          <w:rFonts w:ascii="Arial" w:hAnsi="Arial"/>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rsidR="00184596" w:rsidRDefault="00FD048A">
      <w:pPr>
        <w:rPr>
          <w:rFonts w:ascii="Arial" w:eastAsia="方正黑体简体" w:hAnsi="Arial"/>
          <w:bCs/>
          <w:color w:val="000000"/>
          <w:szCs w:val="24"/>
        </w:rPr>
      </w:pPr>
      <w:r>
        <w:rPr>
          <w:rFonts w:ascii="Arial" w:eastAsia="方正黑体简体" w:hAnsi="Arial"/>
          <w:bCs/>
          <w:color w:val="000000"/>
          <w:szCs w:val="24"/>
        </w:rPr>
        <w:br w:type="page"/>
      </w:r>
    </w:p>
    <w:p w:rsidR="00184596" w:rsidRDefault="00FD048A">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lastRenderedPageBreak/>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rsidR="00184596" w:rsidRDefault="00FD048A">
      <w:pPr>
        <w:widowControl/>
        <w:adjustRightInd/>
        <w:spacing w:line="480" w:lineRule="auto"/>
        <w:jc w:val="center"/>
        <w:rPr>
          <w:rFonts w:ascii="Arial" w:hAnsi="Arial"/>
          <w:color w:val="000000"/>
          <w:sz w:val="21"/>
          <w:szCs w:val="21"/>
        </w:rPr>
      </w:pPr>
      <w:r>
        <w:rPr>
          <w:rFonts w:ascii="Arial" w:eastAsia="仿宋" w:hAnsi="Arial" w:cs="Arial"/>
          <w:noProof/>
          <w:sz w:val="28"/>
          <w:szCs w:val="28"/>
        </w:rPr>
        <w:drawing>
          <wp:inline distT="0" distB="0" distL="0" distR="0">
            <wp:extent cx="5904865" cy="2171700"/>
            <wp:effectExtent l="0" t="0" r="0" b="0"/>
            <wp:docPr id="5" name="图片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84596" w:rsidRDefault="00FD048A">
      <w:pPr>
        <w:widowControl/>
        <w:adjustRightInd/>
        <w:spacing w:line="480" w:lineRule="auto"/>
        <w:ind w:firstLineChars="250" w:firstLine="525"/>
        <w:jc w:val="both"/>
        <w:textAlignment w:val="auto"/>
        <w:rPr>
          <w:rFonts w:ascii="Arial" w:hAnsi="Arial"/>
          <w:color w:val="000000"/>
          <w:sz w:val="21"/>
          <w:szCs w:val="21"/>
        </w:rPr>
      </w:pPr>
      <w:bookmarkStart w:id="56" w:name="OLE_LINK39"/>
      <w:bookmarkEnd w:id="54"/>
      <w:bookmarkEnd w:id="55"/>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年全年，北京市实现地区生产总值</w:t>
      </w:r>
      <w:r>
        <w:rPr>
          <w:rFonts w:ascii="Arial" w:hAnsi="Arial" w:hint="eastAsia"/>
          <w:color w:val="000000"/>
          <w:sz w:val="21"/>
          <w:szCs w:val="21"/>
        </w:rPr>
        <w:t>52073.4</w:t>
      </w:r>
      <w:r>
        <w:rPr>
          <w:rFonts w:ascii="Arial" w:hAnsi="Arial" w:hint="eastAsia"/>
          <w:color w:val="000000"/>
          <w:sz w:val="21"/>
          <w:szCs w:val="21"/>
        </w:rPr>
        <w:t>亿元，按不变价格计算，比上年增长</w:t>
      </w:r>
      <w:r>
        <w:rPr>
          <w:rFonts w:ascii="Arial" w:hAnsi="Arial" w:hint="eastAsia"/>
          <w:color w:val="000000"/>
          <w:sz w:val="21"/>
          <w:szCs w:val="21"/>
        </w:rPr>
        <w:t>5.4%</w:t>
      </w:r>
      <w:r>
        <w:rPr>
          <w:rFonts w:ascii="Arial" w:hAnsi="Arial" w:hint="eastAsia"/>
          <w:color w:val="000000"/>
          <w:sz w:val="21"/>
          <w:szCs w:val="21"/>
        </w:rPr>
        <w:t>。分产业看，第一产业实现增加值</w:t>
      </w:r>
      <w:r>
        <w:rPr>
          <w:rFonts w:ascii="Arial" w:hAnsi="Arial" w:hint="eastAsia"/>
          <w:color w:val="000000"/>
          <w:sz w:val="21"/>
          <w:szCs w:val="21"/>
        </w:rPr>
        <w:t>109.2</w:t>
      </w:r>
      <w:r>
        <w:rPr>
          <w:rFonts w:ascii="Arial" w:hAnsi="Arial" w:hint="eastAsia"/>
          <w:color w:val="000000"/>
          <w:sz w:val="21"/>
          <w:szCs w:val="21"/>
        </w:rPr>
        <w:t>亿元，下降</w:t>
      </w:r>
      <w:r>
        <w:rPr>
          <w:rFonts w:ascii="Arial" w:hAnsi="Arial" w:hint="eastAsia"/>
          <w:color w:val="000000"/>
          <w:sz w:val="21"/>
          <w:szCs w:val="21"/>
        </w:rPr>
        <w:t>0.7%</w:t>
      </w:r>
      <w:r>
        <w:rPr>
          <w:rFonts w:ascii="Arial" w:hAnsi="Arial" w:hint="eastAsia"/>
          <w:color w:val="000000"/>
          <w:sz w:val="21"/>
          <w:szCs w:val="21"/>
        </w:rPr>
        <w:t>；第二产业实现增加值</w:t>
      </w:r>
      <w:r>
        <w:rPr>
          <w:rFonts w:ascii="Arial" w:hAnsi="Arial" w:hint="eastAsia"/>
          <w:color w:val="000000"/>
          <w:sz w:val="21"/>
          <w:szCs w:val="21"/>
        </w:rPr>
        <w:t>7187.4</w:t>
      </w:r>
      <w:r>
        <w:rPr>
          <w:rFonts w:ascii="Arial" w:hAnsi="Arial" w:hint="eastAsia"/>
          <w:color w:val="000000"/>
          <w:sz w:val="21"/>
          <w:szCs w:val="21"/>
        </w:rPr>
        <w:t>亿元，增长</w:t>
      </w:r>
      <w:r>
        <w:rPr>
          <w:rFonts w:ascii="Arial" w:hAnsi="Arial" w:hint="eastAsia"/>
          <w:color w:val="000000"/>
          <w:sz w:val="21"/>
          <w:szCs w:val="21"/>
        </w:rPr>
        <w:t>3.5%</w:t>
      </w:r>
      <w:r>
        <w:rPr>
          <w:rFonts w:ascii="Arial" w:hAnsi="Arial" w:hint="eastAsia"/>
          <w:color w:val="000000"/>
          <w:sz w:val="21"/>
          <w:szCs w:val="21"/>
        </w:rPr>
        <w:t>；第三产业实现增加值</w:t>
      </w:r>
      <w:r>
        <w:rPr>
          <w:rFonts w:ascii="Arial" w:hAnsi="Arial" w:hint="eastAsia"/>
          <w:color w:val="000000"/>
          <w:sz w:val="21"/>
          <w:szCs w:val="21"/>
        </w:rPr>
        <w:t>44776.9</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rsidR="00184596" w:rsidRDefault="00FD048A">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年，北京市固定资产投资（不含农户）比上年增长</w:t>
      </w:r>
      <w:r>
        <w:rPr>
          <w:rFonts w:ascii="Arial" w:hAnsi="Arial" w:hint="eastAsia"/>
          <w:color w:val="000000"/>
          <w:sz w:val="21"/>
          <w:szCs w:val="21"/>
        </w:rPr>
        <w:t>5.5%</w:t>
      </w:r>
      <w:r>
        <w:rPr>
          <w:rFonts w:ascii="Arial" w:hAnsi="Arial" w:hint="eastAsia"/>
          <w:color w:val="000000"/>
          <w:sz w:val="21"/>
          <w:szCs w:val="21"/>
        </w:rPr>
        <w:t>。其中，反映企业生产能力扩大的设备购置投资增长</w:t>
      </w:r>
      <w:r>
        <w:rPr>
          <w:rFonts w:ascii="Arial" w:hAnsi="Arial" w:hint="eastAsia"/>
          <w:color w:val="000000"/>
          <w:sz w:val="21"/>
          <w:szCs w:val="21"/>
        </w:rPr>
        <w:t>66.0%</w:t>
      </w:r>
      <w:r>
        <w:rPr>
          <w:rFonts w:ascii="Arial" w:hAnsi="Arial" w:hint="eastAsia"/>
          <w:color w:val="000000"/>
          <w:sz w:val="21"/>
          <w:szCs w:val="21"/>
        </w:rPr>
        <w:t>，占固定资产投资的比重为</w:t>
      </w:r>
      <w:r>
        <w:rPr>
          <w:rFonts w:ascii="Arial" w:hAnsi="Arial" w:hint="eastAsia"/>
          <w:color w:val="000000"/>
          <w:sz w:val="21"/>
          <w:szCs w:val="21"/>
        </w:rPr>
        <w:t>32.3%</w:t>
      </w:r>
      <w:r>
        <w:rPr>
          <w:rFonts w:ascii="Arial" w:hAnsi="Arial" w:hint="eastAsia"/>
          <w:color w:val="000000"/>
          <w:sz w:val="21"/>
          <w:szCs w:val="21"/>
        </w:rPr>
        <w:t>，同比提高</w:t>
      </w:r>
      <w:r>
        <w:rPr>
          <w:rFonts w:ascii="Arial" w:hAnsi="Arial" w:hint="eastAsia"/>
          <w:color w:val="000000"/>
          <w:sz w:val="21"/>
          <w:szCs w:val="21"/>
        </w:rPr>
        <w:t>11.7</w:t>
      </w:r>
      <w:r>
        <w:rPr>
          <w:rFonts w:ascii="Arial" w:hAnsi="Arial" w:hint="eastAsia"/>
          <w:color w:val="000000"/>
          <w:sz w:val="21"/>
          <w:szCs w:val="21"/>
        </w:rPr>
        <w:t>个百分点，新一代信息技术、集成电路领域相关项目是主要带动力量。分领域看，基础设施投资下降</w:t>
      </w:r>
      <w:r>
        <w:rPr>
          <w:rFonts w:ascii="Arial" w:hAnsi="Arial" w:hint="eastAsia"/>
          <w:color w:val="000000"/>
          <w:sz w:val="21"/>
          <w:szCs w:val="21"/>
        </w:rPr>
        <w:t>1.6%</w:t>
      </w:r>
      <w:r>
        <w:rPr>
          <w:rFonts w:ascii="Arial" w:hAnsi="Arial" w:hint="eastAsia"/>
          <w:color w:val="000000"/>
          <w:sz w:val="21"/>
          <w:szCs w:val="21"/>
        </w:rPr>
        <w:t>，房地产开发投资下降</w:t>
      </w:r>
      <w:r>
        <w:rPr>
          <w:rFonts w:ascii="Arial" w:hAnsi="Arial" w:hint="eastAsia"/>
          <w:color w:val="000000"/>
          <w:sz w:val="21"/>
          <w:szCs w:val="21"/>
        </w:rPr>
        <w:t>15.5%</w:t>
      </w:r>
      <w:r>
        <w:rPr>
          <w:rFonts w:ascii="Arial" w:hAnsi="Arial" w:hint="eastAsia"/>
          <w:color w:val="000000"/>
          <w:sz w:val="21"/>
          <w:szCs w:val="21"/>
        </w:rPr>
        <w:t>。分产业看，第一产业投资增长</w:t>
      </w:r>
      <w:r>
        <w:rPr>
          <w:rFonts w:ascii="Arial" w:hAnsi="Arial" w:hint="eastAsia"/>
          <w:color w:val="000000"/>
          <w:sz w:val="21"/>
          <w:szCs w:val="21"/>
        </w:rPr>
        <w:t>6.3%</w:t>
      </w:r>
      <w:r>
        <w:rPr>
          <w:rFonts w:ascii="Arial" w:hAnsi="Arial" w:hint="eastAsia"/>
          <w:color w:val="000000"/>
          <w:sz w:val="21"/>
          <w:szCs w:val="21"/>
        </w:rPr>
        <w:t>；第二产业投资增长</w:t>
      </w:r>
      <w:r>
        <w:rPr>
          <w:rFonts w:ascii="Arial" w:hAnsi="Arial" w:hint="eastAsia"/>
          <w:color w:val="000000"/>
          <w:sz w:val="21"/>
          <w:szCs w:val="21"/>
        </w:rPr>
        <w:t>4.3%</w:t>
      </w:r>
      <w:r>
        <w:rPr>
          <w:rFonts w:ascii="Arial" w:hAnsi="Arial" w:hint="eastAsia"/>
          <w:color w:val="000000"/>
          <w:sz w:val="21"/>
          <w:szCs w:val="21"/>
        </w:rPr>
        <w:t>；第三产业投资增长</w:t>
      </w:r>
      <w:r>
        <w:rPr>
          <w:rFonts w:ascii="Arial" w:hAnsi="Arial" w:hint="eastAsia"/>
          <w:color w:val="000000"/>
          <w:sz w:val="21"/>
          <w:szCs w:val="21"/>
        </w:rPr>
        <w:t>5.6%</w:t>
      </w:r>
      <w:r>
        <w:rPr>
          <w:rFonts w:ascii="Arial" w:hAnsi="Arial" w:hint="eastAsia"/>
          <w:color w:val="000000"/>
          <w:sz w:val="21"/>
          <w:szCs w:val="21"/>
        </w:rPr>
        <w:t>，其中，信息传输、软件和信息技术服务业，科学研究和技术服务业投资分别增长</w:t>
      </w:r>
      <w:r>
        <w:rPr>
          <w:rFonts w:ascii="Arial" w:hAnsi="Arial" w:hint="eastAsia"/>
          <w:color w:val="000000"/>
          <w:sz w:val="21"/>
          <w:szCs w:val="21"/>
        </w:rPr>
        <w:t>83.0%</w:t>
      </w:r>
      <w:r>
        <w:rPr>
          <w:rFonts w:ascii="Arial" w:hAnsi="Arial" w:hint="eastAsia"/>
          <w:color w:val="000000"/>
          <w:sz w:val="21"/>
          <w:szCs w:val="21"/>
        </w:rPr>
        <w:t>和</w:t>
      </w:r>
      <w:r>
        <w:rPr>
          <w:rFonts w:ascii="Arial" w:hAnsi="Arial" w:hint="eastAsia"/>
          <w:color w:val="000000"/>
          <w:sz w:val="21"/>
          <w:szCs w:val="21"/>
        </w:rPr>
        <w:t>8.5%</w:t>
      </w:r>
      <w:r>
        <w:rPr>
          <w:rFonts w:ascii="Arial" w:hAnsi="Arial" w:hint="eastAsia"/>
          <w:color w:val="000000"/>
          <w:sz w:val="21"/>
          <w:szCs w:val="21"/>
        </w:rPr>
        <w:t>；“投资于人”稳步推进，教育、文化体育和娱乐业投资分别增长</w:t>
      </w:r>
      <w:r>
        <w:rPr>
          <w:rFonts w:ascii="Arial" w:hAnsi="Arial" w:hint="eastAsia"/>
          <w:color w:val="000000"/>
          <w:sz w:val="21"/>
          <w:szCs w:val="21"/>
        </w:rPr>
        <w:t>30.7%</w:t>
      </w:r>
      <w:r>
        <w:rPr>
          <w:rFonts w:ascii="Arial" w:hAnsi="Arial" w:hint="eastAsia"/>
          <w:color w:val="000000"/>
          <w:sz w:val="21"/>
          <w:szCs w:val="21"/>
        </w:rPr>
        <w:t>和</w:t>
      </w:r>
      <w:r>
        <w:rPr>
          <w:rFonts w:ascii="Arial" w:hAnsi="Arial" w:hint="eastAsia"/>
          <w:color w:val="000000"/>
          <w:sz w:val="21"/>
          <w:szCs w:val="21"/>
        </w:rPr>
        <w:t>30.1%</w:t>
      </w:r>
      <w:r>
        <w:rPr>
          <w:rFonts w:ascii="Arial" w:hAnsi="Arial" w:hint="eastAsia"/>
          <w:color w:val="000000"/>
          <w:sz w:val="21"/>
          <w:szCs w:val="21"/>
        </w:rPr>
        <w:t>。高技术产业投资保持活跃，增长</w:t>
      </w:r>
      <w:r>
        <w:rPr>
          <w:rFonts w:ascii="Arial" w:hAnsi="Arial" w:hint="eastAsia"/>
          <w:color w:val="000000"/>
          <w:sz w:val="21"/>
          <w:szCs w:val="21"/>
        </w:rPr>
        <w:t>40.1%</w:t>
      </w:r>
      <w:r>
        <w:rPr>
          <w:rFonts w:ascii="Arial" w:hAnsi="Arial" w:hint="eastAsia"/>
          <w:color w:val="000000"/>
          <w:sz w:val="21"/>
          <w:szCs w:val="21"/>
        </w:rPr>
        <w:t>，其中高技术服务业投资增长</w:t>
      </w:r>
      <w:r>
        <w:rPr>
          <w:rFonts w:ascii="Arial" w:hAnsi="Arial" w:hint="eastAsia"/>
          <w:color w:val="000000"/>
          <w:sz w:val="21"/>
          <w:szCs w:val="21"/>
        </w:rPr>
        <w:t>64.9%</w:t>
      </w:r>
      <w:r>
        <w:rPr>
          <w:rFonts w:ascii="Arial" w:hAnsi="Arial" w:hint="eastAsia"/>
          <w:color w:val="000000"/>
          <w:sz w:val="21"/>
          <w:szCs w:val="21"/>
        </w:rPr>
        <w:t>，互联网</w:t>
      </w:r>
      <w:proofErr w:type="gramStart"/>
      <w:r>
        <w:rPr>
          <w:rFonts w:ascii="Arial" w:hAnsi="Arial" w:hint="eastAsia"/>
          <w:color w:val="000000"/>
          <w:sz w:val="21"/>
          <w:szCs w:val="21"/>
        </w:rPr>
        <w:t>企业算力设备更新</w:t>
      </w:r>
      <w:proofErr w:type="gramEnd"/>
      <w:r>
        <w:rPr>
          <w:rFonts w:ascii="Arial" w:hAnsi="Arial" w:hint="eastAsia"/>
          <w:color w:val="000000"/>
          <w:sz w:val="21"/>
          <w:szCs w:val="21"/>
        </w:rPr>
        <w:t>等领域加大投入。</w:t>
      </w:r>
    </w:p>
    <w:p w:rsidR="00184596" w:rsidRDefault="00FD048A">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年末，北京市房屋施工面积</w:t>
      </w:r>
      <w:r>
        <w:rPr>
          <w:rFonts w:ascii="Arial" w:hAnsi="Arial" w:hint="eastAsia"/>
          <w:color w:val="000000"/>
          <w:sz w:val="21"/>
          <w:szCs w:val="21"/>
        </w:rPr>
        <w:t>10307.8</w:t>
      </w:r>
      <w:r>
        <w:rPr>
          <w:rFonts w:ascii="Arial" w:hAnsi="Arial" w:hint="eastAsia"/>
          <w:color w:val="000000"/>
          <w:sz w:val="21"/>
          <w:szCs w:val="21"/>
        </w:rPr>
        <w:t>万平方米，比上年末下降</w:t>
      </w:r>
      <w:r>
        <w:rPr>
          <w:rFonts w:ascii="Arial" w:hAnsi="Arial" w:hint="eastAsia"/>
          <w:color w:val="000000"/>
          <w:sz w:val="21"/>
          <w:szCs w:val="21"/>
        </w:rPr>
        <w:t>8.9%</w:t>
      </w:r>
      <w:r>
        <w:rPr>
          <w:rFonts w:ascii="Arial" w:hAnsi="Arial" w:hint="eastAsia"/>
          <w:color w:val="000000"/>
          <w:sz w:val="21"/>
          <w:szCs w:val="21"/>
        </w:rPr>
        <w:t>，其中，住宅施工面积</w:t>
      </w:r>
      <w:r>
        <w:rPr>
          <w:rFonts w:ascii="Arial" w:hAnsi="Arial" w:hint="eastAsia"/>
          <w:color w:val="000000"/>
          <w:sz w:val="21"/>
          <w:szCs w:val="21"/>
        </w:rPr>
        <w:t>5149.6</w:t>
      </w:r>
      <w:r>
        <w:rPr>
          <w:rFonts w:ascii="Arial" w:hAnsi="Arial" w:hint="eastAsia"/>
          <w:color w:val="000000"/>
          <w:sz w:val="21"/>
          <w:szCs w:val="21"/>
        </w:rPr>
        <w:t>万平方米，下降</w:t>
      </w:r>
      <w:r>
        <w:rPr>
          <w:rFonts w:ascii="Arial" w:hAnsi="Arial" w:hint="eastAsia"/>
          <w:color w:val="000000"/>
          <w:sz w:val="21"/>
          <w:szCs w:val="21"/>
        </w:rPr>
        <w:t>9.1%</w:t>
      </w:r>
      <w:r>
        <w:rPr>
          <w:rFonts w:ascii="Arial" w:hAnsi="Arial" w:hint="eastAsia"/>
          <w:color w:val="000000"/>
          <w:sz w:val="21"/>
          <w:szCs w:val="21"/>
        </w:rPr>
        <w:t>。全年商品房销售面积</w:t>
      </w:r>
      <w:r>
        <w:rPr>
          <w:rFonts w:ascii="Arial" w:hAnsi="Arial" w:hint="eastAsia"/>
          <w:color w:val="000000"/>
          <w:sz w:val="21"/>
          <w:szCs w:val="21"/>
        </w:rPr>
        <w:t>1041.0</w:t>
      </w:r>
      <w:r>
        <w:rPr>
          <w:rFonts w:ascii="Arial" w:hAnsi="Arial" w:hint="eastAsia"/>
          <w:color w:val="000000"/>
          <w:sz w:val="21"/>
          <w:szCs w:val="21"/>
        </w:rPr>
        <w:t>万平方米，下降</w:t>
      </w:r>
      <w:r>
        <w:rPr>
          <w:rFonts w:ascii="Arial" w:hAnsi="Arial" w:hint="eastAsia"/>
          <w:color w:val="000000"/>
          <w:sz w:val="21"/>
          <w:szCs w:val="21"/>
        </w:rPr>
        <w:t>6.9%</w:t>
      </w:r>
      <w:r>
        <w:rPr>
          <w:rFonts w:ascii="Arial" w:hAnsi="Arial" w:hint="eastAsia"/>
          <w:color w:val="000000"/>
          <w:sz w:val="21"/>
          <w:szCs w:val="21"/>
        </w:rPr>
        <w:t>，其中，住宅销售面积</w:t>
      </w:r>
      <w:r>
        <w:rPr>
          <w:rFonts w:ascii="Arial" w:hAnsi="Arial" w:hint="eastAsia"/>
          <w:color w:val="000000"/>
          <w:sz w:val="21"/>
          <w:szCs w:val="21"/>
        </w:rPr>
        <w:t>724.0</w:t>
      </w:r>
      <w:r>
        <w:rPr>
          <w:rFonts w:ascii="Arial" w:hAnsi="Arial" w:hint="eastAsia"/>
          <w:color w:val="000000"/>
          <w:sz w:val="21"/>
          <w:szCs w:val="21"/>
        </w:rPr>
        <w:t>万平方米，下降</w:t>
      </w:r>
      <w:r>
        <w:rPr>
          <w:rFonts w:ascii="Arial" w:hAnsi="Arial" w:hint="eastAsia"/>
          <w:color w:val="000000"/>
          <w:sz w:val="21"/>
          <w:szCs w:val="21"/>
        </w:rPr>
        <w:t>7.9%</w:t>
      </w:r>
      <w:r>
        <w:rPr>
          <w:rFonts w:ascii="Arial" w:hAnsi="Arial" w:hint="eastAsia"/>
          <w:color w:val="000000"/>
          <w:sz w:val="21"/>
          <w:szCs w:val="21"/>
        </w:rPr>
        <w:t>。</w:t>
      </w:r>
    </w:p>
    <w:p w:rsidR="00184596" w:rsidRDefault="00FD048A">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lastRenderedPageBreak/>
        <w:t>2025</w:t>
      </w:r>
      <w:r>
        <w:rPr>
          <w:rFonts w:ascii="Arial" w:hAnsi="Arial" w:hint="eastAsia"/>
          <w:color w:val="000000"/>
          <w:sz w:val="21"/>
          <w:szCs w:val="21"/>
        </w:rPr>
        <w:t>年，北京市房地产开发企业房屋新开工面积</w:t>
      </w:r>
      <w:r>
        <w:rPr>
          <w:rFonts w:ascii="Arial" w:hAnsi="Arial" w:hint="eastAsia"/>
          <w:color w:val="000000"/>
          <w:sz w:val="21"/>
          <w:szCs w:val="21"/>
        </w:rPr>
        <w:t>1156.6</w:t>
      </w:r>
      <w:r>
        <w:rPr>
          <w:rFonts w:ascii="Arial" w:hAnsi="Arial" w:hint="eastAsia"/>
          <w:color w:val="000000"/>
          <w:sz w:val="21"/>
          <w:szCs w:val="21"/>
        </w:rPr>
        <w:t>万平方米，同比下降</w:t>
      </w:r>
      <w:r>
        <w:rPr>
          <w:rFonts w:ascii="Arial" w:hAnsi="Arial" w:hint="eastAsia"/>
          <w:color w:val="000000"/>
          <w:sz w:val="21"/>
          <w:szCs w:val="21"/>
        </w:rPr>
        <w:t>10.1%</w:t>
      </w:r>
      <w:r>
        <w:rPr>
          <w:rFonts w:ascii="Arial" w:hAnsi="Arial" w:hint="eastAsia"/>
          <w:color w:val="000000"/>
          <w:sz w:val="21"/>
          <w:szCs w:val="21"/>
        </w:rPr>
        <w:t>。其中，住宅新开工面积</w:t>
      </w:r>
      <w:r>
        <w:rPr>
          <w:rFonts w:ascii="Arial" w:hAnsi="Arial" w:hint="eastAsia"/>
          <w:color w:val="000000"/>
          <w:sz w:val="21"/>
          <w:szCs w:val="21"/>
        </w:rPr>
        <w:t>727.8</w:t>
      </w:r>
      <w:r>
        <w:rPr>
          <w:rFonts w:ascii="Arial" w:hAnsi="Arial" w:hint="eastAsia"/>
          <w:color w:val="000000"/>
          <w:sz w:val="21"/>
          <w:szCs w:val="21"/>
        </w:rPr>
        <w:t>万平方米，下降</w:t>
      </w:r>
      <w:r>
        <w:rPr>
          <w:rFonts w:ascii="Arial" w:hAnsi="Arial" w:hint="eastAsia"/>
          <w:color w:val="000000"/>
          <w:sz w:val="21"/>
          <w:szCs w:val="21"/>
        </w:rPr>
        <w:t>4.5%</w:t>
      </w:r>
      <w:r>
        <w:rPr>
          <w:rFonts w:ascii="Arial" w:hAnsi="Arial" w:hint="eastAsia"/>
          <w:color w:val="000000"/>
          <w:sz w:val="21"/>
          <w:szCs w:val="21"/>
        </w:rPr>
        <w:t>；办公楼</w:t>
      </w:r>
      <w:r>
        <w:rPr>
          <w:rFonts w:ascii="Arial" w:hAnsi="Arial" w:hint="eastAsia"/>
          <w:color w:val="000000"/>
          <w:sz w:val="21"/>
          <w:szCs w:val="21"/>
        </w:rPr>
        <w:t>35.1</w:t>
      </w:r>
      <w:r>
        <w:rPr>
          <w:rFonts w:ascii="Arial" w:hAnsi="Arial" w:hint="eastAsia"/>
          <w:color w:val="000000"/>
          <w:sz w:val="21"/>
          <w:szCs w:val="21"/>
        </w:rPr>
        <w:t>万平方米，下降</w:t>
      </w:r>
      <w:r>
        <w:rPr>
          <w:rFonts w:ascii="Arial" w:hAnsi="Arial" w:hint="eastAsia"/>
          <w:color w:val="000000"/>
          <w:sz w:val="21"/>
          <w:szCs w:val="21"/>
        </w:rPr>
        <w:t>40.2%</w:t>
      </w:r>
      <w:r>
        <w:rPr>
          <w:rFonts w:ascii="Arial" w:hAnsi="Arial" w:hint="eastAsia"/>
          <w:color w:val="000000"/>
          <w:sz w:val="21"/>
          <w:szCs w:val="21"/>
        </w:rPr>
        <w:t>；商业营业用房</w:t>
      </w:r>
      <w:r>
        <w:rPr>
          <w:rFonts w:ascii="Arial" w:hAnsi="Arial" w:hint="eastAsia"/>
          <w:color w:val="000000"/>
          <w:sz w:val="21"/>
          <w:szCs w:val="21"/>
        </w:rPr>
        <w:t>58</w:t>
      </w:r>
      <w:r>
        <w:rPr>
          <w:rFonts w:ascii="Arial" w:hAnsi="Arial" w:hint="eastAsia"/>
          <w:color w:val="000000"/>
          <w:sz w:val="21"/>
          <w:szCs w:val="21"/>
        </w:rPr>
        <w:t>万平方米，下降</w:t>
      </w:r>
      <w:r>
        <w:rPr>
          <w:rFonts w:ascii="Arial" w:hAnsi="Arial" w:hint="eastAsia"/>
          <w:color w:val="000000"/>
          <w:sz w:val="21"/>
          <w:szCs w:val="21"/>
        </w:rPr>
        <w:t>11.2%</w:t>
      </w:r>
      <w:r>
        <w:rPr>
          <w:rFonts w:ascii="Arial" w:hAnsi="Arial" w:hint="eastAsia"/>
          <w:color w:val="000000"/>
          <w:sz w:val="21"/>
          <w:szCs w:val="21"/>
        </w:rPr>
        <w:t>。</w:t>
      </w:r>
    </w:p>
    <w:p w:rsidR="00184596" w:rsidRDefault="00FD048A">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1464.8</w:t>
      </w:r>
      <w:r>
        <w:rPr>
          <w:rFonts w:ascii="Arial" w:hAnsi="Arial" w:hint="eastAsia"/>
          <w:color w:val="000000"/>
          <w:sz w:val="21"/>
          <w:szCs w:val="21"/>
        </w:rPr>
        <w:t>万平方米，同比下降</w:t>
      </w:r>
      <w:r>
        <w:rPr>
          <w:rFonts w:ascii="Arial" w:hAnsi="Arial" w:hint="eastAsia"/>
          <w:color w:val="000000"/>
          <w:sz w:val="21"/>
          <w:szCs w:val="21"/>
        </w:rPr>
        <w:t>11.4%</w:t>
      </w:r>
      <w:r>
        <w:rPr>
          <w:rFonts w:ascii="Arial" w:hAnsi="Arial" w:hint="eastAsia"/>
          <w:color w:val="000000"/>
          <w:sz w:val="21"/>
          <w:szCs w:val="21"/>
        </w:rPr>
        <w:t>。其中，住宅竣工面积</w:t>
      </w:r>
      <w:r>
        <w:rPr>
          <w:rFonts w:ascii="Arial" w:hAnsi="Arial" w:hint="eastAsia"/>
          <w:color w:val="000000"/>
          <w:sz w:val="21"/>
          <w:szCs w:val="21"/>
        </w:rPr>
        <w:t>746.7</w:t>
      </w:r>
      <w:r>
        <w:rPr>
          <w:rFonts w:ascii="Arial" w:hAnsi="Arial" w:hint="eastAsia"/>
          <w:color w:val="000000"/>
          <w:sz w:val="21"/>
          <w:szCs w:val="21"/>
        </w:rPr>
        <w:t>万平方米，下降</w:t>
      </w:r>
      <w:r>
        <w:rPr>
          <w:rFonts w:ascii="Arial" w:hAnsi="Arial" w:hint="eastAsia"/>
          <w:color w:val="000000"/>
          <w:sz w:val="21"/>
          <w:szCs w:val="21"/>
        </w:rPr>
        <w:t>18.2%</w:t>
      </w:r>
      <w:r>
        <w:rPr>
          <w:rFonts w:ascii="Arial" w:hAnsi="Arial" w:hint="eastAsia"/>
          <w:color w:val="000000"/>
          <w:sz w:val="21"/>
          <w:szCs w:val="21"/>
        </w:rPr>
        <w:t>；办公楼</w:t>
      </w:r>
      <w:r>
        <w:rPr>
          <w:rFonts w:ascii="Arial" w:hAnsi="Arial" w:hint="eastAsia"/>
          <w:color w:val="000000"/>
          <w:sz w:val="21"/>
          <w:szCs w:val="21"/>
        </w:rPr>
        <w:t>53.4</w:t>
      </w:r>
      <w:r>
        <w:rPr>
          <w:rFonts w:ascii="Arial" w:hAnsi="Arial" w:hint="eastAsia"/>
          <w:color w:val="000000"/>
          <w:sz w:val="21"/>
          <w:szCs w:val="21"/>
        </w:rPr>
        <w:t>万平方米，下降</w:t>
      </w:r>
      <w:r>
        <w:rPr>
          <w:rFonts w:ascii="Arial" w:hAnsi="Arial" w:hint="eastAsia"/>
          <w:color w:val="000000"/>
          <w:sz w:val="21"/>
          <w:szCs w:val="21"/>
        </w:rPr>
        <w:t>35%</w:t>
      </w:r>
      <w:r>
        <w:rPr>
          <w:rFonts w:ascii="Arial" w:hAnsi="Arial" w:hint="eastAsia"/>
          <w:color w:val="000000"/>
          <w:sz w:val="21"/>
          <w:szCs w:val="21"/>
        </w:rPr>
        <w:t>；商业营业用房</w:t>
      </w:r>
      <w:r>
        <w:rPr>
          <w:rFonts w:ascii="Arial" w:hAnsi="Arial" w:hint="eastAsia"/>
          <w:color w:val="000000"/>
          <w:sz w:val="21"/>
          <w:szCs w:val="21"/>
        </w:rPr>
        <w:t>123.8</w:t>
      </w:r>
      <w:r>
        <w:rPr>
          <w:rFonts w:ascii="Arial" w:hAnsi="Arial" w:hint="eastAsia"/>
          <w:color w:val="000000"/>
          <w:sz w:val="21"/>
          <w:szCs w:val="21"/>
        </w:rPr>
        <w:t>万平方米，增长</w:t>
      </w:r>
      <w:r>
        <w:rPr>
          <w:rFonts w:ascii="Arial" w:hAnsi="Arial" w:hint="eastAsia"/>
          <w:color w:val="000000"/>
          <w:sz w:val="21"/>
          <w:szCs w:val="21"/>
        </w:rPr>
        <w:t>98.3%</w:t>
      </w:r>
      <w:r>
        <w:rPr>
          <w:rFonts w:ascii="Arial" w:hAnsi="Arial" w:hint="eastAsia"/>
          <w:color w:val="000000"/>
          <w:sz w:val="21"/>
          <w:szCs w:val="21"/>
        </w:rPr>
        <w:t>。</w:t>
      </w:r>
    </w:p>
    <w:p w:rsidR="00184596" w:rsidRDefault="00FD048A">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年北京市坚持稳中求进工作总基调，完整准确全面贯彻新发展理念，落实</w:t>
      </w:r>
      <w:proofErr w:type="gramStart"/>
      <w:r>
        <w:rPr>
          <w:rFonts w:ascii="Arial" w:hAnsi="Arial" w:hint="eastAsia"/>
          <w:color w:val="000000"/>
          <w:sz w:val="21"/>
          <w:szCs w:val="21"/>
        </w:rPr>
        <w:t>落细稳经济</w:t>
      </w:r>
      <w:proofErr w:type="gramEnd"/>
      <w:r>
        <w:rPr>
          <w:rFonts w:ascii="Arial" w:hAnsi="Arial" w:hint="eastAsia"/>
          <w:color w:val="000000"/>
          <w:sz w:val="21"/>
          <w:szCs w:val="21"/>
        </w:rPr>
        <w:t>系列政策措施，积极应对各类风险挑战，全市经济保持平稳运行，生产需求稳中向好，就业物价保持稳定，居民收入稳步增加，新质生产力培育壮大，高质量发展取得积极成效，实现“十四五”圆满收官。</w:t>
      </w:r>
    </w:p>
    <w:bookmarkEnd w:id="56"/>
    <w:p w:rsidR="00184596" w:rsidRDefault="00FD048A">
      <w:pPr>
        <w:spacing w:line="480" w:lineRule="auto"/>
        <w:ind w:firstLineChars="200" w:firstLine="420"/>
        <w:jc w:val="both"/>
        <w:rPr>
          <w:rFonts w:ascii="Arial" w:hAnsi="Arial"/>
          <w:bCs/>
          <w:color w:val="000000"/>
          <w:sz w:val="21"/>
          <w:szCs w:val="28"/>
        </w:rPr>
      </w:pPr>
      <w:r>
        <w:rPr>
          <w:rFonts w:ascii="Arial" w:hAnsi="Arial" w:hint="eastAsia"/>
          <w:bCs/>
          <w:sz w:val="21"/>
          <w:szCs w:val="28"/>
        </w:rPr>
        <w:t>2.</w:t>
      </w:r>
      <w:r>
        <w:rPr>
          <w:rFonts w:ascii="Arial" w:hAnsi="Arial" w:hint="eastAsia"/>
          <w:bCs/>
          <w:color w:val="000000"/>
          <w:sz w:val="21"/>
          <w:szCs w:val="28"/>
        </w:rPr>
        <w:t>土地市场</w:t>
      </w:r>
    </w:p>
    <w:p w:rsidR="00184596" w:rsidRDefault="00FD048A">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年，北京市累计推出</w:t>
      </w:r>
      <w:r>
        <w:rPr>
          <w:rFonts w:ascii="Arial" w:hAnsi="Arial" w:hint="eastAsia"/>
          <w:color w:val="000000"/>
          <w:sz w:val="21"/>
          <w:szCs w:val="21"/>
        </w:rPr>
        <w:t>12</w:t>
      </w:r>
      <w:r>
        <w:rPr>
          <w:rFonts w:ascii="Arial" w:hAnsi="Arial" w:hint="eastAsia"/>
          <w:color w:val="000000"/>
          <w:sz w:val="21"/>
          <w:szCs w:val="21"/>
        </w:rPr>
        <w:t>宗商办用地（不含集体土地，下同），推出</w:t>
      </w:r>
      <w:proofErr w:type="gramStart"/>
      <w:r>
        <w:rPr>
          <w:rFonts w:ascii="Arial" w:hAnsi="Arial" w:hint="eastAsia"/>
          <w:color w:val="000000"/>
          <w:sz w:val="21"/>
          <w:szCs w:val="21"/>
        </w:rPr>
        <w:t>规划建面</w:t>
      </w:r>
      <w:proofErr w:type="gramEnd"/>
      <w:r>
        <w:rPr>
          <w:rFonts w:ascii="Arial" w:hAnsi="Arial" w:hint="eastAsia"/>
          <w:color w:val="000000"/>
          <w:sz w:val="21"/>
          <w:szCs w:val="21"/>
        </w:rPr>
        <w:t>78.75</w:t>
      </w:r>
      <w:r>
        <w:rPr>
          <w:rFonts w:ascii="Arial" w:hAnsi="Arial" w:hint="eastAsia"/>
          <w:color w:val="000000"/>
          <w:sz w:val="21"/>
          <w:szCs w:val="21"/>
        </w:rPr>
        <w:t>万㎡，同比增长</w:t>
      </w:r>
      <w:r>
        <w:rPr>
          <w:rFonts w:ascii="Arial" w:hAnsi="Arial" w:hint="eastAsia"/>
          <w:color w:val="000000"/>
          <w:sz w:val="21"/>
          <w:szCs w:val="21"/>
        </w:rPr>
        <w:t>14.6%</w:t>
      </w:r>
      <w:r>
        <w:rPr>
          <w:rFonts w:ascii="Arial" w:hAnsi="Arial" w:hint="eastAsia"/>
          <w:color w:val="000000"/>
          <w:sz w:val="21"/>
          <w:szCs w:val="21"/>
        </w:rPr>
        <w:t>；累计成交</w:t>
      </w:r>
      <w:r>
        <w:rPr>
          <w:rFonts w:ascii="Arial" w:hAnsi="Arial" w:hint="eastAsia"/>
          <w:color w:val="000000"/>
          <w:sz w:val="21"/>
          <w:szCs w:val="21"/>
        </w:rPr>
        <w:t>12</w:t>
      </w:r>
      <w:r>
        <w:rPr>
          <w:rFonts w:ascii="Arial" w:hAnsi="Arial" w:hint="eastAsia"/>
          <w:color w:val="000000"/>
          <w:sz w:val="21"/>
          <w:szCs w:val="21"/>
        </w:rPr>
        <w:t>宗商办用地，成交</w:t>
      </w:r>
      <w:proofErr w:type="gramStart"/>
      <w:r>
        <w:rPr>
          <w:rFonts w:ascii="Arial" w:hAnsi="Arial" w:hint="eastAsia"/>
          <w:color w:val="000000"/>
          <w:sz w:val="21"/>
          <w:szCs w:val="21"/>
        </w:rPr>
        <w:t>规划建面</w:t>
      </w:r>
      <w:proofErr w:type="gramEnd"/>
      <w:r>
        <w:rPr>
          <w:rFonts w:ascii="Arial" w:hAnsi="Arial" w:hint="eastAsia"/>
          <w:color w:val="000000"/>
          <w:sz w:val="21"/>
          <w:szCs w:val="21"/>
        </w:rPr>
        <w:t>78.75</w:t>
      </w:r>
      <w:r>
        <w:rPr>
          <w:rFonts w:ascii="Arial" w:hAnsi="Arial" w:hint="eastAsia"/>
          <w:color w:val="000000"/>
          <w:sz w:val="21"/>
          <w:szCs w:val="21"/>
        </w:rPr>
        <w:t>万㎡，同比下降</w:t>
      </w:r>
      <w:r>
        <w:rPr>
          <w:rFonts w:ascii="Arial" w:hAnsi="Arial" w:hint="eastAsia"/>
          <w:color w:val="000000"/>
          <w:sz w:val="21"/>
          <w:szCs w:val="21"/>
        </w:rPr>
        <w:t>23.4%</w:t>
      </w:r>
      <w:r>
        <w:rPr>
          <w:rFonts w:ascii="Arial" w:hAnsi="Arial" w:hint="eastAsia"/>
          <w:color w:val="000000"/>
          <w:sz w:val="21"/>
          <w:szCs w:val="21"/>
        </w:rPr>
        <w:t>；从区域分布来看，通州成交</w:t>
      </w:r>
      <w:r>
        <w:rPr>
          <w:rFonts w:ascii="Arial" w:hAnsi="Arial" w:hint="eastAsia"/>
          <w:color w:val="000000"/>
          <w:sz w:val="21"/>
          <w:szCs w:val="21"/>
        </w:rPr>
        <w:t>4</w:t>
      </w:r>
      <w:r>
        <w:rPr>
          <w:rFonts w:ascii="Arial" w:hAnsi="Arial" w:hint="eastAsia"/>
          <w:color w:val="000000"/>
          <w:sz w:val="21"/>
          <w:szCs w:val="21"/>
        </w:rPr>
        <w:t>宗，大兴（</w:t>
      </w:r>
      <w:proofErr w:type="gramStart"/>
      <w:r>
        <w:rPr>
          <w:rFonts w:ascii="Arial" w:hAnsi="Arial" w:hint="eastAsia"/>
          <w:color w:val="000000"/>
          <w:sz w:val="21"/>
          <w:szCs w:val="21"/>
        </w:rPr>
        <w:t>含亦庄</w:t>
      </w:r>
      <w:proofErr w:type="gramEnd"/>
      <w:r>
        <w:rPr>
          <w:rFonts w:ascii="Arial" w:hAnsi="Arial" w:hint="eastAsia"/>
          <w:color w:val="000000"/>
          <w:sz w:val="21"/>
          <w:szCs w:val="21"/>
        </w:rPr>
        <w:t>）成交</w:t>
      </w:r>
      <w:r>
        <w:rPr>
          <w:rFonts w:ascii="Arial" w:hAnsi="Arial" w:hint="eastAsia"/>
          <w:color w:val="000000"/>
          <w:sz w:val="21"/>
          <w:szCs w:val="21"/>
        </w:rPr>
        <w:t>3</w:t>
      </w:r>
      <w:r>
        <w:rPr>
          <w:rFonts w:ascii="Arial" w:hAnsi="Arial" w:hint="eastAsia"/>
          <w:color w:val="000000"/>
          <w:sz w:val="21"/>
          <w:szCs w:val="21"/>
        </w:rPr>
        <w:t>宗，西城成交</w:t>
      </w:r>
      <w:r>
        <w:rPr>
          <w:rFonts w:ascii="Arial" w:hAnsi="Arial" w:hint="eastAsia"/>
          <w:color w:val="000000"/>
          <w:sz w:val="21"/>
          <w:szCs w:val="21"/>
        </w:rPr>
        <w:t>2</w:t>
      </w:r>
      <w:r>
        <w:rPr>
          <w:rFonts w:ascii="Arial" w:hAnsi="Arial" w:hint="eastAsia"/>
          <w:color w:val="000000"/>
          <w:sz w:val="21"/>
          <w:szCs w:val="21"/>
        </w:rPr>
        <w:t>宗，海淀、石景山、顺义</w:t>
      </w:r>
      <w:proofErr w:type="gramStart"/>
      <w:r>
        <w:rPr>
          <w:rFonts w:ascii="Arial" w:hAnsi="Arial" w:hint="eastAsia"/>
          <w:color w:val="000000"/>
          <w:sz w:val="21"/>
          <w:szCs w:val="21"/>
        </w:rPr>
        <w:t>各成交</w:t>
      </w:r>
      <w:proofErr w:type="gramEnd"/>
      <w:r>
        <w:rPr>
          <w:rFonts w:ascii="Arial" w:hAnsi="Arial" w:hint="eastAsia"/>
          <w:color w:val="000000"/>
          <w:sz w:val="21"/>
          <w:szCs w:val="21"/>
        </w:rPr>
        <w:t>1</w:t>
      </w:r>
      <w:r>
        <w:rPr>
          <w:rFonts w:ascii="Arial" w:hAnsi="Arial" w:hint="eastAsia"/>
          <w:color w:val="000000"/>
          <w:sz w:val="21"/>
          <w:szCs w:val="21"/>
        </w:rPr>
        <w:t>宗。</w:t>
      </w:r>
    </w:p>
    <w:p w:rsidR="00184596" w:rsidRDefault="00FD048A">
      <w:pPr>
        <w:overflowPunct w:val="0"/>
        <w:spacing w:line="240" w:lineRule="auto"/>
        <w:jc w:val="center"/>
        <w:rPr>
          <w:rFonts w:ascii="Arial" w:eastAsia="方正黑体简体" w:hAnsi="Arial"/>
          <w:bCs/>
          <w:color w:val="000000"/>
          <w:szCs w:val="24"/>
        </w:rPr>
      </w:pPr>
      <w:r>
        <w:rPr>
          <w:rFonts w:ascii="Arial" w:eastAsia="方正黑体简体" w:hAnsi="Arial" w:hint="eastAsia"/>
          <w:bCs/>
          <w:color w:val="000000"/>
          <w:szCs w:val="24"/>
        </w:rPr>
        <w:t>2020-2025</w:t>
      </w:r>
      <w:r>
        <w:rPr>
          <w:rFonts w:ascii="Arial" w:eastAsia="方正黑体简体" w:hAnsi="Arial" w:hint="eastAsia"/>
          <w:bCs/>
          <w:color w:val="000000"/>
          <w:szCs w:val="24"/>
        </w:rPr>
        <w:t>北京商办用地供求规模（</w:t>
      </w:r>
      <w:proofErr w:type="gramStart"/>
      <w:r>
        <w:rPr>
          <w:rFonts w:ascii="Arial" w:eastAsia="方正黑体简体" w:hAnsi="Arial" w:hint="eastAsia"/>
          <w:bCs/>
          <w:color w:val="000000"/>
          <w:szCs w:val="24"/>
        </w:rPr>
        <w:t>万平方米</w:t>
      </w:r>
      <w:proofErr w:type="gramEnd"/>
      <w:r>
        <w:rPr>
          <w:rFonts w:ascii="Arial" w:eastAsia="方正黑体简体" w:hAnsi="Arial" w:hint="eastAsia"/>
          <w:bCs/>
          <w:color w:val="000000"/>
          <w:szCs w:val="24"/>
        </w:rPr>
        <w:t>）</w:t>
      </w:r>
    </w:p>
    <w:p w:rsidR="00184596" w:rsidRDefault="00FD048A">
      <w:pPr>
        <w:widowControl/>
        <w:spacing w:line="480" w:lineRule="auto"/>
        <w:jc w:val="center"/>
        <w:rPr>
          <w:rFonts w:ascii="Arial" w:hAnsi="Arial"/>
          <w:sz w:val="21"/>
          <w:szCs w:val="28"/>
        </w:rPr>
      </w:pPr>
      <w:r>
        <w:rPr>
          <w:noProof/>
        </w:rPr>
        <w:drawing>
          <wp:inline distT="0" distB="0" distL="0" distR="0">
            <wp:extent cx="5544185" cy="2743200"/>
            <wp:effectExtent l="0" t="0" r="0" b="0"/>
            <wp:docPr id="7" name="图片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84596" w:rsidRDefault="00FD048A">
      <w:pPr>
        <w:widowControl/>
        <w:adjustRightInd/>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lastRenderedPageBreak/>
        <w:t>202</w:t>
      </w:r>
      <w:r>
        <w:rPr>
          <w:rFonts w:ascii="Arial" w:hAnsi="Arial" w:hint="eastAsia"/>
          <w:color w:val="000000"/>
          <w:sz w:val="21"/>
          <w:szCs w:val="21"/>
        </w:rPr>
        <w:t>5</w:t>
      </w:r>
      <w:r>
        <w:rPr>
          <w:rFonts w:ascii="Arial" w:hAnsi="Arial" w:hint="eastAsia"/>
          <w:color w:val="000000"/>
          <w:sz w:val="21"/>
          <w:szCs w:val="21"/>
        </w:rPr>
        <w:t>年，北京商办用地成交楼面价</w:t>
      </w:r>
      <w:r>
        <w:rPr>
          <w:rFonts w:ascii="Arial" w:hAnsi="Arial"/>
          <w:color w:val="000000"/>
          <w:sz w:val="21"/>
          <w:szCs w:val="21"/>
        </w:rPr>
        <w:t>1</w:t>
      </w:r>
      <w:r>
        <w:rPr>
          <w:rFonts w:ascii="Arial" w:hAnsi="Arial" w:hint="eastAsia"/>
          <w:color w:val="000000"/>
          <w:sz w:val="21"/>
          <w:szCs w:val="21"/>
        </w:rPr>
        <w:t>4986</w:t>
      </w:r>
      <w:r>
        <w:rPr>
          <w:rFonts w:ascii="Arial" w:hAnsi="Arial" w:hint="eastAsia"/>
          <w:color w:val="000000"/>
          <w:sz w:val="21"/>
          <w:szCs w:val="21"/>
        </w:rPr>
        <w:t>元</w:t>
      </w:r>
      <w:r>
        <w:rPr>
          <w:rFonts w:ascii="Arial" w:hAnsi="Arial"/>
          <w:color w:val="000000"/>
          <w:sz w:val="21"/>
          <w:szCs w:val="21"/>
        </w:rPr>
        <w:t>/</w:t>
      </w:r>
      <w:r>
        <w:rPr>
          <w:rFonts w:ascii="Arial" w:hAnsi="Arial" w:hint="eastAsia"/>
          <w:color w:val="000000"/>
          <w:sz w:val="21"/>
          <w:szCs w:val="21"/>
        </w:rPr>
        <w:t>平方米，同比增长</w:t>
      </w:r>
      <w:r>
        <w:rPr>
          <w:rFonts w:ascii="Arial" w:hAnsi="Arial" w:hint="eastAsia"/>
          <w:color w:val="000000"/>
          <w:sz w:val="21"/>
          <w:szCs w:val="21"/>
        </w:rPr>
        <w:t>2.2</w:t>
      </w:r>
      <w:r>
        <w:rPr>
          <w:rFonts w:ascii="Arial" w:hAnsi="Arial"/>
          <w:color w:val="000000"/>
          <w:sz w:val="21"/>
          <w:szCs w:val="21"/>
        </w:rPr>
        <w:t>%</w:t>
      </w:r>
      <w:r>
        <w:rPr>
          <w:rFonts w:ascii="Arial" w:hAnsi="Arial" w:hint="eastAsia"/>
          <w:color w:val="000000"/>
          <w:sz w:val="21"/>
          <w:szCs w:val="21"/>
        </w:rPr>
        <w:t>；溢价率方面，自</w:t>
      </w:r>
      <w:r>
        <w:rPr>
          <w:rFonts w:ascii="Arial" w:hAnsi="Arial" w:hint="eastAsia"/>
          <w:color w:val="000000"/>
          <w:sz w:val="21"/>
          <w:szCs w:val="21"/>
        </w:rPr>
        <w:t>2018</w:t>
      </w:r>
      <w:r>
        <w:rPr>
          <w:rFonts w:ascii="Arial" w:hAnsi="Arial" w:hint="eastAsia"/>
          <w:color w:val="000000"/>
          <w:sz w:val="21"/>
          <w:szCs w:val="21"/>
        </w:rPr>
        <w:t>年以来北京商办用地多以底价成交，溢价率降至冰点。</w:t>
      </w:r>
      <w:r>
        <w:rPr>
          <w:rFonts w:ascii="Arial" w:hAnsi="Arial"/>
          <w:color w:val="000000"/>
          <w:sz w:val="21"/>
          <w:szCs w:val="21"/>
        </w:rPr>
        <w:t>202</w:t>
      </w:r>
      <w:r>
        <w:rPr>
          <w:rFonts w:ascii="Arial" w:hAnsi="Arial" w:hint="eastAsia"/>
          <w:color w:val="000000"/>
          <w:sz w:val="21"/>
          <w:szCs w:val="21"/>
        </w:rPr>
        <w:t>5</w:t>
      </w:r>
      <w:r>
        <w:rPr>
          <w:rFonts w:ascii="Arial" w:hAnsi="Arial" w:hint="eastAsia"/>
          <w:color w:val="000000"/>
          <w:sz w:val="21"/>
          <w:szCs w:val="21"/>
        </w:rPr>
        <w:t>年北京</w:t>
      </w:r>
      <w:r>
        <w:rPr>
          <w:rFonts w:ascii="Arial" w:hAnsi="Arial" w:hint="eastAsia"/>
          <w:color w:val="000000"/>
          <w:sz w:val="21"/>
          <w:szCs w:val="21"/>
        </w:rPr>
        <w:t>12</w:t>
      </w:r>
      <w:r>
        <w:rPr>
          <w:rFonts w:ascii="Arial" w:hAnsi="Arial" w:hint="eastAsia"/>
          <w:color w:val="000000"/>
          <w:sz w:val="21"/>
          <w:szCs w:val="21"/>
        </w:rPr>
        <w:t>宗商办地块均以底价成交，市场热度持续低位运行。</w:t>
      </w:r>
    </w:p>
    <w:p w:rsidR="00184596" w:rsidRDefault="00FD048A">
      <w:pPr>
        <w:overflowPunct w:val="0"/>
        <w:spacing w:line="240" w:lineRule="auto"/>
        <w:jc w:val="center"/>
        <w:rPr>
          <w:rFonts w:ascii="Arial" w:eastAsia="方正黑体简体" w:hAnsi="Arial"/>
          <w:bCs/>
          <w:color w:val="000000"/>
          <w:szCs w:val="24"/>
        </w:rPr>
      </w:pPr>
      <w:r>
        <w:rPr>
          <w:rFonts w:ascii="Arial" w:eastAsia="方正黑体简体" w:hAnsi="Arial" w:hint="eastAsia"/>
          <w:bCs/>
          <w:color w:val="000000"/>
          <w:szCs w:val="24"/>
        </w:rPr>
        <w:t>2020-2025</w:t>
      </w:r>
      <w:r>
        <w:rPr>
          <w:rFonts w:ascii="Arial" w:eastAsia="方正黑体简体" w:hAnsi="Arial" w:hint="eastAsia"/>
          <w:bCs/>
          <w:color w:val="000000"/>
          <w:szCs w:val="24"/>
        </w:rPr>
        <w:t>北京商办用地成交楼价与溢价率走势</w:t>
      </w:r>
    </w:p>
    <w:p w:rsidR="00184596" w:rsidRDefault="00FD048A">
      <w:pPr>
        <w:widowControl/>
        <w:spacing w:line="480" w:lineRule="auto"/>
        <w:jc w:val="center"/>
        <w:rPr>
          <w:rFonts w:ascii="Arial" w:hAnsi="Arial"/>
          <w:sz w:val="21"/>
          <w:szCs w:val="28"/>
        </w:rPr>
      </w:pPr>
      <w:r>
        <w:rPr>
          <w:noProof/>
        </w:rPr>
        <w:drawing>
          <wp:inline distT="0" distB="0" distL="0" distR="0">
            <wp:extent cx="5084445" cy="2743200"/>
            <wp:effectExtent l="0" t="0" r="0" b="0"/>
            <wp:docPr id="8" name="图片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84596" w:rsidRDefault="00FD048A">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年全年商办用地具体成交信息如下：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993"/>
        <w:gridCol w:w="1170"/>
        <w:gridCol w:w="1016"/>
        <w:gridCol w:w="1017"/>
      </w:tblGrid>
      <w:tr w:rsidR="00184596">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建设用地面积</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规划建筑面积</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成交价</w:t>
            </w:r>
          </w:p>
          <w:p w:rsidR="00184596" w:rsidRDefault="00FD048A">
            <w:pPr>
              <w:widowControl/>
              <w:kinsoku w:val="0"/>
              <w:overflowPunct w:val="0"/>
              <w:adjustRightInd/>
              <w:spacing w:line="240" w:lineRule="exact"/>
              <w:rPr>
                <w:rFonts w:ascii="Arial" w:eastAsia="华文细黑" w:hAnsi="Arial" w:cs="Arial"/>
                <w:sz w:val="18"/>
                <w:szCs w:val="18"/>
              </w:rPr>
            </w:pPr>
            <w:r>
              <w:rPr>
                <w:rFonts w:ascii="Arial" w:eastAsia="华文细黑" w:hAnsi="Arial" w:cs="Arial"/>
                <w:sz w:val="18"/>
                <w:szCs w:val="18"/>
              </w:rPr>
              <w:t>(</w:t>
            </w:r>
            <w:r>
              <w:rPr>
                <w:rFonts w:ascii="Arial" w:eastAsia="华文细黑" w:hAnsi="Arial" w:cs="Arial" w:hint="eastAsia"/>
                <w:sz w:val="18"/>
                <w:szCs w:val="18"/>
              </w:rPr>
              <w:t>万元</w:t>
            </w:r>
            <w:r>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成交楼面价</w:t>
            </w:r>
            <w:r>
              <w:rPr>
                <w:rFonts w:ascii="Arial" w:eastAsia="华文细黑" w:hAnsi="Arial" w:cs="Arial"/>
                <w:sz w:val="18"/>
                <w:szCs w:val="18"/>
              </w:rPr>
              <w:t>(</w:t>
            </w:r>
            <w:r>
              <w:rPr>
                <w:rFonts w:ascii="Arial" w:eastAsia="华文细黑" w:hAnsi="Arial" w:cs="Arial" w:hint="eastAsia"/>
                <w:sz w:val="18"/>
                <w:szCs w:val="18"/>
              </w:rPr>
              <w:t>元</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r>
      <w:tr w:rsidR="00184596">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北京市海淀区六</w:t>
            </w:r>
            <w:proofErr w:type="gramStart"/>
            <w:r>
              <w:rPr>
                <w:rFonts w:ascii="Arial" w:eastAsia="华文细黑" w:hAnsi="Arial" w:cs="Arial" w:hint="eastAsia"/>
                <w:sz w:val="18"/>
                <w:szCs w:val="18"/>
              </w:rPr>
              <w:t>郎庄项目</w:t>
            </w:r>
            <w:proofErr w:type="gramEnd"/>
            <w:r>
              <w:rPr>
                <w:rFonts w:ascii="Arial" w:eastAsia="华文细黑" w:hAnsi="Arial" w:cs="Arial" w:hint="eastAsia"/>
                <w:sz w:val="18"/>
                <w:szCs w:val="18"/>
              </w:rPr>
              <w:t>HD00-1010-0002</w:t>
            </w:r>
            <w:r>
              <w:rPr>
                <w:rFonts w:ascii="Arial" w:eastAsia="华文细黑" w:hAnsi="Arial" w:cs="Arial" w:hint="eastAsia"/>
                <w:sz w:val="18"/>
                <w:szCs w:val="18"/>
              </w:rPr>
              <w:t>、</w:t>
            </w:r>
            <w:r>
              <w:rPr>
                <w:rFonts w:ascii="Arial" w:eastAsia="华文细黑" w:hAnsi="Arial" w:cs="Arial" w:hint="eastAsia"/>
                <w:sz w:val="18"/>
                <w:szCs w:val="18"/>
              </w:rPr>
              <w:t>0003</w:t>
            </w:r>
            <w:r>
              <w:rPr>
                <w:rFonts w:ascii="Arial" w:eastAsia="华文细黑" w:hAnsi="Arial" w:cs="Arial" w:hint="eastAsia"/>
                <w:sz w:val="18"/>
                <w:szCs w:val="18"/>
              </w:rPr>
              <w:t>、</w:t>
            </w:r>
            <w:r>
              <w:rPr>
                <w:rFonts w:ascii="Arial" w:eastAsia="华文细黑" w:hAnsi="Arial" w:cs="Arial" w:hint="eastAsia"/>
                <w:sz w:val="18"/>
                <w:szCs w:val="18"/>
              </w:rPr>
              <w:t>0004</w:t>
            </w:r>
            <w:r>
              <w:rPr>
                <w:rFonts w:ascii="Arial" w:eastAsia="华文细黑" w:hAnsi="Arial" w:cs="Arial" w:hint="eastAsia"/>
                <w:sz w:val="18"/>
                <w:szCs w:val="18"/>
              </w:rPr>
              <w:t>地块</w:t>
            </w: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2</w:t>
            </w:r>
            <w:r>
              <w:rPr>
                <w:rFonts w:ascii="Arial" w:eastAsia="华文细黑" w:hAnsi="Arial" w:cs="Arial" w:hint="eastAsia"/>
                <w:sz w:val="18"/>
                <w:szCs w:val="18"/>
              </w:rPr>
              <w:t>月</w:t>
            </w:r>
            <w:r>
              <w:rPr>
                <w:rFonts w:ascii="Arial" w:eastAsia="华文细黑" w:hAnsi="Arial" w:cs="Arial" w:hint="eastAsia"/>
                <w:sz w:val="18"/>
                <w:szCs w:val="18"/>
              </w:rPr>
              <w:t>18</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23006</w:t>
            </w:r>
          </w:p>
        </w:tc>
      </w:tr>
      <w:tr w:rsidR="00184596">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hint="eastAsia"/>
                <w:sz w:val="18"/>
                <w:szCs w:val="18"/>
              </w:rPr>
              <w:t xml:space="preserve"> FZX-0101-03</w:t>
            </w:r>
            <w:r>
              <w:rPr>
                <w:rFonts w:ascii="Arial" w:eastAsia="华文细黑" w:hAnsi="Arial" w:cs="Arial" w:hint="eastAsia"/>
                <w:sz w:val="18"/>
                <w:szCs w:val="18"/>
              </w:rPr>
              <w:t>单元</w:t>
            </w:r>
            <w:r>
              <w:rPr>
                <w:rFonts w:ascii="Arial" w:eastAsia="华文细黑" w:hAnsi="Arial" w:cs="Arial" w:hint="eastAsia"/>
                <w:sz w:val="18"/>
                <w:szCs w:val="18"/>
              </w:rPr>
              <w:t>FZX-0101-0307 (3)</w:t>
            </w:r>
            <w:r>
              <w:rPr>
                <w:rFonts w:ascii="Arial" w:eastAsia="华文细黑" w:hAnsi="Arial" w:cs="Arial" w:hint="eastAsia"/>
                <w:sz w:val="18"/>
                <w:szCs w:val="18"/>
              </w:rPr>
              <w:t>地块</w:t>
            </w: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2</w:t>
            </w:r>
            <w:r>
              <w:rPr>
                <w:rFonts w:ascii="Arial" w:eastAsia="华文细黑" w:hAnsi="Arial" w:cs="Arial" w:hint="eastAsia"/>
                <w:sz w:val="18"/>
                <w:szCs w:val="18"/>
              </w:rPr>
              <w:t>月</w:t>
            </w:r>
            <w:r>
              <w:rPr>
                <w:rFonts w:ascii="Arial" w:eastAsia="华文细黑" w:hAnsi="Arial" w:cs="Arial" w:hint="eastAsia"/>
                <w:sz w:val="18"/>
                <w:szCs w:val="18"/>
              </w:rPr>
              <w:t>25</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13363</w:t>
            </w:r>
          </w:p>
        </w:tc>
      </w:tr>
      <w:tr w:rsidR="00184596">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北京市顺义区顺义新城</w:t>
            </w:r>
            <w:r>
              <w:rPr>
                <w:rFonts w:ascii="Arial" w:eastAsia="华文细黑" w:hAnsi="Arial" w:cs="Arial" w:hint="eastAsia"/>
                <w:sz w:val="18"/>
                <w:szCs w:val="18"/>
              </w:rPr>
              <w:t>0201</w:t>
            </w:r>
            <w:r>
              <w:rPr>
                <w:rFonts w:ascii="Arial" w:eastAsia="华文细黑" w:hAnsi="Arial" w:cs="Arial" w:hint="eastAsia"/>
                <w:sz w:val="18"/>
                <w:szCs w:val="18"/>
              </w:rPr>
              <w:t>街区东风商场片区项目</w:t>
            </w:r>
            <w:r>
              <w:rPr>
                <w:rFonts w:ascii="Arial" w:eastAsia="华文细黑" w:hAnsi="Arial" w:cs="Arial" w:hint="eastAsia"/>
                <w:sz w:val="18"/>
                <w:szCs w:val="18"/>
              </w:rPr>
              <w:t>SY00-0201-116</w:t>
            </w:r>
            <w:r>
              <w:rPr>
                <w:rFonts w:ascii="Arial" w:eastAsia="华文细黑" w:hAnsi="Arial" w:cs="Arial" w:hint="eastAsia"/>
                <w:sz w:val="18"/>
                <w:szCs w:val="18"/>
              </w:rPr>
              <w:t>地块</w:t>
            </w:r>
            <w:r>
              <w:rPr>
                <w:rFonts w:ascii="Arial" w:eastAsia="华文细黑" w:hAnsi="Arial" w:cs="Arial" w:hint="eastAsia"/>
                <w:sz w:val="18"/>
                <w:szCs w:val="18"/>
              </w:rPr>
              <w:t>B1</w:t>
            </w:r>
            <w:r>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B1</w:t>
            </w:r>
            <w:r>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2</w:t>
            </w:r>
            <w:r>
              <w:rPr>
                <w:rFonts w:ascii="Arial" w:eastAsia="华文细黑" w:hAnsi="Arial" w:cs="Arial" w:hint="eastAsia"/>
                <w:sz w:val="18"/>
                <w:szCs w:val="18"/>
              </w:rPr>
              <w:t>月</w:t>
            </w:r>
            <w:r>
              <w:rPr>
                <w:rFonts w:ascii="Arial" w:eastAsia="华文细黑" w:hAnsi="Arial" w:cs="Arial" w:hint="eastAsia"/>
                <w:sz w:val="18"/>
                <w:szCs w:val="18"/>
              </w:rPr>
              <w:t>26</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6958</w:t>
            </w:r>
          </w:p>
        </w:tc>
      </w:tr>
      <w:tr w:rsidR="00184596">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hint="eastAsia"/>
                <w:sz w:val="18"/>
                <w:szCs w:val="18"/>
              </w:rPr>
              <w:t xml:space="preserve"> FZX-0101-03</w:t>
            </w:r>
            <w:r>
              <w:rPr>
                <w:rFonts w:ascii="Arial" w:eastAsia="华文细黑" w:hAnsi="Arial" w:cs="Arial" w:hint="eastAsia"/>
                <w:sz w:val="18"/>
                <w:szCs w:val="18"/>
              </w:rPr>
              <w:t>单元</w:t>
            </w:r>
            <w:r>
              <w:rPr>
                <w:rFonts w:ascii="Arial" w:eastAsia="华文细黑" w:hAnsi="Arial" w:cs="Arial" w:hint="eastAsia"/>
                <w:sz w:val="18"/>
                <w:szCs w:val="18"/>
              </w:rPr>
              <w:t>FZX-0101-0306</w:t>
            </w:r>
            <w:r>
              <w:rPr>
                <w:rFonts w:ascii="Arial" w:eastAsia="华文细黑" w:hAnsi="Arial" w:cs="Arial" w:hint="eastAsia"/>
                <w:sz w:val="18"/>
                <w:szCs w:val="18"/>
              </w:rPr>
              <w:t>、</w:t>
            </w:r>
            <w:r>
              <w:rPr>
                <w:rFonts w:ascii="Arial" w:eastAsia="华文细黑" w:hAnsi="Arial" w:cs="Arial" w:hint="eastAsia"/>
                <w:sz w:val="18"/>
                <w:szCs w:val="18"/>
              </w:rPr>
              <w:t xml:space="preserve"> 0307(2)</w:t>
            </w:r>
            <w:r>
              <w:rPr>
                <w:rFonts w:ascii="Arial" w:eastAsia="华文细黑" w:hAnsi="Arial" w:cs="Arial" w:hint="eastAsia"/>
                <w:sz w:val="18"/>
                <w:szCs w:val="18"/>
              </w:rPr>
              <w:t>、</w:t>
            </w:r>
            <w:r>
              <w:rPr>
                <w:rFonts w:ascii="Arial" w:eastAsia="华文细黑" w:hAnsi="Arial" w:cs="Arial" w:hint="eastAsia"/>
                <w:sz w:val="18"/>
                <w:szCs w:val="18"/>
              </w:rPr>
              <w:t>0309</w:t>
            </w:r>
            <w:r>
              <w:rPr>
                <w:rFonts w:ascii="Arial" w:eastAsia="华文细黑" w:hAnsi="Arial" w:cs="Arial" w:hint="eastAsia"/>
                <w:sz w:val="18"/>
                <w:szCs w:val="18"/>
              </w:rPr>
              <w:t>地块</w:t>
            </w:r>
            <w:r>
              <w:rPr>
                <w:rFonts w:ascii="Arial" w:eastAsia="华文细黑" w:hAnsi="Arial" w:cs="Arial" w:hint="eastAsia"/>
                <w:sz w:val="18"/>
                <w:szCs w:val="18"/>
              </w:rPr>
              <w:t xml:space="preserve"> 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3</w:t>
            </w:r>
            <w:r>
              <w:rPr>
                <w:rFonts w:ascii="Arial" w:eastAsia="华文细黑" w:hAnsi="Arial" w:cs="Arial" w:hint="eastAsia"/>
                <w:sz w:val="18"/>
                <w:szCs w:val="18"/>
              </w:rPr>
              <w:t>月</w:t>
            </w:r>
            <w:r>
              <w:rPr>
                <w:rFonts w:ascii="Arial" w:eastAsia="华文细黑" w:hAnsi="Arial" w:cs="Arial" w:hint="eastAsia"/>
                <w:sz w:val="18"/>
                <w:szCs w:val="18"/>
              </w:rPr>
              <w:t>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13369</w:t>
            </w:r>
          </w:p>
        </w:tc>
      </w:tr>
      <w:tr w:rsidR="00184596">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lastRenderedPageBreak/>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hint="eastAsia"/>
                <w:sz w:val="18"/>
                <w:szCs w:val="18"/>
              </w:rPr>
              <w:t xml:space="preserve"> FZX-0101-03</w:t>
            </w:r>
            <w:r>
              <w:rPr>
                <w:rFonts w:ascii="Arial" w:eastAsia="华文细黑" w:hAnsi="Arial" w:cs="Arial" w:hint="eastAsia"/>
                <w:sz w:val="18"/>
                <w:szCs w:val="18"/>
              </w:rPr>
              <w:t>单元</w:t>
            </w:r>
            <w:r>
              <w:rPr>
                <w:rFonts w:ascii="Arial" w:eastAsia="华文细黑" w:hAnsi="Arial" w:cs="Arial" w:hint="eastAsia"/>
                <w:sz w:val="18"/>
                <w:szCs w:val="18"/>
              </w:rPr>
              <w:t>FZX-0101-0307 (1)</w:t>
            </w:r>
            <w:r>
              <w:rPr>
                <w:rFonts w:ascii="Arial" w:eastAsia="华文细黑" w:hAnsi="Arial" w:cs="Arial" w:hint="eastAsia"/>
                <w:sz w:val="18"/>
                <w:szCs w:val="18"/>
              </w:rPr>
              <w:t>地块</w:t>
            </w: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3</w:t>
            </w:r>
            <w:r>
              <w:rPr>
                <w:rFonts w:ascii="Arial" w:eastAsia="华文细黑" w:hAnsi="Arial" w:cs="Arial" w:hint="eastAsia"/>
                <w:sz w:val="18"/>
                <w:szCs w:val="18"/>
              </w:rPr>
              <w:t>月</w:t>
            </w:r>
            <w:r>
              <w:rPr>
                <w:rFonts w:ascii="Arial" w:eastAsia="华文细黑" w:hAnsi="Arial" w:cs="Arial" w:hint="eastAsia"/>
                <w:sz w:val="18"/>
                <w:szCs w:val="18"/>
              </w:rPr>
              <w:t>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13374</w:t>
            </w:r>
          </w:p>
        </w:tc>
      </w:tr>
      <w:tr w:rsidR="00184596">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北京市西城区新兴盛危改项目一级开发地块</w:t>
            </w:r>
            <w:r>
              <w:rPr>
                <w:rFonts w:ascii="Arial" w:eastAsia="华文细黑" w:hAnsi="Arial" w:cs="Arial" w:hint="eastAsia"/>
                <w:sz w:val="18"/>
                <w:szCs w:val="18"/>
              </w:rPr>
              <w:t>(0111-077</w:t>
            </w:r>
            <w:r>
              <w:rPr>
                <w:rFonts w:ascii="Arial" w:eastAsia="华文细黑" w:hAnsi="Arial" w:cs="Arial" w:hint="eastAsia"/>
                <w:sz w:val="18"/>
                <w:szCs w:val="18"/>
              </w:rPr>
              <w:t>、</w:t>
            </w:r>
            <w:r>
              <w:rPr>
                <w:rFonts w:ascii="Arial" w:eastAsia="华文细黑" w:hAnsi="Arial" w:cs="Arial" w:hint="eastAsia"/>
                <w:sz w:val="18"/>
                <w:szCs w:val="18"/>
              </w:rPr>
              <w:t>0111-084</w:t>
            </w:r>
            <w:r>
              <w:rPr>
                <w:rFonts w:ascii="Arial" w:eastAsia="华文细黑" w:hAnsi="Arial" w:cs="Arial" w:hint="eastAsia"/>
                <w:sz w:val="18"/>
                <w:szCs w:val="18"/>
              </w:rPr>
              <w:t>、</w:t>
            </w:r>
            <w:r>
              <w:rPr>
                <w:rFonts w:ascii="Arial" w:eastAsia="华文细黑" w:hAnsi="Arial" w:cs="Arial" w:hint="eastAsia"/>
                <w:sz w:val="18"/>
                <w:szCs w:val="18"/>
              </w:rPr>
              <w:t>0111-085)B2</w:t>
            </w:r>
            <w:r>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B2</w:t>
            </w:r>
            <w:r>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6</w:t>
            </w:r>
            <w:r>
              <w:rPr>
                <w:rFonts w:ascii="Arial" w:eastAsia="华文细黑" w:hAnsi="Arial" w:cs="Arial" w:hint="eastAsia"/>
                <w:sz w:val="18"/>
                <w:szCs w:val="18"/>
              </w:rPr>
              <w:t>月</w:t>
            </w:r>
            <w:r>
              <w:rPr>
                <w:rFonts w:ascii="Arial" w:eastAsia="华文细黑" w:hAnsi="Arial" w:cs="Arial" w:hint="eastAsia"/>
                <w:sz w:val="18"/>
                <w:szCs w:val="18"/>
              </w:rPr>
              <w:t>13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45634</w:t>
            </w:r>
          </w:p>
        </w:tc>
      </w:tr>
      <w:tr w:rsidR="00184596">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hint="eastAsia"/>
                <w:sz w:val="18"/>
                <w:szCs w:val="18"/>
              </w:rPr>
              <w:t>YZ00-0302</w:t>
            </w:r>
            <w:r>
              <w:rPr>
                <w:rFonts w:ascii="Arial" w:eastAsia="华文细黑" w:hAnsi="Arial" w:cs="Arial" w:hint="eastAsia"/>
                <w:sz w:val="18"/>
                <w:szCs w:val="18"/>
              </w:rPr>
              <w:t>街区</w:t>
            </w:r>
            <w:r>
              <w:rPr>
                <w:rFonts w:ascii="Arial" w:eastAsia="华文细黑" w:hAnsi="Arial" w:cs="Arial" w:hint="eastAsia"/>
                <w:sz w:val="18"/>
                <w:szCs w:val="18"/>
              </w:rPr>
              <w:t xml:space="preserve"> C4F1</w:t>
            </w:r>
            <w:r>
              <w:rPr>
                <w:rFonts w:ascii="Arial" w:eastAsia="华文细黑" w:hAnsi="Arial" w:cs="Arial" w:hint="eastAsia"/>
                <w:sz w:val="18"/>
                <w:szCs w:val="18"/>
              </w:rPr>
              <w:t>地块</w:t>
            </w: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21545.6</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40505.73</w:t>
            </w:r>
          </w:p>
        </w:tc>
        <w:tc>
          <w:tcPr>
            <w:tcW w:w="993"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1.88</w:t>
            </w:r>
          </w:p>
        </w:tc>
        <w:tc>
          <w:tcPr>
            <w:tcW w:w="1170"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10</w:t>
            </w:r>
            <w:r>
              <w:rPr>
                <w:rFonts w:ascii="Arial" w:eastAsia="华文细黑" w:hAnsi="Arial" w:cs="Arial" w:hint="eastAsia"/>
                <w:sz w:val="18"/>
                <w:szCs w:val="18"/>
              </w:rPr>
              <w:t>月</w:t>
            </w:r>
            <w:r>
              <w:rPr>
                <w:rFonts w:ascii="Arial" w:eastAsia="华文细黑" w:hAnsi="Arial" w:cs="Arial" w:hint="eastAsia"/>
                <w:sz w:val="18"/>
                <w:szCs w:val="18"/>
              </w:rPr>
              <w:t>11</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37500</w:t>
            </w:r>
          </w:p>
        </w:tc>
        <w:tc>
          <w:tcPr>
            <w:tcW w:w="1017"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9258</w:t>
            </w:r>
          </w:p>
        </w:tc>
      </w:tr>
      <w:tr w:rsidR="00184596">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hint="eastAsia"/>
                <w:sz w:val="18"/>
                <w:szCs w:val="18"/>
              </w:rPr>
              <w:t>YZ00-0206</w:t>
            </w:r>
            <w:r>
              <w:rPr>
                <w:rFonts w:ascii="Arial" w:eastAsia="华文细黑" w:hAnsi="Arial" w:cs="Arial" w:hint="eastAsia"/>
                <w:sz w:val="18"/>
                <w:szCs w:val="18"/>
              </w:rPr>
              <w:t>街区</w:t>
            </w:r>
            <w:r>
              <w:rPr>
                <w:rFonts w:ascii="Arial" w:eastAsia="华文细黑" w:hAnsi="Arial" w:cs="Arial" w:hint="eastAsia"/>
                <w:sz w:val="18"/>
                <w:szCs w:val="18"/>
              </w:rPr>
              <w:t>X44B2</w:t>
            </w:r>
            <w:r>
              <w:rPr>
                <w:rFonts w:ascii="Arial" w:eastAsia="华文细黑" w:hAnsi="Arial" w:cs="Arial" w:hint="eastAsia"/>
                <w:sz w:val="18"/>
                <w:szCs w:val="18"/>
              </w:rPr>
              <w:t>地块</w:t>
            </w:r>
            <w:r>
              <w:rPr>
                <w:rFonts w:ascii="Arial" w:eastAsia="华文细黑" w:hAnsi="Arial" w:cs="Arial" w:hint="eastAsia"/>
                <w:sz w:val="18"/>
                <w:szCs w:val="18"/>
              </w:rPr>
              <w:t>B4</w:t>
            </w:r>
            <w:r>
              <w:rPr>
                <w:rFonts w:ascii="Arial" w:eastAsia="华文细黑"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B4</w:t>
            </w:r>
            <w:r>
              <w:rPr>
                <w:rFonts w:ascii="Arial" w:eastAsia="华文细黑"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10200.06</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20400.12</w:t>
            </w:r>
          </w:p>
        </w:tc>
        <w:tc>
          <w:tcPr>
            <w:tcW w:w="993"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2</w:t>
            </w:r>
          </w:p>
        </w:tc>
        <w:tc>
          <w:tcPr>
            <w:tcW w:w="1170"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10</w:t>
            </w:r>
            <w:r>
              <w:rPr>
                <w:rFonts w:ascii="Arial" w:eastAsia="华文细黑" w:hAnsi="Arial" w:cs="Arial" w:hint="eastAsia"/>
                <w:sz w:val="18"/>
                <w:szCs w:val="18"/>
              </w:rPr>
              <w:t>月</w:t>
            </w:r>
            <w:r>
              <w:rPr>
                <w:rFonts w:ascii="Arial" w:eastAsia="华文细黑" w:hAnsi="Arial" w:cs="Arial" w:hint="eastAsia"/>
                <w:sz w:val="18"/>
                <w:szCs w:val="18"/>
              </w:rPr>
              <w:t>22</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14800</w:t>
            </w:r>
          </w:p>
        </w:tc>
        <w:tc>
          <w:tcPr>
            <w:tcW w:w="1017"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7255</w:t>
            </w:r>
          </w:p>
        </w:tc>
      </w:tr>
      <w:tr w:rsidR="00184596">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r>
              <w:rPr>
                <w:rFonts w:ascii="Arial" w:eastAsia="华文细黑" w:hAnsi="Arial" w:cs="Arial" w:hint="eastAsia"/>
                <w:sz w:val="18"/>
                <w:szCs w:val="18"/>
              </w:rPr>
              <w:t>0101</w:t>
            </w:r>
            <w:r>
              <w:rPr>
                <w:rFonts w:ascii="Arial" w:eastAsia="华文细黑" w:hAnsi="Arial" w:cs="Arial" w:hint="eastAsia"/>
                <w:sz w:val="18"/>
                <w:szCs w:val="18"/>
              </w:rPr>
              <w:t>街区</w:t>
            </w:r>
            <w:r>
              <w:rPr>
                <w:rFonts w:ascii="Arial" w:eastAsia="华文细黑" w:hAnsi="Arial" w:cs="Arial" w:hint="eastAsia"/>
                <w:sz w:val="18"/>
                <w:szCs w:val="18"/>
              </w:rPr>
              <w:t>FZX-0101-0607</w:t>
            </w:r>
            <w:r>
              <w:rPr>
                <w:rFonts w:ascii="Arial" w:eastAsia="华文细黑" w:hAnsi="Arial" w:cs="Arial" w:hint="eastAsia"/>
                <w:sz w:val="18"/>
                <w:szCs w:val="18"/>
              </w:rPr>
              <w:t>地块</w:t>
            </w: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11304.48</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71783.47</w:t>
            </w:r>
          </w:p>
        </w:tc>
        <w:tc>
          <w:tcPr>
            <w:tcW w:w="993"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w:t>
            </w:r>
            <w:r>
              <w:rPr>
                <w:rFonts w:ascii="Arial" w:eastAsia="华文细黑" w:hAnsi="Arial" w:cs="Arial" w:hint="eastAsia"/>
                <w:sz w:val="18"/>
                <w:szCs w:val="18"/>
              </w:rPr>
              <w:t>6.35</w:t>
            </w:r>
          </w:p>
        </w:tc>
        <w:tc>
          <w:tcPr>
            <w:tcW w:w="1170"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10</w:t>
            </w:r>
            <w:r>
              <w:rPr>
                <w:rFonts w:ascii="Arial" w:eastAsia="华文细黑" w:hAnsi="Arial" w:cs="Arial" w:hint="eastAsia"/>
                <w:sz w:val="18"/>
                <w:szCs w:val="18"/>
              </w:rPr>
              <w:t>月</w:t>
            </w:r>
            <w:r>
              <w:rPr>
                <w:rFonts w:ascii="Arial" w:eastAsia="华文细黑" w:hAnsi="Arial" w:cs="Arial" w:hint="eastAsia"/>
                <w:sz w:val="18"/>
                <w:szCs w:val="18"/>
              </w:rPr>
              <w:t>28</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93950</w:t>
            </w:r>
          </w:p>
        </w:tc>
        <w:tc>
          <w:tcPr>
            <w:tcW w:w="1017"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13088</w:t>
            </w:r>
          </w:p>
        </w:tc>
      </w:tr>
      <w:tr w:rsidR="00184596">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北京市西城区广安一期</w:t>
            </w:r>
            <w:r>
              <w:rPr>
                <w:rFonts w:ascii="Arial" w:eastAsia="华文细黑" w:hAnsi="Arial" w:cs="Arial" w:hint="eastAsia"/>
                <w:sz w:val="18"/>
                <w:szCs w:val="18"/>
              </w:rPr>
              <w:t>0128-149</w:t>
            </w:r>
            <w:r>
              <w:rPr>
                <w:rFonts w:ascii="Arial" w:eastAsia="华文细黑" w:hAnsi="Arial" w:cs="Arial" w:hint="eastAsia"/>
                <w:sz w:val="18"/>
                <w:szCs w:val="18"/>
              </w:rPr>
              <w:t>地块</w:t>
            </w: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36579</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38000</w:t>
            </w:r>
          </w:p>
        </w:tc>
        <w:tc>
          <w:tcPr>
            <w:tcW w:w="993"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1.04</w:t>
            </w:r>
          </w:p>
        </w:tc>
        <w:tc>
          <w:tcPr>
            <w:tcW w:w="1170"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12</w:t>
            </w:r>
            <w:r>
              <w:rPr>
                <w:rFonts w:ascii="Arial" w:eastAsia="华文细黑" w:hAnsi="Arial" w:cs="Arial" w:hint="eastAsia"/>
                <w:sz w:val="18"/>
                <w:szCs w:val="18"/>
              </w:rPr>
              <w:t>月</w:t>
            </w:r>
            <w:r>
              <w:rPr>
                <w:rFonts w:ascii="Arial" w:eastAsia="华文细黑" w:hAnsi="Arial" w:cs="Arial" w:hint="eastAsia"/>
                <w:sz w:val="18"/>
                <w:szCs w:val="18"/>
              </w:rPr>
              <w:t>23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134400</w:t>
            </w:r>
          </w:p>
        </w:tc>
        <w:tc>
          <w:tcPr>
            <w:tcW w:w="1017"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35368</w:t>
            </w:r>
          </w:p>
        </w:tc>
      </w:tr>
      <w:tr w:rsidR="00184596">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hint="eastAsia"/>
                <w:sz w:val="18"/>
                <w:szCs w:val="18"/>
              </w:rPr>
              <w:t>YZ00-0302</w:t>
            </w:r>
            <w:r>
              <w:rPr>
                <w:rFonts w:ascii="Arial" w:eastAsia="华文细黑" w:hAnsi="Arial" w:cs="Arial" w:hint="eastAsia"/>
                <w:sz w:val="18"/>
                <w:szCs w:val="18"/>
              </w:rPr>
              <w:t>街区</w:t>
            </w:r>
            <w:r>
              <w:rPr>
                <w:rFonts w:ascii="Arial" w:eastAsia="华文细黑" w:hAnsi="Arial" w:cs="Arial" w:hint="eastAsia"/>
                <w:sz w:val="18"/>
                <w:szCs w:val="18"/>
              </w:rPr>
              <w:t>B4B2</w:t>
            </w:r>
            <w:r>
              <w:rPr>
                <w:rFonts w:ascii="Arial" w:eastAsia="华文细黑" w:hAnsi="Arial" w:cs="Arial" w:hint="eastAsia"/>
                <w:sz w:val="18"/>
                <w:szCs w:val="18"/>
              </w:rPr>
              <w:t>地块商务金融用地</w:t>
            </w:r>
            <w:r>
              <w:rPr>
                <w:rFonts w:ascii="Arial" w:eastAsia="华文细黑" w:hAnsi="Arial" w:cs="Arial" w:hint="eastAsia"/>
                <w:sz w:val="18"/>
                <w:szCs w:val="18"/>
              </w:rPr>
              <w:t>(B2)</w:t>
            </w:r>
          </w:p>
        </w:tc>
        <w:tc>
          <w:tcPr>
            <w:tcW w:w="1134"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商务金融用地</w:t>
            </w:r>
            <w:r>
              <w:rPr>
                <w:rFonts w:ascii="Arial" w:eastAsia="华文细黑" w:hAnsi="Arial" w:cs="Arial" w:hint="eastAsia"/>
                <w:sz w:val="18"/>
                <w:szCs w:val="18"/>
              </w:rPr>
              <w:t>(B2)</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9550.32</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19100.64</w:t>
            </w:r>
          </w:p>
        </w:tc>
        <w:tc>
          <w:tcPr>
            <w:tcW w:w="993"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2</w:t>
            </w:r>
          </w:p>
        </w:tc>
        <w:tc>
          <w:tcPr>
            <w:tcW w:w="1170"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12</w:t>
            </w:r>
            <w:r>
              <w:rPr>
                <w:rFonts w:ascii="Arial" w:eastAsia="华文细黑" w:hAnsi="Arial" w:cs="Arial" w:hint="eastAsia"/>
                <w:sz w:val="18"/>
                <w:szCs w:val="18"/>
              </w:rPr>
              <w:t>月</w:t>
            </w:r>
            <w:r>
              <w:rPr>
                <w:rFonts w:ascii="Arial" w:eastAsia="华文细黑" w:hAnsi="Arial" w:cs="Arial" w:hint="eastAsia"/>
                <w:sz w:val="18"/>
                <w:szCs w:val="18"/>
              </w:rPr>
              <w:t>29</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15600</w:t>
            </w:r>
          </w:p>
        </w:tc>
        <w:tc>
          <w:tcPr>
            <w:tcW w:w="1017"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8167</w:t>
            </w:r>
          </w:p>
        </w:tc>
      </w:tr>
      <w:tr w:rsidR="00184596">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北京市石景山区衙门口棚户区改造土地开发项目</w:t>
            </w:r>
            <w:r>
              <w:rPr>
                <w:rFonts w:ascii="Arial" w:eastAsia="华文细黑" w:hAnsi="Arial" w:cs="Arial" w:hint="eastAsia"/>
                <w:sz w:val="18"/>
                <w:szCs w:val="18"/>
              </w:rPr>
              <w:t>1616-613</w:t>
            </w:r>
            <w:r>
              <w:rPr>
                <w:rFonts w:ascii="Arial" w:eastAsia="华文细黑" w:hAnsi="Arial" w:cs="Arial" w:hint="eastAsia"/>
                <w:sz w:val="18"/>
                <w:szCs w:val="18"/>
              </w:rPr>
              <w:t>、</w:t>
            </w:r>
            <w:r>
              <w:rPr>
                <w:rFonts w:ascii="Arial" w:eastAsia="华文细黑" w:hAnsi="Arial" w:cs="Arial" w:hint="eastAsia"/>
                <w:sz w:val="18"/>
                <w:szCs w:val="18"/>
              </w:rPr>
              <w:t>616</w:t>
            </w:r>
            <w:r>
              <w:rPr>
                <w:rFonts w:ascii="Arial" w:eastAsia="华文细黑" w:hAnsi="Arial" w:cs="Arial" w:hint="eastAsia"/>
                <w:sz w:val="18"/>
                <w:szCs w:val="18"/>
              </w:rPr>
              <w:t>、</w:t>
            </w:r>
            <w:r>
              <w:rPr>
                <w:rFonts w:ascii="Arial" w:eastAsia="华文细黑" w:hAnsi="Arial" w:cs="Arial" w:hint="eastAsia"/>
                <w:sz w:val="18"/>
                <w:szCs w:val="18"/>
              </w:rPr>
              <w:t>617</w:t>
            </w:r>
            <w:r>
              <w:rPr>
                <w:rFonts w:ascii="Arial" w:eastAsia="华文细黑" w:hAnsi="Arial" w:cs="Arial" w:hint="eastAsia"/>
                <w:sz w:val="18"/>
                <w:szCs w:val="18"/>
              </w:rPr>
              <w:t>地块</w:t>
            </w:r>
            <w:r>
              <w:rPr>
                <w:rFonts w:ascii="Arial" w:eastAsia="华文细黑" w:hAnsi="Arial" w:cs="Arial" w:hint="eastAsia"/>
                <w:sz w:val="18"/>
                <w:szCs w:val="18"/>
              </w:rPr>
              <w:t>B4</w:t>
            </w:r>
            <w:r>
              <w:rPr>
                <w:rFonts w:ascii="Arial" w:eastAsia="华文细黑" w:hAnsi="Arial" w:cs="Arial" w:hint="eastAsia"/>
                <w:sz w:val="18"/>
                <w:szCs w:val="18"/>
              </w:rPr>
              <w:t>综合性商业金融服务业用地、</w:t>
            </w: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B4</w:t>
            </w:r>
            <w:r>
              <w:rPr>
                <w:rFonts w:ascii="Arial" w:eastAsia="华文细黑" w:hAnsi="Arial" w:cs="Arial" w:hint="eastAsia"/>
                <w:sz w:val="18"/>
                <w:szCs w:val="18"/>
              </w:rPr>
              <w:t>综合性商业金融服务业用地、</w:t>
            </w:r>
            <w:r>
              <w:rPr>
                <w:rFonts w:ascii="Arial" w:eastAsia="华文细黑" w:hAnsi="Arial" w:cs="Arial" w:hint="eastAsia"/>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79959.07</w:t>
            </w:r>
          </w:p>
        </w:tc>
        <w:tc>
          <w:tcPr>
            <w:tcW w:w="992"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266129</w:t>
            </w:r>
          </w:p>
        </w:tc>
        <w:tc>
          <w:tcPr>
            <w:tcW w:w="993"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b4:2.7</w:t>
            </w:r>
          </w:p>
          <w:p w:rsidR="00184596" w:rsidRDefault="00FD048A">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f3:3.3-3.9</w:t>
            </w:r>
          </w:p>
        </w:tc>
        <w:tc>
          <w:tcPr>
            <w:tcW w:w="1170"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2025</w:t>
            </w:r>
            <w:r>
              <w:rPr>
                <w:rFonts w:ascii="Arial" w:eastAsia="华文细黑" w:hAnsi="Arial" w:cs="Arial" w:hint="eastAsia"/>
                <w:sz w:val="18"/>
                <w:szCs w:val="18"/>
              </w:rPr>
              <w:t>年</w:t>
            </w:r>
            <w:r>
              <w:rPr>
                <w:rFonts w:ascii="Arial" w:eastAsia="华文细黑" w:hAnsi="Arial" w:cs="Arial" w:hint="eastAsia"/>
                <w:sz w:val="18"/>
                <w:szCs w:val="18"/>
              </w:rPr>
              <w:t>12</w:t>
            </w:r>
            <w:r>
              <w:rPr>
                <w:rFonts w:ascii="Arial" w:eastAsia="华文细黑" w:hAnsi="Arial" w:cs="Arial" w:hint="eastAsia"/>
                <w:sz w:val="18"/>
                <w:szCs w:val="18"/>
              </w:rPr>
              <w:t>月</w:t>
            </w:r>
            <w:r>
              <w:rPr>
                <w:rFonts w:ascii="Arial" w:eastAsia="华文细黑" w:hAnsi="Arial" w:cs="Arial" w:hint="eastAsia"/>
                <w:sz w:val="18"/>
                <w:szCs w:val="18"/>
              </w:rPr>
              <w:t>30</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294800</w:t>
            </w:r>
          </w:p>
        </w:tc>
        <w:tc>
          <w:tcPr>
            <w:tcW w:w="1017" w:type="dxa"/>
            <w:tcBorders>
              <w:top w:val="single" w:sz="4" w:space="0" w:color="auto"/>
              <w:left w:val="single" w:sz="4" w:space="0" w:color="auto"/>
              <w:bottom w:val="single" w:sz="4" w:space="0" w:color="auto"/>
              <w:right w:val="single" w:sz="4" w:space="0" w:color="auto"/>
            </w:tcBorders>
            <w:noWrap/>
            <w:vAlign w:val="center"/>
          </w:tcPr>
          <w:p w:rsidR="00184596" w:rsidRDefault="00FD048A">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hint="eastAsia"/>
                <w:sz w:val="18"/>
                <w:szCs w:val="18"/>
              </w:rPr>
              <w:t>11077</w:t>
            </w:r>
          </w:p>
        </w:tc>
      </w:tr>
    </w:tbl>
    <w:p w:rsidR="00184596" w:rsidRDefault="00184596">
      <w:pPr>
        <w:widowControl/>
        <w:adjustRightInd/>
        <w:spacing w:line="240" w:lineRule="exact"/>
        <w:rPr>
          <w:rFonts w:ascii="Arial" w:eastAsia="仿宋" w:hAnsi="Arial" w:cs="Arial"/>
          <w:color w:val="C00000"/>
          <w:sz w:val="18"/>
          <w:szCs w:val="18"/>
        </w:rPr>
      </w:pPr>
    </w:p>
    <w:p w:rsidR="00184596" w:rsidRDefault="00FD048A">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根据</w:t>
      </w:r>
      <w:r>
        <w:rPr>
          <w:rFonts w:ascii="Arial" w:hAnsi="Arial" w:hint="eastAsia"/>
          <w:color w:val="000000"/>
          <w:sz w:val="21"/>
          <w:szCs w:val="21"/>
        </w:rPr>
        <w:t>2025</w:t>
      </w:r>
      <w:r>
        <w:rPr>
          <w:rFonts w:ascii="Arial" w:hAnsi="Arial" w:hint="eastAsia"/>
          <w:color w:val="000000"/>
          <w:sz w:val="21"/>
          <w:szCs w:val="21"/>
        </w:rPr>
        <w:t>年</w:t>
      </w:r>
      <w:r>
        <w:rPr>
          <w:rFonts w:ascii="Arial" w:hAnsi="Arial" w:hint="eastAsia"/>
          <w:color w:val="000000"/>
          <w:sz w:val="21"/>
          <w:szCs w:val="21"/>
        </w:rPr>
        <w:t>4</w:t>
      </w:r>
      <w:r>
        <w:rPr>
          <w:rFonts w:ascii="Arial" w:hAnsi="Arial" w:hint="eastAsia"/>
          <w:color w:val="000000"/>
          <w:sz w:val="21"/>
          <w:szCs w:val="21"/>
        </w:rPr>
        <w:t>季度北京市城市地价监测结果显示，北京市监测地价整体表现为整体趋稳态势，环比增长率为</w:t>
      </w:r>
      <w:r>
        <w:rPr>
          <w:rFonts w:ascii="Arial" w:hAnsi="Arial" w:hint="eastAsia"/>
          <w:color w:val="000000"/>
          <w:sz w:val="21"/>
          <w:szCs w:val="21"/>
        </w:rPr>
        <w:t>-0.61%</w:t>
      </w:r>
      <w:r>
        <w:rPr>
          <w:rFonts w:ascii="Arial" w:hAnsi="Arial" w:hint="eastAsia"/>
          <w:color w:val="000000"/>
          <w:sz w:val="21"/>
          <w:szCs w:val="21"/>
        </w:rPr>
        <w:t>。</w:t>
      </w:r>
      <w:r>
        <w:rPr>
          <w:rFonts w:ascii="Arial" w:hAnsi="Arial" w:hint="eastAsia"/>
          <w:color w:val="000000"/>
          <w:sz w:val="21"/>
          <w:szCs w:val="21"/>
        </w:rPr>
        <w:t>2025</w:t>
      </w:r>
      <w:r>
        <w:rPr>
          <w:rFonts w:ascii="Arial" w:hAnsi="Arial" w:hint="eastAsia"/>
          <w:color w:val="000000"/>
          <w:sz w:val="21"/>
          <w:szCs w:val="21"/>
        </w:rPr>
        <w:t>年</w:t>
      </w:r>
      <w:r>
        <w:rPr>
          <w:rFonts w:ascii="Arial" w:hAnsi="Arial" w:hint="eastAsia"/>
          <w:color w:val="000000"/>
          <w:sz w:val="21"/>
          <w:szCs w:val="21"/>
        </w:rPr>
        <w:t>4</w:t>
      </w:r>
      <w:r>
        <w:rPr>
          <w:rFonts w:ascii="Arial" w:hAnsi="Arial" w:hint="eastAsia"/>
          <w:color w:val="000000"/>
          <w:sz w:val="21"/>
          <w:szCs w:val="21"/>
        </w:rPr>
        <w:t>季度商服</w:t>
      </w:r>
      <w:proofErr w:type="gramStart"/>
      <w:r>
        <w:rPr>
          <w:rFonts w:ascii="Arial" w:hAnsi="Arial" w:hint="eastAsia"/>
          <w:color w:val="000000"/>
          <w:sz w:val="21"/>
          <w:szCs w:val="21"/>
        </w:rPr>
        <w:t>用途环</w:t>
      </w:r>
      <w:proofErr w:type="gramEnd"/>
      <w:r>
        <w:rPr>
          <w:rFonts w:ascii="Arial" w:hAnsi="Arial" w:hint="eastAsia"/>
          <w:color w:val="000000"/>
          <w:sz w:val="21"/>
          <w:szCs w:val="21"/>
        </w:rPr>
        <w:t>比增长率为</w:t>
      </w:r>
      <w:r>
        <w:rPr>
          <w:rFonts w:ascii="Arial" w:hAnsi="Arial" w:hint="eastAsia"/>
          <w:color w:val="000000"/>
          <w:sz w:val="21"/>
          <w:szCs w:val="21"/>
        </w:rPr>
        <w:t>-0.90%</w:t>
      </w:r>
      <w:r>
        <w:rPr>
          <w:rFonts w:ascii="Arial" w:hAnsi="Arial" w:hint="eastAsia"/>
          <w:color w:val="000000"/>
          <w:sz w:val="21"/>
          <w:szCs w:val="21"/>
        </w:rPr>
        <w:t>，较上季度减少约</w:t>
      </w:r>
      <w:r>
        <w:rPr>
          <w:rFonts w:ascii="Arial" w:hAnsi="Arial" w:hint="eastAsia"/>
          <w:color w:val="000000"/>
          <w:sz w:val="21"/>
          <w:szCs w:val="21"/>
        </w:rPr>
        <w:t>0.7</w:t>
      </w:r>
      <w:r>
        <w:rPr>
          <w:rFonts w:ascii="Arial" w:hAnsi="Arial" w:hint="eastAsia"/>
          <w:color w:val="000000"/>
          <w:sz w:val="21"/>
          <w:szCs w:val="21"/>
        </w:rPr>
        <w:t>个点位。</w:t>
      </w:r>
    </w:p>
    <w:p w:rsidR="00184596" w:rsidRDefault="00FD048A">
      <w:pPr>
        <w:rPr>
          <w:rFonts w:ascii="Arial" w:eastAsia="方正黑体简体" w:hAnsi="Arial"/>
          <w:bCs/>
          <w:color w:val="000000"/>
          <w:szCs w:val="24"/>
        </w:rPr>
      </w:pPr>
      <w:r>
        <w:rPr>
          <w:rFonts w:ascii="Arial" w:eastAsia="方正黑体简体" w:hAnsi="Arial"/>
          <w:bCs/>
          <w:color w:val="000000"/>
          <w:szCs w:val="24"/>
        </w:rPr>
        <w:br w:type="page"/>
      </w:r>
    </w:p>
    <w:p w:rsidR="00184596" w:rsidRDefault="00FD048A">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lastRenderedPageBreak/>
        <w:t>20</w:t>
      </w:r>
      <w:r>
        <w:rPr>
          <w:rFonts w:ascii="Arial" w:eastAsia="方正黑体简体" w:hAnsi="Arial" w:hint="eastAsia"/>
          <w:bCs/>
          <w:color w:val="000000"/>
          <w:szCs w:val="24"/>
        </w:rPr>
        <w:t>23</w:t>
      </w:r>
      <w:r>
        <w:rPr>
          <w:rFonts w:ascii="Arial" w:eastAsia="方正黑体简体" w:hAnsi="Arial" w:hint="eastAsia"/>
          <w:bCs/>
          <w:color w:val="000000"/>
          <w:szCs w:val="24"/>
        </w:rPr>
        <w:t>年</w:t>
      </w:r>
      <w:r>
        <w:rPr>
          <w:rFonts w:ascii="Arial" w:eastAsia="方正黑体简体" w:hAnsi="Arial" w:hint="eastAsia"/>
          <w:bCs/>
          <w:color w:val="000000"/>
          <w:szCs w:val="24"/>
        </w:rPr>
        <w:t>3</w:t>
      </w:r>
      <w:r>
        <w:rPr>
          <w:rFonts w:ascii="Arial" w:eastAsia="方正黑体简体" w:hAnsi="Arial" w:hint="eastAsia"/>
          <w:bCs/>
          <w:color w:val="000000"/>
          <w:szCs w:val="24"/>
        </w:rPr>
        <w:t>季度至</w:t>
      </w:r>
      <w:r>
        <w:rPr>
          <w:rFonts w:ascii="Arial" w:eastAsia="方正黑体简体" w:hAnsi="Arial"/>
          <w:bCs/>
          <w:color w:val="000000"/>
          <w:szCs w:val="24"/>
        </w:rPr>
        <w:t>20</w:t>
      </w:r>
      <w:r>
        <w:rPr>
          <w:rFonts w:ascii="Arial" w:eastAsia="方正黑体简体" w:hAnsi="Arial" w:hint="eastAsia"/>
          <w:bCs/>
          <w:color w:val="000000"/>
          <w:szCs w:val="24"/>
        </w:rPr>
        <w:t>25</w:t>
      </w:r>
      <w:r>
        <w:rPr>
          <w:rFonts w:ascii="Arial" w:eastAsia="方正黑体简体" w:hAnsi="Arial" w:hint="eastAsia"/>
          <w:bCs/>
          <w:color w:val="000000"/>
          <w:szCs w:val="24"/>
        </w:rPr>
        <w:t>年</w:t>
      </w:r>
      <w:r>
        <w:rPr>
          <w:rFonts w:ascii="Arial" w:eastAsia="方正黑体简体" w:hAnsi="Arial" w:hint="eastAsia"/>
          <w:bCs/>
          <w:color w:val="000000"/>
          <w:szCs w:val="24"/>
        </w:rPr>
        <w:t>4</w:t>
      </w:r>
      <w:r>
        <w:rPr>
          <w:rFonts w:ascii="Arial" w:eastAsia="方正黑体简体" w:hAnsi="Arial" w:hint="eastAsia"/>
          <w:bCs/>
          <w:color w:val="000000"/>
          <w:szCs w:val="24"/>
        </w:rPr>
        <w:t>季度北京市商办用地地价增长率走势图</w:t>
      </w:r>
    </w:p>
    <w:p w:rsidR="00184596" w:rsidRDefault="00FD048A">
      <w:pPr>
        <w:widowControl/>
        <w:overflowPunct w:val="0"/>
        <w:spacing w:line="360" w:lineRule="auto"/>
        <w:jc w:val="center"/>
        <w:rPr>
          <w:rFonts w:ascii="Arial" w:eastAsia="仿宋" w:hAnsi="Arial"/>
          <w:b/>
          <w:bCs/>
          <w:szCs w:val="24"/>
        </w:rPr>
      </w:pPr>
      <w:r>
        <w:rPr>
          <w:noProof/>
        </w:rPr>
        <w:drawing>
          <wp:inline distT="0" distB="0" distL="0" distR="0">
            <wp:extent cx="5487670" cy="2737485"/>
            <wp:effectExtent l="0" t="0" r="0" b="0"/>
            <wp:docPr id="9" name="图片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84596" w:rsidRDefault="00FD048A">
      <w:pPr>
        <w:widowControl/>
        <w:spacing w:line="480" w:lineRule="auto"/>
        <w:jc w:val="center"/>
      </w:pPr>
      <w:r>
        <w:rPr>
          <w:noProof/>
        </w:rPr>
        <w:drawing>
          <wp:inline distT="0" distB="0" distL="0" distR="0">
            <wp:extent cx="5500370" cy="3240405"/>
            <wp:effectExtent l="0" t="0" r="0" b="0"/>
            <wp:docPr id="12" name="图片 62"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84596" w:rsidRDefault="00FD048A">
      <w:pPr>
        <w:widowControl/>
        <w:spacing w:line="480" w:lineRule="auto"/>
        <w:ind w:firstLineChars="200" w:firstLine="420"/>
        <w:jc w:val="both"/>
        <w:rPr>
          <w:rFonts w:ascii="Arial" w:hAnsi="Arial"/>
          <w:bCs/>
          <w:color w:val="000000"/>
          <w:sz w:val="21"/>
          <w:szCs w:val="28"/>
        </w:rPr>
      </w:pPr>
      <w:r>
        <w:rPr>
          <w:rFonts w:ascii="Arial" w:hAnsi="Arial" w:hint="eastAsia"/>
          <w:bCs/>
          <w:color w:val="000000"/>
          <w:sz w:val="21"/>
          <w:szCs w:val="28"/>
        </w:rPr>
        <w:t>3.</w:t>
      </w:r>
      <w:r>
        <w:rPr>
          <w:rFonts w:ascii="Arial" w:hAnsi="Arial" w:hint="eastAsia"/>
          <w:bCs/>
          <w:color w:val="000000"/>
          <w:sz w:val="21"/>
          <w:szCs w:val="28"/>
        </w:rPr>
        <w:t>房地产开发</w:t>
      </w:r>
    </w:p>
    <w:p w:rsidR="00184596" w:rsidRDefault="00FD048A">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年，北京市房地产开发企业房屋新开工面积</w:t>
      </w:r>
      <w:r>
        <w:rPr>
          <w:rFonts w:ascii="Arial" w:hAnsi="Arial" w:hint="eastAsia"/>
          <w:color w:val="000000"/>
          <w:sz w:val="21"/>
          <w:szCs w:val="21"/>
        </w:rPr>
        <w:t>1156.6</w:t>
      </w:r>
      <w:r>
        <w:rPr>
          <w:rFonts w:ascii="Arial" w:hAnsi="Arial" w:hint="eastAsia"/>
          <w:color w:val="000000"/>
          <w:sz w:val="21"/>
          <w:szCs w:val="21"/>
        </w:rPr>
        <w:t>万平方米，同比下降</w:t>
      </w:r>
      <w:r>
        <w:rPr>
          <w:rFonts w:ascii="Arial" w:hAnsi="Arial" w:hint="eastAsia"/>
          <w:color w:val="000000"/>
          <w:sz w:val="21"/>
          <w:szCs w:val="21"/>
        </w:rPr>
        <w:t>10.1%</w:t>
      </w:r>
      <w:r>
        <w:rPr>
          <w:rFonts w:ascii="Arial" w:hAnsi="Arial" w:hint="eastAsia"/>
          <w:color w:val="000000"/>
          <w:sz w:val="21"/>
          <w:szCs w:val="21"/>
        </w:rPr>
        <w:t>。其中，住宅新开工面积</w:t>
      </w:r>
      <w:r>
        <w:rPr>
          <w:rFonts w:ascii="Arial" w:hAnsi="Arial" w:hint="eastAsia"/>
          <w:color w:val="000000"/>
          <w:sz w:val="21"/>
          <w:szCs w:val="21"/>
        </w:rPr>
        <w:t>727.8</w:t>
      </w:r>
      <w:r>
        <w:rPr>
          <w:rFonts w:ascii="Arial" w:hAnsi="Arial" w:hint="eastAsia"/>
          <w:color w:val="000000"/>
          <w:sz w:val="21"/>
          <w:szCs w:val="21"/>
        </w:rPr>
        <w:t>万平方米，下降</w:t>
      </w:r>
      <w:r>
        <w:rPr>
          <w:rFonts w:ascii="Arial" w:hAnsi="Arial" w:hint="eastAsia"/>
          <w:color w:val="000000"/>
          <w:sz w:val="21"/>
          <w:szCs w:val="21"/>
        </w:rPr>
        <w:t>4.5%</w:t>
      </w:r>
      <w:r>
        <w:rPr>
          <w:rFonts w:ascii="Arial" w:hAnsi="Arial" w:hint="eastAsia"/>
          <w:color w:val="000000"/>
          <w:sz w:val="21"/>
          <w:szCs w:val="21"/>
        </w:rPr>
        <w:t>；办公楼</w:t>
      </w:r>
      <w:r>
        <w:rPr>
          <w:rFonts w:ascii="Arial" w:hAnsi="Arial" w:hint="eastAsia"/>
          <w:color w:val="000000"/>
          <w:sz w:val="21"/>
          <w:szCs w:val="21"/>
        </w:rPr>
        <w:t>35.1</w:t>
      </w:r>
      <w:r>
        <w:rPr>
          <w:rFonts w:ascii="Arial" w:hAnsi="Arial" w:hint="eastAsia"/>
          <w:color w:val="000000"/>
          <w:sz w:val="21"/>
          <w:szCs w:val="21"/>
        </w:rPr>
        <w:t>万平方米，下降</w:t>
      </w:r>
      <w:r>
        <w:rPr>
          <w:rFonts w:ascii="Arial" w:hAnsi="Arial" w:hint="eastAsia"/>
          <w:color w:val="000000"/>
          <w:sz w:val="21"/>
          <w:szCs w:val="21"/>
        </w:rPr>
        <w:t>40.2%</w:t>
      </w:r>
      <w:r>
        <w:rPr>
          <w:rFonts w:ascii="Arial" w:hAnsi="Arial" w:hint="eastAsia"/>
          <w:color w:val="000000"/>
          <w:sz w:val="21"/>
          <w:szCs w:val="21"/>
        </w:rPr>
        <w:t>；商业营业用房</w:t>
      </w:r>
      <w:r>
        <w:rPr>
          <w:rFonts w:ascii="Arial" w:hAnsi="Arial" w:hint="eastAsia"/>
          <w:color w:val="000000"/>
          <w:sz w:val="21"/>
          <w:szCs w:val="21"/>
        </w:rPr>
        <w:t>58</w:t>
      </w:r>
      <w:r>
        <w:rPr>
          <w:rFonts w:ascii="Arial" w:hAnsi="Arial" w:hint="eastAsia"/>
          <w:color w:val="000000"/>
          <w:sz w:val="21"/>
          <w:szCs w:val="21"/>
        </w:rPr>
        <w:t>万平方米，下降</w:t>
      </w:r>
      <w:r>
        <w:rPr>
          <w:rFonts w:ascii="Arial" w:hAnsi="Arial" w:hint="eastAsia"/>
          <w:color w:val="000000"/>
          <w:sz w:val="21"/>
          <w:szCs w:val="21"/>
        </w:rPr>
        <w:t>11.2%</w:t>
      </w:r>
      <w:r>
        <w:rPr>
          <w:rFonts w:ascii="Arial" w:hAnsi="Arial" w:hint="eastAsia"/>
          <w:color w:val="000000"/>
          <w:sz w:val="21"/>
          <w:szCs w:val="21"/>
        </w:rPr>
        <w:t>。</w:t>
      </w:r>
    </w:p>
    <w:p w:rsidR="00184596" w:rsidRDefault="00FD048A">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1464.8</w:t>
      </w:r>
      <w:r>
        <w:rPr>
          <w:rFonts w:ascii="Arial" w:hAnsi="Arial" w:hint="eastAsia"/>
          <w:color w:val="000000"/>
          <w:sz w:val="21"/>
          <w:szCs w:val="21"/>
        </w:rPr>
        <w:t>万平方米，同比下降</w:t>
      </w:r>
      <w:r>
        <w:rPr>
          <w:rFonts w:ascii="Arial" w:hAnsi="Arial" w:hint="eastAsia"/>
          <w:color w:val="000000"/>
          <w:sz w:val="21"/>
          <w:szCs w:val="21"/>
        </w:rPr>
        <w:t>11.4%</w:t>
      </w:r>
      <w:r>
        <w:rPr>
          <w:rFonts w:ascii="Arial" w:hAnsi="Arial" w:hint="eastAsia"/>
          <w:color w:val="000000"/>
          <w:sz w:val="21"/>
          <w:szCs w:val="21"/>
        </w:rPr>
        <w:t>。其中，住宅竣工面积</w:t>
      </w:r>
      <w:r>
        <w:rPr>
          <w:rFonts w:ascii="Arial" w:hAnsi="Arial" w:hint="eastAsia"/>
          <w:color w:val="000000"/>
          <w:sz w:val="21"/>
          <w:szCs w:val="21"/>
        </w:rPr>
        <w:t>746.7</w:t>
      </w:r>
      <w:r>
        <w:rPr>
          <w:rFonts w:ascii="Arial" w:hAnsi="Arial" w:hint="eastAsia"/>
          <w:color w:val="000000"/>
          <w:sz w:val="21"/>
          <w:szCs w:val="21"/>
        </w:rPr>
        <w:t>万平方米，</w:t>
      </w:r>
      <w:r>
        <w:rPr>
          <w:rFonts w:ascii="Arial" w:hAnsi="Arial" w:hint="eastAsia"/>
          <w:color w:val="000000"/>
          <w:sz w:val="21"/>
          <w:szCs w:val="21"/>
        </w:rPr>
        <w:lastRenderedPageBreak/>
        <w:t>下降</w:t>
      </w:r>
      <w:r>
        <w:rPr>
          <w:rFonts w:ascii="Arial" w:hAnsi="Arial" w:hint="eastAsia"/>
          <w:color w:val="000000"/>
          <w:sz w:val="21"/>
          <w:szCs w:val="21"/>
        </w:rPr>
        <w:t>18.2%</w:t>
      </w:r>
      <w:r>
        <w:rPr>
          <w:rFonts w:ascii="Arial" w:hAnsi="Arial" w:hint="eastAsia"/>
          <w:color w:val="000000"/>
          <w:sz w:val="21"/>
          <w:szCs w:val="21"/>
        </w:rPr>
        <w:t>；办公楼</w:t>
      </w:r>
      <w:r>
        <w:rPr>
          <w:rFonts w:ascii="Arial" w:hAnsi="Arial" w:hint="eastAsia"/>
          <w:color w:val="000000"/>
          <w:sz w:val="21"/>
          <w:szCs w:val="21"/>
        </w:rPr>
        <w:t>53.4</w:t>
      </w:r>
      <w:r>
        <w:rPr>
          <w:rFonts w:ascii="Arial" w:hAnsi="Arial" w:hint="eastAsia"/>
          <w:color w:val="000000"/>
          <w:sz w:val="21"/>
          <w:szCs w:val="21"/>
        </w:rPr>
        <w:t>万平方米，下降</w:t>
      </w:r>
      <w:r>
        <w:rPr>
          <w:rFonts w:ascii="Arial" w:hAnsi="Arial" w:hint="eastAsia"/>
          <w:color w:val="000000"/>
          <w:sz w:val="21"/>
          <w:szCs w:val="21"/>
        </w:rPr>
        <w:t>35%</w:t>
      </w:r>
      <w:r>
        <w:rPr>
          <w:rFonts w:ascii="Arial" w:hAnsi="Arial" w:hint="eastAsia"/>
          <w:color w:val="000000"/>
          <w:sz w:val="21"/>
          <w:szCs w:val="21"/>
        </w:rPr>
        <w:t>；商业营业用房</w:t>
      </w:r>
      <w:r>
        <w:rPr>
          <w:rFonts w:ascii="Arial" w:hAnsi="Arial" w:hint="eastAsia"/>
          <w:color w:val="000000"/>
          <w:sz w:val="21"/>
          <w:szCs w:val="21"/>
        </w:rPr>
        <w:t>123.8</w:t>
      </w:r>
      <w:r>
        <w:rPr>
          <w:rFonts w:ascii="Arial" w:hAnsi="Arial" w:hint="eastAsia"/>
          <w:color w:val="000000"/>
          <w:sz w:val="21"/>
          <w:szCs w:val="21"/>
        </w:rPr>
        <w:t>万平方米，增长</w:t>
      </w:r>
      <w:r>
        <w:rPr>
          <w:rFonts w:ascii="Arial" w:hAnsi="Arial" w:hint="eastAsia"/>
          <w:color w:val="000000"/>
          <w:sz w:val="21"/>
          <w:szCs w:val="21"/>
        </w:rPr>
        <w:t>98.3%</w:t>
      </w:r>
      <w:r>
        <w:rPr>
          <w:rFonts w:ascii="Arial" w:hAnsi="Arial" w:hint="eastAsia"/>
          <w:color w:val="000000"/>
          <w:sz w:val="21"/>
          <w:szCs w:val="21"/>
        </w:rPr>
        <w:t>。</w:t>
      </w:r>
    </w:p>
    <w:p w:rsidR="00184596" w:rsidRDefault="00FD048A">
      <w:pPr>
        <w:widowControl/>
        <w:adjustRightInd/>
        <w:spacing w:line="480" w:lineRule="auto"/>
        <w:ind w:firstLineChars="200" w:firstLine="420"/>
        <w:jc w:val="both"/>
        <w:rPr>
          <w:rFonts w:ascii="Arial" w:hAnsi="Arial"/>
          <w:bCs/>
          <w:color w:val="000000"/>
          <w:sz w:val="21"/>
          <w:szCs w:val="28"/>
        </w:rPr>
      </w:pPr>
      <w:r>
        <w:rPr>
          <w:rFonts w:ascii="Arial" w:hAnsi="Arial" w:hint="eastAsia"/>
          <w:bCs/>
          <w:color w:val="000000"/>
          <w:sz w:val="21"/>
          <w:szCs w:val="28"/>
        </w:rPr>
        <w:t>4.</w:t>
      </w:r>
      <w:r>
        <w:rPr>
          <w:rFonts w:ascii="Arial" w:hAnsi="Arial" w:hint="eastAsia"/>
          <w:bCs/>
          <w:color w:val="000000"/>
          <w:sz w:val="21"/>
          <w:szCs w:val="28"/>
        </w:rPr>
        <w:t>房地产市场供需情况</w:t>
      </w:r>
    </w:p>
    <w:p w:rsidR="00184596" w:rsidRDefault="00FD048A">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年北京市</w:t>
      </w:r>
      <w:r>
        <w:rPr>
          <w:rFonts w:ascii="Arial" w:hAnsi="Arial"/>
          <w:color w:val="000000"/>
          <w:sz w:val="21"/>
          <w:szCs w:val="21"/>
        </w:rPr>
        <w:t>商办市场供应回升，成交量价齐跌</w:t>
      </w:r>
      <w:r>
        <w:rPr>
          <w:rFonts w:ascii="Arial" w:hAnsi="Arial" w:hint="eastAsia"/>
          <w:color w:val="000000"/>
          <w:sz w:val="21"/>
          <w:szCs w:val="21"/>
        </w:rPr>
        <w:t>。根据中指研究院统计的数据，</w:t>
      </w:r>
      <w:r>
        <w:rPr>
          <w:rFonts w:ascii="Arial" w:hAnsi="Arial"/>
          <w:color w:val="000000"/>
          <w:sz w:val="21"/>
          <w:szCs w:val="21"/>
        </w:rPr>
        <w:t>2025</w:t>
      </w:r>
      <w:r>
        <w:rPr>
          <w:rFonts w:ascii="Arial" w:hAnsi="Arial"/>
          <w:color w:val="000000"/>
          <w:sz w:val="21"/>
          <w:szCs w:val="21"/>
        </w:rPr>
        <w:t>年北京商办类市场累计成交</w:t>
      </w:r>
      <w:r>
        <w:rPr>
          <w:rFonts w:ascii="Arial" w:hAnsi="Arial" w:hint="eastAsia"/>
          <w:color w:val="000000"/>
          <w:sz w:val="21"/>
          <w:szCs w:val="21"/>
        </w:rPr>
        <w:t>121.66</w:t>
      </w:r>
      <w:r>
        <w:rPr>
          <w:rFonts w:ascii="Arial" w:hAnsi="Arial"/>
          <w:color w:val="000000"/>
          <w:sz w:val="21"/>
          <w:szCs w:val="21"/>
        </w:rPr>
        <w:t>万平方米，同比下降</w:t>
      </w:r>
      <w:r>
        <w:rPr>
          <w:rFonts w:ascii="Arial" w:hAnsi="Arial" w:hint="eastAsia"/>
          <w:color w:val="000000"/>
          <w:sz w:val="21"/>
          <w:szCs w:val="21"/>
        </w:rPr>
        <w:t>31.3</w:t>
      </w:r>
      <w:r>
        <w:rPr>
          <w:rFonts w:ascii="Arial" w:hAnsi="Arial"/>
          <w:color w:val="000000"/>
          <w:sz w:val="21"/>
          <w:szCs w:val="21"/>
        </w:rPr>
        <w:t>%</w:t>
      </w:r>
      <w:r>
        <w:rPr>
          <w:rFonts w:ascii="Arial" w:hAnsi="Arial"/>
          <w:color w:val="000000"/>
          <w:sz w:val="21"/>
          <w:szCs w:val="21"/>
        </w:rPr>
        <w:t>，月均成交约</w:t>
      </w:r>
      <w:r>
        <w:rPr>
          <w:rFonts w:ascii="Arial" w:hAnsi="Arial"/>
          <w:color w:val="000000"/>
          <w:sz w:val="21"/>
          <w:szCs w:val="21"/>
        </w:rPr>
        <w:t>1</w:t>
      </w:r>
      <w:r>
        <w:rPr>
          <w:rFonts w:ascii="Arial" w:hAnsi="Arial" w:hint="eastAsia"/>
          <w:color w:val="000000"/>
          <w:sz w:val="21"/>
          <w:szCs w:val="21"/>
        </w:rPr>
        <w:t>0.14</w:t>
      </w:r>
      <w:r>
        <w:rPr>
          <w:rFonts w:ascii="Arial" w:hAnsi="Arial"/>
          <w:color w:val="000000"/>
          <w:sz w:val="21"/>
          <w:szCs w:val="21"/>
        </w:rPr>
        <w:t>万平方米，成交规模</w:t>
      </w:r>
      <w:r>
        <w:rPr>
          <w:rFonts w:ascii="Arial" w:hAnsi="Arial" w:hint="eastAsia"/>
          <w:color w:val="000000"/>
          <w:sz w:val="21"/>
          <w:szCs w:val="21"/>
        </w:rPr>
        <w:t>为近</w:t>
      </w:r>
      <w:r>
        <w:rPr>
          <w:rFonts w:ascii="Arial" w:hAnsi="Arial"/>
          <w:color w:val="000000"/>
          <w:sz w:val="21"/>
          <w:szCs w:val="21"/>
        </w:rPr>
        <w:t>年</w:t>
      </w:r>
      <w:r>
        <w:rPr>
          <w:rFonts w:ascii="Arial" w:hAnsi="Arial" w:hint="eastAsia"/>
          <w:color w:val="000000"/>
          <w:sz w:val="21"/>
          <w:szCs w:val="21"/>
        </w:rPr>
        <w:t>同期低位</w:t>
      </w:r>
      <w:r>
        <w:rPr>
          <w:rFonts w:ascii="Arial" w:hAnsi="Arial"/>
          <w:color w:val="000000"/>
          <w:sz w:val="21"/>
          <w:szCs w:val="21"/>
        </w:rPr>
        <w:t>。</w:t>
      </w:r>
      <w:r>
        <w:rPr>
          <w:rFonts w:ascii="Arial" w:hAnsi="Arial" w:hint="eastAsia"/>
          <w:color w:val="000000"/>
          <w:sz w:val="21"/>
          <w:szCs w:val="21"/>
        </w:rPr>
        <w:t>其中，密云区的绿地·朗山国际健康产业园、石景山区的首</w:t>
      </w:r>
      <w:proofErr w:type="gramStart"/>
      <w:r>
        <w:rPr>
          <w:rFonts w:ascii="Arial" w:hAnsi="Arial" w:hint="eastAsia"/>
          <w:color w:val="000000"/>
          <w:sz w:val="21"/>
          <w:szCs w:val="21"/>
        </w:rPr>
        <w:t>程时代</w:t>
      </w:r>
      <w:proofErr w:type="gramEnd"/>
      <w:r>
        <w:rPr>
          <w:rFonts w:ascii="Arial" w:hAnsi="Arial" w:hint="eastAsia"/>
          <w:color w:val="000000"/>
          <w:sz w:val="21"/>
          <w:szCs w:val="21"/>
        </w:rPr>
        <w:t>中心、朝阳区的</w:t>
      </w:r>
      <w:proofErr w:type="gramStart"/>
      <w:r>
        <w:rPr>
          <w:rFonts w:ascii="Arial" w:hAnsi="Arial" w:hint="eastAsia"/>
          <w:color w:val="000000"/>
          <w:sz w:val="21"/>
          <w:szCs w:val="21"/>
        </w:rPr>
        <w:t>鲲意熙园</w:t>
      </w:r>
      <w:proofErr w:type="gramEnd"/>
      <w:r>
        <w:rPr>
          <w:rFonts w:ascii="Arial" w:hAnsi="Arial" w:hint="eastAsia"/>
          <w:color w:val="000000"/>
          <w:sz w:val="21"/>
          <w:szCs w:val="21"/>
        </w:rPr>
        <w:t>等项目去化速度较快，销售面积均超</w:t>
      </w:r>
      <w:r>
        <w:rPr>
          <w:rFonts w:ascii="Arial" w:hAnsi="Arial" w:hint="eastAsia"/>
          <w:color w:val="000000"/>
          <w:sz w:val="21"/>
          <w:szCs w:val="21"/>
        </w:rPr>
        <w:t>8.3</w:t>
      </w:r>
      <w:r>
        <w:rPr>
          <w:rFonts w:ascii="Arial" w:hAnsi="Arial" w:hint="eastAsia"/>
          <w:color w:val="000000"/>
          <w:sz w:val="21"/>
          <w:szCs w:val="21"/>
        </w:rPr>
        <w:t>万平方米。</w:t>
      </w:r>
      <w:r>
        <w:rPr>
          <w:rFonts w:ascii="Arial" w:hAnsi="Arial"/>
          <w:color w:val="000000"/>
          <w:sz w:val="21"/>
          <w:szCs w:val="21"/>
        </w:rPr>
        <w:t>价格方面，</w:t>
      </w: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北京</w:t>
      </w:r>
      <w:r>
        <w:rPr>
          <w:rFonts w:ascii="Arial" w:hAnsi="Arial"/>
          <w:color w:val="000000"/>
          <w:sz w:val="21"/>
          <w:szCs w:val="21"/>
        </w:rPr>
        <w:t>商办产品整体成交均价为</w:t>
      </w:r>
      <w:r>
        <w:rPr>
          <w:rFonts w:ascii="Arial" w:hAnsi="Arial" w:hint="eastAsia"/>
          <w:color w:val="000000"/>
          <w:sz w:val="21"/>
          <w:szCs w:val="21"/>
        </w:rPr>
        <w:t>25071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w:t>
      </w:r>
      <w:r>
        <w:rPr>
          <w:rFonts w:ascii="Arial" w:hAnsi="Arial" w:hint="eastAsia"/>
          <w:color w:val="000000"/>
          <w:sz w:val="21"/>
          <w:szCs w:val="21"/>
        </w:rPr>
        <w:t>结构性下跌</w:t>
      </w:r>
      <w:r>
        <w:rPr>
          <w:rFonts w:ascii="Arial" w:hAnsi="Arial" w:hint="eastAsia"/>
          <w:color w:val="000000"/>
          <w:sz w:val="21"/>
          <w:szCs w:val="21"/>
        </w:rPr>
        <w:t>9.9</w:t>
      </w:r>
      <w:r>
        <w:rPr>
          <w:rFonts w:ascii="Arial" w:hAnsi="Arial"/>
          <w:color w:val="000000"/>
          <w:sz w:val="21"/>
          <w:szCs w:val="21"/>
        </w:rPr>
        <w:t>%</w:t>
      </w:r>
      <w:r>
        <w:rPr>
          <w:rFonts w:ascii="Arial" w:hAnsi="Arial"/>
          <w:color w:val="000000"/>
          <w:sz w:val="21"/>
          <w:szCs w:val="21"/>
        </w:rPr>
        <w:t>。供应方面，</w:t>
      </w:r>
      <w:r>
        <w:rPr>
          <w:rFonts w:ascii="Arial" w:hAnsi="Arial"/>
          <w:color w:val="000000"/>
          <w:sz w:val="21"/>
          <w:szCs w:val="21"/>
        </w:rPr>
        <w:t>2025</w:t>
      </w:r>
      <w:r>
        <w:rPr>
          <w:rFonts w:ascii="Arial" w:hAnsi="Arial"/>
          <w:color w:val="000000"/>
          <w:sz w:val="21"/>
          <w:szCs w:val="21"/>
        </w:rPr>
        <w:t>年北京商办类产品</w:t>
      </w:r>
      <w:r>
        <w:rPr>
          <w:rFonts w:ascii="Arial" w:hAnsi="Arial" w:hint="eastAsia"/>
          <w:color w:val="000000"/>
          <w:sz w:val="21"/>
          <w:szCs w:val="21"/>
        </w:rPr>
        <w:t>累计供应规模为</w:t>
      </w:r>
      <w:r>
        <w:rPr>
          <w:rFonts w:ascii="Arial" w:hAnsi="Arial" w:hint="eastAsia"/>
          <w:color w:val="000000"/>
          <w:sz w:val="21"/>
          <w:szCs w:val="21"/>
        </w:rPr>
        <w:t>132.58</w:t>
      </w:r>
      <w:r>
        <w:rPr>
          <w:rFonts w:ascii="Arial" w:hAnsi="Arial" w:hint="eastAsia"/>
          <w:color w:val="000000"/>
          <w:sz w:val="21"/>
          <w:szCs w:val="21"/>
        </w:rPr>
        <w:t>万平方米，同比增长</w:t>
      </w:r>
      <w:r>
        <w:rPr>
          <w:rFonts w:ascii="Arial" w:hAnsi="Arial" w:hint="eastAsia"/>
          <w:color w:val="000000"/>
          <w:sz w:val="21"/>
          <w:szCs w:val="21"/>
        </w:rPr>
        <w:t>85.3%</w:t>
      </w:r>
      <w:r>
        <w:rPr>
          <w:rFonts w:ascii="Arial" w:hAnsi="Arial"/>
          <w:color w:val="000000"/>
          <w:sz w:val="21"/>
          <w:szCs w:val="21"/>
        </w:rPr>
        <w:t>。</w:t>
      </w:r>
    </w:p>
    <w:p w:rsidR="00184596" w:rsidRDefault="00FD048A">
      <w:pPr>
        <w:widowControl/>
        <w:adjustRightInd/>
        <w:spacing w:line="480" w:lineRule="auto"/>
        <w:jc w:val="center"/>
        <w:rPr>
          <w:rFonts w:ascii="Arial" w:hAnsi="Arial"/>
          <w:color w:val="000000"/>
          <w:sz w:val="21"/>
          <w:szCs w:val="21"/>
        </w:rPr>
      </w:pPr>
      <w:r>
        <w:rPr>
          <w:noProof/>
        </w:rPr>
        <w:drawing>
          <wp:inline distT="0" distB="0" distL="0" distR="0">
            <wp:extent cx="5907405" cy="1851025"/>
            <wp:effectExtent l="0" t="0" r="0" b="0"/>
            <wp:docPr id="1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907405" cy="1851025"/>
                    </a:xfrm>
                    <a:prstGeom prst="rect">
                      <a:avLst/>
                    </a:prstGeom>
                    <a:noFill/>
                    <a:ln>
                      <a:noFill/>
                    </a:ln>
                  </pic:spPr>
                </pic:pic>
              </a:graphicData>
            </a:graphic>
          </wp:inline>
        </w:drawing>
      </w:r>
    </w:p>
    <w:p w:rsidR="00184596" w:rsidRDefault="00FD048A">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区域来看</w:t>
      </w:r>
      <w:r>
        <w:rPr>
          <w:rFonts w:ascii="Arial" w:hAnsi="Arial"/>
          <w:color w:val="000000"/>
          <w:sz w:val="21"/>
          <w:szCs w:val="21"/>
        </w:rPr>
        <w:t>，</w:t>
      </w: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，石景山、朝阳、大兴、密云商办类产品成交量相对较大，海淀、东城、通州、房山成交规模下滑</w:t>
      </w:r>
      <w:proofErr w:type="gramStart"/>
      <w:r>
        <w:rPr>
          <w:rFonts w:ascii="Arial" w:hAnsi="Arial" w:hint="eastAsia"/>
          <w:color w:val="000000"/>
          <w:sz w:val="21"/>
          <w:szCs w:val="21"/>
        </w:rPr>
        <w:t>幅度超</w:t>
      </w:r>
      <w:proofErr w:type="gramEnd"/>
      <w:r>
        <w:rPr>
          <w:rFonts w:ascii="Arial" w:hAnsi="Arial" w:hint="eastAsia"/>
          <w:color w:val="000000"/>
          <w:sz w:val="21"/>
          <w:szCs w:val="21"/>
        </w:rPr>
        <w:t>5</w:t>
      </w:r>
      <w:r>
        <w:rPr>
          <w:rFonts w:ascii="Arial" w:hAnsi="Arial" w:hint="eastAsia"/>
          <w:color w:val="000000"/>
          <w:sz w:val="21"/>
          <w:szCs w:val="21"/>
        </w:rPr>
        <w:t>成。从成交绝对量来看，</w:t>
      </w:r>
      <w:r>
        <w:rPr>
          <w:rFonts w:ascii="Arial" w:hAnsi="Arial" w:hint="eastAsia"/>
          <w:color w:val="000000"/>
          <w:sz w:val="21"/>
          <w:szCs w:val="21"/>
        </w:rPr>
        <w:t>2025</w:t>
      </w:r>
      <w:r>
        <w:rPr>
          <w:rFonts w:ascii="Arial" w:hAnsi="Arial" w:hint="eastAsia"/>
          <w:color w:val="000000"/>
          <w:sz w:val="21"/>
          <w:szCs w:val="21"/>
        </w:rPr>
        <w:t>年，石景山、朝阳、大兴、密云商办类产品成交面积均超</w:t>
      </w:r>
      <w:r>
        <w:rPr>
          <w:rFonts w:ascii="Arial" w:hAnsi="Arial" w:hint="eastAsia"/>
          <w:color w:val="000000"/>
          <w:sz w:val="21"/>
          <w:szCs w:val="21"/>
        </w:rPr>
        <w:t>12</w:t>
      </w:r>
      <w:r>
        <w:rPr>
          <w:rFonts w:ascii="Arial" w:hAnsi="Arial" w:hint="eastAsia"/>
          <w:color w:val="000000"/>
          <w:sz w:val="21"/>
          <w:szCs w:val="21"/>
        </w:rPr>
        <w:t>万平方米，占比均超</w:t>
      </w:r>
      <w:r>
        <w:rPr>
          <w:rFonts w:ascii="Arial" w:hAnsi="Arial" w:hint="eastAsia"/>
          <w:color w:val="000000"/>
          <w:sz w:val="21"/>
          <w:szCs w:val="21"/>
        </w:rPr>
        <w:t>10%</w:t>
      </w:r>
      <w:r>
        <w:rPr>
          <w:rFonts w:ascii="Arial" w:hAnsi="Arial" w:hint="eastAsia"/>
          <w:color w:val="000000"/>
          <w:sz w:val="21"/>
          <w:szCs w:val="21"/>
        </w:rPr>
        <w:t>，其中，石景山</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规模达</w:t>
      </w:r>
      <w:r>
        <w:rPr>
          <w:rFonts w:ascii="Arial" w:hAnsi="Arial" w:hint="eastAsia"/>
          <w:color w:val="000000"/>
          <w:sz w:val="21"/>
          <w:szCs w:val="21"/>
        </w:rPr>
        <w:t>16.50</w:t>
      </w:r>
      <w:r>
        <w:rPr>
          <w:rFonts w:ascii="Arial" w:hAnsi="Arial" w:hint="eastAsia"/>
          <w:color w:val="000000"/>
          <w:sz w:val="21"/>
          <w:szCs w:val="21"/>
        </w:rPr>
        <w:t>万平方米，占全市成交规模的</w:t>
      </w:r>
      <w:r>
        <w:rPr>
          <w:rFonts w:ascii="Arial" w:hAnsi="Arial" w:hint="eastAsia"/>
          <w:color w:val="000000"/>
          <w:sz w:val="21"/>
          <w:szCs w:val="21"/>
        </w:rPr>
        <w:t>14%</w:t>
      </w:r>
      <w:r>
        <w:rPr>
          <w:rFonts w:ascii="Arial" w:hAnsi="Arial"/>
          <w:color w:val="000000"/>
          <w:sz w:val="21"/>
          <w:szCs w:val="21"/>
        </w:rPr>
        <w:t>。</w:t>
      </w:r>
      <w:r>
        <w:rPr>
          <w:rFonts w:ascii="Arial" w:hAnsi="Arial" w:hint="eastAsia"/>
          <w:color w:val="000000"/>
          <w:sz w:val="21"/>
          <w:szCs w:val="21"/>
        </w:rPr>
        <w:t>从成交变化来看，远郊四区以及朝阳区商办类产品成交量同比增长，其中，绿地·朗山国际健康产业</w:t>
      </w:r>
      <w:proofErr w:type="gramStart"/>
      <w:r>
        <w:rPr>
          <w:rFonts w:ascii="Arial" w:hAnsi="Arial" w:hint="eastAsia"/>
          <w:color w:val="000000"/>
          <w:sz w:val="21"/>
          <w:szCs w:val="21"/>
        </w:rPr>
        <w:t>园成交</w:t>
      </w:r>
      <w:proofErr w:type="gramEnd"/>
      <w:r>
        <w:rPr>
          <w:rFonts w:ascii="Arial" w:hAnsi="Arial" w:hint="eastAsia"/>
          <w:color w:val="000000"/>
          <w:sz w:val="21"/>
          <w:szCs w:val="21"/>
        </w:rPr>
        <w:t>带动下，密云</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规模同比大幅增长其他区域均同比下降，其中海淀、东城、通州、房山同比缩减</w:t>
      </w:r>
      <w:r>
        <w:rPr>
          <w:rFonts w:ascii="Arial" w:hAnsi="Arial" w:hint="eastAsia"/>
          <w:color w:val="000000"/>
          <w:sz w:val="21"/>
          <w:szCs w:val="21"/>
        </w:rPr>
        <w:t>5</w:t>
      </w:r>
      <w:r>
        <w:rPr>
          <w:rFonts w:ascii="Arial" w:hAnsi="Arial" w:hint="eastAsia"/>
          <w:color w:val="000000"/>
          <w:sz w:val="21"/>
          <w:szCs w:val="21"/>
        </w:rPr>
        <w:t>成及以上。</w:t>
      </w:r>
    </w:p>
    <w:p w:rsidR="00184596" w:rsidRDefault="00FD048A">
      <w:pPr>
        <w:widowControl/>
        <w:spacing w:line="360" w:lineRule="auto"/>
        <w:jc w:val="center"/>
        <w:rPr>
          <w:rFonts w:ascii="Arial" w:eastAsia="仿宋_GB2312" w:hAnsi="Arial" w:cs="Arial"/>
          <w:bCs/>
          <w:sz w:val="28"/>
          <w:szCs w:val="28"/>
        </w:rPr>
      </w:pPr>
      <w:r>
        <w:rPr>
          <w:noProof/>
        </w:rPr>
        <w:lastRenderedPageBreak/>
        <w:drawing>
          <wp:inline distT="0" distB="0" distL="0" distR="0">
            <wp:extent cx="5901690" cy="2440305"/>
            <wp:effectExtent l="0" t="0" r="0" b="0"/>
            <wp:docPr id="1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01690" cy="2440305"/>
                    </a:xfrm>
                    <a:prstGeom prst="rect">
                      <a:avLst/>
                    </a:prstGeom>
                    <a:noFill/>
                    <a:ln>
                      <a:noFill/>
                    </a:ln>
                  </pic:spPr>
                </pic:pic>
              </a:graphicData>
            </a:graphic>
          </wp:inline>
        </w:drawing>
      </w:r>
    </w:p>
    <w:p w:rsidR="00184596" w:rsidRDefault="00FD048A">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25</w:t>
      </w:r>
      <w:r>
        <w:rPr>
          <w:rFonts w:ascii="Arial" w:eastAsia="方正黑体简体" w:hAnsi="Arial" w:hint="eastAsia"/>
          <w:bCs/>
          <w:color w:val="000000"/>
          <w:szCs w:val="24"/>
        </w:rPr>
        <w:t>年年办公用房销售排名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184596">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rPr>
                <w:rFonts w:ascii="Arial" w:eastAsia="华文细黑" w:hAnsi="Arial" w:cs="宋体"/>
                <w:b/>
                <w:sz w:val="18"/>
              </w:rPr>
            </w:pPr>
            <w:r>
              <w:rPr>
                <w:rFonts w:ascii="Arial" w:eastAsia="华文细黑"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tcPr>
          <w:p w:rsidR="00184596" w:rsidRDefault="00FD048A">
            <w:pPr>
              <w:widowControl/>
              <w:adjustRightInd/>
              <w:spacing w:line="240" w:lineRule="exact"/>
              <w:rPr>
                <w:rFonts w:ascii="Arial" w:eastAsia="华文细黑" w:hAnsi="Arial" w:cs="宋体"/>
                <w:b/>
                <w:sz w:val="18"/>
              </w:rPr>
            </w:pPr>
            <w:r>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tcPr>
          <w:p w:rsidR="00184596" w:rsidRDefault="00FD048A">
            <w:pPr>
              <w:widowControl/>
              <w:adjustRightInd/>
              <w:spacing w:line="240" w:lineRule="exact"/>
              <w:rPr>
                <w:rFonts w:ascii="Arial" w:eastAsia="华文细黑" w:hAnsi="Arial" w:cs="宋体"/>
                <w:b/>
                <w:sz w:val="18"/>
              </w:rPr>
            </w:pPr>
            <w:r>
              <w:rPr>
                <w:rFonts w:ascii="Arial" w:eastAsia="华文细黑" w:hAnsi="Arial" w:cs="宋体" w:hint="eastAsia"/>
                <w:b/>
                <w:sz w:val="18"/>
              </w:rPr>
              <w:t>环线排名</w:t>
            </w:r>
          </w:p>
        </w:tc>
      </w:tr>
      <w:tr w:rsidR="00184596">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hyperlink r:id="rId39" w:history="1">
              <w:r>
                <w:rPr>
                  <w:rFonts w:ascii="Arial" w:eastAsia="华文细黑" w:hAnsi="Arial" w:cs="宋体" w:hint="eastAsia"/>
                  <w:sz w:val="18"/>
                </w:rPr>
                <w:t>成交均价</w:t>
              </w:r>
              <w:r>
                <w:rPr>
                  <w:rFonts w:ascii="Arial" w:eastAsia="华文细黑" w:hAnsi="Arial" w:cs="宋体" w:hint="eastAsia"/>
                  <w:sz w:val="18"/>
                </w:rPr>
                <w:t>(</w:t>
              </w:r>
              <w:r>
                <w:rPr>
                  <w:rFonts w:ascii="Arial" w:eastAsia="华文细黑" w:hAnsi="Arial" w:cs="宋体" w:hint="eastAsia"/>
                  <w:sz w:val="18"/>
                </w:rPr>
                <w:t>元</w:t>
              </w:r>
              <w:r>
                <w:rPr>
                  <w:rFonts w:ascii="Arial" w:eastAsia="华文细黑" w:hAnsi="Arial" w:cs="宋体" w:hint="eastAsia"/>
                  <w:sz w:val="18"/>
                </w:rPr>
                <w:t>/</w:t>
              </w:r>
              <w:r>
                <w:rPr>
                  <w:rFonts w:ascii="Arial" w:eastAsia="华文细黑" w:hAnsi="Arial" w:cs="宋体" w:hint="eastAsia"/>
                  <w:sz w:val="18"/>
                </w:rPr>
                <w:t>㎡</w:t>
              </w:r>
              <w:r>
                <w:rPr>
                  <w:rFonts w:ascii="Arial" w:eastAsia="华文细黑" w:hAnsi="Arial" w:cs="宋体" w:hint="eastAsia"/>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hint="eastAsia"/>
                <w:sz w:val="18"/>
              </w:rPr>
              <w:t>(</w:t>
            </w:r>
            <w:r>
              <w:rPr>
                <w:rFonts w:ascii="Arial" w:eastAsia="华文细黑" w:hAnsi="Arial" w:cs="宋体" w:hint="eastAsia"/>
                <w:sz w:val="18"/>
              </w:rPr>
              <w:t>元</w:t>
            </w:r>
            <w:r>
              <w:rPr>
                <w:rFonts w:ascii="Arial" w:eastAsia="华文细黑" w:hAnsi="Arial" w:cs="宋体" w:hint="eastAsia"/>
                <w:sz w:val="18"/>
              </w:rPr>
              <w:t>/</w:t>
            </w:r>
            <w:r>
              <w:rPr>
                <w:rFonts w:ascii="Arial" w:eastAsia="华文细黑" w:hAnsi="Arial" w:cs="宋体" w:hint="eastAsia"/>
                <w:sz w:val="18"/>
              </w:rPr>
              <w:t>㎡</w:t>
            </w:r>
            <w:r>
              <w:rPr>
                <w:rFonts w:ascii="Arial" w:eastAsia="华文细黑" w:hAnsi="Arial" w:cs="宋体" w:hint="eastAsia"/>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tcPr>
          <w:p w:rsidR="00184596" w:rsidRDefault="00FD048A">
            <w:pPr>
              <w:widowControl/>
              <w:adjustRightInd/>
              <w:spacing w:line="240" w:lineRule="exact"/>
              <w:rPr>
                <w:rFonts w:ascii="Arial" w:eastAsia="华文细黑" w:hAnsi="Arial" w:cs="宋体"/>
                <w:sz w:val="18"/>
              </w:rPr>
            </w:pPr>
            <w:r>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r>
      <w:tr w:rsidR="00184596">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王府</w:t>
            </w:r>
            <w:r>
              <w:rPr>
                <w:rFonts w:ascii="Arial" w:eastAsia="华文细黑" w:hAnsi="Arial" w:cs="宋体" w:hint="eastAsia"/>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rPr>
                <w:rFonts w:ascii="Arial" w:eastAsia="华文细黑" w:hAnsi="Arial" w:cs="宋体"/>
                <w:sz w:val="18"/>
              </w:rPr>
            </w:pPr>
            <w:r>
              <w:rPr>
                <w:rFonts w:ascii="Arial" w:eastAsia="华文细黑" w:hAnsi="Arial" w:cs="宋体" w:hint="eastAsia"/>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75803 </w:t>
            </w:r>
          </w:p>
        </w:tc>
        <w:tc>
          <w:tcPr>
            <w:tcW w:w="681" w:type="pct"/>
            <w:tcBorders>
              <w:top w:val="single" w:sz="2" w:space="0" w:color="404040"/>
              <w:left w:val="double" w:sz="4" w:space="0" w:color="auto"/>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76487 </w:t>
            </w:r>
          </w:p>
        </w:tc>
      </w:tr>
      <w:tr w:rsidR="00184596">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54205 </w:t>
            </w:r>
          </w:p>
        </w:tc>
        <w:tc>
          <w:tcPr>
            <w:tcW w:w="681" w:type="pct"/>
            <w:tcBorders>
              <w:top w:val="single" w:sz="2" w:space="0" w:color="404040"/>
              <w:left w:val="double" w:sz="4" w:space="0" w:color="auto"/>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36769 </w:t>
            </w:r>
          </w:p>
        </w:tc>
      </w:tr>
      <w:tr w:rsidR="00184596">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金融街中心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61460 </w:t>
            </w:r>
          </w:p>
        </w:tc>
        <w:tc>
          <w:tcPr>
            <w:tcW w:w="683" w:type="pct"/>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33818 </w:t>
            </w:r>
          </w:p>
        </w:tc>
        <w:tc>
          <w:tcPr>
            <w:tcW w:w="681" w:type="pct"/>
            <w:tcBorders>
              <w:top w:val="single" w:sz="2" w:space="0" w:color="404040"/>
              <w:left w:val="double" w:sz="4" w:space="0" w:color="auto"/>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29607 </w:t>
            </w:r>
          </w:p>
        </w:tc>
      </w:tr>
      <w:tr w:rsidR="00184596">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26187 </w:t>
            </w:r>
          </w:p>
        </w:tc>
        <w:tc>
          <w:tcPr>
            <w:tcW w:w="681" w:type="pct"/>
            <w:tcBorders>
              <w:top w:val="single" w:sz="2" w:space="0" w:color="404040"/>
              <w:left w:val="double" w:sz="4" w:space="0" w:color="auto"/>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26325 </w:t>
            </w:r>
          </w:p>
        </w:tc>
      </w:tr>
      <w:tr w:rsidR="00184596">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22652 </w:t>
            </w:r>
          </w:p>
        </w:tc>
        <w:tc>
          <w:tcPr>
            <w:tcW w:w="681" w:type="pct"/>
            <w:tcBorders>
              <w:top w:val="single" w:sz="2" w:space="0" w:color="404040"/>
              <w:left w:val="double" w:sz="4" w:space="0" w:color="auto"/>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20729 </w:t>
            </w:r>
          </w:p>
        </w:tc>
      </w:tr>
      <w:tr w:rsidR="00184596">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北京三统碑综合大厦</w:t>
            </w:r>
          </w:p>
        </w:tc>
        <w:tc>
          <w:tcPr>
            <w:tcW w:w="458"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49143 </w:t>
            </w:r>
          </w:p>
        </w:tc>
        <w:tc>
          <w:tcPr>
            <w:tcW w:w="683" w:type="pct"/>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19326 </w:t>
            </w:r>
          </w:p>
        </w:tc>
        <w:tc>
          <w:tcPr>
            <w:tcW w:w="681" w:type="pct"/>
            <w:tcBorders>
              <w:top w:val="single" w:sz="2" w:space="0" w:color="404040"/>
              <w:left w:val="double" w:sz="4" w:space="0" w:color="auto"/>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15348 </w:t>
            </w:r>
          </w:p>
        </w:tc>
      </w:tr>
      <w:tr w:rsidR="00184596">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18390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rsidR="00184596" w:rsidRDefault="00184596">
            <w:pPr>
              <w:widowControl/>
              <w:adjustRightInd/>
              <w:spacing w:line="240" w:lineRule="exact"/>
              <w:jc w:val="both"/>
              <w:rPr>
                <w:rFonts w:ascii="Arial" w:eastAsia="华文细黑" w:hAnsi="Arial" w:cs="宋体"/>
                <w:sz w:val="18"/>
              </w:rPr>
            </w:pPr>
          </w:p>
        </w:tc>
      </w:tr>
      <w:tr w:rsidR="00184596">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首开龙湖天</w:t>
            </w:r>
            <w:proofErr w:type="gramStart"/>
            <w:r>
              <w:rPr>
                <w:rFonts w:ascii="Arial" w:eastAsia="华文细黑" w:hAnsi="Arial" w:cs="宋体" w:hint="eastAsia"/>
                <w:sz w:val="18"/>
              </w:rPr>
              <w:t>琅</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762" w:type="pct"/>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41260 </w:t>
            </w:r>
          </w:p>
        </w:tc>
        <w:tc>
          <w:tcPr>
            <w:tcW w:w="683" w:type="pct"/>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17096 </w:t>
            </w:r>
          </w:p>
        </w:tc>
        <w:tc>
          <w:tcPr>
            <w:tcW w:w="1423" w:type="pct"/>
            <w:gridSpan w:val="2"/>
            <w:vMerge/>
            <w:tcBorders>
              <w:left w:val="double" w:sz="4" w:space="0" w:color="auto"/>
              <w:right w:val="single" w:sz="2" w:space="0" w:color="404040"/>
              <w:tr2bl w:val="single" w:sz="4" w:space="0" w:color="auto"/>
            </w:tcBorders>
            <w:noWrap/>
            <w:vAlign w:val="center"/>
          </w:tcPr>
          <w:p w:rsidR="00184596" w:rsidRDefault="00184596">
            <w:pPr>
              <w:widowControl/>
              <w:adjustRightInd/>
              <w:spacing w:line="240" w:lineRule="exact"/>
              <w:jc w:val="both"/>
              <w:rPr>
                <w:rFonts w:ascii="Arial" w:eastAsia="华文细黑" w:hAnsi="Arial" w:cs="宋体"/>
                <w:sz w:val="18"/>
              </w:rPr>
            </w:pPr>
          </w:p>
        </w:tc>
      </w:tr>
      <w:tr w:rsidR="00184596">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40019 </w:t>
            </w:r>
          </w:p>
        </w:tc>
        <w:tc>
          <w:tcPr>
            <w:tcW w:w="683" w:type="pct"/>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16668 </w:t>
            </w:r>
          </w:p>
        </w:tc>
        <w:tc>
          <w:tcPr>
            <w:tcW w:w="1423" w:type="pct"/>
            <w:gridSpan w:val="2"/>
            <w:vMerge/>
            <w:tcBorders>
              <w:left w:val="double" w:sz="4" w:space="0" w:color="auto"/>
              <w:right w:val="single" w:sz="2" w:space="0" w:color="404040"/>
              <w:tr2bl w:val="single" w:sz="4" w:space="0" w:color="auto"/>
            </w:tcBorders>
            <w:noWrap/>
            <w:vAlign w:val="center"/>
          </w:tcPr>
          <w:p w:rsidR="00184596" w:rsidRDefault="00184596">
            <w:pPr>
              <w:widowControl/>
              <w:adjustRightInd/>
              <w:spacing w:line="240" w:lineRule="exact"/>
              <w:jc w:val="both"/>
              <w:rPr>
                <w:rFonts w:ascii="Arial" w:eastAsia="华文细黑" w:hAnsi="Arial" w:cs="宋体"/>
                <w:sz w:val="18"/>
              </w:rPr>
            </w:pPr>
          </w:p>
        </w:tc>
      </w:tr>
      <w:tr w:rsidR="00184596">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北京绿地中心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762" w:type="pct"/>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39872 </w:t>
            </w:r>
          </w:p>
        </w:tc>
        <w:tc>
          <w:tcPr>
            <w:tcW w:w="683" w:type="pct"/>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15743 </w:t>
            </w:r>
          </w:p>
        </w:tc>
        <w:tc>
          <w:tcPr>
            <w:tcW w:w="1423" w:type="pct"/>
            <w:gridSpan w:val="2"/>
            <w:vMerge/>
            <w:tcBorders>
              <w:left w:val="double" w:sz="4" w:space="0" w:color="auto"/>
              <w:right w:val="single" w:sz="2" w:space="0" w:color="404040"/>
              <w:tr2bl w:val="single" w:sz="4" w:space="0" w:color="auto"/>
            </w:tcBorders>
            <w:noWrap/>
            <w:vAlign w:val="center"/>
          </w:tcPr>
          <w:p w:rsidR="00184596" w:rsidRDefault="00184596">
            <w:pPr>
              <w:widowControl/>
              <w:adjustRightInd/>
              <w:spacing w:line="240" w:lineRule="exact"/>
              <w:jc w:val="both"/>
              <w:rPr>
                <w:rFonts w:ascii="Arial" w:eastAsia="华文细黑" w:hAnsi="Arial" w:cs="宋体"/>
                <w:sz w:val="18"/>
              </w:rPr>
            </w:pPr>
          </w:p>
        </w:tc>
      </w:tr>
      <w:tr w:rsidR="00184596">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tcPr>
          <w:p w:rsidR="00184596" w:rsidRDefault="00184596">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14355</w:t>
            </w:r>
          </w:p>
        </w:tc>
        <w:tc>
          <w:tcPr>
            <w:tcW w:w="1423" w:type="pct"/>
            <w:gridSpan w:val="2"/>
            <w:vMerge/>
            <w:tcBorders>
              <w:left w:val="double" w:sz="4" w:space="0" w:color="auto"/>
              <w:right w:val="single" w:sz="2" w:space="0" w:color="404040"/>
              <w:tr2bl w:val="single" w:sz="4" w:space="0" w:color="auto"/>
            </w:tcBorders>
            <w:noWrap/>
            <w:vAlign w:val="center"/>
          </w:tcPr>
          <w:p w:rsidR="00184596" w:rsidRDefault="00184596">
            <w:pPr>
              <w:widowControl/>
              <w:adjustRightInd/>
              <w:spacing w:line="240" w:lineRule="exact"/>
              <w:jc w:val="both"/>
              <w:rPr>
                <w:rFonts w:ascii="Arial" w:eastAsia="华文细黑" w:hAnsi="Arial" w:cs="宋体"/>
                <w:sz w:val="18"/>
              </w:rPr>
            </w:pPr>
          </w:p>
        </w:tc>
      </w:tr>
      <w:tr w:rsidR="00184596">
        <w:trPr>
          <w:cantSplit/>
          <w:jc w:val="center"/>
        </w:trPr>
        <w:tc>
          <w:tcPr>
            <w:tcW w:w="2135" w:type="pct"/>
            <w:gridSpan w:val="3"/>
            <w:vMerge/>
            <w:tcBorders>
              <w:left w:val="single" w:sz="2" w:space="0" w:color="404040"/>
              <w:right w:val="double" w:sz="2" w:space="0" w:color="404040"/>
            </w:tcBorders>
            <w:noWrap/>
            <w:vAlign w:val="center"/>
          </w:tcPr>
          <w:p w:rsidR="00184596" w:rsidRDefault="00184596">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14093</w:t>
            </w:r>
          </w:p>
        </w:tc>
        <w:tc>
          <w:tcPr>
            <w:tcW w:w="1423" w:type="pct"/>
            <w:gridSpan w:val="2"/>
            <w:vMerge/>
            <w:tcBorders>
              <w:left w:val="double" w:sz="4" w:space="0" w:color="auto"/>
              <w:right w:val="single" w:sz="2" w:space="0" w:color="404040"/>
              <w:tr2bl w:val="single" w:sz="4" w:space="0" w:color="auto"/>
            </w:tcBorders>
            <w:noWrap/>
            <w:vAlign w:val="center"/>
          </w:tcPr>
          <w:p w:rsidR="00184596" w:rsidRDefault="00184596">
            <w:pPr>
              <w:widowControl/>
              <w:adjustRightInd/>
              <w:spacing w:line="240" w:lineRule="exact"/>
              <w:jc w:val="both"/>
              <w:rPr>
                <w:rFonts w:ascii="Arial" w:eastAsia="华文细黑" w:hAnsi="Arial" w:cs="宋体"/>
                <w:sz w:val="18"/>
              </w:rPr>
            </w:pPr>
          </w:p>
        </w:tc>
      </w:tr>
      <w:tr w:rsidR="00184596">
        <w:trPr>
          <w:cantSplit/>
          <w:jc w:val="center"/>
        </w:trPr>
        <w:tc>
          <w:tcPr>
            <w:tcW w:w="2135" w:type="pct"/>
            <w:gridSpan w:val="3"/>
            <w:vMerge/>
            <w:tcBorders>
              <w:left w:val="single" w:sz="2" w:space="0" w:color="404040"/>
              <w:right w:val="double" w:sz="2" w:space="0" w:color="404040"/>
            </w:tcBorders>
            <w:noWrap/>
            <w:vAlign w:val="center"/>
          </w:tcPr>
          <w:p w:rsidR="00184596" w:rsidRDefault="00184596">
            <w:pPr>
              <w:widowControl/>
              <w:adjustRightInd/>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11602</w:t>
            </w:r>
          </w:p>
        </w:tc>
        <w:tc>
          <w:tcPr>
            <w:tcW w:w="1423" w:type="pct"/>
            <w:gridSpan w:val="2"/>
            <w:vMerge/>
            <w:tcBorders>
              <w:left w:val="double" w:sz="4" w:space="0" w:color="auto"/>
              <w:right w:val="single" w:sz="2" w:space="0" w:color="404040"/>
              <w:tr2bl w:val="single" w:sz="4" w:space="0" w:color="auto"/>
            </w:tcBorders>
            <w:noWrap/>
            <w:vAlign w:val="center"/>
          </w:tcPr>
          <w:p w:rsidR="00184596" w:rsidRDefault="00184596">
            <w:pPr>
              <w:widowControl/>
              <w:adjustRightInd/>
              <w:spacing w:line="240" w:lineRule="exact"/>
              <w:jc w:val="both"/>
              <w:rPr>
                <w:rFonts w:ascii="Arial" w:eastAsia="华文细黑" w:hAnsi="Arial" w:cs="宋体"/>
                <w:sz w:val="18"/>
              </w:rPr>
            </w:pPr>
          </w:p>
        </w:tc>
      </w:tr>
      <w:tr w:rsidR="00184596">
        <w:trPr>
          <w:cantSplit/>
          <w:jc w:val="center"/>
        </w:trPr>
        <w:tc>
          <w:tcPr>
            <w:tcW w:w="2135" w:type="pct"/>
            <w:gridSpan w:val="3"/>
            <w:vMerge/>
            <w:tcBorders>
              <w:left w:val="single" w:sz="2" w:space="0" w:color="404040"/>
              <w:right w:val="double" w:sz="2" w:space="0" w:color="404040"/>
            </w:tcBorders>
            <w:noWrap/>
            <w:vAlign w:val="center"/>
          </w:tcPr>
          <w:p w:rsidR="00184596" w:rsidRDefault="00184596">
            <w:pPr>
              <w:widowControl/>
              <w:adjustRightInd/>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5107</w:t>
            </w:r>
          </w:p>
        </w:tc>
        <w:tc>
          <w:tcPr>
            <w:tcW w:w="1423" w:type="pct"/>
            <w:gridSpan w:val="2"/>
            <w:vMerge/>
            <w:tcBorders>
              <w:left w:val="double" w:sz="4" w:space="0" w:color="auto"/>
              <w:right w:val="single" w:sz="2" w:space="0" w:color="404040"/>
              <w:tr2bl w:val="single" w:sz="4" w:space="0" w:color="auto"/>
            </w:tcBorders>
            <w:noWrap/>
            <w:vAlign w:val="center"/>
          </w:tcPr>
          <w:p w:rsidR="00184596" w:rsidRDefault="00184596">
            <w:pPr>
              <w:widowControl/>
              <w:adjustRightInd/>
              <w:spacing w:line="240" w:lineRule="exact"/>
              <w:jc w:val="both"/>
              <w:rPr>
                <w:rFonts w:ascii="Arial" w:eastAsia="华文细黑" w:hAnsi="Arial" w:cs="宋体"/>
                <w:sz w:val="18"/>
              </w:rPr>
            </w:pPr>
          </w:p>
        </w:tc>
      </w:tr>
      <w:tr w:rsidR="00184596">
        <w:trPr>
          <w:cantSplit/>
          <w:jc w:val="center"/>
        </w:trPr>
        <w:tc>
          <w:tcPr>
            <w:tcW w:w="2135" w:type="pct"/>
            <w:gridSpan w:val="3"/>
            <w:vMerge/>
            <w:tcBorders>
              <w:left w:val="single" w:sz="2" w:space="0" w:color="404040"/>
              <w:right w:val="double" w:sz="2" w:space="0" w:color="404040"/>
            </w:tcBorders>
            <w:noWrap/>
            <w:vAlign w:val="center"/>
          </w:tcPr>
          <w:p w:rsidR="00184596" w:rsidRDefault="00184596">
            <w:pPr>
              <w:spacing w:line="240" w:lineRule="exact"/>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延庆区</w:t>
            </w:r>
          </w:p>
        </w:tc>
        <w:tc>
          <w:tcPr>
            <w:tcW w:w="759" w:type="pct"/>
            <w:tcBorders>
              <w:top w:val="single" w:sz="2" w:space="0" w:color="404040"/>
              <w:left w:val="single" w:sz="2" w:space="0" w:color="404040"/>
              <w:bottom w:val="single" w:sz="2" w:space="0" w:color="404040"/>
              <w:right w:val="double" w:sz="4" w:space="0" w:color="auto"/>
            </w:tcBorders>
            <w:noWrap/>
            <w:vAlign w:val="center"/>
          </w:tcPr>
          <w:p w:rsidR="00184596" w:rsidRDefault="00FD048A">
            <w:pPr>
              <w:spacing w:line="240" w:lineRule="exact"/>
              <w:jc w:val="both"/>
              <w:rPr>
                <w:rFonts w:ascii="Arial" w:eastAsia="华文细黑" w:hAnsi="Arial" w:cs="宋体"/>
                <w:sz w:val="18"/>
              </w:rPr>
            </w:pPr>
            <w:r>
              <w:rPr>
                <w:rFonts w:ascii="Arial" w:eastAsia="华文细黑" w:hAnsi="Arial" w:cs="宋体" w:hint="eastAsia"/>
                <w:sz w:val="18"/>
              </w:rPr>
              <w:t>3416</w:t>
            </w:r>
          </w:p>
        </w:tc>
        <w:tc>
          <w:tcPr>
            <w:tcW w:w="1423" w:type="pct"/>
            <w:gridSpan w:val="2"/>
            <w:vMerge/>
            <w:tcBorders>
              <w:left w:val="double" w:sz="4" w:space="0" w:color="auto"/>
              <w:right w:val="single" w:sz="2" w:space="0" w:color="404040"/>
              <w:tr2bl w:val="single" w:sz="4" w:space="0" w:color="auto"/>
            </w:tcBorders>
            <w:vAlign w:val="center"/>
          </w:tcPr>
          <w:p w:rsidR="00184596" w:rsidRDefault="00184596">
            <w:pPr>
              <w:widowControl/>
              <w:adjustRightInd/>
              <w:spacing w:line="240" w:lineRule="exact"/>
              <w:rPr>
                <w:rFonts w:ascii="Arial" w:eastAsia="华文细黑" w:hAnsi="Arial" w:cs="宋体"/>
                <w:sz w:val="18"/>
              </w:rPr>
            </w:pPr>
          </w:p>
        </w:tc>
      </w:tr>
    </w:tbl>
    <w:p w:rsidR="00184596" w:rsidRDefault="00184596">
      <w:pPr>
        <w:widowControl/>
        <w:adjustRightInd/>
        <w:spacing w:line="240" w:lineRule="exact"/>
        <w:rPr>
          <w:rFonts w:ascii="Arial" w:eastAsia="仿宋" w:hAnsi="Arial" w:cs="宋体"/>
          <w:color w:val="C00000"/>
          <w:sz w:val="18"/>
        </w:rPr>
      </w:pPr>
    </w:p>
    <w:p w:rsidR="00184596" w:rsidRDefault="00FD048A">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25</w:t>
      </w:r>
      <w:r>
        <w:rPr>
          <w:rFonts w:ascii="Arial" w:eastAsia="方正黑体简体" w:hAnsi="Arial" w:hint="eastAsia"/>
          <w:bCs/>
          <w:color w:val="000000"/>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184596">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rPr>
                <w:rFonts w:ascii="Arial" w:eastAsia="华文细黑" w:hAnsi="Arial" w:cs="宋体"/>
                <w:b/>
                <w:sz w:val="18"/>
              </w:rPr>
            </w:pPr>
            <w:r>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rsidR="00184596" w:rsidRDefault="00FD048A">
            <w:pPr>
              <w:widowControl/>
              <w:adjustRightInd/>
              <w:spacing w:line="240" w:lineRule="exact"/>
              <w:rPr>
                <w:rFonts w:ascii="Arial" w:eastAsia="华文细黑" w:hAnsi="Arial" w:cs="宋体"/>
                <w:b/>
                <w:sz w:val="18"/>
              </w:rPr>
            </w:pPr>
            <w:r>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rPr>
                <w:rFonts w:ascii="Arial" w:eastAsia="华文细黑" w:hAnsi="Arial" w:cs="宋体"/>
                <w:b/>
                <w:sz w:val="18"/>
              </w:rPr>
            </w:pPr>
            <w:r>
              <w:rPr>
                <w:rFonts w:ascii="Arial" w:eastAsia="华文细黑" w:hAnsi="Arial" w:cs="宋体" w:hint="eastAsia"/>
                <w:b/>
                <w:sz w:val="18"/>
              </w:rPr>
              <w:t>环线排名</w:t>
            </w:r>
          </w:p>
        </w:tc>
      </w:tr>
      <w:tr w:rsidR="00184596">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rPr>
                <w:rFonts w:ascii="Arial" w:eastAsia="华文细黑" w:hAnsi="Arial" w:cs="宋体"/>
                <w:sz w:val="18"/>
              </w:rPr>
            </w:pPr>
            <w:r>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rPr>
                <w:rFonts w:ascii="Arial" w:eastAsia="华文细黑" w:hAnsi="Arial" w:cs="宋体"/>
                <w:sz w:val="18"/>
              </w:rPr>
            </w:pPr>
            <w:r>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rPr>
                <w:rFonts w:ascii="Arial" w:eastAsia="华文细黑" w:hAnsi="Arial" w:cs="宋体"/>
                <w:sz w:val="18"/>
              </w:rPr>
            </w:pPr>
            <w:hyperlink r:id="rId40" w:history="1">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rPr>
                <w:rFonts w:ascii="Arial" w:eastAsia="华文细黑" w:hAnsi="Arial" w:cs="宋体"/>
                <w:sz w:val="18"/>
              </w:rPr>
            </w:pPr>
            <w:r>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rPr>
                <w:rFonts w:ascii="Arial" w:eastAsia="华文细黑" w:hAnsi="Arial" w:cs="宋体"/>
                <w:sz w:val="18"/>
              </w:rPr>
            </w:pPr>
            <w:r>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r>
      <w:tr w:rsidR="00184596">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120106 </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64990 </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76218 </w:t>
            </w:r>
          </w:p>
        </w:tc>
      </w:tr>
      <w:tr w:rsidR="00184596">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紫辰院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98584 </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61742 </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34401 </w:t>
            </w:r>
          </w:p>
        </w:tc>
      </w:tr>
      <w:tr w:rsidR="00184596">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一瓶·四和院</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93950 </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35534 </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26956 </w:t>
            </w:r>
          </w:p>
        </w:tc>
      </w:tr>
      <w:tr w:rsidR="00184596">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83400 </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34015 </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22822 </w:t>
            </w:r>
          </w:p>
        </w:tc>
      </w:tr>
      <w:tr w:rsidR="00184596">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lastRenderedPageBreak/>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25397 </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19974 </w:t>
            </w:r>
          </w:p>
        </w:tc>
      </w:tr>
      <w:tr w:rsidR="00184596">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23852 </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12381 </w:t>
            </w:r>
          </w:p>
        </w:tc>
      </w:tr>
      <w:tr w:rsidR="00184596">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霞公府</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79901 </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23484 </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rsidR="00184596" w:rsidRDefault="00184596">
            <w:pPr>
              <w:spacing w:line="240" w:lineRule="exact"/>
              <w:rPr>
                <w:rFonts w:ascii="Arial" w:eastAsia="华文细黑" w:hAnsi="Arial" w:cs="宋体"/>
                <w:sz w:val="18"/>
              </w:rPr>
            </w:pPr>
          </w:p>
        </w:tc>
      </w:tr>
      <w:tr w:rsidR="00184596">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中骏天宸</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21142 </w:t>
            </w:r>
          </w:p>
        </w:tc>
        <w:tc>
          <w:tcPr>
            <w:tcW w:w="2636" w:type="dxa"/>
            <w:gridSpan w:val="2"/>
            <w:vMerge/>
            <w:tcBorders>
              <w:left w:val="double" w:sz="2" w:space="0" w:color="404040"/>
              <w:right w:val="single" w:sz="2" w:space="0" w:color="404040"/>
              <w:tr2bl w:val="single" w:sz="4" w:space="0" w:color="auto"/>
            </w:tcBorders>
            <w:noWrap/>
            <w:vAlign w:val="center"/>
          </w:tcPr>
          <w:p w:rsidR="00184596" w:rsidRDefault="00184596">
            <w:pPr>
              <w:widowControl/>
              <w:adjustRightInd/>
              <w:spacing w:line="240" w:lineRule="exact"/>
              <w:rPr>
                <w:rFonts w:ascii="Arial" w:eastAsia="华文细黑" w:hAnsi="Arial" w:cs="宋体"/>
                <w:sz w:val="18"/>
              </w:rPr>
            </w:pPr>
          </w:p>
        </w:tc>
      </w:tr>
      <w:tr w:rsidR="00184596">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国安雅居</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19513 </w:t>
            </w:r>
          </w:p>
        </w:tc>
        <w:tc>
          <w:tcPr>
            <w:tcW w:w="2636" w:type="dxa"/>
            <w:gridSpan w:val="2"/>
            <w:vMerge/>
            <w:tcBorders>
              <w:left w:val="double" w:sz="2" w:space="0" w:color="404040"/>
              <w:right w:val="single" w:sz="2" w:space="0" w:color="404040"/>
              <w:tr2bl w:val="single" w:sz="4" w:space="0" w:color="auto"/>
            </w:tcBorders>
            <w:vAlign w:val="center"/>
          </w:tcPr>
          <w:p w:rsidR="00184596" w:rsidRDefault="00184596">
            <w:pPr>
              <w:widowControl/>
              <w:adjustRightInd/>
              <w:spacing w:line="240" w:lineRule="exact"/>
              <w:rPr>
                <w:rFonts w:ascii="Arial" w:eastAsia="华文细黑" w:hAnsi="Arial" w:cs="宋体"/>
                <w:sz w:val="18"/>
              </w:rPr>
            </w:pPr>
          </w:p>
        </w:tc>
      </w:tr>
      <w:tr w:rsidR="00184596">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74246 </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15600 </w:t>
            </w:r>
          </w:p>
        </w:tc>
        <w:tc>
          <w:tcPr>
            <w:tcW w:w="2636" w:type="dxa"/>
            <w:gridSpan w:val="2"/>
            <w:vMerge/>
            <w:tcBorders>
              <w:left w:val="double" w:sz="2" w:space="0" w:color="404040"/>
              <w:right w:val="single" w:sz="2" w:space="0" w:color="404040"/>
              <w:tr2bl w:val="single" w:sz="4" w:space="0" w:color="auto"/>
            </w:tcBorders>
            <w:vAlign w:val="center"/>
          </w:tcPr>
          <w:p w:rsidR="00184596" w:rsidRDefault="00184596">
            <w:pPr>
              <w:widowControl/>
              <w:adjustRightInd/>
              <w:spacing w:line="240" w:lineRule="exact"/>
              <w:rPr>
                <w:rFonts w:ascii="Arial" w:eastAsia="华文细黑" w:hAnsi="Arial" w:cs="宋体"/>
                <w:sz w:val="18"/>
              </w:rPr>
            </w:pPr>
          </w:p>
        </w:tc>
      </w:tr>
      <w:tr w:rsidR="00184596">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 xml:space="preserve">15087 </w:t>
            </w:r>
          </w:p>
        </w:tc>
        <w:tc>
          <w:tcPr>
            <w:tcW w:w="2636" w:type="dxa"/>
            <w:gridSpan w:val="2"/>
            <w:vMerge/>
            <w:tcBorders>
              <w:left w:val="double" w:sz="2" w:space="0" w:color="404040"/>
              <w:right w:val="single" w:sz="2" w:space="0" w:color="404040"/>
              <w:tr2bl w:val="single" w:sz="4" w:space="0" w:color="auto"/>
            </w:tcBorders>
            <w:vAlign w:val="center"/>
          </w:tcPr>
          <w:p w:rsidR="00184596" w:rsidRDefault="00184596">
            <w:pPr>
              <w:widowControl/>
              <w:adjustRightInd/>
              <w:spacing w:line="240" w:lineRule="exact"/>
              <w:rPr>
                <w:rFonts w:ascii="Arial" w:eastAsia="华文细黑" w:hAnsi="Arial" w:cs="宋体"/>
                <w:sz w:val="18"/>
              </w:rPr>
            </w:pPr>
          </w:p>
        </w:tc>
      </w:tr>
      <w:tr w:rsidR="00184596">
        <w:trPr>
          <w:cantSplit/>
          <w:jc w:val="center"/>
        </w:trPr>
        <w:tc>
          <w:tcPr>
            <w:tcW w:w="4112" w:type="dxa"/>
            <w:gridSpan w:val="3"/>
            <w:vMerge/>
            <w:tcBorders>
              <w:left w:val="single" w:sz="2" w:space="0" w:color="404040"/>
              <w:right w:val="double" w:sz="2" w:space="0" w:color="404040"/>
              <w:tr2bl w:val="single" w:sz="4" w:space="0" w:color="auto"/>
            </w:tcBorders>
            <w:noWrap/>
            <w:vAlign w:val="center"/>
          </w:tcPr>
          <w:p w:rsidR="00184596" w:rsidRDefault="00184596">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14711</w:t>
            </w:r>
          </w:p>
        </w:tc>
        <w:tc>
          <w:tcPr>
            <w:tcW w:w="2636" w:type="dxa"/>
            <w:gridSpan w:val="2"/>
            <w:vMerge/>
            <w:tcBorders>
              <w:left w:val="double" w:sz="2" w:space="0" w:color="404040"/>
              <w:right w:val="single" w:sz="2" w:space="0" w:color="404040"/>
              <w:tr2bl w:val="single" w:sz="4" w:space="0" w:color="auto"/>
            </w:tcBorders>
            <w:vAlign w:val="center"/>
          </w:tcPr>
          <w:p w:rsidR="00184596" w:rsidRDefault="00184596">
            <w:pPr>
              <w:widowControl/>
              <w:adjustRightInd/>
              <w:spacing w:line="240" w:lineRule="exact"/>
              <w:rPr>
                <w:rFonts w:ascii="Arial" w:eastAsia="华文细黑" w:hAnsi="Arial" w:cs="宋体"/>
                <w:sz w:val="18"/>
              </w:rPr>
            </w:pPr>
          </w:p>
        </w:tc>
      </w:tr>
      <w:tr w:rsidR="00184596">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rsidR="00184596" w:rsidRDefault="00184596">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14618</w:t>
            </w:r>
          </w:p>
        </w:tc>
        <w:tc>
          <w:tcPr>
            <w:tcW w:w="2636" w:type="dxa"/>
            <w:gridSpan w:val="2"/>
            <w:vMerge/>
            <w:tcBorders>
              <w:left w:val="double" w:sz="2" w:space="0" w:color="404040"/>
              <w:right w:val="single" w:sz="2" w:space="0" w:color="404040"/>
              <w:tr2bl w:val="single" w:sz="4" w:space="0" w:color="auto"/>
            </w:tcBorders>
            <w:vAlign w:val="center"/>
          </w:tcPr>
          <w:p w:rsidR="00184596" w:rsidRDefault="00184596">
            <w:pPr>
              <w:widowControl/>
              <w:adjustRightInd/>
              <w:spacing w:line="240" w:lineRule="exact"/>
              <w:rPr>
                <w:rFonts w:ascii="Arial" w:eastAsia="华文细黑" w:hAnsi="Arial" w:cs="宋体"/>
                <w:sz w:val="18"/>
              </w:rPr>
            </w:pPr>
          </w:p>
        </w:tc>
      </w:tr>
      <w:tr w:rsidR="00184596">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rsidR="00184596" w:rsidRDefault="00184596">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13741</w:t>
            </w:r>
          </w:p>
        </w:tc>
        <w:tc>
          <w:tcPr>
            <w:tcW w:w="2636" w:type="dxa"/>
            <w:gridSpan w:val="2"/>
            <w:vMerge/>
            <w:tcBorders>
              <w:left w:val="double" w:sz="2" w:space="0" w:color="404040"/>
              <w:right w:val="single" w:sz="2" w:space="0" w:color="404040"/>
              <w:tr2bl w:val="single" w:sz="4" w:space="0" w:color="auto"/>
            </w:tcBorders>
            <w:vAlign w:val="center"/>
          </w:tcPr>
          <w:p w:rsidR="00184596" w:rsidRDefault="00184596">
            <w:pPr>
              <w:widowControl/>
              <w:adjustRightInd/>
              <w:spacing w:line="240" w:lineRule="exact"/>
              <w:rPr>
                <w:rFonts w:ascii="Arial" w:eastAsia="华文细黑" w:hAnsi="Arial" w:cs="宋体"/>
                <w:sz w:val="18"/>
              </w:rPr>
            </w:pPr>
          </w:p>
        </w:tc>
      </w:tr>
      <w:tr w:rsidR="00184596">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rsidR="00184596" w:rsidRDefault="00184596">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10861</w:t>
            </w:r>
          </w:p>
        </w:tc>
        <w:tc>
          <w:tcPr>
            <w:tcW w:w="2636" w:type="dxa"/>
            <w:gridSpan w:val="2"/>
            <w:vMerge/>
            <w:tcBorders>
              <w:left w:val="double" w:sz="2" w:space="0" w:color="404040"/>
              <w:right w:val="single" w:sz="2" w:space="0" w:color="404040"/>
              <w:tr2bl w:val="single" w:sz="4" w:space="0" w:color="auto"/>
            </w:tcBorders>
            <w:vAlign w:val="center"/>
          </w:tcPr>
          <w:p w:rsidR="00184596" w:rsidRDefault="00184596">
            <w:pPr>
              <w:widowControl/>
              <w:adjustRightInd/>
              <w:spacing w:line="240" w:lineRule="exact"/>
              <w:rPr>
                <w:rFonts w:ascii="Arial" w:eastAsia="华文细黑" w:hAnsi="Arial" w:cs="宋体"/>
                <w:sz w:val="18"/>
              </w:rPr>
            </w:pPr>
          </w:p>
        </w:tc>
      </w:tr>
      <w:tr w:rsidR="00184596">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rsidR="00184596" w:rsidRDefault="00184596">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184596" w:rsidRDefault="00FD048A">
            <w:pPr>
              <w:widowControl/>
              <w:adjustRightInd/>
              <w:spacing w:line="240" w:lineRule="exact"/>
              <w:jc w:val="both"/>
              <w:rPr>
                <w:rFonts w:ascii="Arial" w:eastAsia="华文细黑" w:hAnsi="Arial" w:cs="宋体"/>
                <w:sz w:val="18"/>
              </w:rPr>
            </w:pPr>
            <w:r>
              <w:rPr>
                <w:rFonts w:ascii="Arial" w:eastAsia="华文细黑" w:hAnsi="Arial" w:cs="宋体" w:hint="eastAsia"/>
                <w:sz w:val="18"/>
              </w:rPr>
              <w:t>5020</w:t>
            </w:r>
          </w:p>
        </w:tc>
        <w:tc>
          <w:tcPr>
            <w:tcW w:w="2636" w:type="dxa"/>
            <w:gridSpan w:val="2"/>
            <w:vMerge/>
            <w:tcBorders>
              <w:left w:val="double" w:sz="2" w:space="0" w:color="404040"/>
              <w:right w:val="single" w:sz="2" w:space="0" w:color="404040"/>
              <w:tr2bl w:val="single" w:sz="4" w:space="0" w:color="auto"/>
            </w:tcBorders>
            <w:vAlign w:val="center"/>
          </w:tcPr>
          <w:p w:rsidR="00184596" w:rsidRDefault="00184596">
            <w:pPr>
              <w:widowControl/>
              <w:adjustRightInd/>
              <w:spacing w:line="240" w:lineRule="exact"/>
              <w:rPr>
                <w:rFonts w:ascii="Arial" w:eastAsia="华文细黑" w:hAnsi="Arial" w:cs="宋体"/>
                <w:sz w:val="18"/>
              </w:rPr>
            </w:pPr>
          </w:p>
        </w:tc>
      </w:tr>
    </w:tbl>
    <w:p w:rsidR="00184596" w:rsidRDefault="00184596">
      <w:pPr>
        <w:widowControl/>
        <w:adjustRightInd/>
        <w:spacing w:line="240" w:lineRule="exact"/>
        <w:rPr>
          <w:rFonts w:ascii="Arial" w:eastAsia="仿宋" w:hAnsi="Arial" w:cs="宋体"/>
          <w:color w:val="C00000"/>
          <w:sz w:val="18"/>
        </w:rPr>
      </w:pPr>
    </w:p>
    <w:p w:rsidR="00184596" w:rsidRDefault="00FD048A">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租赁方面，根据</w:t>
      </w:r>
      <w:proofErr w:type="gramStart"/>
      <w:r>
        <w:rPr>
          <w:rFonts w:ascii="Arial" w:hAnsi="Arial" w:hint="eastAsia"/>
          <w:color w:val="000000"/>
          <w:sz w:val="21"/>
        </w:rPr>
        <w:t>世邦</w:t>
      </w:r>
      <w:proofErr w:type="gramEnd"/>
      <w:r>
        <w:rPr>
          <w:rFonts w:ascii="Arial" w:hAnsi="Arial" w:hint="eastAsia"/>
          <w:color w:val="000000"/>
          <w:sz w:val="21"/>
        </w:rPr>
        <w:t>魏理仕数据，</w:t>
      </w:r>
      <w:r>
        <w:rPr>
          <w:rFonts w:ascii="Arial" w:hAnsi="Arial"/>
          <w:color w:val="000000"/>
          <w:sz w:val="21"/>
        </w:rPr>
        <w:t>2025</w:t>
      </w:r>
      <w:r>
        <w:rPr>
          <w:rFonts w:ascii="Arial" w:hAnsi="Arial"/>
          <w:color w:val="000000"/>
          <w:sz w:val="21"/>
        </w:rPr>
        <w:t>年北京市商业办公用房租赁市场整体呈现</w:t>
      </w:r>
      <w:r>
        <w:rPr>
          <w:rFonts w:ascii="Arial" w:hAnsi="Arial" w:hint="eastAsia"/>
          <w:color w:val="000000"/>
          <w:sz w:val="21"/>
        </w:rPr>
        <w:t>“</w:t>
      </w:r>
      <w:r>
        <w:rPr>
          <w:rFonts w:ascii="Arial" w:hAnsi="Arial"/>
          <w:color w:val="000000"/>
          <w:sz w:val="21"/>
        </w:rPr>
        <w:t>存量深度调整，市场加速分化</w:t>
      </w:r>
      <w:r>
        <w:rPr>
          <w:rFonts w:ascii="Arial" w:hAnsi="Arial" w:hint="eastAsia"/>
          <w:color w:val="000000"/>
          <w:sz w:val="21"/>
        </w:rPr>
        <w:t>”</w:t>
      </w:r>
      <w:r>
        <w:rPr>
          <w:rFonts w:ascii="Arial" w:hAnsi="Arial"/>
          <w:color w:val="000000"/>
          <w:sz w:val="21"/>
        </w:rPr>
        <w:t> </w:t>
      </w:r>
      <w:r>
        <w:rPr>
          <w:rFonts w:ascii="Arial" w:hAnsi="Arial"/>
          <w:color w:val="000000"/>
          <w:sz w:val="21"/>
        </w:rPr>
        <w:t>的显著特征。办公楼市场新增供应创下自</w:t>
      </w:r>
      <w:r>
        <w:rPr>
          <w:rFonts w:ascii="Arial" w:hAnsi="Arial"/>
          <w:color w:val="000000"/>
          <w:sz w:val="21"/>
        </w:rPr>
        <w:t>2015</w:t>
      </w:r>
      <w:r>
        <w:rPr>
          <w:rFonts w:ascii="Arial" w:hAnsi="Arial"/>
          <w:color w:val="000000"/>
          <w:sz w:val="21"/>
        </w:rPr>
        <w:t>年以来的历史新低，全年仅</w:t>
      </w:r>
      <w:r>
        <w:rPr>
          <w:rFonts w:ascii="Arial" w:hAnsi="Arial" w:hint="eastAsia"/>
          <w:color w:val="000000"/>
          <w:sz w:val="21"/>
        </w:rPr>
        <w:t>新供应</w:t>
      </w:r>
      <w:r>
        <w:rPr>
          <w:rFonts w:ascii="Arial" w:hAnsi="Arial"/>
          <w:color w:val="000000"/>
          <w:sz w:val="21"/>
        </w:rPr>
        <w:t>18</w:t>
      </w:r>
      <w:r>
        <w:rPr>
          <w:rFonts w:ascii="Arial" w:hAnsi="Arial"/>
          <w:color w:val="000000"/>
          <w:sz w:val="21"/>
        </w:rPr>
        <w:t>万平方米，供应的极度紧缩为市场去化创造了客观条件。全年净吸纳量达</w:t>
      </w:r>
      <w:r>
        <w:rPr>
          <w:rFonts w:ascii="Arial" w:hAnsi="Arial"/>
          <w:color w:val="000000"/>
          <w:sz w:val="21"/>
        </w:rPr>
        <w:t>43.8</w:t>
      </w:r>
      <w:r>
        <w:rPr>
          <w:rFonts w:ascii="Arial" w:hAnsi="Arial"/>
          <w:color w:val="000000"/>
          <w:sz w:val="21"/>
        </w:rPr>
        <w:t>万平方米，推动整体空置率连续四个季度下降至</w:t>
      </w:r>
      <w:r>
        <w:rPr>
          <w:rFonts w:ascii="Arial" w:hAnsi="Arial"/>
          <w:color w:val="000000"/>
          <w:sz w:val="21"/>
        </w:rPr>
        <w:t>19.1%</w:t>
      </w:r>
      <w:r>
        <w:rPr>
          <w:rFonts w:ascii="Arial" w:hAnsi="Arial"/>
          <w:color w:val="000000"/>
          <w:sz w:val="21"/>
        </w:rPr>
        <w:t>。然而，市场需求结构发生深刻变化：</w:t>
      </w:r>
      <w:r>
        <w:rPr>
          <w:rFonts w:ascii="Arial" w:hAnsi="Arial"/>
          <w:color w:val="000000"/>
          <w:sz w:val="21"/>
        </w:rPr>
        <w:t>TMT</w:t>
      </w:r>
      <w:r>
        <w:rPr>
          <w:rFonts w:ascii="Arial" w:hAnsi="Arial"/>
          <w:color w:val="000000"/>
          <w:sz w:val="21"/>
        </w:rPr>
        <w:t>行业（占</w:t>
      </w:r>
      <w:r>
        <w:rPr>
          <w:rFonts w:ascii="Arial" w:hAnsi="Arial"/>
          <w:color w:val="000000"/>
          <w:sz w:val="21"/>
        </w:rPr>
        <w:t>36%</w:t>
      </w:r>
      <w:r>
        <w:rPr>
          <w:rFonts w:ascii="Arial" w:hAnsi="Arial"/>
          <w:color w:val="000000"/>
          <w:sz w:val="21"/>
        </w:rPr>
        <w:t>）仍是核心引擎，以算力、人工智能为首的细分领域保持活跃；金融业（占</w:t>
      </w:r>
      <w:r>
        <w:rPr>
          <w:rFonts w:ascii="Arial" w:hAnsi="Arial"/>
          <w:color w:val="000000"/>
          <w:sz w:val="21"/>
        </w:rPr>
        <w:t>21%</w:t>
      </w:r>
      <w:r>
        <w:rPr>
          <w:rFonts w:ascii="Arial" w:hAnsi="Arial"/>
          <w:color w:val="000000"/>
          <w:sz w:val="21"/>
        </w:rPr>
        <w:t>）需求恢复缓慢且以小面积为主；专业服务业（占</w:t>
      </w:r>
      <w:r>
        <w:rPr>
          <w:rFonts w:ascii="Arial" w:hAnsi="Arial"/>
          <w:color w:val="000000"/>
          <w:sz w:val="21"/>
        </w:rPr>
        <w:t>8%</w:t>
      </w:r>
      <w:r>
        <w:rPr>
          <w:rFonts w:ascii="Arial" w:hAnsi="Arial"/>
          <w:color w:val="000000"/>
          <w:sz w:val="21"/>
        </w:rPr>
        <w:t>）需求稳定。从区域看，需求高度集中于</w:t>
      </w:r>
      <w:r>
        <w:rPr>
          <w:rFonts w:ascii="Arial" w:hAnsi="Arial"/>
          <w:color w:val="000000"/>
          <w:sz w:val="21"/>
        </w:rPr>
        <w:t>CBD</w:t>
      </w:r>
      <w:r>
        <w:rPr>
          <w:rFonts w:ascii="Arial" w:hAnsi="Arial"/>
          <w:color w:val="000000"/>
          <w:sz w:val="21"/>
        </w:rPr>
        <w:t>（</w:t>
      </w:r>
      <w:r>
        <w:rPr>
          <w:rFonts w:ascii="Arial" w:hAnsi="Arial"/>
          <w:color w:val="000000"/>
          <w:sz w:val="21"/>
        </w:rPr>
        <w:t>24%</w:t>
      </w:r>
      <w:r>
        <w:rPr>
          <w:rFonts w:ascii="Arial" w:hAnsi="Arial"/>
          <w:color w:val="000000"/>
          <w:sz w:val="21"/>
        </w:rPr>
        <w:t>）、中关村（</w:t>
      </w:r>
      <w:r>
        <w:rPr>
          <w:rFonts w:ascii="Arial" w:hAnsi="Arial"/>
          <w:color w:val="000000"/>
          <w:sz w:val="21"/>
        </w:rPr>
        <w:t>17%</w:t>
      </w:r>
      <w:r>
        <w:rPr>
          <w:rFonts w:ascii="Arial" w:hAnsi="Arial"/>
          <w:color w:val="000000"/>
          <w:sz w:val="21"/>
        </w:rPr>
        <w:t>）和望京（</w:t>
      </w:r>
      <w:r>
        <w:rPr>
          <w:rFonts w:ascii="Arial" w:hAnsi="Arial"/>
          <w:color w:val="000000"/>
          <w:sz w:val="21"/>
        </w:rPr>
        <w:t>13%</w:t>
      </w:r>
      <w:r>
        <w:rPr>
          <w:rFonts w:ascii="Arial" w:hAnsi="Arial"/>
          <w:color w:val="000000"/>
          <w:sz w:val="21"/>
        </w:rPr>
        <w:t>）；而</w:t>
      </w:r>
      <w:r>
        <w:rPr>
          <w:rFonts w:ascii="Arial" w:hAnsi="Arial"/>
          <w:color w:val="000000"/>
          <w:sz w:val="21"/>
        </w:rPr>
        <w:t>CBD</w:t>
      </w:r>
      <w:r>
        <w:rPr>
          <w:rFonts w:ascii="Arial" w:hAnsi="Arial"/>
          <w:color w:val="000000"/>
          <w:sz w:val="21"/>
        </w:rPr>
        <w:t>、金融街等传统区域则因金融业整合退租，去</w:t>
      </w:r>
      <w:proofErr w:type="gramStart"/>
      <w:r>
        <w:rPr>
          <w:rFonts w:ascii="Arial" w:hAnsi="Arial"/>
          <w:color w:val="000000"/>
          <w:sz w:val="21"/>
        </w:rPr>
        <w:t>化压力</w:t>
      </w:r>
      <w:proofErr w:type="gramEnd"/>
      <w:r>
        <w:rPr>
          <w:rFonts w:ascii="Arial" w:hAnsi="Arial"/>
          <w:color w:val="000000"/>
          <w:sz w:val="21"/>
        </w:rPr>
        <w:t>严峻。全年租金面价在激烈的价格竞争下累计下跌</w:t>
      </w:r>
      <w:r>
        <w:rPr>
          <w:rFonts w:ascii="Arial" w:hAnsi="Arial"/>
          <w:color w:val="000000"/>
          <w:sz w:val="21"/>
        </w:rPr>
        <w:t>10.7%</w:t>
      </w:r>
      <w:r>
        <w:rPr>
          <w:rFonts w:ascii="Arial" w:hAnsi="Arial"/>
          <w:color w:val="000000"/>
          <w:sz w:val="21"/>
        </w:rPr>
        <w:t>，至</w:t>
      </w:r>
      <w:r>
        <w:rPr>
          <w:rFonts w:ascii="Arial" w:hAnsi="Arial"/>
          <w:color w:val="000000"/>
          <w:sz w:val="21"/>
        </w:rPr>
        <w:t>228.5</w:t>
      </w:r>
      <w:r>
        <w:rPr>
          <w:rFonts w:ascii="Arial" w:hAnsi="Arial"/>
          <w:color w:val="000000"/>
          <w:sz w:val="21"/>
        </w:rPr>
        <w:t>元</w:t>
      </w:r>
      <w:r>
        <w:rPr>
          <w:rFonts w:ascii="Arial" w:hAnsi="Arial" w:hint="eastAsia"/>
          <w:color w:val="000000"/>
          <w:sz w:val="21"/>
        </w:rPr>
        <w:t>/</w:t>
      </w:r>
      <w:r>
        <w:rPr>
          <w:rFonts w:ascii="Arial" w:hAnsi="Arial" w:hint="eastAsia"/>
          <w:color w:val="000000"/>
          <w:sz w:val="21"/>
        </w:rPr>
        <w:t>平方米·月</w:t>
      </w:r>
      <w:r>
        <w:rPr>
          <w:rFonts w:ascii="Arial" w:hAnsi="Arial"/>
          <w:color w:val="000000"/>
          <w:sz w:val="21"/>
        </w:rPr>
        <w:t>，金融街跌幅居前，</w:t>
      </w:r>
      <w:proofErr w:type="gramStart"/>
      <w:r>
        <w:rPr>
          <w:rFonts w:ascii="Arial" w:hAnsi="Arial"/>
          <w:color w:val="000000"/>
          <w:sz w:val="21"/>
        </w:rPr>
        <w:t>甲级与</w:t>
      </w:r>
      <w:proofErr w:type="gramEnd"/>
      <w:r>
        <w:rPr>
          <w:rFonts w:ascii="Arial" w:hAnsi="Arial"/>
          <w:color w:val="000000"/>
          <w:sz w:val="21"/>
        </w:rPr>
        <w:t>乙级、老旧项目</w:t>
      </w:r>
      <w:r>
        <w:rPr>
          <w:rFonts w:ascii="Arial" w:hAnsi="Arial" w:hint="eastAsia"/>
          <w:color w:val="000000"/>
          <w:sz w:val="21"/>
        </w:rPr>
        <w:t>之间</w:t>
      </w:r>
      <w:r>
        <w:rPr>
          <w:rFonts w:ascii="Arial" w:hAnsi="Arial"/>
          <w:color w:val="000000"/>
          <w:sz w:val="21"/>
        </w:rPr>
        <w:t>的租金表现分化加剧。</w:t>
      </w:r>
    </w:p>
    <w:p w:rsidR="00184596" w:rsidRDefault="00FD048A">
      <w:pPr>
        <w:overflowPunct w:val="0"/>
        <w:spacing w:line="480" w:lineRule="auto"/>
        <w:ind w:firstLine="420"/>
        <w:jc w:val="both"/>
        <w:textAlignment w:val="auto"/>
        <w:rPr>
          <w:rFonts w:ascii="Arial" w:hAnsi="Arial"/>
          <w:color w:val="000000"/>
          <w:sz w:val="21"/>
        </w:rPr>
      </w:pPr>
      <w:r>
        <w:rPr>
          <w:rFonts w:ascii="Arial" w:hAnsi="Arial"/>
          <w:color w:val="000000"/>
          <w:sz w:val="21"/>
        </w:rPr>
        <w:t>与此同时，零售物业市场则以</w:t>
      </w:r>
      <w:r>
        <w:rPr>
          <w:rFonts w:ascii="Arial" w:hAnsi="Arial"/>
          <w:color w:val="000000"/>
          <w:sz w:val="21"/>
        </w:rPr>
        <w:t> </w:t>
      </w:r>
      <w:r>
        <w:rPr>
          <w:rFonts w:ascii="Arial" w:hAnsi="Arial"/>
          <w:color w:val="000000"/>
          <w:sz w:val="21"/>
        </w:rPr>
        <w:t>城市更新为主线，全年</w:t>
      </w:r>
      <w:r>
        <w:rPr>
          <w:rFonts w:ascii="Arial" w:hAnsi="Arial"/>
          <w:color w:val="000000"/>
          <w:sz w:val="21"/>
        </w:rPr>
        <w:t>53.4</w:t>
      </w:r>
      <w:r>
        <w:rPr>
          <w:rFonts w:ascii="Arial" w:hAnsi="Arial"/>
          <w:color w:val="000000"/>
          <w:sz w:val="21"/>
        </w:rPr>
        <w:t>万平方米的新增供应全部来自改造项目，如中关村</w:t>
      </w:r>
      <w:proofErr w:type="gramStart"/>
      <w:r>
        <w:rPr>
          <w:rFonts w:ascii="Arial" w:hAnsi="Arial"/>
          <w:color w:val="000000"/>
          <w:sz w:val="21"/>
        </w:rPr>
        <w:t>大融城</w:t>
      </w:r>
      <w:proofErr w:type="gramEnd"/>
      <w:r>
        <w:rPr>
          <w:rFonts w:ascii="Arial" w:hAnsi="Arial"/>
          <w:color w:val="000000"/>
          <w:sz w:val="21"/>
        </w:rPr>
        <w:t>与隆福寺二期。</w:t>
      </w:r>
      <w:proofErr w:type="gramStart"/>
      <w:r>
        <w:rPr>
          <w:rFonts w:ascii="Arial" w:hAnsi="Arial"/>
          <w:color w:val="000000"/>
          <w:sz w:val="21"/>
        </w:rPr>
        <w:t>在社消总额</w:t>
      </w:r>
      <w:proofErr w:type="gramEnd"/>
      <w:r>
        <w:rPr>
          <w:rFonts w:ascii="Arial" w:hAnsi="Arial"/>
          <w:color w:val="000000"/>
          <w:sz w:val="21"/>
        </w:rPr>
        <w:t>同比下降的背景下，市场业</w:t>
      </w:r>
      <w:proofErr w:type="gramStart"/>
      <w:r>
        <w:rPr>
          <w:rFonts w:ascii="Arial" w:hAnsi="Arial"/>
          <w:color w:val="000000"/>
          <w:sz w:val="21"/>
        </w:rPr>
        <w:t>态持续</w:t>
      </w:r>
      <w:proofErr w:type="gramEnd"/>
      <w:r>
        <w:rPr>
          <w:rFonts w:ascii="Arial" w:hAnsi="Arial"/>
          <w:color w:val="000000"/>
          <w:sz w:val="21"/>
        </w:rPr>
        <w:t>迭代：餐饮（占</w:t>
      </w:r>
      <w:r>
        <w:rPr>
          <w:rFonts w:ascii="Arial" w:hAnsi="Arial"/>
          <w:color w:val="000000"/>
          <w:sz w:val="21"/>
        </w:rPr>
        <w:t>44%</w:t>
      </w:r>
      <w:r>
        <w:rPr>
          <w:rFonts w:ascii="Arial" w:hAnsi="Arial"/>
          <w:color w:val="000000"/>
          <w:sz w:val="21"/>
        </w:rPr>
        <w:t>）</w:t>
      </w:r>
      <w:r>
        <w:rPr>
          <w:rFonts w:ascii="Arial" w:hAnsi="Arial" w:hint="eastAsia"/>
          <w:color w:val="000000"/>
          <w:sz w:val="21"/>
        </w:rPr>
        <w:t>中</w:t>
      </w:r>
      <w:r>
        <w:rPr>
          <w:rFonts w:ascii="Arial" w:hAnsi="Arial"/>
          <w:color w:val="000000"/>
          <w:sz w:val="21"/>
        </w:rPr>
        <w:t>地方特色</w:t>
      </w:r>
      <w:r>
        <w:rPr>
          <w:rFonts w:ascii="Arial" w:hAnsi="Arial" w:hint="eastAsia"/>
          <w:color w:val="000000"/>
          <w:sz w:val="21"/>
        </w:rPr>
        <w:t>餐饮与茶饮烘焙表现突出；服饰鞋包（占</w:t>
      </w:r>
      <w:r>
        <w:rPr>
          <w:rFonts w:ascii="Arial" w:hAnsi="Arial"/>
          <w:color w:val="000000"/>
          <w:sz w:val="21"/>
        </w:rPr>
        <w:t>33%</w:t>
      </w:r>
      <w:r>
        <w:rPr>
          <w:rFonts w:ascii="Arial" w:hAnsi="Arial"/>
          <w:color w:val="000000"/>
          <w:sz w:val="21"/>
        </w:rPr>
        <w:t>）中本土设计品牌占比提升；生活方式类业态（占</w:t>
      </w:r>
      <w:r>
        <w:rPr>
          <w:rFonts w:ascii="Arial" w:hAnsi="Arial"/>
          <w:color w:val="000000"/>
          <w:sz w:val="21"/>
        </w:rPr>
        <w:t>7%</w:t>
      </w:r>
      <w:r>
        <w:rPr>
          <w:rFonts w:ascii="Arial" w:hAnsi="Arial"/>
          <w:color w:val="000000"/>
          <w:sz w:val="21"/>
        </w:rPr>
        <w:t>）扩张明显，成为非核心商圈引流关键。通过业主积极的租金让步与业态调改策略，全年净</w:t>
      </w:r>
      <w:r>
        <w:rPr>
          <w:rFonts w:ascii="Arial" w:hAnsi="Arial"/>
          <w:color w:val="000000"/>
          <w:sz w:val="21"/>
        </w:rPr>
        <w:lastRenderedPageBreak/>
        <w:t>吸纳量达</w:t>
      </w:r>
      <w:r>
        <w:rPr>
          <w:rFonts w:ascii="Arial" w:hAnsi="Arial"/>
          <w:color w:val="000000"/>
          <w:sz w:val="21"/>
        </w:rPr>
        <w:t>42.6</w:t>
      </w:r>
      <w:r>
        <w:rPr>
          <w:rFonts w:ascii="Arial" w:hAnsi="Arial"/>
          <w:color w:val="000000"/>
          <w:sz w:val="21"/>
        </w:rPr>
        <w:t>万平方米，推动空置率在年末回落至</w:t>
      </w:r>
      <w:r>
        <w:rPr>
          <w:rFonts w:ascii="Arial" w:hAnsi="Arial"/>
          <w:color w:val="000000"/>
          <w:sz w:val="21"/>
        </w:rPr>
        <w:t>7.4%</w:t>
      </w:r>
      <w:r>
        <w:rPr>
          <w:rFonts w:ascii="Arial" w:hAnsi="Arial"/>
          <w:color w:val="000000"/>
          <w:sz w:val="21"/>
        </w:rPr>
        <w:t>。然而，全市首层平均租金报价仍累计下跌</w:t>
      </w:r>
      <w:r>
        <w:rPr>
          <w:rFonts w:ascii="Arial" w:hAnsi="Arial"/>
          <w:color w:val="000000"/>
          <w:sz w:val="21"/>
        </w:rPr>
        <w:t>2.4%</w:t>
      </w:r>
      <w:r>
        <w:rPr>
          <w:rFonts w:ascii="Arial" w:hAnsi="Arial"/>
          <w:color w:val="000000"/>
          <w:sz w:val="21"/>
        </w:rPr>
        <w:t>，至</w:t>
      </w:r>
      <w:r>
        <w:rPr>
          <w:rFonts w:ascii="Arial" w:hAnsi="Arial"/>
          <w:color w:val="000000"/>
          <w:sz w:val="21"/>
        </w:rPr>
        <w:t>30.0</w:t>
      </w:r>
      <w:r>
        <w:rPr>
          <w:rFonts w:ascii="Arial" w:hAnsi="Arial"/>
          <w:color w:val="000000"/>
          <w:sz w:val="21"/>
        </w:rPr>
        <w:t>元</w:t>
      </w:r>
      <w:r>
        <w:rPr>
          <w:rFonts w:ascii="Arial" w:hAnsi="Arial" w:hint="eastAsia"/>
          <w:color w:val="000000"/>
          <w:sz w:val="21"/>
        </w:rPr>
        <w:t>/</w:t>
      </w:r>
      <w:r>
        <w:rPr>
          <w:rFonts w:ascii="Arial" w:hAnsi="Arial" w:hint="eastAsia"/>
          <w:color w:val="000000"/>
          <w:sz w:val="21"/>
        </w:rPr>
        <w:t>平方米·月</w:t>
      </w:r>
      <w:r>
        <w:rPr>
          <w:rFonts w:ascii="Arial" w:hAnsi="Arial"/>
          <w:color w:val="000000"/>
          <w:sz w:val="21"/>
        </w:rPr>
        <w:t>，次级商圈租金承压尤为突出，市场分化显著。</w:t>
      </w:r>
    </w:p>
    <w:p w:rsidR="00184596" w:rsidRDefault="00FD048A">
      <w:pPr>
        <w:widowControl/>
        <w:overflowPunct w:val="0"/>
        <w:spacing w:line="360" w:lineRule="auto"/>
        <w:rPr>
          <w:rFonts w:ascii="Arial" w:hAnsi="Arial"/>
          <w:bCs/>
          <w:sz w:val="21"/>
          <w:szCs w:val="28"/>
        </w:rPr>
      </w:pPr>
      <w:r>
        <w:rPr>
          <w:rFonts w:ascii="Arial" w:hAnsi="Arial" w:hint="eastAsia"/>
          <w:bCs/>
          <w:sz w:val="21"/>
          <w:szCs w:val="28"/>
        </w:rPr>
        <w:t>5.</w:t>
      </w:r>
      <w:r>
        <w:rPr>
          <w:rFonts w:ascii="Arial" w:hAnsi="Arial" w:hint="eastAsia"/>
          <w:bCs/>
          <w:sz w:val="21"/>
          <w:szCs w:val="28"/>
        </w:rPr>
        <w:t>产业</w:t>
      </w:r>
      <w:r>
        <w:rPr>
          <w:rFonts w:ascii="Arial" w:hAnsi="Arial" w:hint="eastAsia"/>
          <w:color w:val="000000"/>
          <w:sz w:val="21"/>
          <w:szCs w:val="21"/>
        </w:rPr>
        <w:t>政策</w:t>
      </w:r>
      <w:r>
        <w:rPr>
          <w:rFonts w:ascii="Arial" w:hAnsi="Arial" w:hint="eastAsia"/>
          <w:bCs/>
          <w:sz w:val="21"/>
          <w:szCs w:val="28"/>
        </w:rPr>
        <w:t>情况</w:t>
      </w:r>
    </w:p>
    <w:p w:rsidR="00184596" w:rsidRDefault="00FD048A">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hint="eastAsia"/>
          <w:bCs/>
          <w:sz w:val="21"/>
          <w:szCs w:val="28"/>
        </w:rPr>
        <w:t>1</w:t>
      </w:r>
      <w:r>
        <w:rPr>
          <w:rFonts w:ascii="Arial" w:hAnsi="Arial" w:hint="eastAsia"/>
          <w:bCs/>
          <w:sz w:val="21"/>
          <w:szCs w:val="28"/>
        </w:rPr>
        <w:t>）全国政策</w:t>
      </w:r>
    </w:p>
    <w:p w:rsidR="00184596" w:rsidRDefault="00FD048A">
      <w:pPr>
        <w:widowControl/>
        <w:adjustRightInd/>
        <w:spacing w:line="480" w:lineRule="auto"/>
        <w:ind w:firstLineChars="200" w:firstLine="420"/>
        <w:jc w:val="both"/>
        <w:rPr>
          <w:rFonts w:ascii="Arial" w:hAnsi="Arial"/>
          <w:color w:val="000000"/>
          <w:sz w:val="21"/>
        </w:rPr>
      </w:pPr>
      <w:r>
        <w:rPr>
          <w:rFonts w:ascii="Arial" w:hAnsi="Arial"/>
          <w:color w:val="000000"/>
          <w:sz w:val="21"/>
        </w:rPr>
        <w:t>202</w:t>
      </w:r>
      <w:r>
        <w:rPr>
          <w:rFonts w:ascii="Arial" w:hAnsi="Arial" w:hint="eastAsia"/>
          <w:color w:val="000000"/>
          <w:sz w:val="21"/>
        </w:rPr>
        <w:t>5</w:t>
      </w:r>
      <w:r>
        <w:rPr>
          <w:rFonts w:ascii="Arial" w:hAnsi="Arial"/>
          <w:color w:val="000000"/>
          <w:sz w:val="21"/>
        </w:rPr>
        <w:t>年</w:t>
      </w:r>
      <w:r>
        <w:rPr>
          <w:rFonts w:ascii="Arial" w:hAnsi="Arial"/>
          <w:color w:val="000000"/>
          <w:sz w:val="21"/>
        </w:rPr>
        <w:t>3</w:t>
      </w:r>
      <w:r>
        <w:rPr>
          <w:rFonts w:ascii="Arial" w:hAnsi="Arial"/>
          <w:color w:val="000000"/>
          <w:sz w:val="21"/>
        </w:rPr>
        <w:t>月</w:t>
      </w:r>
      <w:r>
        <w:rPr>
          <w:rFonts w:ascii="Arial" w:hAnsi="Arial" w:hint="eastAsia"/>
          <w:color w:val="000000"/>
          <w:sz w:val="21"/>
        </w:rPr>
        <w:t>5</w:t>
      </w:r>
      <w:r>
        <w:rPr>
          <w:rFonts w:ascii="Arial" w:hAnsi="Arial"/>
          <w:color w:val="000000"/>
          <w:sz w:val="21"/>
        </w:rPr>
        <w:t>日全国两会召开。关于房地产的定调，政府工作报告延续了去年底中央经济工作会议基调，</w:t>
      </w:r>
      <w:r>
        <w:rPr>
          <w:rFonts w:ascii="Arial" w:hAnsi="Arial" w:hint="eastAsia"/>
          <w:color w:val="000000"/>
          <w:sz w:val="21"/>
        </w:rPr>
        <w:t>在</w:t>
      </w:r>
      <w:r>
        <w:rPr>
          <w:rFonts w:ascii="Arial" w:hAnsi="Arial" w:hint="eastAsia"/>
          <w:color w:val="000000"/>
          <w:sz w:val="21"/>
        </w:rPr>
        <w:t>2025</w:t>
      </w:r>
      <w:r>
        <w:rPr>
          <w:rFonts w:ascii="Arial" w:hAnsi="Arial" w:hint="eastAsia"/>
          <w:color w:val="000000"/>
          <w:sz w:val="21"/>
        </w:rPr>
        <w:t>年政府工作任务“有效防范化解重点领域风险</w:t>
      </w:r>
      <w:r>
        <w:rPr>
          <w:rFonts w:ascii="Arial" w:hAnsi="Arial" w:hint="eastAsia"/>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rsidR="00184596" w:rsidRDefault="00FD048A">
      <w:pPr>
        <w:widowControl/>
        <w:adjustRightInd/>
        <w:spacing w:line="480" w:lineRule="auto"/>
        <w:ind w:firstLineChars="200" w:firstLine="420"/>
        <w:jc w:val="both"/>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25</w:t>
      </w:r>
      <w:r>
        <w:rPr>
          <w:rFonts w:ascii="Arial" w:hAnsi="Arial" w:hint="eastAsia"/>
          <w:color w:val="000000"/>
          <w:sz w:val="21"/>
        </w:rPr>
        <w:t>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olor w:val="000000"/>
          <w:sz w:val="21"/>
        </w:rPr>
        <w:t>适时降准降息</w:t>
      </w:r>
      <w:proofErr w:type="gramEnd"/>
      <w:r>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color w:val="000000"/>
          <w:sz w:val="21"/>
        </w:rPr>
        <w:t>模式，加大高品质住房供给，优化存量商品房收购政策，持续巩固房地产市场稳定态势。</w:t>
      </w:r>
    </w:p>
    <w:p w:rsidR="00184596" w:rsidRDefault="00FD048A">
      <w:pPr>
        <w:widowControl/>
        <w:adjustRightInd/>
        <w:spacing w:line="480" w:lineRule="auto"/>
        <w:ind w:firstLineChars="200" w:firstLine="420"/>
        <w:jc w:val="both"/>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5</w:t>
      </w:r>
      <w:r>
        <w:rPr>
          <w:rFonts w:ascii="Arial" w:hAnsi="Arial" w:hint="eastAsia"/>
          <w:color w:val="000000"/>
          <w:sz w:val="21"/>
        </w:rPr>
        <w:t>月</w:t>
      </w:r>
      <w:r>
        <w:rPr>
          <w:rFonts w:ascii="Arial" w:hAnsi="Arial" w:hint="eastAsia"/>
          <w:color w:val="000000"/>
          <w:sz w:val="21"/>
        </w:rPr>
        <w:t>15</w:t>
      </w:r>
      <w:r>
        <w:rPr>
          <w:rFonts w:ascii="Arial" w:hAnsi="Arial" w:hint="eastAsia"/>
          <w:color w:val="000000"/>
          <w:sz w:val="21"/>
        </w:rPr>
        <w:t>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rsidR="00184596" w:rsidRDefault="00FD048A">
      <w:pPr>
        <w:widowControl/>
        <w:adjustRightInd/>
        <w:spacing w:line="480" w:lineRule="auto"/>
        <w:ind w:firstLineChars="200" w:firstLine="420"/>
        <w:jc w:val="both"/>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6</w:t>
      </w:r>
      <w:r>
        <w:rPr>
          <w:rFonts w:ascii="Arial" w:hAnsi="Arial" w:hint="eastAsia"/>
          <w:color w:val="000000"/>
          <w:sz w:val="21"/>
        </w:rPr>
        <w:t>月</w:t>
      </w:r>
      <w:r>
        <w:rPr>
          <w:rFonts w:ascii="Arial" w:hAnsi="Arial" w:hint="eastAsia"/>
          <w:color w:val="000000"/>
          <w:sz w:val="21"/>
        </w:rPr>
        <w:t>13</w:t>
      </w:r>
      <w:r>
        <w:rPr>
          <w:rFonts w:ascii="Arial" w:hAnsi="Arial" w:hint="eastAsia"/>
          <w:color w:val="000000"/>
          <w:sz w:val="21"/>
        </w:rPr>
        <w:t>日</w:t>
      </w:r>
      <w:r>
        <w:rPr>
          <w:rFonts w:ascii="Arial" w:hAnsi="Arial"/>
          <w:color w:val="000000"/>
          <w:sz w:val="21"/>
        </w:rPr>
        <w:t>国务院常务会议召开，其中重点部署了房地产相关政策，核心目标是</w:t>
      </w:r>
      <w:r>
        <w:rPr>
          <w:rFonts w:ascii="Arial" w:hAnsi="Arial" w:hint="eastAsia"/>
          <w:color w:val="000000"/>
          <w:sz w:val="21"/>
        </w:rPr>
        <w:t>“</w:t>
      </w:r>
      <w:r>
        <w:rPr>
          <w:rFonts w:ascii="Arial" w:hAnsi="Arial"/>
          <w:color w:val="000000"/>
          <w:sz w:val="21"/>
        </w:rPr>
        <w:t>更大力度推动房地产市场止跌回稳</w:t>
      </w:r>
      <w:r>
        <w:rPr>
          <w:rFonts w:ascii="Arial" w:hAnsi="Arial" w:hint="eastAsia"/>
          <w:color w:val="000000"/>
          <w:sz w:val="21"/>
        </w:rPr>
        <w:t>”</w:t>
      </w:r>
      <w:r>
        <w:rPr>
          <w:rFonts w:ascii="Arial" w:hAnsi="Arial"/>
          <w:color w:val="000000"/>
          <w:sz w:val="21"/>
        </w:rPr>
        <w:t>，并围绕构建房地产发展新模式、推进</w:t>
      </w:r>
      <w:r>
        <w:rPr>
          <w:rFonts w:ascii="Arial" w:hAnsi="Arial" w:hint="eastAsia"/>
          <w:color w:val="000000"/>
          <w:sz w:val="21"/>
        </w:rPr>
        <w:t>“好房子”</w:t>
      </w:r>
      <w:r>
        <w:rPr>
          <w:rFonts w:ascii="Arial" w:hAnsi="Arial"/>
          <w:color w:val="000000"/>
          <w:sz w:val="21"/>
        </w:rPr>
        <w:t>建设、盘活存量资源等方面提出具体措施。</w:t>
      </w:r>
    </w:p>
    <w:p w:rsidR="00184596" w:rsidRDefault="00FD048A">
      <w:pPr>
        <w:widowControl/>
        <w:adjustRightInd/>
        <w:spacing w:line="480" w:lineRule="auto"/>
        <w:ind w:firstLineChars="200" w:firstLine="420"/>
        <w:jc w:val="both"/>
        <w:rPr>
          <w:rFonts w:ascii="Arial" w:hAnsi="Arial"/>
          <w:color w:val="000000"/>
          <w:sz w:val="21"/>
        </w:rPr>
      </w:pPr>
      <w:r>
        <w:rPr>
          <w:rFonts w:ascii="Arial" w:hAnsi="Arial" w:hint="eastAsia"/>
          <w:color w:val="000000"/>
          <w:sz w:val="21"/>
        </w:rPr>
        <w:lastRenderedPageBreak/>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w:t>
      </w:r>
      <w:r>
        <w:rPr>
          <w:rFonts w:ascii="Arial" w:hAnsi="Arial"/>
          <w:color w:val="000000"/>
          <w:sz w:val="21"/>
        </w:rPr>
        <w:t>4</w:t>
      </w:r>
      <w:r>
        <w:rPr>
          <w:rFonts w:ascii="Arial" w:hAnsi="Arial"/>
          <w:color w:val="000000"/>
          <w:sz w:val="21"/>
        </w:rPr>
        <w:t>日至</w:t>
      </w:r>
      <w:r>
        <w:rPr>
          <w:rFonts w:ascii="Arial" w:hAnsi="Arial" w:hint="eastAsia"/>
          <w:color w:val="000000"/>
          <w:sz w:val="21"/>
        </w:rPr>
        <w:t>1</w:t>
      </w:r>
      <w:r>
        <w:rPr>
          <w:rFonts w:ascii="Arial" w:hAnsi="Arial"/>
          <w:color w:val="000000"/>
          <w:sz w:val="21"/>
        </w:rPr>
        <w:t>5</w:t>
      </w:r>
      <w:r>
        <w:rPr>
          <w:rFonts w:ascii="Arial" w:hAnsi="Arial"/>
          <w:color w:val="000000"/>
          <w:sz w:val="21"/>
        </w:rPr>
        <w:t>日</w:t>
      </w:r>
      <w:bookmarkStart w:id="57" w:name="OLE_LINK7"/>
      <w:r>
        <w:rPr>
          <w:rFonts w:ascii="Arial" w:hAnsi="Arial"/>
          <w:color w:val="000000"/>
          <w:sz w:val="21"/>
        </w:rPr>
        <w:t>中央城市工作会议</w:t>
      </w:r>
      <w:bookmarkEnd w:id="57"/>
      <w:r>
        <w:rPr>
          <w:rFonts w:ascii="Arial" w:hAnsi="Arial"/>
          <w:color w:val="000000"/>
          <w:sz w:val="21"/>
        </w:rPr>
        <w:t>在北京举行，部署城市工作</w:t>
      </w:r>
      <w:r>
        <w:rPr>
          <w:rFonts w:ascii="Arial" w:hAnsi="Arial"/>
          <w:color w:val="000000"/>
          <w:sz w:val="21"/>
        </w:rPr>
        <w:t>7</w:t>
      </w:r>
      <w:r>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ascii="Arial" w:hAnsi="Arial" w:hint="eastAsia"/>
          <w:color w:val="000000"/>
          <w:sz w:val="21"/>
        </w:rPr>
        <w:t>。</w:t>
      </w:r>
    </w:p>
    <w:p w:rsidR="00184596" w:rsidRDefault="00FD048A">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2025</w:t>
      </w:r>
      <w:r>
        <w:rPr>
          <w:rFonts w:ascii="Arial" w:hAnsi="Arial" w:hint="eastAsia"/>
          <w:bCs/>
          <w:sz w:val="21"/>
          <w:szCs w:val="28"/>
        </w:rPr>
        <w:t>年</w:t>
      </w:r>
      <w:r>
        <w:rPr>
          <w:rFonts w:ascii="Arial" w:hAnsi="Arial" w:hint="eastAsia"/>
          <w:bCs/>
          <w:sz w:val="21"/>
          <w:szCs w:val="28"/>
        </w:rPr>
        <w:t>8</w:t>
      </w:r>
      <w:r>
        <w:rPr>
          <w:rFonts w:ascii="Arial" w:hAnsi="Arial" w:hint="eastAsia"/>
          <w:bCs/>
          <w:sz w:val="21"/>
          <w:szCs w:val="28"/>
        </w:rPr>
        <w:t>月</w:t>
      </w:r>
      <w:r>
        <w:rPr>
          <w:rFonts w:ascii="Arial" w:hAnsi="Arial" w:hint="eastAsia"/>
          <w:bCs/>
          <w:sz w:val="21"/>
          <w:szCs w:val="28"/>
        </w:rPr>
        <w:t>28</w:t>
      </w:r>
      <w:r>
        <w:rPr>
          <w:rFonts w:ascii="Arial" w:hAnsi="Arial" w:hint="eastAsia"/>
          <w:bCs/>
          <w:sz w:val="21"/>
          <w:szCs w:val="28"/>
        </w:rPr>
        <w:t>日，《中共中央</w:t>
      </w:r>
      <w:r>
        <w:rPr>
          <w:rFonts w:ascii="Arial" w:hAnsi="Arial" w:hint="eastAsia"/>
          <w:bCs/>
          <w:sz w:val="21"/>
          <w:szCs w:val="28"/>
        </w:rPr>
        <w:t xml:space="preserve"> </w:t>
      </w:r>
      <w:r>
        <w:rPr>
          <w:rFonts w:ascii="Arial" w:hAnsi="Arial" w:hint="eastAsia"/>
          <w:bCs/>
          <w:sz w:val="21"/>
          <w:szCs w:val="28"/>
        </w:rPr>
        <w:t>国务院关于推动城市高质量发展的意见》公开发布，</w:t>
      </w:r>
      <w:r>
        <w:rPr>
          <w:rFonts w:ascii="Arial" w:hAnsi="Arial"/>
          <w:bCs/>
          <w:sz w:val="21"/>
          <w:szCs w:val="28"/>
        </w:rPr>
        <w:t>在城市发展正从大规模增量扩张阶段转向存量提质增效为主的阶段，为加快城市发展方式转型提出二十三条指导意见。其中，</w:t>
      </w:r>
      <w:r>
        <w:rPr>
          <w:rFonts w:ascii="Arial" w:hAnsi="Arial"/>
          <w:bCs/>
          <w:sz w:val="21"/>
          <w:szCs w:val="28"/>
        </w:rPr>
        <w:t xml:space="preserve"> </w:t>
      </w:r>
      <w:r>
        <w:rPr>
          <w:rFonts w:ascii="Arial" w:hAnsi="Arial"/>
          <w:bCs/>
          <w:sz w:val="21"/>
          <w:szCs w:val="28"/>
        </w:rPr>
        <w:t>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w:t>
      </w:r>
      <w:r>
        <w:rPr>
          <w:rFonts w:ascii="Arial" w:hAnsi="Arial"/>
          <w:bCs/>
          <w:sz w:val="21"/>
          <w:szCs w:val="28"/>
        </w:rPr>
        <w:t>“</w:t>
      </w:r>
      <w:r>
        <w:rPr>
          <w:rFonts w:ascii="Arial" w:hAnsi="Arial"/>
          <w:bCs/>
          <w:sz w:val="21"/>
          <w:szCs w:val="28"/>
        </w:rPr>
        <w:t>好房子</w:t>
      </w:r>
      <w:r>
        <w:rPr>
          <w:rFonts w:ascii="Arial" w:hAnsi="Arial"/>
          <w:bCs/>
          <w:sz w:val="21"/>
          <w:szCs w:val="28"/>
        </w:rPr>
        <w:t>”</w:t>
      </w:r>
      <w:r>
        <w:rPr>
          <w:rFonts w:ascii="Arial" w:hAnsi="Arial"/>
          <w:bCs/>
          <w:sz w:val="21"/>
          <w:szCs w:val="28"/>
        </w:rPr>
        <w:t>和完整社区建设，提出：加快构建房地产发展新模式，更好满足群众刚性和多样化改善性住房需求；全链条提升住房设计、建造、维护、服务水平，大力推进安全、舒适、绿色、智慧的</w:t>
      </w:r>
      <w:r>
        <w:rPr>
          <w:rFonts w:ascii="Arial" w:hAnsi="Arial"/>
          <w:bCs/>
          <w:sz w:val="21"/>
          <w:szCs w:val="28"/>
        </w:rPr>
        <w:t>“</w:t>
      </w:r>
      <w:r>
        <w:rPr>
          <w:rFonts w:ascii="Arial" w:hAnsi="Arial"/>
          <w:bCs/>
          <w:sz w:val="21"/>
          <w:szCs w:val="28"/>
        </w:rPr>
        <w:t>好房子</w:t>
      </w:r>
      <w:r>
        <w:rPr>
          <w:rFonts w:ascii="Arial" w:hAnsi="Arial"/>
          <w:bCs/>
          <w:sz w:val="21"/>
          <w:szCs w:val="28"/>
        </w:rPr>
        <w:t>”</w:t>
      </w:r>
      <w:r>
        <w:rPr>
          <w:rFonts w:ascii="Arial" w:hAnsi="Arial"/>
          <w:bCs/>
          <w:sz w:val="21"/>
          <w:szCs w:val="28"/>
        </w:rPr>
        <w:t>建设；实施物业服务质量提升行动；稳步推进城中村和危旧房改造，支持老旧住房自主更新、</w:t>
      </w:r>
      <w:proofErr w:type="gramStart"/>
      <w:r>
        <w:rPr>
          <w:rFonts w:ascii="Arial" w:hAnsi="Arial"/>
          <w:bCs/>
          <w:sz w:val="21"/>
          <w:szCs w:val="28"/>
        </w:rPr>
        <w:t>原拆原建</w:t>
      </w:r>
      <w:proofErr w:type="gramEnd"/>
      <w:r>
        <w:rPr>
          <w:rFonts w:ascii="Arial" w:hAnsi="Arial"/>
          <w:bCs/>
          <w:sz w:val="21"/>
          <w:szCs w:val="28"/>
        </w:rPr>
        <w:t>；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w:t>
      </w:r>
      <w:proofErr w:type="gramStart"/>
      <w:r>
        <w:rPr>
          <w:rFonts w:ascii="Arial" w:hAnsi="Arial"/>
          <w:bCs/>
          <w:sz w:val="21"/>
          <w:szCs w:val="28"/>
        </w:rPr>
        <w:t>产城融合</w:t>
      </w:r>
      <w:proofErr w:type="gramEnd"/>
      <w:r>
        <w:rPr>
          <w:rFonts w:ascii="Arial" w:hAnsi="Arial"/>
          <w:bCs/>
          <w:sz w:val="21"/>
          <w:szCs w:val="28"/>
        </w:rPr>
        <w:t>、</w:t>
      </w:r>
      <w:proofErr w:type="gramStart"/>
      <w:r>
        <w:rPr>
          <w:rFonts w:ascii="Arial" w:hAnsi="Arial"/>
          <w:bCs/>
          <w:sz w:val="21"/>
          <w:szCs w:val="28"/>
        </w:rPr>
        <w:t>职住平</w:t>
      </w:r>
      <w:proofErr w:type="gramEnd"/>
      <w:r>
        <w:rPr>
          <w:rFonts w:ascii="Arial" w:hAnsi="Arial"/>
          <w:bCs/>
          <w:sz w:val="21"/>
          <w:szCs w:val="28"/>
        </w:rPr>
        <w:t xml:space="preserve"> </w:t>
      </w:r>
      <w:r>
        <w:rPr>
          <w:rFonts w:ascii="Arial" w:hAnsi="Arial"/>
          <w:bCs/>
          <w:sz w:val="21"/>
          <w:szCs w:val="28"/>
        </w:rPr>
        <w:t>衡。</w:t>
      </w:r>
    </w:p>
    <w:p w:rsidR="00184596" w:rsidRDefault="00FD048A">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2025</w:t>
      </w:r>
      <w:r>
        <w:rPr>
          <w:rFonts w:ascii="Arial" w:hAnsi="Arial" w:hint="eastAsia"/>
          <w:bCs/>
          <w:sz w:val="21"/>
          <w:szCs w:val="28"/>
        </w:rPr>
        <w:t>年</w:t>
      </w:r>
      <w:r>
        <w:rPr>
          <w:rFonts w:ascii="Arial" w:hAnsi="Arial"/>
          <w:bCs/>
          <w:sz w:val="21"/>
          <w:szCs w:val="28"/>
        </w:rPr>
        <w:t>9</w:t>
      </w:r>
      <w:r>
        <w:rPr>
          <w:rFonts w:ascii="Arial" w:hAnsi="Arial"/>
          <w:bCs/>
          <w:sz w:val="21"/>
          <w:szCs w:val="28"/>
        </w:rPr>
        <w:t>月</w:t>
      </w:r>
      <w:r>
        <w:rPr>
          <w:rFonts w:ascii="Arial" w:hAnsi="Arial"/>
          <w:bCs/>
          <w:sz w:val="21"/>
          <w:szCs w:val="28"/>
        </w:rPr>
        <w:t>11</w:t>
      </w:r>
      <w:r>
        <w:rPr>
          <w:rFonts w:ascii="Arial" w:hAnsi="Arial"/>
          <w:bCs/>
          <w:sz w:val="21"/>
          <w:szCs w:val="28"/>
        </w:rPr>
        <w:t>日，《国务院关于全国部分地区要素市场化配置综合改革试点实施方案的批复》发布，同意自即日起</w:t>
      </w:r>
      <w:r>
        <w:rPr>
          <w:rFonts w:ascii="Arial" w:hAnsi="Arial"/>
          <w:bCs/>
          <w:sz w:val="21"/>
          <w:szCs w:val="28"/>
        </w:rPr>
        <w:t>2</w:t>
      </w:r>
      <w:r>
        <w:rPr>
          <w:rFonts w:ascii="Arial" w:hAnsi="Arial"/>
          <w:bCs/>
          <w:sz w:val="21"/>
          <w:szCs w:val="28"/>
        </w:rPr>
        <w:t>年内开展北京城市副中心等</w:t>
      </w:r>
      <w:r>
        <w:rPr>
          <w:rFonts w:ascii="Arial" w:hAnsi="Arial"/>
          <w:bCs/>
          <w:sz w:val="21"/>
          <w:szCs w:val="28"/>
        </w:rPr>
        <w:t>10</w:t>
      </w:r>
      <w:r>
        <w:rPr>
          <w:rFonts w:ascii="Arial" w:hAnsi="Arial"/>
          <w:bCs/>
          <w:sz w:val="21"/>
          <w:szCs w:val="28"/>
        </w:rPr>
        <w:t>个要素市场化配置综合改革试点。北京城市副中心试点范围包括通州区全域，关于土地要素，提出：探索土地管理制度改革；深化产业用地市场化改革；盘活存量土地和低效建设用地；健全城乡统一的建设用地市场。</w:t>
      </w:r>
    </w:p>
    <w:p w:rsidR="00184596" w:rsidRDefault="00FD048A">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lastRenderedPageBreak/>
        <w:t>2025</w:t>
      </w:r>
      <w:r>
        <w:rPr>
          <w:rFonts w:ascii="Arial" w:hAnsi="Arial" w:hint="eastAsia"/>
          <w:bCs/>
          <w:sz w:val="21"/>
          <w:szCs w:val="28"/>
        </w:rPr>
        <w:t>年</w:t>
      </w:r>
      <w:r>
        <w:rPr>
          <w:rFonts w:ascii="Arial" w:hAnsi="Arial"/>
          <w:bCs/>
          <w:sz w:val="21"/>
          <w:szCs w:val="28"/>
        </w:rPr>
        <w:t>10</w:t>
      </w:r>
      <w:r>
        <w:rPr>
          <w:rFonts w:ascii="Arial" w:hAnsi="Arial"/>
          <w:bCs/>
          <w:sz w:val="21"/>
          <w:szCs w:val="28"/>
        </w:rPr>
        <w:t>月</w:t>
      </w:r>
      <w:r>
        <w:rPr>
          <w:rFonts w:ascii="Arial" w:hAnsi="Arial"/>
          <w:bCs/>
          <w:sz w:val="21"/>
          <w:szCs w:val="28"/>
        </w:rPr>
        <w:t>20</w:t>
      </w:r>
      <w:r>
        <w:rPr>
          <w:rFonts w:ascii="Arial" w:hAnsi="Arial"/>
          <w:bCs/>
          <w:sz w:val="21"/>
          <w:szCs w:val="28"/>
        </w:rPr>
        <w:t>日至</w:t>
      </w:r>
      <w:r>
        <w:rPr>
          <w:rFonts w:ascii="Arial" w:hAnsi="Arial"/>
          <w:bCs/>
          <w:sz w:val="21"/>
          <w:szCs w:val="28"/>
        </w:rPr>
        <w:t>23</w:t>
      </w:r>
      <w:r>
        <w:rPr>
          <w:rFonts w:ascii="Arial" w:hAnsi="Arial"/>
          <w:bCs/>
          <w:sz w:val="21"/>
          <w:szCs w:val="28"/>
        </w:rPr>
        <w:t>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w:t>
      </w:r>
      <w:proofErr w:type="gramStart"/>
      <w:r>
        <w:rPr>
          <w:rFonts w:ascii="Arial" w:hAnsi="Arial"/>
          <w:bCs/>
          <w:sz w:val="21"/>
          <w:szCs w:val="28"/>
        </w:rPr>
        <w:t>振消费</w:t>
      </w:r>
      <w:proofErr w:type="gramEnd"/>
      <w:r>
        <w:rPr>
          <w:rFonts w:ascii="Arial" w:hAnsi="Arial"/>
          <w:bCs/>
          <w:sz w:val="21"/>
          <w:szCs w:val="28"/>
        </w:rPr>
        <w:t>专项行动，兜牢基层</w:t>
      </w:r>
      <w:r>
        <w:rPr>
          <w:rFonts w:ascii="Arial" w:hAnsi="Arial"/>
          <w:bCs/>
          <w:sz w:val="21"/>
          <w:szCs w:val="28"/>
        </w:rPr>
        <w:t>“</w:t>
      </w:r>
      <w:r>
        <w:rPr>
          <w:rFonts w:ascii="Arial" w:hAnsi="Arial"/>
          <w:bCs/>
          <w:sz w:val="21"/>
          <w:szCs w:val="28"/>
        </w:rPr>
        <w:t>三保</w:t>
      </w:r>
      <w:r>
        <w:rPr>
          <w:rFonts w:ascii="Arial" w:hAnsi="Arial"/>
          <w:bCs/>
          <w:sz w:val="21"/>
          <w:szCs w:val="28"/>
        </w:rPr>
        <w:t>”</w:t>
      </w:r>
      <w:r>
        <w:rPr>
          <w:rFonts w:ascii="Arial" w:hAnsi="Arial"/>
          <w:bCs/>
          <w:sz w:val="21"/>
          <w:szCs w:val="28"/>
        </w:rPr>
        <w:t>底线，积极稳妥化解地方政府债务风险。明确提出要</w:t>
      </w:r>
      <w:r>
        <w:rPr>
          <w:rFonts w:ascii="Arial" w:hAnsi="Arial"/>
          <w:bCs/>
          <w:sz w:val="21"/>
          <w:szCs w:val="28"/>
        </w:rPr>
        <w:t>“</w:t>
      </w:r>
      <w:r>
        <w:rPr>
          <w:rFonts w:ascii="Arial" w:hAnsi="Arial"/>
          <w:bCs/>
          <w:sz w:val="21"/>
          <w:szCs w:val="28"/>
        </w:rPr>
        <w:t>推动房地产高质量发展</w:t>
      </w:r>
      <w:r>
        <w:rPr>
          <w:rFonts w:ascii="Arial" w:hAnsi="Arial"/>
          <w:bCs/>
          <w:sz w:val="21"/>
          <w:szCs w:val="28"/>
        </w:rPr>
        <w:t>”</w:t>
      </w:r>
      <w:r>
        <w:rPr>
          <w:rFonts w:ascii="Arial" w:hAnsi="Arial"/>
          <w:bCs/>
          <w:sz w:val="21"/>
          <w:szCs w:val="28"/>
        </w:rPr>
        <w:t>。</w:t>
      </w:r>
    </w:p>
    <w:p w:rsidR="00184596" w:rsidRDefault="00FD048A">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2025</w:t>
      </w:r>
      <w:r>
        <w:rPr>
          <w:rFonts w:ascii="Arial" w:hAnsi="Arial" w:hint="eastAsia"/>
          <w:bCs/>
          <w:sz w:val="21"/>
          <w:szCs w:val="28"/>
        </w:rPr>
        <w:t>年</w:t>
      </w:r>
      <w:r>
        <w:rPr>
          <w:rFonts w:ascii="Arial" w:hAnsi="Arial" w:hint="eastAsia"/>
          <w:bCs/>
          <w:sz w:val="21"/>
          <w:szCs w:val="28"/>
        </w:rPr>
        <w:t>10</w:t>
      </w:r>
      <w:r>
        <w:rPr>
          <w:rFonts w:ascii="Arial" w:hAnsi="Arial" w:hint="eastAsia"/>
          <w:bCs/>
          <w:sz w:val="21"/>
          <w:szCs w:val="28"/>
        </w:rPr>
        <w:t>月</w:t>
      </w:r>
      <w:r>
        <w:rPr>
          <w:rFonts w:ascii="Arial" w:hAnsi="Arial" w:hint="eastAsia"/>
          <w:bCs/>
          <w:sz w:val="21"/>
          <w:szCs w:val="28"/>
        </w:rPr>
        <w:t>28</w:t>
      </w:r>
      <w:r>
        <w:rPr>
          <w:rFonts w:ascii="Arial" w:hAnsi="Arial" w:hint="eastAsia"/>
          <w:bCs/>
          <w:sz w:val="21"/>
          <w:szCs w:val="28"/>
        </w:rPr>
        <w:t>日，</w:t>
      </w:r>
      <w:r>
        <w:rPr>
          <w:rFonts w:ascii="Arial" w:hAnsi="Arial"/>
          <w:bCs/>
          <w:sz w:val="21"/>
          <w:szCs w:val="28"/>
        </w:rPr>
        <w:t>《中共中央关于制定国民经济和社会发展第十五个五年规划的建议》全文发布，</w:t>
      </w:r>
      <w:r>
        <w:rPr>
          <w:rFonts w:ascii="Arial" w:hAnsi="Arial" w:hint="eastAsia"/>
          <w:bCs/>
          <w:sz w:val="21"/>
          <w:szCs w:val="28"/>
        </w:rPr>
        <w:t>关于房地产</w:t>
      </w:r>
      <w:r>
        <w:rPr>
          <w:rFonts w:ascii="Arial" w:hAnsi="Arial"/>
          <w:bCs/>
          <w:sz w:val="21"/>
          <w:szCs w:val="28"/>
        </w:rPr>
        <w:t>提出：（</w:t>
      </w:r>
      <w:r>
        <w:rPr>
          <w:rFonts w:ascii="Arial" w:hAnsi="Arial"/>
          <w:bCs/>
          <w:sz w:val="21"/>
          <w:szCs w:val="28"/>
        </w:rPr>
        <w:t>1</w:t>
      </w:r>
      <w:r>
        <w:rPr>
          <w:rFonts w:ascii="Arial" w:hAnsi="Arial"/>
          <w:bCs/>
          <w:sz w:val="21"/>
          <w:szCs w:val="28"/>
        </w:rPr>
        <w:t>）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Pr>
          <w:rFonts w:ascii="Arial" w:hAnsi="Arial" w:hint="eastAsia"/>
          <w:bCs/>
          <w:sz w:val="21"/>
          <w:szCs w:val="28"/>
        </w:rPr>
        <w:t>2</w:t>
      </w:r>
      <w:r>
        <w:rPr>
          <w:rFonts w:ascii="Arial" w:hAnsi="Arial"/>
          <w:bCs/>
          <w:sz w:val="21"/>
          <w:szCs w:val="28"/>
        </w:rPr>
        <w:t>）优化国土空间发展格局：赋予省级政府统筹建设用地更大自主权，探索实施建设用地总量按规划期管控模式，实行统筹存量和增量综合供地；（</w:t>
      </w:r>
      <w:r>
        <w:rPr>
          <w:rFonts w:ascii="Arial" w:hAnsi="Arial" w:hint="eastAsia"/>
          <w:bCs/>
          <w:sz w:val="21"/>
          <w:szCs w:val="28"/>
        </w:rPr>
        <w:t>3</w:t>
      </w:r>
      <w:r>
        <w:rPr>
          <w:rFonts w:ascii="Arial" w:hAnsi="Arial"/>
          <w:bCs/>
          <w:sz w:val="21"/>
          <w:szCs w:val="28"/>
        </w:rPr>
        <w:t>）坚持城市内涵式发展，大力实施城市更新，建设创新、宜居、美丽、韧性、文明、智慧的现代化人民城市；（</w:t>
      </w:r>
      <w:r>
        <w:rPr>
          <w:rFonts w:ascii="Arial" w:hAnsi="Arial" w:hint="eastAsia"/>
          <w:bCs/>
          <w:sz w:val="21"/>
          <w:szCs w:val="28"/>
        </w:rPr>
        <w:t>4</w:t>
      </w:r>
      <w:r>
        <w:rPr>
          <w:rFonts w:ascii="Arial" w:hAnsi="Arial"/>
          <w:bCs/>
          <w:sz w:val="21"/>
          <w:szCs w:val="28"/>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w:t>
      </w:r>
      <w:r>
        <w:rPr>
          <w:rFonts w:ascii="Arial" w:hAnsi="Arial"/>
          <w:bCs/>
          <w:sz w:val="21"/>
          <w:szCs w:val="28"/>
        </w:rPr>
        <w:t>“</w:t>
      </w:r>
      <w:r>
        <w:rPr>
          <w:rFonts w:ascii="Arial" w:hAnsi="Arial"/>
          <w:bCs/>
          <w:sz w:val="21"/>
          <w:szCs w:val="28"/>
        </w:rPr>
        <w:t>好房子</w:t>
      </w:r>
      <w:r>
        <w:rPr>
          <w:rFonts w:ascii="Arial" w:hAnsi="Arial"/>
          <w:bCs/>
          <w:sz w:val="21"/>
          <w:szCs w:val="28"/>
        </w:rPr>
        <w:t>”</w:t>
      </w:r>
      <w:r>
        <w:rPr>
          <w:rFonts w:ascii="Arial" w:hAnsi="Arial"/>
          <w:bCs/>
          <w:sz w:val="21"/>
          <w:szCs w:val="28"/>
        </w:rPr>
        <w:t>，实施房屋品质提升工程和物业服务质量提升行动；建立房屋全生命周期安全管理制度；（</w:t>
      </w:r>
      <w:r>
        <w:rPr>
          <w:rFonts w:ascii="Arial" w:hAnsi="Arial" w:hint="eastAsia"/>
          <w:bCs/>
          <w:sz w:val="21"/>
          <w:szCs w:val="28"/>
        </w:rPr>
        <w:t>5</w:t>
      </w:r>
      <w:r>
        <w:rPr>
          <w:rFonts w:ascii="Arial" w:hAnsi="Arial"/>
          <w:bCs/>
          <w:sz w:val="21"/>
          <w:szCs w:val="28"/>
        </w:rPr>
        <w:t>）提高防范化解重点领域风险能力，统筹推进房地产、地方政府债务、中小金融机构等风险有序化解，严防系统性风险。</w:t>
      </w:r>
    </w:p>
    <w:p w:rsidR="00184596" w:rsidRDefault="00FD048A">
      <w:pPr>
        <w:widowControl/>
        <w:adjustRightInd/>
        <w:spacing w:line="480" w:lineRule="auto"/>
        <w:ind w:firstLineChars="200" w:firstLine="420"/>
        <w:jc w:val="both"/>
        <w:rPr>
          <w:rFonts w:ascii="Arial" w:hAnsi="Arial"/>
          <w:bCs/>
          <w:sz w:val="21"/>
          <w:szCs w:val="28"/>
        </w:rPr>
      </w:pPr>
      <w:r>
        <w:rPr>
          <w:rFonts w:ascii="Arial" w:hAnsi="Arial"/>
          <w:bCs/>
          <w:sz w:val="21"/>
          <w:szCs w:val="28"/>
        </w:rPr>
        <w:t>202</w:t>
      </w:r>
      <w:r>
        <w:rPr>
          <w:rFonts w:ascii="Arial" w:hAnsi="Arial" w:hint="eastAsia"/>
          <w:bCs/>
          <w:sz w:val="21"/>
          <w:szCs w:val="28"/>
        </w:rPr>
        <w:t>5</w:t>
      </w:r>
      <w:r>
        <w:rPr>
          <w:rFonts w:ascii="Arial" w:hAnsi="Arial"/>
          <w:bCs/>
          <w:sz w:val="21"/>
          <w:szCs w:val="28"/>
        </w:rPr>
        <w:t>年</w:t>
      </w:r>
      <w:r>
        <w:rPr>
          <w:rFonts w:ascii="Arial" w:hAnsi="Arial"/>
          <w:bCs/>
          <w:sz w:val="21"/>
          <w:szCs w:val="28"/>
        </w:rPr>
        <w:t>12</w:t>
      </w:r>
      <w:r>
        <w:rPr>
          <w:rFonts w:ascii="Arial" w:hAnsi="Arial"/>
          <w:bCs/>
          <w:sz w:val="21"/>
          <w:szCs w:val="28"/>
        </w:rPr>
        <w:t>月</w:t>
      </w:r>
      <w:r>
        <w:rPr>
          <w:rFonts w:ascii="Arial" w:hAnsi="Arial"/>
          <w:bCs/>
          <w:sz w:val="21"/>
          <w:szCs w:val="28"/>
        </w:rPr>
        <w:t>1</w:t>
      </w:r>
      <w:r>
        <w:rPr>
          <w:rFonts w:ascii="Arial" w:hAnsi="Arial" w:hint="eastAsia"/>
          <w:bCs/>
          <w:sz w:val="21"/>
          <w:szCs w:val="28"/>
        </w:rPr>
        <w:t>0</w:t>
      </w:r>
      <w:r>
        <w:rPr>
          <w:rFonts w:ascii="Arial" w:hAnsi="Arial"/>
          <w:bCs/>
          <w:sz w:val="21"/>
          <w:szCs w:val="28"/>
        </w:rPr>
        <w:t>日至</w:t>
      </w:r>
      <w:r>
        <w:rPr>
          <w:rFonts w:ascii="Arial" w:hAnsi="Arial"/>
          <w:bCs/>
          <w:sz w:val="21"/>
          <w:szCs w:val="28"/>
        </w:rPr>
        <w:t>1</w:t>
      </w:r>
      <w:r>
        <w:rPr>
          <w:rFonts w:ascii="Arial" w:hAnsi="Arial" w:hint="eastAsia"/>
          <w:bCs/>
          <w:sz w:val="21"/>
          <w:szCs w:val="28"/>
        </w:rPr>
        <w:t>1</w:t>
      </w:r>
      <w:r>
        <w:rPr>
          <w:rFonts w:ascii="Arial" w:hAnsi="Arial"/>
          <w:bCs/>
          <w:sz w:val="21"/>
          <w:szCs w:val="28"/>
        </w:rPr>
        <w:t>日，</w:t>
      </w:r>
      <w:r>
        <w:rPr>
          <w:rFonts w:ascii="Arial" w:hAnsi="Arial"/>
          <w:bCs/>
          <w:sz w:val="21"/>
          <w:szCs w:val="28"/>
        </w:rPr>
        <w:t>202</w:t>
      </w:r>
      <w:r>
        <w:rPr>
          <w:rFonts w:ascii="Arial" w:hAnsi="Arial" w:hint="eastAsia"/>
          <w:bCs/>
          <w:sz w:val="21"/>
          <w:szCs w:val="28"/>
        </w:rPr>
        <w:t>5</w:t>
      </w:r>
      <w:r>
        <w:rPr>
          <w:rFonts w:ascii="Arial" w:hAnsi="Arial"/>
          <w:bCs/>
          <w:sz w:val="21"/>
          <w:szCs w:val="28"/>
        </w:rPr>
        <w:t>年中央经济工作会议举行。会议总结</w:t>
      </w:r>
      <w:r>
        <w:rPr>
          <w:rFonts w:ascii="Arial" w:hAnsi="Arial"/>
          <w:bCs/>
          <w:sz w:val="21"/>
          <w:szCs w:val="28"/>
        </w:rPr>
        <w:t>202</w:t>
      </w:r>
      <w:r>
        <w:rPr>
          <w:rFonts w:ascii="Arial" w:hAnsi="Arial" w:hint="eastAsia"/>
          <w:bCs/>
          <w:sz w:val="21"/>
          <w:szCs w:val="28"/>
        </w:rPr>
        <w:t>5</w:t>
      </w:r>
      <w:r>
        <w:rPr>
          <w:rFonts w:ascii="Arial" w:hAnsi="Arial"/>
          <w:bCs/>
          <w:sz w:val="21"/>
          <w:szCs w:val="28"/>
        </w:rPr>
        <w:t>年经济工作，</w:t>
      </w:r>
      <w:r>
        <w:rPr>
          <w:rFonts w:ascii="Arial" w:hAnsi="Arial" w:hint="eastAsia"/>
          <w:bCs/>
          <w:sz w:val="21"/>
          <w:szCs w:val="28"/>
        </w:rPr>
        <w:t>分析当前经济形势，部署</w:t>
      </w:r>
      <w:r>
        <w:rPr>
          <w:rFonts w:ascii="Arial" w:hAnsi="Arial" w:hint="eastAsia"/>
          <w:bCs/>
          <w:sz w:val="21"/>
          <w:szCs w:val="28"/>
        </w:rPr>
        <w:t>2026</w:t>
      </w:r>
      <w:r>
        <w:rPr>
          <w:rFonts w:ascii="Arial" w:hAnsi="Arial" w:hint="eastAsia"/>
          <w:bCs/>
          <w:sz w:val="21"/>
          <w:szCs w:val="28"/>
        </w:rPr>
        <w:t>年经济工作</w:t>
      </w:r>
      <w:r>
        <w:rPr>
          <w:rFonts w:ascii="Arial" w:hAnsi="Arial"/>
          <w:bCs/>
          <w:sz w:val="21"/>
          <w:szCs w:val="28"/>
        </w:rPr>
        <w:t>。会议提出</w:t>
      </w:r>
      <w:r>
        <w:rPr>
          <w:rFonts w:ascii="Arial" w:hAnsi="Arial" w:hint="eastAsia"/>
          <w:bCs/>
          <w:sz w:val="21"/>
          <w:szCs w:val="28"/>
        </w:rPr>
        <w:t>“着力稳定房地产市场，因城施策控增量、去库存、优供给，鼓励收购存量商品房重点用于保障性住房等。深化住房公积金制度改革，有序推动‘好房子’建设。加快构建房地产发展新模式</w:t>
      </w:r>
      <w:r>
        <w:rPr>
          <w:rFonts w:ascii="Arial" w:hAnsi="Arial"/>
          <w:bCs/>
          <w:sz w:val="21"/>
          <w:szCs w:val="28"/>
        </w:rPr>
        <w:t>。</w:t>
      </w:r>
      <w:r>
        <w:rPr>
          <w:rFonts w:ascii="Arial" w:hAnsi="Arial" w:hint="eastAsia"/>
          <w:bCs/>
          <w:sz w:val="21"/>
          <w:szCs w:val="28"/>
        </w:rPr>
        <w:t>”</w:t>
      </w:r>
      <w:r>
        <w:rPr>
          <w:rFonts w:ascii="Arial" w:hAnsi="Arial"/>
          <w:bCs/>
          <w:sz w:val="21"/>
          <w:szCs w:val="28"/>
        </w:rPr>
        <w:t>可以预见，房地产行业的发展潜力和空间依然巨大，中国城市房地产大规模增量扩张的时代已经结束，存量提质增效的新阶段已然开启，房地产行业的未来增长，</w:t>
      </w:r>
      <w:r>
        <w:rPr>
          <w:rFonts w:ascii="Arial" w:hAnsi="Arial"/>
          <w:bCs/>
          <w:sz w:val="21"/>
          <w:szCs w:val="28"/>
        </w:rPr>
        <w:lastRenderedPageBreak/>
        <w:t>不再局限于新建开发，而是更多来自存量资产的精细化运营、物业服务的品质升级、租赁市场的规范发展等多元赛道。</w:t>
      </w:r>
    </w:p>
    <w:p w:rsidR="00184596" w:rsidRDefault="00FD048A">
      <w:pPr>
        <w:widowControl/>
        <w:adjustRightInd/>
        <w:spacing w:line="480" w:lineRule="auto"/>
        <w:ind w:firstLineChars="200" w:firstLine="420"/>
        <w:jc w:val="both"/>
        <w:rPr>
          <w:rFonts w:ascii="Arial" w:hAnsi="Arial"/>
          <w:bCs/>
          <w:sz w:val="21"/>
          <w:szCs w:val="28"/>
        </w:rPr>
      </w:pPr>
      <w:r>
        <w:rPr>
          <w:rFonts w:ascii="Arial" w:hAnsi="Arial"/>
          <w:bCs/>
          <w:sz w:val="21"/>
          <w:szCs w:val="28"/>
        </w:rPr>
        <w:t>202</w:t>
      </w:r>
      <w:r>
        <w:rPr>
          <w:rFonts w:ascii="Arial" w:hAnsi="Arial" w:hint="eastAsia"/>
          <w:bCs/>
          <w:sz w:val="21"/>
          <w:szCs w:val="28"/>
        </w:rPr>
        <w:t>5</w:t>
      </w:r>
      <w:r>
        <w:rPr>
          <w:rFonts w:ascii="Arial" w:hAnsi="Arial"/>
          <w:bCs/>
          <w:sz w:val="21"/>
          <w:szCs w:val="28"/>
        </w:rPr>
        <w:t>年</w:t>
      </w:r>
      <w:r>
        <w:rPr>
          <w:rFonts w:ascii="Arial" w:hAnsi="Arial"/>
          <w:bCs/>
          <w:sz w:val="21"/>
          <w:szCs w:val="28"/>
        </w:rPr>
        <w:t>12</w:t>
      </w:r>
      <w:r>
        <w:rPr>
          <w:rFonts w:ascii="Arial" w:hAnsi="Arial"/>
          <w:bCs/>
          <w:sz w:val="21"/>
          <w:szCs w:val="28"/>
        </w:rPr>
        <w:t>月</w:t>
      </w:r>
      <w:r>
        <w:rPr>
          <w:rFonts w:ascii="Arial" w:hAnsi="Arial"/>
          <w:bCs/>
          <w:sz w:val="21"/>
          <w:szCs w:val="28"/>
        </w:rPr>
        <w:t>2</w:t>
      </w:r>
      <w:r>
        <w:rPr>
          <w:rFonts w:ascii="Arial" w:hAnsi="Arial" w:hint="eastAsia"/>
          <w:bCs/>
          <w:sz w:val="21"/>
          <w:szCs w:val="28"/>
        </w:rPr>
        <w:t>2</w:t>
      </w:r>
      <w:r>
        <w:rPr>
          <w:rFonts w:ascii="Arial" w:hAnsi="Arial"/>
          <w:bCs/>
          <w:sz w:val="21"/>
          <w:szCs w:val="28"/>
        </w:rPr>
        <w:t>日至</w:t>
      </w:r>
      <w:r>
        <w:rPr>
          <w:rFonts w:ascii="Arial" w:hAnsi="Arial"/>
          <w:bCs/>
          <w:sz w:val="21"/>
          <w:szCs w:val="28"/>
        </w:rPr>
        <w:t>2</w:t>
      </w:r>
      <w:r>
        <w:rPr>
          <w:rFonts w:ascii="Arial" w:hAnsi="Arial" w:hint="eastAsia"/>
          <w:bCs/>
          <w:sz w:val="21"/>
          <w:szCs w:val="28"/>
        </w:rPr>
        <w:t>3</w:t>
      </w:r>
      <w:r>
        <w:rPr>
          <w:rFonts w:ascii="Arial" w:hAnsi="Arial"/>
          <w:bCs/>
          <w:sz w:val="21"/>
          <w:szCs w:val="28"/>
        </w:rPr>
        <w:t>日，全国住房城乡建设工作会议在北京召开。会议</w:t>
      </w:r>
      <w:r>
        <w:rPr>
          <w:rFonts w:ascii="Arial" w:hAnsi="Arial" w:hint="eastAsia"/>
          <w:bCs/>
          <w:sz w:val="21"/>
          <w:szCs w:val="28"/>
        </w:rPr>
        <w:t>全面盘点</w:t>
      </w:r>
      <w:r>
        <w:rPr>
          <w:rFonts w:ascii="Arial" w:hAnsi="Arial" w:hint="eastAsia"/>
          <w:bCs/>
          <w:sz w:val="21"/>
          <w:szCs w:val="28"/>
        </w:rPr>
        <w:t>2025</w:t>
      </w:r>
      <w:r>
        <w:rPr>
          <w:rFonts w:ascii="Arial" w:hAnsi="Arial" w:hint="eastAsia"/>
          <w:bCs/>
          <w:sz w:val="21"/>
          <w:szCs w:val="28"/>
        </w:rPr>
        <w:t>年工作，系统总结“十四五”时期住房城乡建设事业发展成就，研究部署“十五五”时期和</w:t>
      </w:r>
      <w:r>
        <w:rPr>
          <w:rFonts w:ascii="Arial" w:hAnsi="Arial" w:hint="eastAsia"/>
          <w:bCs/>
          <w:sz w:val="21"/>
          <w:szCs w:val="28"/>
        </w:rPr>
        <w:t>2026</w:t>
      </w:r>
      <w:r>
        <w:rPr>
          <w:rFonts w:ascii="Arial" w:hAnsi="Arial" w:hint="eastAsia"/>
          <w:bCs/>
          <w:sz w:val="21"/>
          <w:szCs w:val="28"/>
        </w:rPr>
        <w:t>年重点任务</w:t>
      </w:r>
      <w:r>
        <w:rPr>
          <w:rFonts w:ascii="Arial" w:hAnsi="Arial"/>
          <w:bCs/>
          <w:sz w:val="21"/>
          <w:szCs w:val="28"/>
        </w:rPr>
        <w:t>。会议强调，</w:t>
      </w:r>
      <w:r>
        <w:rPr>
          <w:rFonts w:ascii="Arial" w:hAnsi="Arial"/>
          <w:bCs/>
          <w:sz w:val="21"/>
          <w:szCs w:val="28"/>
        </w:rPr>
        <w:t>202</w:t>
      </w:r>
      <w:r>
        <w:rPr>
          <w:rFonts w:ascii="Arial" w:hAnsi="Arial" w:hint="eastAsia"/>
          <w:bCs/>
          <w:sz w:val="21"/>
          <w:szCs w:val="28"/>
        </w:rPr>
        <w:t>6</w:t>
      </w:r>
      <w:r>
        <w:rPr>
          <w:rFonts w:ascii="Arial" w:hAnsi="Arial"/>
          <w:bCs/>
          <w:sz w:val="21"/>
          <w:szCs w:val="28"/>
        </w:rPr>
        <w:t>年的工作要重点抓好</w:t>
      </w:r>
      <w:r>
        <w:rPr>
          <w:rFonts w:ascii="Arial" w:hAnsi="Arial" w:hint="eastAsia"/>
          <w:bCs/>
          <w:sz w:val="21"/>
          <w:szCs w:val="28"/>
        </w:rPr>
        <w:t>4</w:t>
      </w:r>
      <w:r>
        <w:rPr>
          <w:rFonts w:ascii="Arial" w:hAnsi="Arial"/>
          <w:bCs/>
          <w:sz w:val="21"/>
          <w:szCs w:val="28"/>
        </w:rPr>
        <w:t>个方面工作。一、</w:t>
      </w:r>
      <w:r>
        <w:rPr>
          <w:rFonts w:ascii="Arial" w:hAnsi="Arial" w:hint="eastAsia"/>
          <w:bCs/>
          <w:sz w:val="21"/>
          <w:szCs w:val="28"/>
        </w:rPr>
        <w:t>推进现代化人民城市建设，重点是：高质量开展城市更新，编制实施“十五五”城市更新专项规划，抓好城市体检、更新试点，实施一批民生工程、发展工程、安全工程。</w:t>
      </w:r>
      <w:r>
        <w:rPr>
          <w:rFonts w:ascii="Arial" w:hAnsi="Arial"/>
          <w:bCs/>
          <w:sz w:val="21"/>
          <w:szCs w:val="28"/>
        </w:rPr>
        <w:t>二、</w:t>
      </w:r>
      <w:r>
        <w:rPr>
          <w:rFonts w:ascii="Arial" w:hAnsi="Arial" w:hint="eastAsia"/>
          <w:bCs/>
          <w:sz w:val="21"/>
          <w:szCs w:val="28"/>
        </w:rPr>
        <w:t>着力稳定房地产市场，重点是：因城施策控增量、去库存、优供给，结合城市更新、城中村改造盘活利用存量用地，推动收购存量商品房用作保障性住房、安置房、宿舍、</w:t>
      </w:r>
      <w:proofErr w:type="gramStart"/>
      <w:r>
        <w:rPr>
          <w:rFonts w:ascii="Arial" w:hAnsi="Arial" w:hint="eastAsia"/>
          <w:bCs/>
          <w:sz w:val="21"/>
          <w:szCs w:val="28"/>
        </w:rPr>
        <w:t>人才房</w:t>
      </w:r>
      <w:proofErr w:type="gramEnd"/>
      <w:r>
        <w:rPr>
          <w:rFonts w:ascii="Arial" w:hAnsi="Arial" w:hint="eastAsia"/>
          <w:bCs/>
          <w:sz w:val="21"/>
          <w:szCs w:val="28"/>
        </w:rPr>
        <w:t>等。优化和精准实施保障性住房供应，实施房屋品质提升工程，有序推进“好房子”建设；进一步发挥房地产项目“白名单”制度作用，支持房地产企业合理融资需求</w:t>
      </w:r>
      <w:r>
        <w:rPr>
          <w:rFonts w:ascii="Arial" w:hAnsi="Arial"/>
          <w:bCs/>
          <w:sz w:val="21"/>
          <w:szCs w:val="28"/>
        </w:rPr>
        <w:t>。三、</w:t>
      </w:r>
      <w:r>
        <w:rPr>
          <w:rFonts w:ascii="Arial" w:hAnsi="Arial" w:hint="eastAsia"/>
          <w:bCs/>
          <w:sz w:val="21"/>
          <w:szCs w:val="28"/>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w:t>
      </w:r>
      <w:proofErr w:type="gramStart"/>
      <w:r>
        <w:rPr>
          <w:rFonts w:ascii="Arial" w:hAnsi="Arial" w:hint="eastAsia"/>
          <w:bCs/>
          <w:sz w:val="21"/>
          <w:szCs w:val="28"/>
        </w:rPr>
        <w:t>治本攻坚</w:t>
      </w:r>
      <w:proofErr w:type="gramEnd"/>
      <w:r>
        <w:rPr>
          <w:rFonts w:ascii="Arial" w:hAnsi="Arial" w:hint="eastAsia"/>
          <w:bCs/>
          <w:sz w:val="21"/>
          <w:szCs w:val="28"/>
        </w:rPr>
        <w:t>三年行动，建立房屋全生命周期安全管理制度</w:t>
      </w:r>
      <w:r>
        <w:rPr>
          <w:rFonts w:ascii="Arial" w:hAnsi="Arial"/>
          <w:bCs/>
          <w:sz w:val="21"/>
          <w:szCs w:val="28"/>
        </w:rPr>
        <w:t>。四、</w:t>
      </w:r>
      <w:r>
        <w:rPr>
          <w:rFonts w:ascii="Arial" w:hAnsi="Arial" w:hint="eastAsia"/>
          <w:bCs/>
          <w:sz w:val="21"/>
          <w:szCs w:val="28"/>
        </w:rPr>
        <w:t>夯实高质量发展基础支撑，重点是：提升法治建设水平，完善标准体系，加快推出一批工作急需的工程建设标准。加强统计分析，推动优化现行统计指标，强化统计数据分析应用</w:t>
      </w:r>
      <w:r>
        <w:rPr>
          <w:rFonts w:ascii="Arial" w:hAnsi="Arial"/>
          <w:bCs/>
          <w:sz w:val="21"/>
          <w:szCs w:val="28"/>
        </w:rPr>
        <w:t>。</w:t>
      </w:r>
    </w:p>
    <w:p w:rsidR="00184596" w:rsidRDefault="00FD048A">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hint="eastAsia"/>
          <w:bCs/>
          <w:sz w:val="21"/>
          <w:szCs w:val="28"/>
        </w:rPr>
        <w:t>2</w:t>
      </w:r>
      <w:r>
        <w:rPr>
          <w:rFonts w:ascii="Arial" w:hAnsi="Arial" w:hint="eastAsia"/>
          <w:bCs/>
          <w:sz w:val="21"/>
          <w:szCs w:val="28"/>
        </w:rPr>
        <w:t>）地方政策</w:t>
      </w:r>
    </w:p>
    <w:p w:rsidR="00184596" w:rsidRDefault="00FD048A">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2021</w:t>
      </w:r>
      <w:r>
        <w:rPr>
          <w:rFonts w:ascii="Arial" w:hAnsi="Arial" w:hint="eastAsia"/>
          <w:bCs/>
          <w:sz w:val="21"/>
          <w:szCs w:val="28"/>
        </w:rPr>
        <w:t>年</w:t>
      </w:r>
      <w:r>
        <w:rPr>
          <w:rFonts w:ascii="Arial" w:hAnsi="Arial" w:hint="eastAsia"/>
          <w:bCs/>
          <w:sz w:val="21"/>
          <w:szCs w:val="28"/>
        </w:rPr>
        <w:t>9</w:t>
      </w:r>
      <w:r>
        <w:rPr>
          <w:rFonts w:ascii="Arial" w:hAnsi="Arial" w:hint="eastAsia"/>
          <w:bCs/>
          <w:sz w:val="21"/>
          <w:szCs w:val="28"/>
        </w:rPr>
        <w:t>月</w:t>
      </w:r>
      <w:r>
        <w:rPr>
          <w:rFonts w:ascii="Arial" w:hAnsi="Arial" w:hint="eastAsia"/>
          <w:bCs/>
          <w:sz w:val="21"/>
          <w:szCs w:val="28"/>
        </w:rPr>
        <w:t>8</w:t>
      </w:r>
      <w:r>
        <w:rPr>
          <w:rFonts w:ascii="Arial" w:hAnsi="Arial" w:hint="eastAsia"/>
          <w:bCs/>
          <w:sz w:val="21"/>
          <w:szCs w:val="28"/>
        </w:rPr>
        <w:t>日，北京市人民政府关于印发《北京市“十四五”时期优化营商环境规划》，《规划》提出了“十四五”时期北京市优化营商环境“</w:t>
      </w:r>
      <w:r>
        <w:rPr>
          <w:rFonts w:ascii="Arial" w:hAnsi="Arial" w:hint="eastAsia"/>
          <w:bCs/>
          <w:sz w:val="21"/>
          <w:szCs w:val="28"/>
        </w:rPr>
        <w:t>1+4+5</w:t>
      </w:r>
      <w:r>
        <w:rPr>
          <w:rFonts w:ascii="Arial" w:hAnsi="Arial" w:hint="eastAsia"/>
          <w:bCs/>
          <w:sz w:val="21"/>
          <w:szCs w:val="28"/>
        </w:rPr>
        <w:t>”的目标体系：“</w:t>
      </w:r>
      <w:r>
        <w:rPr>
          <w:rFonts w:ascii="Arial" w:hAnsi="Arial" w:hint="eastAsia"/>
          <w:bCs/>
          <w:sz w:val="21"/>
          <w:szCs w:val="28"/>
        </w:rPr>
        <w:t>1</w:t>
      </w:r>
      <w:r>
        <w:rPr>
          <w:rFonts w:ascii="Arial" w:hAnsi="Arial" w:hint="eastAsia"/>
          <w:bCs/>
          <w:sz w:val="21"/>
          <w:szCs w:val="28"/>
        </w:rPr>
        <w:t>”是全面建成与首都功能发展需求相一致的国际一流营商环境高地；“</w:t>
      </w:r>
      <w:r>
        <w:rPr>
          <w:rFonts w:ascii="Arial" w:hAnsi="Arial" w:hint="eastAsia"/>
          <w:bCs/>
          <w:sz w:val="21"/>
          <w:szCs w:val="28"/>
        </w:rPr>
        <w:t>4</w:t>
      </w:r>
      <w:r>
        <w:rPr>
          <w:rFonts w:ascii="Arial" w:hAnsi="Arial" w:hint="eastAsia"/>
          <w:bCs/>
          <w:sz w:val="21"/>
          <w:szCs w:val="28"/>
        </w:rPr>
        <w:t>”是打造“北京效率”“北京服务”“北京标准”“北京诚信”四大品牌；“</w:t>
      </w:r>
      <w:r>
        <w:rPr>
          <w:rFonts w:ascii="Arial" w:hAnsi="Arial" w:hint="eastAsia"/>
          <w:bCs/>
          <w:sz w:val="21"/>
          <w:szCs w:val="28"/>
        </w:rPr>
        <w:t>5</w:t>
      </w:r>
      <w:r>
        <w:rPr>
          <w:rFonts w:ascii="Arial" w:hAnsi="Arial" w:hint="eastAsia"/>
          <w:bCs/>
          <w:sz w:val="21"/>
          <w:szCs w:val="28"/>
        </w:rPr>
        <w:t>”是实施市场、法治、投资贸易、政务服务、人文五大环境领跑战略。《规划》</w:t>
      </w:r>
      <w:r>
        <w:rPr>
          <w:rFonts w:ascii="Arial" w:hAnsi="Arial" w:hint="eastAsia"/>
          <w:bCs/>
          <w:sz w:val="21"/>
          <w:szCs w:val="28"/>
        </w:rPr>
        <w:lastRenderedPageBreak/>
        <w:t>是北京市首次编制</w:t>
      </w:r>
      <w:r>
        <w:rPr>
          <w:rFonts w:ascii="Arial" w:hAnsi="Arial" w:hint="eastAsia"/>
          <w:bCs/>
          <w:sz w:val="21"/>
          <w:szCs w:val="28"/>
        </w:rPr>
        <w:t>5</w:t>
      </w:r>
      <w:r>
        <w:rPr>
          <w:rFonts w:ascii="Arial" w:hAnsi="Arial" w:hint="eastAsia"/>
          <w:bCs/>
          <w:sz w:val="21"/>
          <w:szCs w:val="28"/>
        </w:rPr>
        <w:t>年营商环境专项规划，在各省、自治区和直辖市中也是首例，充分展现了北京市全力以赴打造一流营商环境的决心和行动</w:t>
      </w:r>
      <w:r>
        <w:rPr>
          <w:rFonts w:ascii="Arial" w:hAnsi="Arial"/>
          <w:bCs/>
          <w:sz w:val="21"/>
          <w:szCs w:val="28"/>
        </w:rPr>
        <w:t>。</w:t>
      </w:r>
    </w:p>
    <w:p w:rsidR="00184596" w:rsidRDefault="00FD048A">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2025</w:t>
      </w:r>
      <w:r>
        <w:rPr>
          <w:rFonts w:ascii="Arial" w:hAnsi="Arial" w:hint="eastAsia"/>
          <w:bCs/>
          <w:sz w:val="21"/>
          <w:szCs w:val="28"/>
        </w:rPr>
        <w:t>年</w:t>
      </w:r>
      <w:r>
        <w:rPr>
          <w:rFonts w:ascii="Arial" w:hAnsi="Arial" w:hint="eastAsia"/>
          <w:bCs/>
          <w:sz w:val="21"/>
          <w:szCs w:val="28"/>
        </w:rPr>
        <w:t>1</w:t>
      </w:r>
      <w:r>
        <w:rPr>
          <w:rFonts w:ascii="Arial" w:hAnsi="Arial" w:hint="eastAsia"/>
          <w:bCs/>
          <w:sz w:val="21"/>
          <w:szCs w:val="28"/>
        </w:rPr>
        <w:t>月</w:t>
      </w:r>
      <w:r>
        <w:rPr>
          <w:rFonts w:ascii="Arial" w:hAnsi="Arial" w:hint="eastAsia"/>
          <w:bCs/>
          <w:sz w:val="21"/>
          <w:szCs w:val="28"/>
        </w:rPr>
        <w:t>8</w:t>
      </w:r>
      <w:r>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w:t>
      </w:r>
      <w:r>
        <w:rPr>
          <w:rFonts w:ascii="Arial" w:hAnsi="Arial"/>
          <w:bCs/>
          <w:sz w:val="21"/>
          <w:szCs w:val="28"/>
        </w:rPr>
        <w:t>旨在推动建成区内存在安全隐患、能耗超标或经济贡献不足的办公、商业楼宇更新改造，明确划分老旧楼宇（</w:t>
      </w:r>
      <w:r>
        <w:rPr>
          <w:rFonts w:ascii="Arial" w:hAnsi="Arial"/>
          <w:bCs/>
          <w:sz w:val="21"/>
          <w:szCs w:val="28"/>
        </w:rPr>
        <w:t>1980</w:t>
      </w:r>
      <w:r>
        <w:rPr>
          <w:rFonts w:ascii="Arial" w:hAnsi="Arial"/>
          <w:bCs/>
          <w:sz w:val="21"/>
          <w:szCs w:val="28"/>
        </w:rPr>
        <w:t>年前未抗震加固或</w:t>
      </w:r>
      <w:r>
        <w:rPr>
          <w:rFonts w:ascii="Arial" w:hAnsi="Arial"/>
          <w:bCs/>
          <w:sz w:val="21"/>
          <w:szCs w:val="28"/>
        </w:rPr>
        <w:t>2005</w:t>
      </w:r>
      <w:r>
        <w:rPr>
          <w:rFonts w:ascii="Arial" w:hAnsi="Arial"/>
          <w:bCs/>
          <w:sz w:val="21"/>
          <w:szCs w:val="28"/>
        </w:rPr>
        <w:t>年前</w:t>
      </w:r>
      <w:proofErr w:type="gramStart"/>
      <w:r>
        <w:rPr>
          <w:rFonts w:ascii="Arial" w:hAnsi="Arial"/>
          <w:bCs/>
          <w:sz w:val="21"/>
          <w:szCs w:val="28"/>
        </w:rPr>
        <w:t>未节</w:t>
      </w:r>
      <w:proofErr w:type="gramEnd"/>
      <w:r>
        <w:rPr>
          <w:rFonts w:ascii="Arial" w:hAnsi="Arial"/>
          <w:bCs/>
          <w:sz w:val="21"/>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Pr>
          <w:rFonts w:ascii="Arial" w:hAnsi="Arial"/>
          <w:bCs/>
          <w:sz w:val="21"/>
          <w:szCs w:val="28"/>
        </w:rPr>
        <w:t>动态台</w:t>
      </w:r>
      <w:proofErr w:type="gramEnd"/>
      <w:r>
        <w:rPr>
          <w:rFonts w:ascii="Arial" w:hAnsi="Arial"/>
          <w:bCs/>
          <w:sz w:val="21"/>
          <w:szCs w:val="28"/>
        </w:rPr>
        <w:t>账和联合审查机制，严禁擅自改变用途，强化全过程监管，试行期</w:t>
      </w:r>
      <w:r>
        <w:rPr>
          <w:rFonts w:ascii="Arial" w:hAnsi="Arial"/>
          <w:bCs/>
          <w:sz w:val="21"/>
          <w:szCs w:val="28"/>
        </w:rPr>
        <w:t>3</w:t>
      </w:r>
      <w:r>
        <w:rPr>
          <w:rFonts w:ascii="Arial" w:hAnsi="Arial"/>
          <w:bCs/>
          <w:sz w:val="21"/>
          <w:szCs w:val="28"/>
        </w:rPr>
        <w:t>年，以盘活存量空间、促进产业升级和城市功能优化</w:t>
      </w:r>
      <w:r>
        <w:rPr>
          <w:rFonts w:ascii="Arial" w:hAnsi="Arial" w:hint="eastAsia"/>
          <w:bCs/>
          <w:sz w:val="21"/>
          <w:szCs w:val="28"/>
        </w:rPr>
        <w:t>。</w:t>
      </w:r>
    </w:p>
    <w:p w:rsidR="00184596" w:rsidRDefault="00FD048A">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2025</w:t>
      </w:r>
      <w:r>
        <w:rPr>
          <w:rFonts w:ascii="Arial" w:hAnsi="Arial" w:hint="eastAsia"/>
          <w:bCs/>
          <w:sz w:val="21"/>
          <w:szCs w:val="28"/>
        </w:rPr>
        <w:t>年</w:t>
      </w:r>
      <w:r>
        <w:rPr>
          <w:rFonts w:ascii="Arial" w:hAnsi="Arial" w:hint="eastAsia"/>
          <w:bCs/>
          <w:sz w:val="21"/>
          <w:szCs w:val="28"/>
        </w:rPr>
        <w:t>7</w:t>
      </w:r>
      <w:r>
        <w:rPr>
          <w:rFonts w:ascii="Arial" w:hAnsi="Arial" w:hint="eastAsia"/>
          <w:bCs/>
          <w:sz w:val="21"/>
          <w:szCs w:val="28"/>
        </w:rPr>
        <w:t>月</w:t>
      </w:r>
      <w:r>
        <w:rPr>
          <w:rFonts w:ascii="Arial" w:hAnsi="Arial" w:hint="eastAsia"/>
          <w:bCs/>
          <w:sz w:val="21"/>
          <w:szCs w:val="28"/>
        </w:rPr>
        <w:t>10</w:t>
      </w:r>
      <w:r>
        <w:rPr>
          <w:rFonts w:ascii="Arial" w:hAnsi="Arial" w:hint="eastAsia"/>
          <w:bCs/>
          <w:sz w:val="21"/>
          <w:szCs w:val="28"/>
        </w:rPr>
        <w:t>日，北京市人民政府发布</w:t>
      </w:r>
      <w:r>
        <w:rPr>
          <w:rFonts w:ascii="Arial" w:hAnsi="Arial"/>
          <w:bCs/>
          <w:sz w:val="21"/>
          <w:szCs w:val="28"/>
        </w:rPr>
        <w:t>《关于印发</w:t>
      </w:r>
      <w:r>
        <w:rPr>
          <w:rFonts w:ascii="Arial" w:hAnsi="Arial" w:hint="eastAsia"/>
          <w:bCs/>
          <w:sz w:val="21"/>
          <w:szCs w:val="28"/>
        </w:rPr>
        <w:t>〈北京市深化改革提振消费专项行动方案〉</w:t>
      </w:r>
      <w:r>
        <w:rPr>
          <w:rFonts w:ascii="Arial" w:hAnsi="Arial"/>
          <w:bCs/>
          <w:sz w:val="21"/>
          <w:szCs w:val="28"/>
        </w:rPr>
        <w:t>的通知》，提出共计</w:t>
      </w:r>
      <w:r>
        <w:rPr>
          <w:rFonts w:ascii="Arial" w:hAnsi="Arial"/>
          <w:bCs/>
          <w:sz w:val="21"/>
          <w:szCs w:val="28"/>
        </w:rPr>
        <w:t>24</w:t>
      </w:r>
      <w:r>
        <w:rPr>
          <w:rFonts w:ascii="Arial" w:hAnsi="Arial"/>
          <w:bCs/>
          <w:sz w:val="21"/>
          <w:szCs w:val="28"/>
        </w:rPr>
        <w:t>项具体方案。其中，</w:t>
      </w:r>
      <w:r>
        <w:rPr>
          <w:rFonts w:ascii="Arial" w:hAnsi="Arial" w:hint="eastAsia"/>
          <w:bCs/>
          <w:sz w:val="21"/>
          <w:szCs w:val="28"/>
        </w:rPr>
        <w:t>第</w:t>
      </w:r>
      <w:r>
        <w:rPr>
          <w:rFonts w:ascii="Arial" w:hAnsi="Arial" w:hint="eastAsia"/>
          <w:bCs/>
          <w:sz w:val="21"/>
          <w:szCs w:val="28"/>
        </w:rPr>
        <w:t>20</w:t>
      </w:r>
      <w:r>
        <w:rPr>
          <w:rFonts w:ascii="Arial" w:hAnsi="Arial" w:hint="eastAsia"/>
          <w:bCs/>
          <w:sz w:val="21"/>
          <w:szCs w:val="28"/>
        </w:rPr>
        <w:t>项“</w:t>
      </w:r>
      <w:proofErr w:type="gramStart"/>
      <w:r>
        <w:rPr>
          <w:rFonts w:ascii="Arial" w:hAnsi="Arial"/>
          <w:bCs/>
          <w:sz w:val="21"/>
          <w:szCs w:val="28"/>
        </w:rPr>
        <w:t>焕</w:t>
      </w:r>
      <w:proofErr w:type="gramEnd"/>
      <w:r>
        <w:rPr>
          <w:rFonts w:ascii="Arial" w:hAnsi="Arial"/>
          <w:bCs/>
          <w:sz w:val="21"/>
          <w:szCs w:val="28"/>
        </w:rPr>
        <w:t>新商业消费空间活力</w:t>
      </w:r>
      <w:r>
        <w:rPr>
          <w:rFonts w:ascii="Arial" w:hAnsi="Arial" w:hint="eastAsia"/>
          <w:bCs/>
          <w:sz w:val="21"/>
          <w:szCs w:val="28"/>
        </w:rPr>
        <w:t>”</w:t>
      </w:r>
      <w:r>
        <w:rPr>
          <w:rFonts w:ascii="Arial" w:hAnsi="Arial"/>
          <w:bCs/>
          <w:sz w:val="21"/>
          <w:szCs w:val="28"/>
        </w:rPr>
        <w:t>：坚持更新提升与新增培育并举，引导商业空间升级。通过示范案例加强对建设用地功能混合使用的指导。推动轨道交通站点周边区域闲置低效场馆、老旧厂房改造。</w:t>
      </w:r>
    </w:p>
    <w:p w:rsidR="00184596" w:rsidRDefault="00FD048A">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2025</w:t>
      </w:r>
      <w:r>
        <w:rPr>
          <w:rFonts w:ascii="Arial" w:hAnsi="Arial" w:hint="eastAsia"/>
          <w:bCs/>
          <w:sz w:val="21"/>
          <w:szCs w:val="28"/>
        </w:rPr>
        <w:t>年</w:t>
      </w:r>
      <w:r>
        <w:rPr>
          <w:rFonts w:ascii="Arial" w:hAnsi="Arial"/>
          <w:bCs/>
          <w:sz w:val="21"/>
          <w:szCs w:val="28"/>
        </w:rPr>
        <w:t>9</w:t>
      </w:r>
      <w:r>
        <w:rPr>
          <w:rFonts w:ascii="Arial" w:hAnsi="Arial"/>
          <w:bCs/>
          <w:sz w:val="21"/>
          <w:szCs w:val="28"/>
        </w:rPr>
        <w:t>月</w:t>
      </w:r>
      <w:r>
        <w:rPr>
          <w:rFonts w:ascii="Arial" w:hAnsi="Arial"/>
          <w:bCs/>
          <w:sz w:val="21"/>
          <w:szCs w:val="28"/>
        </w:rPr>
        <w:t>29</w:t>
      </w:r>
      <w:r>
        <w:rPr>
          <w:rFonts w:ascii="Arial" w:hAnsi="Arial"/>
          <w:bCs/>
          <w:sz w:val="21"/>
          <w:szCs w:val="28"/>
        </w:rPr>
        <w:t>日，</w:t>
      </w:r>
      <w:r>
        <w:rPr>
          <w:rFonts w:ascii="Arial" w:hAnsi="Arial" w:hint="eastAsia"/>
          <w:bCs/>
          <w:sz w:val="21"/>
          <w:szCs w:val="28"/>
        </w:rPr>
        <w:t>《</w:t>
      </w:r>
      <w:r>
        <w:rPr>
          <w:rFonts w:ascii="Arial" w:hAnsi="Arial"/>
          <w:bCs/>
          <w:sz w:val="21"/>
          <w:szCs w:val="28"/>
        </w:rPr>
        <w:t>北京市人民政府印发</w:t>
      </w:r>
      <w:r>
        <w:rPr>
          <w:rFonts w:ascii="Arial" w:hAnsi="Arial" w:hint="eastAsia"/>
          <w:bCs/>
          <w:sz w:val="21"/>
          <w:szCs w:val="28"/>
        </w:rPr>
        <w:t>〈北京市居住公共服务设施配置指标〉和〈北京市居住公共服务设施配置指标实施意见〉的通知》发布</w:t>
      </w:r>
      <w:r>
        <w:rPr>
          <w:rFonts w:ascii="Arial" w:hAnsi="Arial"/>
          <w:bCs/>
          <w:sz w:val="21"/>
          <w:szCs w:val="28"/>
        </w:rPr>
        <w:t>，对</w:t>
      </w:r>
      <w:r>
        <w:rPr>
          <w:rFonts w:ascii="Arial" w:hAnsi="Arial"/>
          <w:bCs/>
          <w:sz w:val="21"/>
          <w:szCs w:val="28"/>
        </w:rPr>
        <w:t>2015</w:t>
      </w:r>
      <w:r>
        <w:rPr>
          <w:rFonts w:ascii="Arial" w:hAnsi="Arial"/>
          <w:bCs/>
          <w:sz w:val="21"/>
          <w:szCs w:val="28"/>
        </w:rPr>
        <w:t>年印发的文件进行了全面修订</w:t>
      </w:r>
      <w:r>
        <w:rPr>
          <w:rFonts w:ascii="Arial" w:hAnsi="Arial" w:hint="eastAsia"/>
          <w:bCs/>
          <w:sz w:val="21"/>
          <w:szCs w:val="28"/>
        </w:rPr>
        <w:t>。《通知》</w:t>
      </w:r>
      <w:r>
        <w:rPr>
          <w:rFonts w:ascii="Arial" w:hAnsi="Arial"/>
          <w:bCs/>
          <w:sz w:val="21"/>
          <w:szCs w:val="28"/>
        </w:rPr>
        <w:t>于</w:t>
      </w:r>
      <w:r>
        <w:rPr>
          <w:rFonts w:ascii="Arial" w:hAnsi="Arial"/>
          <w:bCs/>
          <w:sz w:val="21"/>
          <w:szCs w:val="28"/>
        </w:rPr>
        <w:t>2025</w:t>
      </w:r>
      <w:r>
        <w:rPr>
          <w:rFonts w:ascii="Arial" w:hAnsi="Arial"/>
          <w:bCs/>
          <w:sz w:val="21"/>
          <w:szCs w:val="28"/>
        </w:rPr>
        <w:t>年</w:t>
      </w:r>
      <w:r>
        <w:rPr>
          <w:rFonts w:ascii="Arial" w:hAnsi="Arial"/>
          <w:bCs/>
          <w:sz w:val="21"/>
          <w:szCs w:val="28"/>
        </w:rPr>
        <w:t xml:space="preserve"> 12</w:t>
      </w:r>
      <w:r>
        <w:rPr>
          <w:rFonts w:ascii="Arial" w:hAnsi="Arial"/>
          <w:bCs/>
          <w:sz w:val="21"/>
          <w:szCs w:val="28"/>
        </w:rPr>
        <w:t>月</w:t>
      </w:r>
      <w:r>
        <w:rPr>
          <w:rFonts w:ascii="Arial" w:hAnsi="Arial"/>
          <w:bCs/>
          <w:sz w:val="21"/>
          <w:szCs w:val="28"/>
        </w:rPr>
        <w:t>1</w:t>
      </w:r>
      <w:r>
        <w:rPr>
          <w:rFonts w:ascii="Arial" w:hAnsi="Arial"/>
          <w:bCs/>
          <w:sz w:val="21"/>
          <w:szCs w:val="28"/>
        </w:rPr>
        <w:t>日起实施。鼓励空间复合利用，增设综合服务设施，将文体活动、党群服务设施指标统筹使用；增设托</w:t>
      </w:r>
      <w:proofErr w:type="gramStart"/>
      <w:r>
        <w:rPr>
          <w:rFonts w:ascii="Arial" w:hAnsi="Arial"/>
          <w:bCs/>
          <w:sz w:val="21"/>
          <w:szCs w:val="28"/>
        </w:rPr>
        <w:t>育设施</w:t>
      </w:r>
      <w:proofErr w:type="gramEnd"/>
      <w:r>
        <w:rPr>
          <w:rFonts w:ascii="Arial" w:hAnsi="Arial"/>
          <w:bCs/>
          <w:sz w:val="21"/>
          <w:szCs w:val="28"/>
        </w:rPr>
        <w:t>和老幼服务用房，强化</w:t>
      </w:r>
      <w:r>
        <w:rPr>
          <w:rFonts w:ascii="Arial" w:hAnsi="Arial"/>
          <w:bCs/>
          <w:sz w:val="21"/>
          <w:szCs w:val="28"/>
        </w:rPr>
        <w:t>“</w:t>
      </w:r>
      <w:r>
        <w:rPr>
          <w:rFonts w:ascii="Arial" w:hAnsi="Arial"/>
          <w:bCs/>
          <w:sz w:val="21"/>
          <w:szCs w:val="28"/>
        </w:rPr>
        <w:t>一老一小</w:t>
      </w:r>
      <w:r>
        <w:rPr>
          <w:rFonts w:ascii="Arial" w:hAnsi="Arial"/>
          <w:bCs/>
          <w:sz w:val="21"/>
          <w:szCs w:val="28"/>
        </w:rPr>
        <w:t>”</w:t>
      </w:r>
      <w:r>
        <w:rPr>
          <w:rFonts w:ascii="Arial" w:hAnsi="Arial"/>
          <w:bCs/>
          <w:sz w:val="21"/>
          <w:szCs w:val="28"/>
        </w:rPr>
        <w:t>服务功能；调整了停车指标，电动自行车原则在地上停放；增加末端物流设施、垃圾分类收集设施；增设社区</w:t>
      </w:r>
      <w:proofErr w:type="gramStart"/>
      <w:r>
        <w:rPr>
          <w:rFonts w:ascii="Arial" w:hAnsi="Arial"/>
          <w:bCs/>
          <w:sz w:val="21"/>
          <w:szCs w:val="28"/>
        </w:rPr>
        <w:t>级商业</w:t>
      </w:r>
      <w:proofErr w:type="gramEnd"/>
      <w:r>
        <w:rPr>
          <w:rFonts w:ascii="Arial" w:hAnsi="Arial"/>
          <w:bCs/>
          <w:sz w:val="21"/>
          <w:szCs w:val="28"/>
        </w:rPr>
        <w:t>设施</w:t>
      </w:r>
      <w:r>
        <w:rPr>
          <w:rFonts w:ascii="Arial" w:hAnsi="Arial" w:hint="eastAsia"/>
          <w:bCs/>
          <w:sz w:val="21"/>
          <w:szCs w:val="28"/>
        </w:rPr>
        <w:t>。</w:t>
      </w:r>
    </w:p>
    <w:p w:rsidR="00184596" w:rsidRDefault="00FD048A">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2025</w:t>
      </w:r>
      <w:r>
        <w:rPr>
          <w:rFonts w:ascii="Arial" w:hAnsi="Arial" w:hint="eastAsia"/>
          <w:bCs/>
          <w:sz w:val="21"/>
          <w:szCs w:val="28"/>
        </w:rPr>
        <w:t>年</w:t>
      </w:r>
      <w:r>
        <w:rPr>
          <w:rFonts w:ascii="Arial" w:hAnsi="Arial" w:hint="eastAsia"/>
          <w:bCs/>
          <w:sz w:val="21"/>
          <w:szCs w:val="28"/>
        </w:rPr>
        <w:t>12</w:t>
      </w:r>
      <w:r>
        <w:rPr>
          <w:rFonts w:ascii="Arial" w:hAnsi="Arial" w:hint="eastAsia"/>
          <w:bCs/>
          <w:sz w:val="21"/>
          <w:szCs w:val="28"/>
        </w:rPr>
        <w:t>月</w:t>
      </w:r>
      <w:r>
        <w:rPr>
          <w:rFonts w:ascii="Arial" w:hAnsi="Arial" w:hint="eastAsia"/>
          <w:bCs/>
          <w:sz w:val="21"/>
          <w:szCs w:val="28"/>
        </w:rPr>
        <w:t>31</w:t>
      </w:r>
      <w:r>
        <w:rPr>
          <w:rFonts w:ascii="Arial" w:hAnsi="Arial" w:hint="eastAsia"/>
          <w:bCs/>
          <w:sz w:val="21"/>
          <w:szCs w:val="28"/>
        </w:rPr>
        <w:t>日，北京市规划和自然资源委员会和北京市住房和城乡建设委员会联合发布《关于印发〈北京市城市更新范围内无手续建筑认定处理指导意见（试行）〉的通知》，该文件</w:t>
      </w:r>
      <w:r>
        <w:rPr>
          <w:rFonts w:ascii="Arial" w:hAnsi="Arial"/>
          <w:bCs/>
          <w:sz w:val="21"/>
          <w:szCs w:val="28"/>
        </w:rPr>
        <w:t>属于《北京市城市更新条例》配套政策文件，旨在推动化解城市更新范围内部分现状建筑物因历史原因形成的</w:t>
      </w:r>
      <w:proofErr w:type="gramStart"/>
      <w:r>
        <w:rPr>
          <w:rFonts w:ascii="Arial" w:hAnsi="Arial"/>
          <w:bCs/>
          <w:sz w:val="21"/>
          <w:szCs w:val="28"/>
        </w:rPr>
        <w:lastRenderedPageBreak/>
        <w:t>无手续</w:t>
      </w:r>
      <w:proofErr w:type="gramEnd"/>
      <w:r>
        <w:rPr>
          <w:rFonts w:ascii="Arial" w:hAnsi="Arial"/>
          <w:bCs/>
          <w:sz w:val="21"/>
          <w:szCs w:val="28"/>
        </w:rPr>
        <w:t>或手续不完善问题，激励城市更新项目实施，进一步优化城市功能布局，促进存量空间资源提质增效，加快推进城市更新项目实施</w:t>
      </w:r>
      <w:r>
        <w:rPr>
          <w:rFonts w:ascii="Arial" w:hAnsi="Arial" w:hint="eastAsia"/>
          <w:bCs/>
          <w:sz w:val="21"/>
          <w:szCs w:val="28"/>
        </w:rPr>
        <w:t>。</w:t>
      </w:r>
    </w:p>
    <w:p w:rsidR="00184596" w:rsidRDefault="00FD048A">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6.</w:t>
      </w:r>
      <w:r>
        <w:rPr>
          <w:rFonts w:ascii="Arial" w:hAnsi="Arial" w:hint="eastAsia"/>
          <w:bCs/>
          <w:sz w:val="21"/>
          <w:szCs w:val="28"/>
        </w:rPr>
        <w:t>可预见未来</w:t>
      </w:r>
    </w:p>
    <w:p w:rsidR="00184596" w:rsidRDefault="00FD048A">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展望</w:t>
      </w:r>
      <w:r>
        <w:rPr>
          <w:rFonts w:ascii="Arial" w:hAnsi="Arial"/>
          <w:bCs/>
          <w:sz w:val="21"/>
          <w:szCs w:val="28"/>
        </w:rPr>
        <w:t>2026</w:t>
      </w:r>
      <w:r>
        <w:rPr>
          <w:rFonts w:ascii="Arial" w:hAnsi="Arial"/>
          <w:bCs/>
          <w:sz w:val="21"/>
          <w:szCs w:val="28"/>
        </w:rPr>
        <w:t>年，办公楼市场将迎来近</w:t>
      </w:r>
      <w:r>
        <w:rPr>
          <w:rFonts w:ascii="Arial" w:hAnsi="Arial"/>
          <w:bCs/>
          <w:sz w:val="21"/>
          <w:szCs w:val="28"/>
        </w:rPr>
        <w:t>53</w:t>
      </w:r>
      <w:r>
        <w:rPr>
          <w:rFonts w:ascii="Arial" w:hAnsi="Arial"/>
          <w:bCs/>
          <w:sz w:val="21"/>
          <w:szCs w:val="28"/>
        </w:rPr>
        <w:t>万平方米的供应小高峰，竞争将从价格战转向物业综合价值的全面比拼。零售市场预计亦有超过</w:t>
      </w:r>
      <w:r>
        <w:rPr>
          <w:rFonts w:ascii="Arial" w:hAnsi="Arial"/>
          <w:bCs/>
          <w:sz w:val="21"/>
          <w:szCs w:val="28"/>
        </w:rPr>
        <w:t>50</w:t>
      </w:r>
      <w:r>
        <w:rPr>
          <w:rFonts w:ascii="Arial" w:hAnsi="Arial"/>
          <w:bCs/>
          <w:sz w:val="21"/>
          <w:szCs w:val="28"/>
        </w:rPr>
        <w:t>万平方米的新增供应入市，主题化、沉浸</w:t>
      </w:r>
      <w:proofErr w:type="gramStart"/>
      <w:r>
        <w:rPr>
          <w:rFonts w:ascii="Arial" w:hAnsi="Arial"/>
          <w:bCs/>
          <w:sz w:val="21"/>
          <w:szCs w:val="28"/>
        </w:rPr>
        <w:t>式项目</w:t>
      </w:r>
      <w:proofErr w:type="gramEnd"/>
      <w:r>
        <w:rPr>
          <w:rFonts w:ascii="Arial" w:hAnsi="Arial"/>
          <w:bCs/>
          <w:sz w:val="21"/>
          <w:szCs w:val="28"/>
        </w:rPr>
        <w:t>将成为差异化竞争的关键。整体而言，市场正从粗放扩张转向精细化、高质量运营的新阶段，具备强大产业锚定能力、卓越运营创新与内容</w:t>
      </w:r>
      <w:r>
        <w:rPr>
          <w:rFonts w:ascii="Arial" w:hAnsi="Arial"/>
          <w:bCs/>
          <w:sz w:val="21"/>
          <w:szCs w:val="28"/>
        </w:rPr>
        <w:t>IP</w:t>
      </w:r>
      <w:r>
        <w:rPr>
          <w:rFonts w:ascii="Arial" w:hAnsi="Arial"/>
          <w:bCs/>
          <w:sz w:val="21"/>
          <w:szCs w:val="28"/>
        </w:rPr>
        <w:t>的项目将赢得未来。</w:t>
      </w:r>
    </w:p>
    <w:p w:rsidR="00184596" w:rsidRDefault="00FD048A">
      <w:pPr>
        <w:spacing w:line="480" w:lineRule="auto"/>
        <w:jc w:val="both"/>
        <w:rPr>
          <w:rFonts w:ascii="Arial" w:hAnsi="Arial" w:cs="Arial"/>
          <w:b/>
          <w:bCs/>
          <w:color w:val="000000"/>
          <w:sz w:val="21"/>
          <w:szCs w:val="21"/>
        </w:rPr>
      </w:pPr>
      <w:r>
        <w:rPr>
          <w:rFonts w:ascii="Arial" w:hAnsi="Arial" w:cs="Arial"/>
          <w:b/>
          <w:bCs/>
          <w:color w:val="000000"/>
          <w:sz w:val="21"/>
          <w:szCs w:val="21"/>
        </w:rPr>
        <w:t>（二）估价对象所在区域相应用途房地产市场状况</w:t>
      </w:r>
    </w:p>
    <w:p w:rsidR="00184596" w:rsidRDefault="00FD048A">
      <w:pPr>
        <w:widowControl/>
        <w:overflowPunct w:val="0"/>
        <w:adjustRightInd/>
        <w:spacing w:line="480" w:lineRule="auto"/>
        <w:ind w:firstLineChars="200" w:firstLine="420"/>
        <w:jc w:val="both"/>
        <w:textAlignment w:val="auto"/>
        <w:rPr>
          <w:rFonts w:ascii="Arial" w:hAnsi="Arial"/>
          <w:sz w:val="21"/>
          <w:szCs w:val="28"/>
        </w:rPr>
      </w:pPr>
      <w:r>
        <w:rPr>
          <w:rFonts w:ascii="Arial" w:hAnsi="Arial" w:hint="eastAsia"/>
          <w:sz w:val="21"/>
          <w:szCs w:val="28"/>
        </w:rPr>
        <w:t>1.</w:t>
      </w:r>
      <w:r>
        <w:rPr>
          <w:rFonts w:ascii="Arial" w:hAnsi="Arial" w:hint="eastAsia"/>
          <w:sz w:val="21"/>
          <w:szCs w:val="28"/>
        </w:rPr>
        <w:t>区域概况</w:t>
      </w:r>
    </w:p>
    <w:p w:rsidR="00184596" w:rsidRDefault="00FD048A">
      <w:pPr>
        <w:widowControl/>
        <w:overflowPunct w:val="0"/>
        <w:adjustRightInd/>
        <w:spacing w:line="480" w:lineRule="auto"/>
        <w:ind w:firstLineChars="200" w:firstLine="420"/>
        <w:jc w:val="both"/>
        <w:textAlignment w:val="auto"/>
        <w:rPr>
          <w:rFonts w:ascii="Arial" w:hAnsi="Arial"/>
          <w:sz w:val="21"/>
          <w:szCs w:val="28"/>
        </w:rPr>
      </w:pPr>
      <w:r>
        <w:rPr>
          <w:rFonts w:ascii="Arial" w:hAnsi="Arial" w:hint="eastAsia"/>
          <w:sz w:val="21"/>
          <w:szCs w:val="28"/>
        </w:rPr>
        <w:t>房山区地处北京西南，辖区总面积</w:t>
      </w:r>
      <w:r>
        <w:rPr>
          <w:rFonts w:ascii="Arial" w:hAnsi="Arial" w:hint="eastAsia"/>
          <w:sz w:val="21"/>
          <w:szCs w:val="28"/>
        </w:rPr>
        <w:t>2019</w:t>
      </w:r>
      <w:r>
        <w:rPr>
          <w:rFonts w:ascii="Arial" w:hAnsi="Arial" w:hint="eastAsia"/>
          <w:sz w:val="21"/>
          <w:szCs w:val="28"/>
        </w:rPr>
        <w:t>平方公里，平原、丘陵、山区各占三分之一，下辖</w:t>
      </w:r>
      <w:r>
        <w:rPr>
          <w:rFonts w:ascii="Arial" w:hAnsi="Arial" w:hint="eastAsia"/>
          <w:sz w:val="21"/>
          <w:szCs w:val="28"/>
        </w:rPr>
        <w:t>28</w:t>
      </w:r>
      <w:r>
        <w:rPr>
          <w:rFonts w:ascii="Arial" w:hAnsi="Arial" w:hint="eastAsia"/>
          <w:sz w:val="21"/>
          <w:szCs w:val="28"/>
        </w:rPr>
        <w:t>个乡镇</w:t>
      </w:r>
      <w:r>
        <w:rPr>
          <w:rFonts w:ascii="Arial" w:hAnsi="Arial" w:hint="eastAsia"/>
          <w:sz w:val="21"/>
          <w:szCs w:val="28"/>
        </w:rPr>
        <w:t>(</w:t>
      </w:r>
      <w:r>
        <w:rPr>
          <w:rFonts w:ascii="Arial" w:hAnsi="Arial" w:hint="eastAsia"/>
          <w:sz w:val="21"/>
          <w:szCs w:val="28"/>
        </w:rPr>
        <w:t>街道</w:t>
      </w:r>
      <w:r>
        <w:rPr>
          <w:rFonts w:ascii="Arial" w:hAnsi="Arial" w:hint="eastAsia"/>
          <w:sz w:val="21"/>
          <w:szCs w:val="28"/>
        </w:rPr>
        <w:t>)</w:t>
      </w:r>
      <w:r>
        <w:rPr>
          <w:rFonts w:ascii="Arial" w:hAnsi="Arial" w:hint="eastAsia"/>
          <w:sz w:val="21"/>
          <w:szCs w:val="28"/>
        </w:rPr>
        <w:t>、</w:t>
      </w:r>
      <w:r>
        <w:rPr>
          <w:rFonts w:ascii="Arial" w:hAnsi="Arial" w:hint="eastAsia"/>
          <w:sz w:val="21"/>
          <w:szCs w:val="28"/>
        </w:rPr>
        <w:t>459</w:t>
      </w:r>
      <w:r>
        <w:rPr>
          <w:rFonts w:ascii="Arial" w:hAnsi="Arial" w:hint="eastAsia"/>
          <w:sz w:val="21"/>
          <w:szCs w:val="28"/>
        </w:rPr>
        <w:t>个行政村、</w:t>
      </w:r>
      <w:r>
        <w:rPr>
          <w:rFonts w:ascii="Arial" w:hAnsi="Arial" w:hint="eastAsia"/>
          <w:sz w:val="21"/>
          <w:szCs w:val="28"/>
        </w:rPr>
        <w:t>210</w:t>
      </w:r>
      <w:r>
        <w:rPr>
          <w:rFonts w:ascii="Arial" w:hAnsi="Arial" w:hint="eastAsia"/>
          <w:sz w:val="21"/>
          <w:szCs w:val="28"/>
        </w:rPr>
        <w:t>个社区居委会。</w:t>
      </w:r>
      <w:r>
        <w:rPr>
          <w:rFonts w:ascii="Arial" w:hAnsi="Arial" w:hint="eastAsia"/>
          <w:sz w:val="21"/>
          <w:szCs w:val="28"/>
        </w:rPr>
        <w:t>2021</w:t>
      </w:r>
      <w:r>
        <w:rPr>
          <w:rFonts w:ascii="Arial" w:hAnsi="Arial" w:hint="eastAsia"/>
          <w:sz w:val="21"/>
          <w:szCs w:val="28"/>
        </w:rPr>
        <w:t>年全区常住人口为</w:t>
      </w:r>
      <w:r>
        <w:rPr>
          <w:rFonts w:ascii="Arial" w:hAnsi="Arial" w:hint="eastAsia"/>
          <w:sz w:val="21"/>
          <w:szCs w:val="28"/>
        </w:rPr>
        <w:t>131.3</w:t>
      </w:r>
      <w:r>
        <w:rPr>
          <w:rFonts w:ascii="Arial" w:hAnsi="Arial" w:hint="eastAsia"/>
          <w:sz w:val="21"/>
          <w:szCs w:val="28"/>
        </w:rPr>
        <w:t>万人，与</w:t>
      </w:r>
      <w:r>
        <w:rPr>
          <w:rFonts w:ascii="Arial" w:hAnsi="Arial" w:hint="eastAsia"/>
          <w:sz w:val="21"/>
          <w:szCs w:val="28"/>
        </w:rPr>
        <w:t>2020</w:t>
      </w:r>
      <w:r>
        <w:rPr>
          <w:rFonts w:ascii="Arial" w:hAnsi="Arial" w:hint="eastAsia"/>
          <w:sz w:val="21"/>
          <w:szCs w:val="28"/>
        </w:rPr>
        <w:t>年持平。</w:t>
      </w:r>
    </w:p>
    <w:p w:rsidR="00184596" w:rsidRDefault="00FD048A">
      <w:pPr>
        <w:widowControl/>
        <w:overflowPunct w:val="0"/>
        <w:adjustRightInd/>
        <w:spacing w:line="480" w:lineRule="auto"/>
        <w:ind w:firstLineChars="200" w:firstLine="420"/>
        <w:jc w:val="both"/>
        <w:textAlignment w:val="auto"/>
        <w:rPr>
          <w:rFonts w:ascii="Arial" w:hAnsi="Arial"/>
          <w:sz w:val="21"/>
          <w:szCs w:val="28"/>
        </w:rPr>
      </w:pPr>
      <w:r>
        <w:rPr>
          <w:rFonts w:ascii="Arial" w:hAnsi="Arial" w:hint="eastAsia"/>
          <w:sz w:val="21"/>
          <w:szCs w:val="28"/>
        </w:rPr>
        <w:t>2024</w:t>
      </w:r>
      <w:r>
        <w:rPr>
          <w:rFonts w:ascii="Arial" w:hAnsi="Arial" w:hint="eastAsia"/>
          <w:sz w:val="21"/>
          <w:szCs w:val="28"/>
        </w:rPr>
        <w:t>年末，全区常住人口</w:t>
      </w:r>
      <w:r>
        <w:rPr>
          <w:rFonts w:ascii="Arial" w:hAnsi="Arial" w:hint="eastAsia"/>
          <w:sz w:val="21"/>
          <w:szCs w:val="28"/>
        </w:rPr>
        <w:t xml:space="preserve"> 131.1</w:t>
      </w:r>
      <w:r>
        <w:rPr>
          <w:rFonts w:ascii="Arial" w:hAnsi="Arial" w:hint="eastAsia"/>
          <w:sz w:val="21"/>
          <w:szCs w:val="28"/>
        </w:rPr>
        <w:t>万人，比上年末减少</w:t>
      </w:r>
      <w:r>
        <w:rPr>
          <w:rFonts w:ascii="Arial" w:hAnsi="Arial" w:hint="eastAsia"/>
          <w:sz w:val="21"/>
          <w:szCs w:val="28"/>
        </w:rPr>
        <w:t>0.1</w:t>
      </w:r>
      <w:r>
        <w:rPr>
          <w:rFonts w:ascii="Arial" w:hAnsi="Arial" w:hint="eastAsia"/>
          <w:sz w:val="21"/>
          <w:szCs w:val="28"/>
        </w:rPr>
        <w:t>万人。其中，常住外来人口</w:t>
      </w:r>
      <w:r>
        <w:rPr>
          <w:rFonts w:ascii="Arial" w:hAnsi="Arial" w:hint="eastAsia"/>
          <w:sz w:val="21"/>
          <w:szCs w:val="28"/>
        </w:rPr>
        <w:t>44.3</w:t>
      </w:r>
      <w:r>
        <w:rPr>
          <w:rFonts w:ascii="Arial" w:hAnsi="Arial" w:hint="eastAsia"/>
          <w:sz w:val="21"/>
          <w:szCs w:val="28"/>
        </w:rPr>
        <w:t>万人</w:t>
      </w:r>
      <w:r>
        <w:rPr>
          <w:rFonts w:ascii="Arial" w:hAnsi="Arial" w:hint="eastAsia"/>
          <w:sz w:val="21"/>
          <w:szCs w:val="28"/>
        </w:rPr>
        <w:t>,</w:t>
      </w:r>
      <w:r>
        <w:rPr>
          <w:rFonts w:ascii="Arial" w:hAnsi="Arial" w:hint="eastAsia"/>
          <w:sz w:val="21"/>
          <w:szCs w:val="28"/>
        </w:rPr>
        <w:t>占常住人口的比重为</w:t>
      </w:r>
      <w:r>
        <w:rPr>
          <w:rFonts w:ascii="Arial" w:hAnsi="Arial" w:hint="eastAsia"/>
          <w:sz w:val="21"/>
          <w:szCs w:val="28"/>
        </w:rPr>
        <w:t xml:space="preserve"> 33.8%</w:t>
      </w:r>
      <w:r>
        <w:rPr>
          <w:rFonts w:ascii="Arial" w:hAnsi="Arial" w:hint="eastAsia"/>
          <w:sz w:val="21"/>
          <w:szCs w:val="28"/>
        </w:rPr>
        <w:t>。常住人口中，城镇人口</w:t>
      </w:r>
      <w:r>
        <w:rPr>
          <w:rFonts w:ascii="Arial" w:hAnsi="Arial" w:hint="eastAsia"/>
          <w:sz w:val="21"/>
          <w:szCs w:val="28"/>
        </w:rPr>
        <w:t xml:space="preserve"> 104.1</w:t>
      </w:r>
      <w:r>
        <w:rPr>
          <w:rFonts w:ascii="Arial" w:hAnsi="Arial" w:hint="eastAsia"/>
          <w:sz w:val="21"/>
          <w:szCs w:val="28"/>
        </w:rPr>
        <w:t>万人，占常住人口的比重为</w:t>
      </w:r>
      <w:r>
        <w:rPr>
          <w:rFonts w:ascii="Arial" w:hAnsi="Arial" w:hint="eastAsia"/>
          <w:sz w:val="21"/>
          <w:szCs w:val="28"/>
        </w:rPr>
        <w:t xml:space="preserve"> 79.4%</w:t>
      </w:r>
      <w:r>
        <w:rPr>
          <w:rFonts w:ascii="Arial" w:hAnsi="Arial" w:hint="eastAsia"/>
          <w:sz w:val="21"/>
          <w:szCs w:val="28"/>
        </w:rPr>
        <w:t>。全区户籍人口</w:t>
      </w:r>
      <w:r>
        <w:rPr>
          <w:rFonts w:ascii="Arial" w:hAnsi="Arial" w:hint="eastAsia"/>
          <w:sz w:val="21"/>
          <w:szCs w:val="28"/>
        </w:rPr>
        <w:t xml:space="preserve"> 85 </w:t>
      </w:r>
      <w:r>
        <w:rPr>
          <w:rFonts w:ascii="Arial" w:hAnsi="Arial" w:hint="eastAsia"/>
          <w:sz w:val="21"/>
          <w:szCs w:val="28"/>
        </w:rPr>
        <w:t>万人，比上年末增加</w:t>
      </w:r>
      <w:r>
        <w:rPr>
          <w:rFonts w:ascii="Arial" w:hAnsi="Arial" w:hint="eastAsia"/>
          <w:sz w:val="21"/>
          <w:szCs w:val="28"/>
        </w:rPr>
        <w:t xml:space="preserve"> 0.1 </w:t>
      </w:r>
      <w:r>
        <w:rPr>
          <w:rFonts w:ascii="Arial" w:hAnsi="Arial" w:hint="eastAsia"/>
          <w:sz w:val="21"/>
          <w:szCs w:val="28"/>
        </w:rPr>
        <w:t>万人，增长</w:t>
      </w:r>
      <w:r>
        <w:rPr>
          <w:rFonts w:ascii="Arial" w:hAnsi="Arial" w:hint="eastAsia"/>
          <w:sz w:val="21"/>
          <w:szCs w:val="28"/>
        </w:rPr>
        <w:t xml:space="preserve"> 0.2%</w:t>
      </w:r>
      <w:r>
        <w:rPr>
          <w:rFonts w:ascii="Arial" w:hAnsi="Arial" w:hint="eastAsia"/>
          <w:sz w:val="21"/>
          <w:szCs w:val="28"/>
        </w:rPr>
        <w:t>。初步核算，</w:t>
      </w:r>
      <w:r>
        <w:rPr>
          <w:rFonts w:ascii="Arial" w:hAnsi="Arial" w:hint="eastAsia"/>
          <w:sz w:val="21"/>
          <w:szCs w:val="28"/>
        </w:rPr>
        <w:t>2024</w:t>
      </w:r>
      <w:r>
        <w:rPr>
          <w:rFonts w:ascii="Arial" w:hAnsi="Arial" w:hint="eastAsia"/>
          <w:sz w:val="21"/>
          <w:szCs w:val="28"/>
        </w:rPr>
        <w:t>年全区实现地区生产总值</w:t>
      </w:r>
      <w:r>
        <w:rPr>
          <w:rFonts w:ascii="Arial" w:hAnsi="Arial" w:hint="eastAsia"/>
          <w:sz w:val="21"/>
          <w:szCs w:val="28"/>
        </w:rPr>
        <w:t>(GDP)948.9</w:t>
      </w:r>
      <w:r>
        <w:rPr>
          <w:rFonts w:ascii="Arial" w:hAnsi="Arial" w:hint="eastAsia"/>
          <w:sz w:val="21"/>
          <w:szCs w:val="28"/>
        </w:rPr>
        <w:t>亿元，剔除价格因素影响，比上年增长</w:t>
      </w:r>
      <w:r>
        <w:rPr>
          <w:rFonts w:ascii="Arial" w:hAnsi="Arial" w:hint="eastAsia"/>
          <w:sz w:val="21"/>
          <w:szCs w:val="28"/>
        </w:rPr>
        <w:t xml:space="preserve"> 4.5%</w:t>
      </w:r>
      <w:r>
        <w:rPr>
          <w:rFonts w:ascii="Arial" w:hAnsi="Arial" w:hint="eastAsia"/>
          <w:sz w:val="21"/>
          <w:szCs w:val="28"/>
        </w:rPr>
        <w:t>。其中，第一产业增加值</w:t>
      </w:r>
      <w:r>
        <w:rPr>
          <w:rFonts w:ascii="Arial" w:hAnsi="Arial" w:hint="eastAsia"/>
          <w:sz w:val="21"/>
          <w:szCs w:val="28"/>
        </w:rPr>
        <w:t xml:space="preserve"> 11.4</w:t>
      </w:r>
      <w:r>
        <w:rPr>
          <w:rFonts w:ascii="Arial" w:hAnsi="Arial" w:hint="eastAsia"/>
          <w:sz w:val="21"/>
          <w:szCs w:val="28"/>
        </w:rPr>
        <w:t>亿元，增长</w:t>
      </w:r>
      <w:r>
        <w:rPr>
          <w:rFonts w:ascii="Arial" w:hAnsi="Arial" w:hint="eastAsia"/>
          <w:sz w:val="21"/>
          <w:szCs w:val="28"/>
        </w:rPr>
        <w:t xml:space="preserve"> 7.7%;</w:t>
      </w:r>
      <w:r>
        <w:rPr>
          <w:rFonts w:ascii="Arial" w:hAnsi="Arial" w:hint="eastAsia"/>
          <w:sz w:val="21"/>
          <w:szCs w:val="28"/>
        </w:rPr>
        <w:t>第二产业增加值</w:t>
      </w:r>
      <w:r>
        <w:rPr>
          <w:rFonts w:ascii="Arial" w:hAnsi="Arial" w:hint="eastAsia"/>
          <w:sz w:val="21"/>
          <w:szCs w:val="28"/>
        </w:rPr>
        <w:t xml:space="preserve"> 330.3 </w:t>
      </w:r>
      <w:r>
        <w:rPr>
          <w:rFonts w:ascii="Arial" w:hAnsi="Arial" w:hint="eastAsia"/>
          <w:sz w:val="21"/>
          <w:szCs w:val="28"/>
        </w:rPr>
        <w:t>亿元，增长</w:t>
      </w:r>
      <w:r>
        <w:rPr>
          <w:rFonts w:ascii="Arial" w:hAnsi="Arial" w:hint="eastAsia"/>
          <w:sz w:val="21"/>
          <w:szCs w:val="28"/>
        </w:rPr>
        <w:t xml:space="preserve"> 3.2%;</w:t>
      </w:r>
      <w:r>
        <w:rPr>
          <w:rFonts w:ascii="Arial" w:hAnsi="Arial" w:hint="eastAsia"/>
          <w:sz w:val="21"/>
          <w:szCs w:val="28"/>
        </w:rPr>
        <w:t>第三产业增加值</w:t>
      </w:r>
      <w:r>
        <w:rPr>
          <w:rFonts w:ascii="Arial" w:hAnsi="Arial" w:hint="eastAsia"/>
          <w:sz w:val="21"/>
          <w:szCs w:val="28"/>
        </w:rPr>
        <w:t xml:space="preserve"> 607.3 </w:t>
      </w:r>
      <w:r>
        <w:rPr>
          <w:rFonts w:ascii="Arial" w:hAnsi="Arial" w:hint="eastAsia"/>
          <w:sz w:val="21"/>
          <w:szCs w:val="28"/>
        </w:rPr>
        <w:t>亿元，增长</w:t>
      </w:r>
      <w:r>
        <w:rPr>
          <w:rFonts w:ascii="Arial" w:hAnsi="Arial" w:hint="eastAsia"/>
          <w:sz w:val="21"/>
          <w:szCs w:val="28"/>
        </w:rPr>
        <w:t xml:space="preserve"> 5.3%</w:t>
      </w:r>
      <w:r>
        <w:rPr>
          <w:rFonts w:ascii="Arial" w:hAnsi="Arial" w:hint="eastAsia"/>
          <w:sz w:val="21"/>
          <w:szCs w:val="28"/>
        </w:rPr>
        <w:t>。</w:t>
      </w:r>
    </w:p>
    <w:p w:rsidR="00184596" w:rsidRDefault="00FD048A">
      <w:pPr>
        <w:widowControl/>
        <w:overflowPunct w:val="0"/>
        <w:adjustRightInd/>
        <w:spacing w:line="480" w:lineRule="auto"/>
        <w:ind w:firstLineChars="200" w:firstLine="420"/>
        <w:jc w:val="both"/>
        <w:textAlignment w:val="auto"/>
        <w:rPr>
          <w:rFonts w:ascii="Arial" w:hAnsi="Arial"/>
          <w:sz w:val="21"/>
          <w:szCs w:val="28"/>
        </w:rPr>
      </w:pPr>
      <w:r>
        <w:rPr>
          <w:rFonts w:ascii="Arial" w:hAnsi="Arial" w:hint="eastAsia"/>
          <w:sz w:val="21"/>
          <w:szCs w:val="28"/>
        </w:rPr>
        <w:t>2024</w:t>
      </w:r>
      <w:r>
        <w:rPr>
          <w:rFonts w:ascii="Arial" w:hAnsi="Arial" w:hint="eastAsia"/>
          <w:sz w:val="21"/>
          <w:szCs w:val="28"/>
        </w:rPr>
        <w:t>年，全区建筑业总产值实现</w:t>
      </w:r>
      <w:r>
        <w:rPr>
          <w:rFonts w:ascii="Arial" w:hAnsi="Arial" w:hint="eastAsia"/>
          <w:sz w:val="21"/>
          <w:szCs w:val="28"/>
        </w:rPr>
        <w:t xml:space="preserve"> 205.8</w:t>
      </w:r>
      <w:r>
        <w:rPr>
          <w:rFonts w:ascii="Arial" w:hAnsi="Arial" w:hint="eastAsia"/>
          <w:sz w:val="21"/>
          <w:szCs w:val="28"/>
        </w:rPr>
        <w:t>亿元，比上年增长</w:t>
      </w:r>
      <w:r>
        <w:rPr>
          <w:rFonts w:ascii="Arial" w:hAnsi="Arial" w:hint="eastAsia"/>
          <w:sz w:val="21"/>
          <w:szCs w:val="28"/>
        </w:rPr>
        <w:t>11.7%</w:t>
      </w:r>
      <w:r>
        <w:rPr>
          <w:rFonts w:ascii="Arial" w:hAnsi="Arial" w:hint="eastAsia"/>
          <w:sz w:val="21"/>
          <w:szCs w:val="28"/>
        </w:rPr>
        <w:t>。房屋施工面积</w:t>
      </w:r>
      <w:r>
        <w:rPr>
          <w:rFonts w:ascii="Arial" w:hAnsi="Arial" w:hint="eastAsia"/>
          <w:sz w:val="21"/>
          <w:szCs w:val="28"/>
        </w:rPr>
        <w:t>864.9</w:t>
      </w:r>
      <w:r>
        <w:rPr>
          <w:rFonts w:ascii="Arial" w:hAnsi="Arial" w:hint="eastAsia"/>
          <w:sz w:val="21"/>
          <w:szCs w:val="28"/>
        </w:rPr>
        <w:t>万平方米，下降</w:t>
      </w:r>
      <w:r>
        <w:rPr>
          <w:rFonts w:ascii="Arial" w:hAnsi="Arial" w:hint="eastAsia"/>
          <w:sz w:val="21"/>
          <w:szCs w:val="28"/>
        </w:rPr>
        <w:t xml:space="preserve"> 0.4%;</w:t>
      </w:r>
      <w:r>
        <w:rPr>
          <w:rFonts w:ascii="Arial" w:hAnsi="Arial" w:hint="eastAsia"/>
          <w:sz w:val="21"/>
          <w:szCs w:val="28"/>
        </w:rPr>
        <w:t>房屋竣工面积</w:t>
      </w:r>
      <w:r>
        <w:rPr>
          <w:rFonts w:ascii="Arial" w:hAnsi="Arial" w:hint="eastAsia"/>
          <w:sz w:val="21"/>
          <w:szCs w:val="28"/>
        </w:rPr>
        <w:t xml:space="preserve"> 133.4</w:t>
      </w:r>
      <w:r>
        <w:rPr>
          <w:rFonts w:ascii="Arial" w:hAnsi="Arial" w:hint="eastAsia"/>
          <w:sz w:val="21"/>
          <w:szCs w:val="28"/>
        </w:rPr>
        <w:t>万平方米</w:t>
      </w:r>
      <w:r>
        <w:rPr>
          <w:rFonts w:ascii="Arial" w:hAnsi="Arial" w:hint="eastAsia"/>
          <w:sz w:val="21"/>
          <w:szCs w:val="28"/>
        </w:rPr>
        <w:t>,</w:t>
      </w:r>
      <w:r>
        <w:rPr>
          <w:rFonts w:ascii="Arial" w:hAnsi="Arial" w:hint="eastAsia"/>
          <w:sz w:val="21"/>
          <w:szCs w:val="28"/>
        </w:rPr>
        <w:t>增长</w:t>
      </w:r>
      <w:r>
        <w:rPr>
          <w:rFonts w:ascii="Arial" w:hAnsi="Arial" w:hint="eastAsia"/>
          <w:sz w:val="21"/>
          <w:szCs w:val="28"/>
        </w:rPr>
        <w:t xml:space="preserve"> 20%</w:t>
      </w:r>
      <w:r>
        <w:rPr>
          <w:rFonts w:ascii="Arial" w:hAnsi="Arial" w:hint="eastAsia"/>
          <w:sz w:val="21"/>
          <w:szCs w:val="28"/>
        </w:rPr>
        <w:t>。其中</w:t>
      </w:r>
      <w:r>
        <w:rPr>
          <w:rFonts w:ascii="Arial" w:hAnsi="Arial" w:hint="eastAsia"/>
          <w:sz w:val="21"/>
          <w:szCs w:val="28"/>
        </w:rPr>
        <w:t>,</w:t>
      </w:r>
      <w:r>
        <w:rPr>
          <w:rFonts w:ascii="Arial" w:hAnsi="Arial" w:hint="eastAsia"/>
          <w:sz w:val="21"/>
          <w:szCs w:val="28"/>
        </w:rPr>
        <w:t>区属建筑业总产值实现</w:t>
      </w:r>
      <w:r>
        <w:rPr>
          <w:rFonts w:ascii="Arial" w:hAnsi="Arial" w:hint="eastAsia"/>
          <w:sz w:val="21"/>
          <w:szCs w:val="28"/>
        </w:rPr>
        <w:t xml:space="preserve"> 191.4</w:t>
      </w:r>
      <w:r>
        <w:rPr>
          <w:rFonts w:ascii="Arial" w:hAnsi="Arial" w:hint="eastAsia"/>
          <w:sz w:val="21"/>
          <w:szCs w:val="28"/>
        </w:rPr>
        <w:t>亿元</w:t>
      </w:r>
      <w:r>
        <w:rPr>
          <w:rFonts w:ascii="Arial" w:hAnsi="Arial" w:hint="eastAsia"/>
          <w:sz w:val="21"/>
          <w:szCs w:val="28"/>
        </w:rPr>
        <w:t>.</w:t>
      </w:r>
      <w:r>
        <w:rPr>
          <w:rFonts w:ascii="Arial" w:hAnsi="Arial" w:hint="eastAsia"/>
          <w:sz w:val="21"/>
          <w:szCs w:val="28"/>
        </w:rPr>
        <w:t>增长</w:t>
      </w:r>
      <w:r>
        <w:rPr>
          <w:rFonts w:ascii="Arial" w:hAnsi="Arial" w:hint="eastAsia"/>
          <w:sz w:val="21"/>
          <w:szCs w:val="28"/>
        </w:rPr>
        <w:t xml:space="preserve"> 12.6%:</w:t>
      </w:r>
      <w:r>
        <w:rPr>
          <w:rFonts w:ascii="Arial" w:hAnsi="Arial" w:hint="eastAsia"/>
          <w:sz w:val="21"/>
          <w:szCs w:val="28"/>
        </w:rPr>
        <w:t>房屋施工面积</w:t>
      </w:r>
      <w:r>
        <w:rPr>
          <w:rFonts w:ascii="Arial" w:hAnsi="Arial" w:hint="eastAsia"/>
          <w:sz w:val="21"/>
          <w:szCs w:val="28"/>
        </w:rPr>
        <w:t xml:space="preserve"> 864.9 </w:t>
      </w:r>
      <w:proofErr w:type="gramStart"/>
      <w:r>
        <w:rPr>
          <w:rFonts w:ascii="Arial" w:hAnsi="Arial" w:hint="eastAsia"/>
          <w:sz w:val="21"/>
          <w:szCs w:val="28"/>
        </w:rPr>
        <w:t>万平方米</w:t>
      </w:r>
      <w:proofErr w:type="gramEnd"/>
      <w:r>
        <w:rPr>
          <w:rFonts w:ascii="Arial" w:hAnsi="Arial" w:hint="eastAsia"/>
          <w:sz w:val="21"/>
          <w:szCs w:val="28"/>
        </w:rPr>
        <w:t>，下降</w:t>
      </w:r>
      <w:r>
        <w:rPr>
          <w:rFonts w:ascii="Arial" w:hAnsi="Arial" w:hint="eastAsia"/>
          <w:sz w:val="21"/>
          <w:szCs w:val="28"/>
        </w:rPr>
        <w:t xml:space="preserve"> 0.4%;</w:t>
      </w:r>
      <w:r>
        <w:rPr>
          <w:rFonts w:ascii="Arial" w:hAnsi="Arial" w:hint="eastAsia"/>
          <w:sz w:val="21"/>
          <w:szCs w:val="28"/>
        </w:rPr>
        <w:t>房屋竣工面积</w:t>
      </w:r>
      <w:r>
        <w:rPr>
          <w:rFonts w:ascii="Arial" w:hAnsi="Arial" w:hint="eastAsia"/>
          <w:sz w:val="21"/>
          <w:szCs w:val="28"/>
        </w:rPr>
        <w:t xml:space="preserve"> 133.4</w:t>
      </w:r>
      <w:r>
        <w:rPr>
          <w:rFonts w:ascii="Arial" w:hAnsi="Arial" w:hint="eastAsia"/>
          <w:sz w:val="21"/>
          <w:szCs w:val="28"/>
        </w:rPr>
        <w:t>万平方米，增长</w:t>
      </w:r>
      <w:r>
        <w:rPr>
          <w:rFonts w:ascii="Arial" w:hAnsi="Arial" w:hint="eastAsia"/>
          <w:sz w:val="21"/>
          <w:szCs w:val="28"/>
        </w:rPr>
        <w:t xml:space="preserve"> 20%</w:t>
      </w:r>
      <w:r>
        <w:rPr>
          <w:rFonts w:ascii="Arial" w:hAnsi="Arial" w:hint="eastAsia"/>
          <w:sz w:val="21"/>
          <w:szCs w:val="28"/>
        </w:rPr>
        <w:t>。</w:t>
      </w:r>
    </w:p>
    <w:p w:rsidR="00184596" w:rsidRDefault="00FD048A">
      <w:pPr>
        <w:widowControl/>
        <w:overflowPunct w:val="0"/>
        <w:adjustRightInd/>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hint="eastAsia"/>
          <w:sz w:val="21"/>
          <w:szCs w:val="28"/>
        </w:rPr>
        <w:t>区域商业用房房地产市场状况</w:t>
      </w:r>
    </w:p>
    <w:p w:rsidR="00184596" w:rsidRDefault="00FD048A">
      <w:pPr>
        <w:spacing w:line="480" w:lineRule="auto"/>
        <w:ind w:firstLineChars="200" w:firstLine="420"/>
        <w:jc w:val="both"/>
        <w:rPr>
          <w:rFonts w:ascii="Arial" w:hAnsi="Arial" w:cs="Arial"/>
          <w:b/>
          <w:bCs/>
          <w:sz w:val="21"/>
          <w:szCs w:val="21"/>
        </w:rPr>
      </w:pPr>
      <w:r>
        <w:rPr>
          <w:rFonts w:ascii="Arial" w:hAnsi="Arial" w:hint="eastAsia"/>
          <w:sz w:val="21"/>
          <w:szCs w:val="28"/>
        </w:rPr>
        <w:t>估价对象</w:t>
      </w:r>
      <w:r>
        <w:rPr>
          <w:rFonts w:ascii="Arial" w:hAnsi="Arial" w:hint="eastAsia"/>
          <w:kern w:val="2"/>
          <w:sz w:val="21"/>
        </w:rPr>
        <w:t>所属项目</w:t>
      </w:r>
      <w:r>
        <w:rPr>
          <w:rFonts w:ascii="Arial" w:hAnsi="Arial" w:hint="eastAsia"/>
          <w:sz w:val="21"/>
          <w:szCs w:val="28"/>
        </w:rPr>
        <w:t>位于</w:t>
      </w:r>
      <w:r>
        <w:rPr>
          <w:rFonts w:ascii="Arial" w:hAnsi="Arial" w:hint="eastAsia"/>
          <w:bCs/>
          <w:sz w:val="21"/>
        </w:rPr>
        <w:t>北京市房山区长于大街与良乡东路交口东北角</w:t>
      </w:r>
      <w:r>
        <w:rPr>
          <w:rFonts w:ascii="Arial" w:hAnsi="Arial" w:hint="eastAsia"/>
          <w:kern w:val="2"/>
          <w:sz w:val="21"/>
        </w:rPr>
        <w:t>，地处良乡大学城商</w:t>
      </w:r>
      <w:proofErr w:type="gramStart"/>
      <w:r>
        <w:rPr>
          <w:rFonts w:ascii="Arial" w:hAnsi="Arial" w:hint="eastAsia"/>
          <w:kern w:val="2"/>
          <w:sz w:val="21"/>
        </w:rPr>
        <w:t>圈核心</w:t>
      </w:r>
      <w:proofErr w:type="gramEnd"/>
      <w:r>
        <w:rPr>
          <w:rFonts w:ascii="Arial" w:hAnsi="Arial" w:hint="eastAsia"/>
          <w:kern w:val="2"/>
          <w:sz w:val="21"/>
        </w:rPr>
        <w:t>位置，直通地铁房山线——良乡大学城北站。</w:t>
      </w:r>
      <w:r>
        <w:rPr>
          <w:rFonts w:ascii="Arial" w:hAnsi="Arial" w:cs="Arial" w:hint="eastAsia"/>
          <w:bCs/>
          <w:sz w:val="21"/>
        </w:rPr>
        <w:t>周边</w:t>
      </w:r>
      <w:r>
        <w:rPr>
          <w:rFonts w:ascii="Arial" w:hAnsi="Arial" w:cs="Arial" w:hint="eastAsia"/>
          <w:bCs/>
          <w:sz w:val="21"/>
        </w:rPr>
        <w:t>3</w:t>
      </w:r>
      <w:r>
        <w:rPr>
          <w:rFonts w:ascii="Arial" w:hAnsi="Arial" w:cs="Arial" w:hint="eastAsia"/>
          <w:bCs/>
          <w:sz w:val="21"/>
        </w:rPr>
        <w:t>公里范围内无其他大型购物中心，多以社区底商</w:t>
      </w:r>
      <w:r>
        <w:rPr>
          <w:rFonts w:ascii="Arial" w:hAnsi="Arial" w:cs="Arial" w:hint="eastAsia"/>
          <w:bCs/>
          <w:sz w:val="21"/>
        </w:rPr>
        <w:lastRenderedPageBreak/>
        <w:t>为主</w:t>
      </w:r>
      <w:r>
        <w:rPr>
          <w:rFonts w:ascii="Arial" w:hAnsi="Arial" w:cs="Arial" w:hint="eastAsia"/>
          <w:sz w:val="21"/>
          <w:szCs w:val="21"/>
        </w:rPr>
        <w:t>，</w:t>
      </w:r>
      <w:r>
        <w:rPr>
          <w:rFonts w:ascii="Arial" w:hAnsi="Arial" w:cs="Arial"/>
          <w:sz w:val="21"/>
          <w:szCs w:val="21"/>
        </w:rPr>
        <w:t>人流量</w:t>
      </w:r>
      <w:r>
        <w:rPr>
          <w:rFonts w:ascii="Arial" w:hAnsi="Arial" w:cs="Arial" w:hint="eastAsia"/>
          <w:sz w:val="21"/>
          <w:szCs w:val="21"/>
        </w:rPr>
        <w:t>较少</w:t>
      </w:r>
      <w:r>
        <w:rPr>
          <w:rFonts w:ascii="Arial" w:hAnsi="Arial" w:cs="Arial"/>
          <w:sz w:val="21"/>
          <w:szCs w:val="21"/>
        </w:rPr>
        <w:t>，商业繁华度</w:t>
      </w:r>
      <w:r>
        <w:rPr>
          <w:rFonts w:ascii="Arial" w:hAnsi="Arial" w:cs="Arial" w:hint="eastAsia"/>
          <w:sz w:val="21"/>
          <w:szCs w:val="21"/>
        </w:rPr>
        <w:t>一般。</w:t>
      </w:r>
      <w:r>
        <w:rPr>
          <w:rFonts w:ascii="Arial" w:hAnsi="Arial" w:hint="eastAsia"/>
          <w:sz w:val="21"/>
          <w:szCs w:val="28"/>
        </w:rPr>
        <w:t>据调查，估价对象周边</w:t>
      </w:r>
      <w:r>
        <w:rPr>
          <w:rFonts w:ascii="Arial" w:hAnsi="Arial" w:hint="eastAsia"/>
          <w:sz w:val="21"/>
          <w:szCs w:val="28"/>
        </w:rPr>
        <w:t>1</w:t>
      </w:r>
      <w:r>
        <w:rPr>
          <w:rFonts w:ascii="Arial" w:hAnsi="Arial" w:hint="eastAsia"/>
          <w:sz w:val="21"/>
          <w:szCs w:val="28"/>
        </w:rPr>
        <w:t>层商业用房销售价格约为</w:t>
      </w:r>
      <w:r>
        <w:rPr>
          <w:rFonts w:ascii="Arial" w:hAnsi="Arial"/>
          <w:sz w:val="21"/>
          <w:szCs w:val="28"/>
        </w:rPr>
        <w:t>10</w:t>
      </w:r>
      <w:r>
        <w:rPr>
          <w:rFonts w:ascii="Arial" w:hAnsi="Arial" w:hint="eastAsia"/>
          <w:sz w:val="21"/>
          <w:szCs w:val="28"/>
        </w:rPr>
        <w:t>000-</w:t>
      </w:r>
      <w:r>
        <w:rPr>
          <w:rFonts w:ascii="Arial" w:hAnsi="Arial"/>
          <w:sz w:val="21"/>
          <w:szCs w:val="28"/>
        </w:rPr>
        <w:t>16</w:t>
      </w:r>
      <w:r>
        <w:rPr>
          <w:rFonts w:ascii="Arial" w:hAnsi="Arial" w:hint="eastAsia"/>
          <w:sz w:val="21"/>
          <w:szCs w:val="28"/>
        </w:rPr>
        <w:t>000</w:t>
      </w:r>
      <w:r>
        <w:rPr>
          <w:rFonts w:ascii="Arial" w:hAnsi="Arial" w:hint="eastAsia"/>
          <w:sz w:val="21"/>
          <w:szCs w:val="28"/>
        </w:rPr>
        <w:t>元</w:t>
      </w:r>
      <w:r>
        <w:rPr>
          <w:rFonts w:ascii="Arial" w:hAnsi="Arial" w:hint="eastAsia"/>
          <w:sz w:val="21"/>
          <w:szCs w:val="28"/>
        </w:rPr>
        <w:t>/</w:t>
      </w:r>
      <w:r>
        <w:rPr>
          <w:rFonts w:ascii="Arial" w:hAnsi="Arial" w:hint="eastAsia"/>
          <w:sz w:val="21"/>
          <w:szCs w:val="28"/>
        </w:rPr>
        <w:t>建筑平方米，周边</w:t>
      </w:r>
      <w:r>
        <w:rPr>
          <w:rFonts w:ascii="Arial" w:hAnsi="Arial" w:hint="eastAsia"/>
          <w:sz w:val="21"/>
          <w:szCs w:val="28"/>
        </w:rPr>
        <w:t>1</w:t>
      </w:r>
      <w:r>
        <w:rPr>
          <w:rFonts w:ascii="Arial" w:hAnsi="Arial" w:hint="eastAsia"/>
          <w:sz w:val="21"/>
          <w:szCs w:val="28"/>
        </w:rPr>
        <w:t>层商业用房房地产租赁价格区间在</w:t>
      </w:r>
      <w:r>
        <w:rPr>
          <w:rFonts w:ascii="Arial" w:hAnsi="Arial"/>
          <w:sz w:val="21"/>
          <w:szCs w:val="28"/>
        </w:rPr>
        <w:t>2.5</w:t>
      </w:r>
      <w:r>
        <w:rPr>
          <w:rFonts w:ascii="Arial" w:hAnsi="Arial" w:hint="eastAsia"/>
          <w:sz w:val="21"/>
          <w:szCs w:val="28"/>
        </w:rPr>
        <w:t>-</w:t>
      </w:r>
      <w:r>
        <w:rPr>
          <w:rFonts w:ascii="Arial" w:hAnsi="Arial"/>
          <w:sz w:val="21"/>
          <w:szCs w:val="28"/>
        </w:rPr>
        <w:t>3.5</w:t>
      </w:r>
      <w:r>
        <w:rPr>
          <w:rFonts w:ascii="Arial" w:hAnsi="Arial" w:hint="eastAsia"/>
          <w:sz w:val="21"/>
          <w:szCs w:val="28"/>
        </w:rPr>
        <w:t>元</w:t>
      </w:r>
      <w:r>
        <w:rPr>
          <w:rFonts w:ascii="Arial" w:hAnsi="Arial" w:hint="eastAsia"/>
          <w:sz w:val="21"/>
          <w:szCs w:val="28"/>
        </w:rPr>
        <w:t>/</w:t>
      </w:r>
      <w:r>
        <w:rPr>
          <w:rFonts w:ascii="Arial" w:hAnsi="Arial" w:hint="eastAsia"/>
          <w:sz w:val="21"/>
          <w:szCs w:val="28"/>
        </w:rPr>
        <w:t>建筑面积平方米·天。</w:t>
      </w:r>
    </w:p>
    <w:p w:rsidR="00184596" w:rsidRDefault="00FD048A">
      <w:pPr>
        <w:pStyle w:val="2"/>
        <w:numPr>
          <w:ilvl w:val="0"/>
          <w:numId w:val="0"/>
        </w:numPr>
        <w:spacing w:line="480" w:lineRule="auto"/>
        <w:ind w:left="358" w:hangingChars="170" w:hanging="358"/>
        <w:jc w:val="both"/>
        <w:rPr>
          <w:rFonts w:eastAsia="宋体"/>
          <w:kern w:val="2"/>
          <w:sz w:val="21"/>
          <w:szCs w:val="21"/>
        </w:rPr>
      </w:pPr>
      <w:bookmarkStart w:id="58" w:name="_Toc477252460"/>
      <w:r>
        <w:rPr>
          <w:rFonts w:eastAsia="宋体"/>
          <w:kern w:val="2"/>
          <w:sz w:val="21"/>
          <w:szCs w:val="21"/>
        </w:rPr>
        <w:t>三、估价对象最高</w:t>
      </w:r>
      <w:proofErr w:type="gramStart"/>
      <w:r>
        <w:rPr>
          <w:rFonts w:eastAsia="宋体"/>
          <w:kern w:val="2"/>
          <w:sz w:val="21"/>
          <w:szCs w:val="21"/>
        </w:rPr>
        <w:t>最佳利用</w:t>
      </w:r>
      <w:proofErr w:type="gramEnd"/>
      <w:r>
        <w:rPr>
          <w:rFonts w:eastAsia="宋体"/>
          <w:kern w:val="2"/>
          <w:sz w:val="21"/>
          <w:szCs w:val="21"/>
        </w:rPr>
        <w:t>分析</w:t>
      </w:r>
      <w:bookmarkEnd w:id="58"/>
    </w:p>
    <w:p w:rsidR="00184596" w:rsidRDefault="00FD048A">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Pr>
          <w:rFonts w:ascii="Arial" w:hAnsi="Arial" w:cs="Arial" w:hint="eastAsia"/>
          <w:sz w:val="21"/>
          <w:szCs w:val="21"/>
        </w:rPr>
        <w:t>:</w:t>
      </w:r>
    </w:p>
    <w:p w:rsidR="00184596" w:rsidRDefault="00FD048A">
      <w:pPr>
        <w:pStyle w:val="1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r>
        <w:rPr>
          <w:rFonts w:ascii="Arial" w:hAnsi="Arial" w:cs="Arial" w:hint="eastAsia"/>
          <w:b/>
          <w:sz w:val="21"/>
          <w:szCs w:val="21"/>
        </w:rPr>
        <w:t>（</w:t>
      </w:r>
      <w:r>
        <w:rPr>
          <w:rFonts w:ascii="Arial" w:hAnsi="Arial" w:cs="Arial"/>
          <w:b/>
          <w:sz w:val="21"/>
          <w:szCs w:val="21"/>
        </w:rPr>
        <w:t>规划及相关政策法规许可</w:t>
      </w:r>
      <w:r>
        <w:rPr>
          <w:rFonts w:ascii="Arial" w:hAnsi="Arial" w:cs="Arial" w:hint="eastAsia"/>
          <w:b/>
          <w:sz w:val="21"/>
          <w:szCs w:val="21"/>
        </w:rPr>
        <w:t>）</w:t>
      </w:r>
    </w:p>
    <w:p w:rsidR="00184596" w:rsidRDefault="00FD048A">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法律上允许即不受现时使用状况的限制，而依照法律规章、规划发展方向，按照其可能的最优用途进行估价，截至价值时点，估价对象</w:t>
      </w:r>
      <w:r>
        <w:rPr>
          <w:rFonts w:ascii="Arial" w:hAnsi="Arial" w:cs="Arial" w:hint="eastAsia"/>
          <w:sz w:val="21"/>
          <w:szCs w:val="21"/>
        </w:rPr>
        <w:t>042</w:t>
      </w:r>
      <w:r>
        <w:rPr>
          <w:rFonts w:ascii="Arial" w:hAnsi="Arial" w:cs="Arial" w:hint="eastAsia"/>
          <w:sz w:val="21"/>
          <w:szCs w:val="21"/>
        </w:rPr>
        <w:t>地块及</w:t>
      </w:r>
      <w:r>
        <w:rPr>
          <w:rFonts w:ascii="Arial" w:hAnsi="Arial" w:cs="Arial" w:hint="eastAsia"/>
          <w:sz w:val="21"/>
          <w:szCs w:val="21"/>
        </w:rPr>
        <w:t>044</w:t>
      </w:r>
      <w:r>
        <w:rPr>
          <w:rFonts w:ascii="Arial" w:hAnsi="Arial" w:cs="Arial" w:hint="eastAsia"/>
          <w:sz w:val="21"/>
          <w:szCs w:val="21"/>
        </w:rPr>
        <w:t>地块地下部分</w:t>
      </w:r>
      <w:r>
        <w:rPr>
          <w:rFonts w:ascii="Arial" w:hAnsi="Arial" w:cs="Arial"/>
          <w:sz w:val="21"/>
          <w:szCs w:val="21"/>
        </w:rPr>
        <w:t>已取得《不动产权证书》</w:t>
      </w:r>
      <w:r>
        <w:rPr>
          <w:rFonts w:ascii="Arial" w:hAnsi="Arial" w:cs="Arial" w:hint="eastAsia"/>
          <w:sz w:val="21"/>
          <w:szCs w:val="21"/>
        </w:rPr>
        <w:t>，土地用途为</w:t>
      </w:r>
      <w:r>
        <w:rPr>
          <w:rFonts w:ascii="Arial" w:hAnsi="Arial" w:cs="Arial" w:hint="eastAsia"/>
          <w:kern w:val="2"/>
          <w:sz w:val="21"/>
          <w:szCs w:val="21"/>
        </w:rPr>
        <w:t>商业，房屋用途为商业，</w:t>
      </w:r>
      <w:r>
        <w:rPr>
          <w:rFonts w:ascii="Arial" w:hAnsi="Arial" w:cs="Arial" w:hint="eastAsia"/>
          <w:sz w:val="21"/>
          <w:szCs w:val="21"/>
        </w:rPr>
        <w:t>044</w:t>
      </w:r>
      <w:r>
        <w:rPr>
          <w:rFonts w:ascii="Arial" w:hAnsi="Arial" w:cs="Arial" w:hint="eastAsia"/>
          <w:sz w:val="21"/>
          <w:szCs w:val="21"/>
        </w:rPr>
        <w:t>地块地上部分尚未取得《不动产权证书》</w:t>
      </w:r>
      <w:r>
        <w:rPr>
          <w:rFonts w:ascii="Arial" w:hAnsi="Arial" w:cs="Arial"/>
          <w:sz w:val="21"/>
          <w:szCs w:val="21"/>
        </w:rPr>
        <w:t>。</w:t>
      </w:r>
      <w:r>
        <w:rPr>
          <w:rFonts w:ascii="Arial" w:hAnsi="Arial" w:cs="Arial" w:hint="eastAsia"/>
          <w:sz w:val="21"/>
          <w:szCs w:val="21"/>
        </w:rPr>
        <w:t>根据《估价委托书》，本次评估设定</w:t>
      </w:r>
      <w:r>
        <w:rPr>
          <w:rFonts w:ascii="Arial" w:hAnsi="Arial" w:cs="Arial" w:hint="eastAsia"/>
          <w:kern w:val="2"/>
          <w:sz w:val="21"/>
          <w:szCs w:val="21"/>
        </w:rPr>
        <w:t>估价对象的用途符合法律允许及规划要求</w:t>
      </w:r>
      <w:r>
        <w:rPr>
          <w:rFonts w:ascii="Arial" w:hAnsi="Arial" w:cs="Arial"/>
          <w:sz w:val="21"/>
          <w:szCs w:val="21"/>
        </w:rPr>
        <w:t>。</w:t>
      </w:r>
    </w:p>
    <w:p w:rsidR="00184596" w:rsidRDefault="00FD048A">
      <w:pPr>
        <w:pStyle w:val="11"/>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rsidR="00184596" w:rsidRDefault="00FD048A">
      <w:pPr>
        <w:pStyle w:val="11"/>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技术上可能</w:t>
      </w:r>
      <w:r>
        <w:rPr>
          <w:rFonts w:ascii="Arial" w:hAnsi="Arial" w:cs="Arial"/>
          <w:sz w:val="21"/>
          <w:szCs w:val="21"/>
        </w:rPr>
        <w:t>即不能把技术上无法做到的使用当作最高最佳使用</w:t>
      </w:r>
      <w:r>
        <w:rPr>
          <w:rFonts w:ascii="Arial" w:hAnsi="Arial" w:cs="Arial" w:hint="eastAsia"/>
          <w:sz w:val="21"/>
          <w:szCs w:val="21"/>
        </w:rPr>
        <w:t>,</w:t>
      </w:r>
      <w:r>
        <w:rPr>
          <w:rFonts w:ascii="Arial" w:hAnsi="Arial" w:cs="Arial"/>
          <w:sz w:val="21"/>
          <w:szCs w:val="21"/>
        </w:rPr>
        <w:t>要按照房屋建筑工程方面的技术要求进行估价。截至价值时点，估价对象</w:t>
      </w:r>
      <w:r>
        <w:rPr>
          <w:rFonts w:ascii="Arial" w:hAnsi="Arial" w:cs="Arial" w:hint="eastAsia"/>
          <w:sz w:val="21"/>
          <w:szCs w:val="21"/>
        </w:rPr>
        <w:t>042</w:t>
      </w:r>
      <w:r>
        <w:rPr>
          <w:rFonts w:ascii="Arial" w:hAnsi="Arial" w:cs="Arial" w:hint="eastAsia"/>
          <w:sz w:val="21"/>
          <w:szCs w:val="21"/>
        </w:rPr>
        <w:t>地块及</w:t>
      </w:r>
      <w:r>
        <w:rPr>
          <w:rFonts w:ascii="Arial" w:hAnsi="Arial" w:cs="Arial" w:hint="eastAsia"/>
          <w:sz w:val="21"/>
          <w:szCs w:val="21"/>
        </w:rPr>
        <w:t>044</w:t>
      </w:r>
      <w:r>
        <w:rPr>
          <w:rFonts w:ascii="Arial" w:hAnsi="Arial" w:cs="Arial" w:hint="eastAsia"/>
          <w:sz w:val="21"/>
          <w:szCs w:val="21"/>
        </w:rPr>
        <w:t>地块地下部分</w:t>
      </w:r>
      <w:r>
        <w:rPr>
          <w:rFonts w:ascii="Arial" w:hAnsi="Arial" w:cs="Arial"/>
          <w:sz w:val="21"/>
          <w:szCs w:val="21"/>
        </w:rPr>
        <w:t>已取得《不动产权证书》</w:t>
      </w:r>
      <w:r>
        <w:rPr>
          <w:rFonts w:ascii="Arial" w:hAnsi="Arial" w:cs="Arial" w:hint="eastAsia"/>
          <w:sz w:val="21"/>
          <w:szCs w:val="21"/>
        </w:rPr>
        <w:t>，</w:t>
      </w:r>
      <w:r>
        <w:rPr>
          <w:rFonts w:ascii="Arial" w:hAnsi="Arial" w:cs="Arial" w:hint="eastAsia"/>
          <w:sz w:val="21"/>
          <w:szCs w:val="21"/>
        </w:rPr>
        <w:t>044</w:t>
      </w:r>
      <w:r>
        <w:rPr>
          <w:rFonts w:ascii="Arial" w:hAnsi="Arial" w:cs="Arial" w:hint="eastAsia"/>
          <w:sz w:val="21"/>
          <w:szCs w:val="21"/>
        </w:rPr>
        <w:t>地块地上部分尚未取得《不动产权证书》</w:t>
      </w:r>
      <w:r>
        <w:rPr>
          <w:rFonts w:ascii="Arial" w:hAnsi="Arial" w:cs="Arial"/>
          <w:sz w:val="21"/>
          <w:szCs w:val="21"/>
        </w:rPr>
        <w:t>，</w:t>
      </w:r>
      <w:r>
        <w:rPr>
          <w:rFonts w:ascii="Arial" w:hAnsi="Arial" w:cs="Arial" w:hint="eastAsia"/>
          <w:sz w:val="21"/>
          <w:szCs w:val="21"/>
        </w:rPr>
        <w:t>根据《估价委托书》，本次评估设定</w:t>
      </w:r>
      <w:r>
        <w:rPr>
          <w:rFonts w:ascii="Arial" w:hAnsi="Arial" w:cs="Arial"/>
          <w:sz w:val="21"/>
          <w:szCs w:val="21"/>
        </w:rPr>
        <w:t>估价对象建筑结构、功能、造型、立面效果、建筑材料和设备选用、施工技术等方面均已得到相关行政部门或第三方的认可，技术上均能满足要求。</w:t>
      </w:r>
    </w:p>
    <w:p w:rsidR="00184596" w:rsidRDefault="00FD048A">
      <w:pPr>
        <w:pStyle w:val="11"/>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rsidR="00184596" w:rsidRDefault="00FD048A">
      <w:pPr>
        <w:pStyle w:val="11"/>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rsidR="00184596" w:rsidRDefault="00FD048A">
      <w:pPr>
        <w:pStyle w:val="1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rsidR="00184596" w:rsidRDefault="00FD048A">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lastRenderedPageBreak/>
        <w:t>价值最大化</w:t>
      </w:r>
      <w:r>
        <w:rPr>
          <w:rFonts w:ascii="Arial" w:hAnsi="Arial" w:cs="Arial"/>
          <w:sz w:val="21"/>
          <w:szCs w:val="21"/>
        </w:rPr>
        <w:t>即在所有具有经济可行性的使用方式中，能使估价对象价值达到最大的使用方式，才是最高最佳的使用方式。</w:t>
      </w:r>
      <w:r>
        <w:rPr>
          <w:rFonts w:ascii="Arial" w:hAnsi="Arial" w:cs="Arial"/>
          <w:color w:val="000000"/>
          <w:sz w:val="21"/>
          <w:szCs w:val="21"/>
        </w:rPr>
        <w:t>估价对象</w:t>
      </w:r>
      <w:r>
        <w:rPr>
          <w:rFonts w:ascii="Arial" w:hAnsi="Arial" w:cs="Arial" w:hint="eastAsia"/>
          <w:color w:val="000000"/>
          <w:sz w:val="21"/>
          <w:szCs w:val="21"/>
        </w:rPr>
        <w:t>的</w:t>
      </w:r>
      <w:r>
        <w:rPr>
          <w:rFonts w:ascii="Arial" w:hAnsi="Arial" w:cs="Arial"/>
          <w:color w:val="000000"/>
          <w:sz w:val="21"/>
          <w:szCs w:val="21"/>
        </w:rPr>
        <w:t>使用方式满足法律上许可、技术上可能、经济上可行，可使估价对象价值得到最大化</w:t>
      </w:r>
      <w:r>
        <w:rPr>
          <w:rFonts w:ascii="Arial" w:hAnsi="Arial" w:cs="Arial"/>
          <w:sz w:val="21"/>
          <w:szCs w:val="21"/>
        </w:rPr>
        <w:t>。</w:t>
      </w:r>
    </w:p>
    <w:p w:rsidR="00184596" w:rsidRDefault="00FD048A">
      <w:pPr>
        <w:pStyle w:val="1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rsidR="00184596" w:rsidRDefault="00FD048A">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184596" w:rsidRDefault="00FD048A">
      <w:pPr>
        <w:spacing w:line="480" w:lineRule="auto"/>
        <w:ind w:firstLineChars="200" w:firstLine="420"/>
        <w:jc w:val="both"/>
        <w:rPr>
          <w:rFonts w:ascii="Arial" w:hAnsi="Arial" w:cs="Arial"/>
          <w:sz w:val="21"/>
          <w:szCs w:val="21"/>
        </w:rPr>
      </w:pPr>
      <w:r>
        <w:rPr>
          <w:rFonts w:ascii="Arial" w:hAnsi="Arial" w:cs="Arial"/>
          <w:sz w:val="21"/>
          <w:szCs w:val="21"/>
        </w:rPr>
        <w:t>综上所述，我们认为估价对象用途</w:t>
      </w:r>
      <w:r>
        <w:rPr>
          <w:rFonts w:ascii="Arial" w:hAnsi="Arial" w:cs="Arial" w:hint="eastAsia"/>
          <w:sz w:val="21"/>
          <w:szCs w:val="21"/>
        </w:rPr>
        <w:t>为商业</w:t>
      </w:r>
      <w:r>
        <w:rPr>
          <w:rFonts w:ascii="Arial" w:hAnsi="Arial" w:cs="Arial"/>
          <w:sz w:val="21"/>
          <w:szCs w:val="21"/>
        </w:rPr>
        <w:t>为其最高最佳使用途径。</w:t>
      </w:r>
    </w:p>
    <w:p w:rsidR="00184596" w:rsidRDefault="00FD048A">
      <w:pPr>
        <w:pStyle w:val="2"/>
        <w:numPr>
          <w:ilvl w:val="0"/>
          <w:numId w:val="0"/>
        </w:numPr>
        <w:spacing w:line="480" w:lineRule="auto"/>
        <w:ind w:left="358" w:hangingChars="170" w:hanging="358"/>
        <w:jc w:val="both"/>
        <w:rPr>
          <w:rFonts w:eastAsia="宋体"/>
          <w:kern w:val="2"/>
          <w:sz w:val="21"/>
          <w:szCs w:val="21"/>
        </w:rPr>
      </w:pPr>
      <w:bookmarkStart w:id="59" w:name="_Toc477252461"/>
      <w:r>
        <w:rPr>
          <w:rFonts w:eastAsia="宋体"/>
          <w:kern w:val="2"/>
          <w:sz w:val="21"/>
          <w:szCs w:val="21"/>
        </w:rPr>
        <w:t>四、估价方法适用性分析</w:t>
      </w:r>
      <w:bookmarkEnd w:id="59"/>
    </w:p>
    <w:p w:rsidR="00184596" w:rsidRDefault="00FD048A">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由于本次评估是</w:t>
      </w:r>
      <w:r>
        <w:rPr>
          <w:rFonts w:ascii="Arial" w:hAnsi="Arial" w:hint="eastAsia"/>
          <w:kern w:val="2"/>
          <w:sz w:val="21"/>
        </w:rPr>
        <w:t>为估价委托人了解估价对象房地产市场租金水平提供参考依据</w:t>
      </w:r>
      <w:r>
        <w:rPr>
          <w:rFonts w:ascii="Arial" w:hAnsi="Arial" w:cs="Arial"/>
          <w:sz w:val="21"/>
          <w:szCs w:val="21"/>
        </w:rPr>
        <w:t>，因此评估专业人员在认真分析研究估价对象的相关资料，并通过对邻近地区同类物业调查的基础上，确定如下技术路线</w:t>
      </w:r>
      <w:r>
        <w:rPr>
          <w:rFonts w:ascii="Arial" w:hAnsi="Arial" w:cs="Arial" w:hint="eastAsia"/>
          <w:sz w:val="21"/>
          <w:szCs w:val="21"/>
        </w:rPr>
        <w:t>：</w:t>
      </w:r>
      <w:r>
        <w:rPr>
          <w:rFonts w:ascii="Arial" w:hAnsi="Arial" w:cs="Arial"/>
          <w:sz w:val="21"/>
          <w:szCs w:val="21"/>
        </w:rPr>
        <w:t>首先，根据《房地产估价规范》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的估价程序采用</w:t>
      </w:r>
      <w:r>
        <w:rPr>
          <w:rFonts w:ascii="Arial" w:hAnsi="Arial" w:cs="Arial" w:hint="eastAsia"/>
          <w:sz w:val="21"/>
          <w:szCs w:val="21"/>
        </w:rPr>
        <w:t>比较法</w:t>
      </w:r>
      <w:r>
        <w:rPr>
          <w:rFonts w:ascii="Arial" w:hAnsi="Arial" w:cs="Arial"/>
          <w:sz w:val="21"/>
          <w:szCs w:val="21"/>
        </w:rPr>
        <w:t>求</w:t>
      </w:r>
      <w:r>
        <w:rPr>
          <w:rFonts w:ascii="Arial" w:hAnsi="Arial" w:hint="eastAsia"/>
          <w:kern w:val="2"/>
          <w:sz w:val="21"/>
        </w:rPr>
        <w:t>求取</w:t>
      </w:r>
      <w:r>
        <w:rPr>
          <w:rFonts w:ascii="Arial" w:hAnsi="Arial" w:cs="Arial" w:hint="eastAsia"/>
          <w:sz w:val="21"/>
          <w:szCs w:val="28"/>
        </w:rPr>
        <w:t>估价对象</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sz w:val="21"/>
          <w:szCs w:val="28"/>
        </w:rPr>
        <w:t>号楼</w:t>
      </w:r>
      <w:r>
        <w:rPr>
          <w:rFonts w:ascii="Arial" w:hAnsi="Arial" w:cs="Arial" w:hint="eastAsia"/>
          <w:sz w:val="21"/>
          <w:szCs w:val="28"/>
        </w:rPr>
        <w:t>1</w:t>
      </w:r>
      <w:r>
        <w:rPr>
          <w:rFonts w:ascii="Arial" w:hAnsi="Arial" w:cs="Arial" w:hint="eastAsia"/>
          <w:sz w:val="21"/>
          <w:szCs w:val="28"/>
        </w:rPr>
        <w:t>层商业用房</w:t>
      </w:r>
      <w:r>
        <w:rPr>
          <w:rFonts w:ascii="Arial" w:hAnsi="Arial" w:hint="eastAsia"/>
          <w:kern w:val="2"/>
          <w:sz w:val="21"/>
        </w:rPr>
        <w:t>房地产市场租金水平</w:t>
      </w:r>
      <w:r>
        <w:rPr>
          <w:rFonts w:ascii="Arial" w:hAnsi="Arial" w:cs="Arial"/>
          <w:sz w:val="21"/>
          <w:szCs w:val="21"/>
        </w:rPr>
        <w:t>。</w:t>
      </w:r>
      <w:r>
        <w:rPr>
          <w:rFonts w:ascii="Arial" w:hAnsi="Arial" w:hint="eastAsia"/>
          <w:kern w:val="2"/>
          <w:sz w:val="21"/>
        </w:rPr>
        <w:t>其次，通过楼层、可视性、通达性、层高、使用率、平面布局等因素修正，</w:t>
      </w:r>
      <w:r>
        <w:rPr>
          <w:rFonts w:ascii="Arial" w:hAnsi="Arial" w:cs="Arial" w:hint="eastAsia"/>
          <w:sz w:val="21"/>
          <w:szCs w:val="28"/>
        </w:rPr>
        <w:t>求取估价对象各楼层商业用房房地产市场租金水平</w:t>
      </w:r>
      <w:r>
        <w:rPr>
          <w:rFonts w:ascii="Arial" w:hAnsi="Arial" w:cs="Arial"/>
          <w:sz w:val="21"/>
          <w:szCs w:val="21"/>
        </w:rPr>
        <w:t>。</w:t>
      </w:r>
    </w:p>
    <w:p w:rsidR="00184596" w:rsidRDefault="00FD048A">
      <w:pPr>
        <w:pStyle w:val="1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rsidR="00184596" w:rsidRDefault="00FD048A">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rsidR="00184596" w:rsidRDefault="00FD048A">
      <w:pPr>
        <w:pStyle w:val="11"/>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rsidR="00184596" w:rsidRDefault="00FD048A">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收益法：收益法是预测估价对象的未来收益，利用报酬率或资本化率、收益乘数将未来收益转换</w:t>
      </w:r>
      <w:r>
        <w:rPr>
          <w:rFonts w:ascii="Arial" w:hAnsi="Arial" w:cs="Arial"/>
          <w:color w:val="000000"/>
          <w:sz w:val="21"/>
          <w:szCs w:val="21"/>
        </w:rPr>
        <w:lastRenderedPageBreak/>
        <w:t>为价值得到估价价值或价格的方法。收益法适用于估价对象或其同类房地产通常有租金等经济收入的收益性房地产。</w:t>
      </w:r>
    </w:p>
    <w:p w:rsidR="00184596" w:rsidRDefault="00FD048A">
      <w:pPr>
        <w:pStyle w:val="11"/>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rsidR="00184596" w:rsidRDefault="00FD048A">
      <w:pPr>
        <w:pStyle w:val="11"/>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rsidR="00184596" w:rsidRDefault="00FD048A">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），估价方法的选用要求及应用条件如下：</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1134"/>
        <w:gridCol w:w="2410"/>
        <w:gridCol w:w="5755"/>
      </w:tblGrid>
      <w:tr w:rsidR="00184596">
        <w:trPr>
          <w:cantSplit/>
          <w:jc w:val="center"/>
        </w:trPr>
        <w:tc>
          <w:tcPr>
            <w:tcW w:w="1134" w:type="dxa"/>
          </w:tcPr>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估价方法</w:t>
            </w:r>
          </w:p>
        </w:tc>
        <w:tc>
          <w:tcPr>
            <w:tcW w:w="2410" w:type="dxa"/>
          </w:tcPr>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选用要求</w:t>
            </w:r>
          </w:p>
        </w:tc>
        <w:tc>
          <w:tcPr>
            <w:tcW w:w="5755" w:type="dxa"/>
          </w:tcPr>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应用</w:t>
            </w:r>
          </w:p>
        </w:tc>
      </w:tr>
      <w:tr w:rsidR="00184596">
        <w:trPr>
          <w:cantSplit/>
          <w:jc w:val="center"/>
        </w:trPr>
        <w:tc>
          <w:tcPr>
            <w:tcW w:w="1134" w:type="dxa"/>
            <w:vMerge w:val="restart"/>
          </w:tcPr>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比较法</w:t>
            </w:r>
          </w:p>
        </w:tc>
        <w:tc>
          <w:tcPr>
            <w:tcW w:w="2410" w:type="dxa"/>
            <w:vMerge w:val="restart"/>
          </w:tcPr>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估价对象的同类房地产有较多交易的，应选用比较法</w:t>
            </w:r>
          </w:p>
        </w:tc>
        <w:tc>
          <w:tcPr>
            <w:tcW w:w="5755" w:type="dxa"/>
          </w:tcPr>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适用物业：同类房地产数量较多、经常发生交易且具有一定的可比性的房地产，如：住宅（特别是数量较多、可比性较好的存量成套住宅）；写字楼；商铺；标准厂房；房地产开发用地等。</w:t>
            </w:r>
          </w:p>
        </w:tc>
      </w:tr>
      <w:tr w:rsidR="00184596">
        <w:trPr>
          <w:cantSplit/>
          <w:jc w:val="center"/>
        </w:trPr>
        <w:tc>
          <w:tcPr>
            <w:tcW w:w="1134" w:type="dxa"/>
            <w:vMerge/>
          </w:tcPr>
          <w:p w:rsidR="00184596" w:rsidRDefault="00184596">
            <w:pPr>
              <w:pStyle w:val="11"/>
              <w:wordWrap w:val="0"/>
              <w:overflowPunct w:val="0"/>
              <w:autoSpaceDE w:val="0"/>
              <w:autoSpaceDN w:val="0"/>
              <w:spacing w:line="240" w:lineRule="exact"/>
              <w:jc w:val="both"/>
              <w:textAlignment w:val="auto"/>
              <w:rPr>
                <w:rFonts w:ascii="Arial" w:eastAsia="华文细黑" w:hAnsi="Arial" w:cs="Arial"/>
                <w:sz w:val="18"/>
                <w:szCs w:val="21"/>
              </w:rPr>
            </w:pPr>
          </w:p>
        </w:tc>
        <w:tc>
          <w:tcPr>
            <w:tcW w:w="2410" w:type="dxa"/>
            <w:vMerge/>
          </w:tcPr>
          <w:p w:rsidR="00184596" w:rsidRDefault="00184596">
            <w:pPr>
              <w:pStyle w:val="11"/>
              <w:wordWrap w:val="0"/>
              <w:overflowPunct w:val="0"/>
              <w:autoSpaceDE w:val="0"/>
              <w:autoSpaceDN w:val="0"/>
              <w:spacing w:line="240" w:lineRule="exact"/>
              <w:jc w:val="both"/>
              <w:textAlignment w:val="auto"/>
              <w:rPr>
                <w:rFonts w:ascii="Arial" w:eastAsia="华文细黑" w:hAnsi="Arial" w:cs="Arial"/>
                <w:sz w:val="18"/>
                <w:szCs w:val="21"/>
              </w:rPr>
            </w:pPr>
          </w:p>
        </w:tc>
        <w:tc>
          <w:tcPr>
            <w:tcW w:w="5755" w:type="dxa"/>
          </w:tcPr>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不适用物业：</w:t>
            </w:r>
          </w:p>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同类房地产数量很少的房地产，如：特殊厂房、机场、码头、博物馆、教堂、寺庙、古建筑等</w:t>
            </w:r>
            <w:r>
              <w:rPr>
                <w:rFonts w:ascii="Arial" w:eastAsia="华文细黑" w:hAnsi="Arial" w:cs="Arial" w:hint="eastAsia"/>
                <w:sz w:val="18"/>
                <w:szCs w:val="21"/>
              </w:rPr>
              <w:t>;</w:t>
            </w:r>
          </w:p>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很少发生交易的房地产，如：学校、医院、行政办公楼等</w:t>
            </w:r>
            <w:r>
              <w:rPr>
                <w:rFonts w:ascii="Arial" w:eastAsia="华文细黑" w:hAnsi="Arial" w:cs="Arial" w:hint="eastAsia"/>
                <w:sz w:val="18"/>
                <w:szCs w:val="21"/>
              </w:rPr>
              <w:t>;</w:t>
            </w:r>
          </w:p>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可比性很差的房地产，如：在建工程等。</w:t>
            </w:r>
          </w:p>
        </w:tc>
      </w:tr>
      <w:tr w:rsidR="00184596">
        <w:trPr>
          <w:cantSplit/>
          <w:jc w:val="center"/>
        </w:trPr>
        <w:tc>
          <w:tcPr>
            <w:tcW w:w="1134" w:type="dxa"/>
            <w:vMerge w:val="restart"/>
          </w:tcPr>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收益法</w:t>
            </w:r>
          </w:p>
        </w:tc>
        <w:tc>
          <w:tcPr>
            <w:tcW w:w="2410" w:type="dxa"/>
            <w:vMerge w:val="restart"/>
          </w:tcPr>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估价对象或其同类房地产通常有租金等经济收人的，应选用收益法</w:t>
            </w:r>
          </w:p>
        </w:tc>
        <w:tc>
          <w:tcPr>
            <w:tcW w:w="5755" w:type="dxa"/>
          </w:tcPr>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适用物业：同类房地产通常有租金等经济收人的收益性房地产，包括：住宅、写字楼、商店、酒店、餐馆、游乐场、影剧院、停车场、汽车加油站、标准厂房</w:t>
            </w:r>
            <w:r>
              <w:rPr>
                <w:rFonts w:ascii="Arial" w:eastAsia="华文细黑" w:hAnsi="Arial" w:cs="Arial" w:hint="eastAsia"/>
                <w:sz w:val="18"/>
                <w:szCs w:val="21"/>
              </w:rPr>
              <w:t>(</w:t>
            </w:r>
            <w:r>
              <w:rPr>
                <w:rFonts w:ascii="Arial" w:eastAsia="华文细黑" w:hAnsi="Arial" w:cs="Arial" w:hint="eastAsia"/>
                <w:sz w:val="18"/>
                <w:szCs w:val="21"/>
              </w:rPr>
              <w:t>用于出租的</w:t>
            </w:r>
            <w:r>
              <w:rPr>
                <w:rFonts w:ascii="Arial" w:eastAsia="华文细黑" w:hAnsi="Arial" w:cs="Arial" w:hint="eastAsia"/>
                <w:sz w:val="18"/>
                <w:szCs w:val="21"/>
              </w:rPr>
              <w:t>)</w:t>
            </w:r>
            <w:r>
              <w:rPr>
                <w:rFonts w:ascii="Arial" w:eastAsia="华文细黑" w:hAnsi="Arial" w:cs="Arial" w:hint="eastAsia"/>
                <w:sz w:val="18"/>
                <w:szCs w:val="21"/>
              </w:rPr>
              <w:t>、仓库</w:t>
            </w:r>
            <w:r>
              <w:rPr>
                <w:rFonts w:ascii="Arial" w:eastAsia="华文细黑" w:hAnsi="Arial" w:cs="Arial" w:hint="eastAsia"/>
                <w:sz w:val="18"/>
                <w:szCs w:val="21"/>
              </w:rPr>
              <w:t>(</w:t>
            </w:r>
            <w:r>
              <w:rPr>
                <w:rFonts w:ascii="Arial" w:eastAsia="华文细黑" w:hAnsi="Arial" w:cs="Arial" w:hint="eastAsia"/>
                <w:sz w:val="18"/>
                <w:szCs w:val="21"/>
              </w:rPr>
              <w:t>用于出租的</w:t>
            </w:r>
            <w:r>
              <w:rPr>
                <w:rFonts w:ascii="Arial" w:eastAsia="华文细黑" w:hAnsi="Arial" w:cs="Arial" w:hint="eastAsia"/>
                <w:sz w:val="18"/>
                <w:szCs w:val="21"/>
              </w:rPr>
              <w:t>)</w:t>
            </w:r>
            <w:r>
              <w:rPr>
                <w:rFonts w:ascii="Arial" w:eastAsia="华文细黑" w:hAnsi="Arial" w:cs="Arial" w:hint="eastAsia"/>
                <w:sz w:val="18"/>
                <w:szCs w:val="21"/>
              </w:rPr>
              <w:t>、农地等。</w:t>
            </w:r>
          </w:p>
        </w:tc>
      </w:tr>
      <w:tr w:rsidR="00184596">
        <w:trPr>
          <w:cantSplit/>
          <w:jc w:val="center"/>
        </w:trPr>
        <w:tc>
          <w:tcPr>
            <w:tcW w:w="1134" w:type="dxa"/>
            <w:vMerge/>
          </w:tcPr>
          <w:p w:rsidR="00184596" w:rsidRDefault="00184596">
            <w:pPr>
              <w:pStyle w:val="11"/>
              <w:wordWrap w:val="0"/>
              <w:overflowPunct w:val="0"/>
              <w:autoSpaceDE w:val="0"/>
              <w:autoSpaceDN w:val="0"/>
              <w:spacing w:line="240" w:lineRule="exact"/>
              <w:jc w:val="both"/>
              <w:textAlignment w:val="auto"/>
              <w:rPr>
                <w:rFonts w:ascii="Arial" w:eastAsia="华文细黑" w:hAnsi="Arial" w:cs="Arial"/>
                <w:sz w:val="18"/>
                <w:szCs w:val="21"/>
              </w:rPr>
            </w:pPr>
          </w:p>
        </w:tc>
        <w:tc>
          <w:tcPr>
            <w:tcW w:w="2410" w:type="dxa"/>
            <w:vMerge/>
          </w:tcPr>
          <w:p w:rsidR="00184596" w:rsidRDefault="00184596">
            <w:pPr>
              <w:pStyle w:val="11"/>
              <w:wordWrap w:val="0"/>
              <w:overflowPunct w:val="0"/>
              <w:autoSpaceDE w:val="0"/>
              <w:autoSpaceDN w:val="0"/>
              <w:spacing w:line="240" w:lineRule="exact"/>
              <w:jc w:val="both"/>
              <w:textAlignment w:val="auto"/>
              <w:rPr>
                <w:rFonts w:ascii="Arial" w:eastAsia="华文细黑" w:hAnsi="Arial" w:cs="Arial"/>
                <w:sz w:val="18"/>
                <w:szCs w:val="21"/>
              </w:rPr>
            </w:pPr>
          </w:p>
        </w:tc>
        <w:tc>
          <w:tcPr>
            <w:tcW w:w="5755" w:type="dxa"/>
          </w:tcPr>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不适用物业：行政办公楼、学校、公园等公用、公益性房地产。</w:t>
            </w:r>
          </w:p>
        </w:tc>
      </w:tr>
      <w:tr w:rsidR="00184596">
        <w:trPr>
          <w:cantSplit/>
          <w:jc w:val="center"/>
        </w:trPr>
        <w:tc>
          <w:tcPr>
            <w:tcW w:w="1134" w:type="dxa"/>
          </w:tcPr>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成本法</w:t>
            </w:r>
          </w:p>
        </w:tc>
        <w:tc>
          <w:tcPr>
            <w:tcW w:w="2410" w:type="dxa"/>
          </w:tcPr>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估价对象可假定为独立的开发建设项目进行重新开发建设的，宜选用成本法</w:t>
            </w:r>
            <w:r>
              <w:rPr>
                <w:rFonts w:ascii="Arial" w:eastAsia="华文细黑" w:hAnsi="Arial" w:cs="Arial" w:hint="eastAsia"/>
                <w:sz w:val="18"/>
                <w:szCs w:val="21"/>
              </w:rPr>
              <w:t>;</w:t>
            </w:r>
            <w:r>
              <w:rPr>
                <w:rFonts w:ascii="Arial" w:eastAsia="华文细黑" w:hAnsi="Arial" w:cs="Arial" w:hint="eastAsia"/>
                <w:sz w:val="18"/>
                <w:szCs w:val="21"/>
              </w:rPr>
              <w:t>当估价对象的同类房地产没有交易或交易很少，且估价对象或其同类房地产没有租金等经济收人时，应选用成本法。</w:t>
            </w:r>
          </w:p>
        </w:tc>
        <w:tc>
          <w:tcPr>
            <w:tcW w:w="5755" w:type="dxa"/>
          </w:tcPr>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适用物业：</w:t>
            </w:r>
          </w:p>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新近开发完成的房地产</w:t>
            </w:r>
            <w:r>
              <w:rPr>
                <w:rFonts w:ascii="Arial" w:eastAsia="华文细黑" w:hAnsi="Arial" w:cs="Arial" w:hint="eastAsia"/>
                <w:sz w:val="18"/>
                <w:szCs w:val="21"/>
              </w:rPr>
              <w:t>(</w:t>
            </w:r>
            <w:r>
              <w:rPr>
                <w:rFonts w:ascii="Arial" w:eastAsia="华文细黑" w:hAnsi="Arial" w:cs="Arial" w:hint="eastAsia"/>
                <w:sz w:val="18"/>
                <w:szCs w:val="21"/>
              </w:rPr>
              <w:t>简称新开发的房地产</w:t>
            </w:r>
            <w:r>
              <w:rPr>
                <w:rFonts w:ascii="Arial" w:eastAsia="华文细黑" w:hAnsi="Arial" w:cs="Arial" w:hint="eastAsia"/>
                <w:sz w:val="18"/>
                <w:szCs w:val="21"/>
              </w:rPr>
              <w:t>)</w:t>
            </w:r>
            <w:r>
              <w:rPr>
                <w:rFonts w:ascii="Arial" w:eastAsia="华文细黑" w:hAnsi="Arial" w:cs="Arial" w:hint="eastAsia"/>
                <w:sz w:val="18"/>
                <w:szCs w:val="21"/>
              </w:rPr>
              <w:t>、可以假设重新开发的现有房地产</w:t>
            </w:r>
            <w:r>
              <w:rPr>
                <w:rFonts w:ascii="Arial" w:eastAsia="华文细黑" w:hAnsi="Arial" w:cs="Arial" w:hint="eastAsia"/>
                <w:sz w:val="18"/>
                <w:szCs w:val="21"/>
              </w:rPr>
              <w:t>(</w:t>
            </w:r>
            <w:r>
              <w:rPr>
                <w:rFonts w:ascii="Arial" w:eastAsia="华文细黑" w:hAnsi="Arial" w:cs="Arial" w:hint="eastAsia"/>
                <w:sz w:val="18"/>
                <w:szCs w:val="21"/>
              </w:rPr>
              <w:t>简称旧的房地产</w:t>
            </w:r>
            <w:r>
              <w:rPr>
                <w:rFonts w:ascii="Arial" w:eastAsia="华文细黑" w:hAnsi="Arial" w:cs="Arial" w:hint="eastAsia"/>
                <w:sz w:val="18"/>
                <w:szCs w:val="21"/>
              </w:rPr>
              <w:t>)</w:t>
            </w:r>
            <w:r>
              <w:rPr>
                <w:rFonts w:ascii="Arial" w:eastAsia="华文细黑" w:hAnsi="Arial" w:cs="Arial" w:hint="eastAsia"/>
                <w:sz w:val="18"/>
                <w:szCs w:val="21"/>
              </w:rPr>
              <w:t>、正在开发的房地产</w:t>
            </w:r>
          </w:p>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w:t>
            </w:r>
            <w:r>
              <w:rPr>
                <w:rFonts w:ascii="Arial" w:eastAsia="华文细黑" w:hAnsi="Arial" w:cs="Arial" w:hint="eastAsia"/>
                <w:sz w:val="18"/>
                <w:szCs w:val="21"/>
              </w:rPr>
              <w:t>即在建工程</w:t>
            </w:r>
            <w:r>
              <w:rPr>
                <w:rFonts w:ascii="Arial" w:eastAsia="华文细黑" w:hAnsi="Arial" w:cs="Arial" w:hint="eastAsia"/>
                <w:sz w:val="18"/>
                <w:szCs w:val="21"/>
              </w:rPr>
              <w:t>)</w:t>
            </w:r>
            <w:r>
              <w:rPr>
                <w:rFonts w:ascii="Arial" w:eastAsia="华文细黑" w:hAnsi="Arial" w:cs="Arial" w:hint="eastAsia"/>
                <w:sz w:val="18"/>
                <w:szCs w:val="21"/>
              </w:rPr>
              <w:t>、计划开发的房地产</w:t>
            </w:r>
            <w:r>
              <w:rPr>
                <w:rFonts w:ascii="Arial" w:eastAsia="华文细黑" w:hAnsi="Arial" w:cs="Arial" w:hint="eastAsia"/>
                <w:sz w:val="18"/>
                <w:szCs w:val="21"/>
              </w:rPr>
              <w:t>(</w:t>
            </w:r>
            <w:r>
              <w:rPr>
                <w:rFonts w:ascii="Arial" w:eastAsia="华文细黑" w:hAnsi="Arial" w:cs="Arial" w:hint="eastAsia"/>
                <w:sz w:val="18"/>
                <w:szCs w:val="21"/>
              </w:rPr>
              <w:t>如期房</w:t>
            </w:r>
            <w:r>
              <w:rPr>
                <w:rFonts w:ascii="Arial" w:eastAsia="华文细黑" w:hAnsi="Arial" w:cs="Arial" w:hint="eastAsia"/>
                <w:sz w:val="18"/>
                <w:szCs w:val="21"/>
              </w:rPr>
              <w:t>)</w:t>
            </w:r>
            <w:r>
              <w:rPr>
                <w:rFonts w:ascii="Arial" w:eastAsia="华文细黑" w:hAnsi="Arial" w:cs="Arial" w:hint="eastAsia"/>
                <w:sz w:val="18"/>
                <w:szCs w:val="21"/>
              </w:rPr>
              <w:t>。</w:t>
            </w:r>
          </w:p>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很少发生交易而限制了比较法运用，又没有经济收入或没有潜在经济收入而限制了收益法运用的房地产，如：学校、医院、图书馆、体育场馆、公园、行政办公楼、军队营房等以公益、公用为目的的房地产，化工厂、钢铁厂、发电厂、油田、码头、机场之类有独特设计或只针对特定使用者的特殊需要而开发建设的房地产。</w:t>
            </w:r>
          </w:p>
        </w:tc>
      </w:tr>
      <w:tr w:rsidR="00184596">
        <w:trPr>
          <w:cantSplit/>
          <w:jc w:val="center"/>
        </w:trPr>
        <w:tc>
          <w:tcPr>
            <w:tcW w:w="1134" w:type="dxa"/>
          </w:tcPr>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lastRenderedPageBreak/>
              <w:t>假设开发法</w:t>
            </w:r>
          </w:p>
        </w:tc>
        <w:tc>
          <w:tcPr>
            <w:tcW w:w="2410" w:type="dxa"/>
          </w:tcPr>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估价对象具有开发或再开发潜力且开发完成后的价值可采用除成本法以外的方法测算的，应选用假设开发法。</w:t>
            </w:r>
          </w:p>
        </w:tc>
        <w:tc>
          <w:tcPr>
            <w:tcW w:w="5755" w:type="dxa"/>
          </w:tcPr>
          <w:p w:rsidR="00184596" w:rsidRDefault="00FD048A">
            <w:pPr>
              <w:pStyle w:val="11"/>
              <w:wordWrap w:val="0"/>
              <w:overflowPunct w:val="0"/>
              <w:autoSpaceDE w:val="0"/>
              <w:autoSpaceDN w:val="0"/>
              <w:spacing w:line="240" w:lineRule="exact"/>
              <w:jc w:val="both"/>
              <w:textAlignment w:val="auto"/>
              <w:rPr>
                <w:rFonts w:ascii="Arial" w:eastAsia="华文细黑" w:hAnsi="Arial" w:cs="Arial"/>
                <w:sz w:val="18"/>
                <w:szCs w:val="21"/>
              </w:rPr>
            </w:pPr>
            <w:r>
              <w:rPr>
                <w:rFonts w:ascii="Arial" w:eastAsia="华文细黑" w:hAnsi="Arial" w:cs="Arial" w:hint="eastAsia"/>
                <w:sz w:val="18"/>
                <w:szCs w:val="21"/>
              </w:rPr>
              <w:t>适用物业：可供开发的土地</w:t>
            </w:r>
            <w:r>
              <w:rPr>
                <w:rFonts w:ascii="Arial" w:eastAsia="华文细黑" w:hAnsi="Arial" w:cs="Arial" w:hint="eastAsia"/>
                <w:sz w:val="18"/>
                <w:szCs w:val="21"/>
              </w:rPr>
              <w:t>(</w:t>
            </w:r>
            <w:r>
              <w:rPr>
                <w:rFonts w:ascii="Arial" w:eastAsia="华文细黑" w:hAnsi="Arial" w:cs="Arial" w:hint="eastAsia"/>
                <w:sz w:val="18"/>
                <w:szCs w:val="21"/>
              </w:rPr>
              <w:t>包括生地、毛地、熟地，典型的是各种房地产开发用地</w:t>
            </w:r>
            <w:r>
              <w:rPr>
                <w:rFonts w:ascii="Arial" w:eastAsia="华文细黑" w:hAnsi="Arial" w:cs="Arial" w:hint="eastAsia"/>
                <w:sz w:val="18"/>
                <w:szCs w:val="21"/>
              </w:rPr>
              <w:t>)</w:t>
            </w:r>
            <w:r>
              <w:rPr>
                <w:rFonts w:ascii="Arial" w:eastAsia="华文细黑" w:hAnsi="Arial" w:cs="Arial" w:hint="eastAsia"/>
                <w:sz w:val="18"/>
                <w:szCs w:val="21"/>
              </w:rPr>
              <w:t>、在建工程</w:t>
            </w:r>
            <w:r>
              <w:rPr>
                <w:rFonts w:ascii="Arial" w:eastAsia="华文细黑" w:hAnsi="Arial" w:cs="Arial" w:hint="eastAsia"/>
                <w:sz w:val="18"/>
                <w:szCs w:val="21"/>
              </w:rPr>
              <w:t>(</w:t>
            </w:r>
            <w:r>
              <w:rPr>
                <w:rFonts w:ascii="Arial" w:eastAsia="华文细黑" w:hAnsi="Arial" w:cs="Arial" w:hint="eastAsia"/>
                <w:sz w:val="18"/>
                <w:szCs w:val="21"/>
              </w:rPr>
              <w:t>或称为房地产开发项目</w:t>
            </w:r>
            <w:r>
              <w:rPr>
                <w:rFonts w:ascii="Arial" w:eastAsia="华文细黑" w:hAnsi="Arial" w:cs="Arial" w:hint="eastAsia"/>
                <w:sz w:val="18"/>
                <w:szCs w:val="21"/>
              </w:rPr>
              <w:t>)</w:t>
            </w:r>
            <w:r>
              <w:rPr>
                <w:rFonts w:ascii="Arial" w:eastAsia="华文细黑" w:hAnsi="Arial" w:cs="Arial" w:hint="eastAsia"/>
                <w:sz w:val="18"/>
                <w:szCs w:val="21"/>
              </w:rPr>
              <w:t>、可重新开发、更新改造或改变用途的旧房</w:t>
            </w:r>
            <w:r>
              <w:rPr>
                <w:rFonts w:ascii="Arial" w:eastAsia="华文细黑" w:hAnsi="Arial" w:cs="Arial" w:hint="eastAsia"/>
                <w:sz w:val="18"/>
                <w:szCs w:val="21"/>
              </w:rPr>
              <w:t>(</w:t>
            </w:r>
            <w:r>
              <w:rPr>
                <w:rFonts w:ascii="Arial" w:eastAsia="华文细黑" w:hAnsi="Arial" w:cs="Arial" w:hint="eastAsia"/>
                <w:sz w:val="18"/>
                <w:szCs w:val="21"/>
              </w:rPr>
              <w:t>包括改建、扩建、重新装饰装修等。</w:t>
            </w:r>
          </w:p>
        </w:tc>
      </w:tr>
    </w:tbl>
    <w:p w:rsidR="00184596" w:rsidRDefault="00184596">
      <w:pPr>
        <w:pStyle w:val="11"/>
        <w:autoSpaceDE w:val="0"/>
        <w:autoSpaceDN w:val="0"/>
        <w:spacing w:line="240" w:lineRule="exact"/>
        <w:ind w:firstLineChars="200" w:firstLine="420"/>
        <w:jc w:val="both"/>
        <w:textAlignment w:val="bottom"/>
        <w:rPr>
          <w:rFonts w:ascii="Arial" w:hAnsi="Arial" w:cs="Arial"/>
          <w:color w:val="000000"/>
          <w:sz w:val="21"/>
          <w:szCs w:val="21"/>
        </w:rPr>
      </w:pPr>
    </w:p>
    <w:p w:rsidR="00184596" w:rsidRDefault="00FD048A">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sz w:val="21"/>
          <w:szCs w:val="21"/>
        </w:rPr>
        <w:t>评估专业人员根据估价对象的特点、实际情况以及估价目的</w:t>
      </w:r>
      <w:r>
        <w:rPr>
          <w:rFonts w:ascii="Arial" w:hAnsi="Arial" w:cs="Arial" w:hint="eastAsia"/>
          <w:sz w:val="21"/>
          <w:szCs w:val="21"/>
        </w:rPr>
        <w:t>，</w:t>
      </w:r>
      <w:r>
        <w:rPr>
          <w:rFonts w:ascii="Arial" w:hAnsi="Arial" w:cs="Arial"/>
          <w:sz w:val="21"/>
          <w:szCs w:val="21"/>
        </w:rPr>
        <w:t>对上述估价方法分析如下：</w:t>
      </w:r>
    </w:p>
    <w:p w:rsidR="00184596" w:rsidRDefault="00FD048A">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比较法：</w:t>
      </w:r>
    </w:p>
    <w:p w:rsidR="00184596" w:rsidRDefault="00FD048A">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估价对象为综合体项目中的商业用房，同类房地产数量较多，经常发生交易且有一定可比性的房地产，符合比较法的选用及应用条件。</w:t>
      </w:r>
    </w:p>
    <w:p w:rsidR="00184596" w:rsidRDefault="00FD048A">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收益法：</w:t>
      </w:r>
    </w:p>
    <w:p w:rsidR="00184596" w:rsidRDefault="00FD048A">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估价对象规划用途为商业，现状作为商业用房使用，根据评估专业人员对周边同类物业的调查，该类物业存在租赁市场，</w:t>
      </w:r>
      <w:proofErr w:type="gramStart"/>
      <w:r>
        <w:rPr>
          <w:rFonts w:ascii="Arial" w:hAnsi="Arial" w:cs="Arial" w:hint="eastAsia"/>
          <w:sz w:val="21"/>
          <w:szCs w:val="21"/>
        </w:rPr>
        <w:t>属可收益</w:t>
      </w:r>
      <w:proofErr w:type="gramEnd"/>
      <w:r>
        <w:rPr>
          <w:rFonts w:ascii="Arial" w:hAnsi="Arial" w:cs="Arial" w:hint="eastAsia"/>
          <w:sz w:val="21"/>
          <w:szCs w:val="21"/>
        </w:rPr>
        <w:t>物业，符合收益法的选用及应用条件，但因本次评估目的是为估价委托人了解估价对象房地产市场租金水平提供参考依据，故本次评估未选用收益法。</w:t>
      </w:r>
    </w:p>
    <w:p w:rsidR="00184596" w:rsidRDefault="00FD048A">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成本法：</w:t>
      </w:r>
    </w:p>
    <w:p w:rsidR="00184596" w:rsidRDefault="00FD048A">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估价对象为项目局部房地产，属于不可假定为独立的开发建设项目进行重新开发建设的类型，估价对象为已建成物业，且交易市场活跃，故本次评估未选用成本法。</w:t>
      </w:r>
    </w:p>
    <w:p w:rsidR="00184596" w:rsidRDefault="00FD048A">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假设开发法：</w:t>
      </w:r>
    </w:p>
    <w:p w:rsidR="00184596" w:rsidRDefault="00FD048A">
      <w:pPr>
        <w:pStyle w:val="11"/>
        <w:autoSpaceDE w:val="0"/>
        <w:autoSpaceDN w:val="0"/>
        <w:spacing w:line="480" w:lineRule="auto"/>
        <w:ind w:right="140" w:firstLineChars="200" w:firstLine="420"/>
        <w:jc w:val="both"/>
        <w:textAlignment w:val="bottom"/>
        <w:rPr>
          <w:rFonts w:ascii="Arial" w:hAnsi="Arial" w:cs="Arial"/>
          <w:sz w:val="21"/>
          <w:szCs w:val="28"/>
        </w:rPr>
      </w:pPr>
      <w:r>
        <w:rPr>
          <w:rFonts w:ascii="Arial" w:hAnsi="Arial" w:cs="Arial" w:hint="eastAsia"/>
          <w:sz w:val="21"/>
          <w:szCs w:val="28"/>
        </w:rPr>
        <w:t>估价对象为已建成物业，且处于正常运营状态，尚不具备开发或在开发潜力，故不符合假设开发法的选用及应用条件。</w:t>
      </w:r>
    </w:p>
    <w:p w:rsidR="00184596" w:rsidRDefault="00FD048A">
      <w:pPr>
        <w:pStyle w:val="11"/>
        <w:autoSpaceDE w:val="0"/>
        <w:autoSpaceDN w:val="0"/>
        <w:spacing w:line="480" w:lineRule="auto"/>
        <w:ind w:right="140" w:firstLineChars="200" w:firstLine="420"/>
        <w:jc w:val="both"/>
        <w:textAlignment w:val="bottom"/>
        <w:rPr>
          <w:rFonts w:ascii="Arial" w:hAnsi="Arial" w:cs="Arial"/>
          <w:sz w:val="21"/>
          <w:szCs w:val="28"/>
        </w:rPr>
      </w:pPr>
      <w:r>
        <w:rPr>
          <w:rFonts w:ascii="Arial" w:hAnsi="Arial" w:cs="Arial" w:hint="eastAsia"/>
          <w:sz w:val="21"/>
          <w:szCs w:val="28"/>
        </w:rPr>
        <w:t>最后，加总得出估价对象全部商业用房房地产市场租金水平</w:t>
      </w:r>
    </w:p>
    <w:p w:rsidR="00184596" w:rsidRDefault="00FD048A">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经上述分析，本次评估可选用的估价方法为比较法。</w:t>
      </w:r>
    </w:p>
    <w:p w:rsidR="00184596" w:rsidRDefault="00FD048A">
      <w:pPr>
        <w:pStyle w:val="1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rsidR="00184596" w:rsidRDefault="00FD048A">
      <w:pPr>
        <w:pStyle w:val="11"/>
        <w:autoSpaceDE w:val="0"/>
        <w:autoSpaceDN w:val="0"/>
        <w:spacing w:line="480" w:lineRule="auto"/>
        <w:ind w:right="6" w:firstLineChars="200" w:firstLine="420"/>
        <w:jc w:val="both"/>
        <w:textAlignment w:val="bottom"/>
        <w:rPr>
          <w:rFonts w:ascii="Arial" w:hAnsi="Arial" w:cs="Arial"/>
          <w:sz w:val="21"/>
          <w:szCs w:val="21"/>
        </w:rPr>
      </w:pPr>
      <w:r>
        <w:rPr>
          <w:rFonts w:ascii="Arial" w:hAnsi="Arial" w:cs="Arial"/>
          <w:sz w:val="21"/>
          <w:szCs w:val="21"/>
        </w:rPr>
        <w:t>1.</w:t>
      </w:r>
      <w:r>
        <w:rPr>
          <w:rFonts w:ascii="Arial" w:hAnsi="Arial" w:cs="Arial"/>
          <w:sz w:val="21"/>
          <w:szCs w:val="21"/>
        </w:rPr>
        <w:t>根据《房地产估价规范》</w:t>
      </w:r>
      <w:r>
        <w:rPr>
          <w:rFonts w:ascii="Arial" w:hAnsi="Arial" w:cs="Arial"/>
          <w:sz w:val="21"/>
          <w:szCs w:val="21"/>
        </w:rPr>
        <w:t>[GB/T 50291-2015]</w:t>
      </w:r>
      <w:r>
        <w:rPr>
          <w:rFonts w:ascii="Arial" w:hAnsi="Arial" w:cs="Arial"/>
          <w:sz w:val="21"/>
          <w:szCs w:val="21"/>
        </w:rPr>
        <w:t>的估价程序采用比较法求取估价对</w:t>
      </w:r>
      <w:r>
        <w:rPr>
          <w:rFonts w:ascii="Arial" w:hAnsi="Arial" w:cs="Arial" w:hint="eastAsia"/>
          <w:sz w:val="21"/>
          <w:szCs w:val="28"/>
        </w:rPr>
        <w:t>象</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sz w:val="21"/>
          <w:szCs w:val="28"/>
        </w:rPr>
        <w:t>号楼</w:t>
      </w:r>
      <w:r>
        <w:rPr>
          <w:rFonts w:ascii="Arial" w:hAnsi="Arial" w:cs="Arial" w:hint="eastAsia"/>
          <w:sz w:val="21"/>
          <w:szCs w:val="28"/>
        </w:rPr>
        <w:t>1</w:t>
      </w:r>
      <w:r>
        <w:rPr>
          <w:rFonts w:ascii="Arial" w:hAnsi="Arial" w:cs="Arial" w:hint="eastAsia"/>
          <w:sz w:val="21"/>
          <w:szCs w:val="28"/>
        </w:rPr>
        <w:t>层</w:t>
      </w:r>
      <w:r>
        <w:rPr>
          <w:rFonts w:ascii="Arial" w:hAnsi="Arial" w:cs="Arial" w:hint="eastAsia"/>
          <w:sz w:val="21"/>
          <w:szCs w:val="21"/>
        </w:rPr>
        <w:t>商业</w:t>
      </w:r>
      <w:r>
        <w:rPr>
          <w:rFonts w:ascii="Arial" w:hAnsi="Arial" w:cs="Arial"/>
          <w:sz w:val="21"/>
          <w:szCs w:val="21"/>
        </w:rPr>
        <w:t>用房的房地产市场价格。</w:t>
      </w:r>
    </w:p>
    <w:p w:rsidR="00184596" w:rsidRDefault="00FD048A">
      <w:pPr>
        <w:pStyle w:val="11"/>
        <w:autoSpaceDE w:val="0"/>
        <w:autoSpaceDN w:val="0"/>
        <w:spacing w:line="480" w:lineRule="auto"/>
        <w:ind w:right="6" w:firstLineChars="200" w:firstLine="420"/>
        <w:jc w:val="both"/>
        <w:textAlignment w:val="bottom"/>
        <w:rPr>
          <w:rFonts w:ascii="Arial" w:hAnsi="Arial" w:cs="Arial"/>
          <w:sz w:val="21"/>
          <w:szCs w:val="28"/>
        </w:rPr>
      </w:pPr>
      <w:r>
        <w:rPr>
          <w:rFonts w:ascii="Arial" w:hAnsi="Arial" w:hint="eastAsia"/>
          <w:kern w:val="2"/>
          <w:sz w:val="21"/>
        </w:rPr>
        <w:t>2.</w:t>
      </w:r>
      <w:r>
        <w:rPr>
          <w:rFonts w:ascii="Arial" w:hAnsi="Arial" w:hint="eastAsia"/>
          <w:kern w:val="2"/>
          <w:sz w:val="21"/>
        </w:rPr>
        <w:t>通过楼层、可视性、通达性、层高、使用率、平面布局等因素修正，</w:t>
      </w:r>
      <w:r>
        <w:rPr>
          <w:rFonts w:ascii="Arial" w:hAnsi="Arial" w:cs="Arial" w:hint="eastAsia"/>
          <w:sz w:val="21"/>
          <w:szCs w:val="28"/>
        </w:rPr>
        <w:t>求取估价对象各楼层商业</w:t>
      </w:r>
      <w:r>
        <w:rPr>
          <w:rFonts w:ascii="Arial" w:hAnsi="Arial" w:cs="Arial" w:hint="eastAsia"/>
          <w:sz w:val="21"/>
          <w:szCs w:val="28"/>
        </w:rPr>
        <w:lastRenderedPageBreak/>
        <w:t>用房房地产市场租金水平；</w:t>
      </w:r>
    </w:p>
    <w:p w:rsidR="00184596" w:rsidRDefault="00FD048A">
      <w:pPr>
        <w:pStyle w:val="11"/>
        <w:autoSpaceDE w:val="0"/>
        <w:autoSpaceDN w:val="0"/>
        <w:spacing w:line="480" w:lineRule="auto"/>
        <w:ind w:right="6" w:firstLineChars="200" w:firstLine="420"/>
        <w:jc w:val="both"/>
        <w:textAlignment w:val="bottom"/>
        <w:rPr>
          <w:rFonts w:ascii="Arial" w:hAnsi="Arial" w:cs="Arial"/>
          <w:sz w:val="21"/>
          <w:szCs w:val="21"/>
        </w:rPr>
      </w:pPr>
      <w:r>
        <w:rPr>
          <w:rFonts w:ascii="Arial" w:hAnsi="Arial" w:cs="Arial" w:hint="eastAsia"/>
          <w:color w:val="000000"/>
          <w:kern w:val="2"/>
          <w:sz w:val="21"/>
          <w:szCs w:val="21"/>
        </w:rPr>
        <w:t>本报告最终估价结果采用价税合计的形式。其中：成本法</w:t>
      </w:r>
      <w:r>
        <w:rPr>
          <w:rFonts w:ascii="Arial" w:hAnsi="Arial" w:cs="Arial" w:hint="eastAsia"/>
          <w:color w:val="000000"/>
          <w:kern w:val="2"/>
          <w:sz w:val="21"/>
          <w:szCs w:val="21"/>
        </w:rPr>
        <w:t>/</w:t>
      </w:r>
      <w:r>
        <w:rPr>
          <w:rFonts w:ascii="Arial" w:hAnsi="Arial" w:cs="Arial" w:hint="eastAsia"/>
          <w:color w:val="000000"/>
          <w:kern w:val="2"/>
          <w:sz w:val="21"/>
          <w:szCs w:val="21"/>
        </w:rPr>
        <w:t>收益法</w:t>
      </w:r>
      <w:r>
        <w:rPr>
          <w:rFonts w:ascii="Arial" w:hAnsi="Arial" w:cs="Arial" w:hint="eastAsia"/>
          <w:color w:val="000000"/>
          <w:kern w:val="2"/>
          <w:sz w:val="21"/>
          <w:szCs w:val="21"/>
        </w:rPr>
        <w:t>/</w:t>
      </w:r>
      <w:r>
        <w:rPr>
          <w:rFonts w:ascii="Arial" w:hAnsi="Arial" w:cs="Arial" w:hint="eastAsia"/>
          <w:color w:val="000000"/>
          <w:kern w:val="2"/>
          <w:sz w:val="21"/>
          <w:szCs w:val="21"/>
        </w:rPr>
        <w:t>假设开发法的直接测算结果均不含增值税，需在其直接结果之上加计销项税额，转化为价税合计结果。对于销项税率的计取，基于估价的谨慎性原则以及对估价对象作为经营性物业其典型市场参与者为一般纳税人的判断，统一采用增值税一般纳税人的计税口径，即适用税率为</w:t>
      </w:r>
      <w:r>
        <w:rPr>
          <w:rFonts w:ascii="Arial" w:hAnsi="Arial" w:cs="Arial" w:hint="eastAsia"/>
          <w:color w:val="000000"/>
          <w:kern w:val="2"/>
          <w:sz w:val="21"/>
          <w:szCs w:val="21"/>
        </w:rPr>
        <w:t>9%</w:t>
      </w:r>
      <w:r>
        <w:rPr>
          <w:rFonts w:ascii="Arial" w:hAnsi="Arial" w:cs="Arial" w:hint="eastAsia"/>
          <w:color w:val="000000"/>
          <w:kern w:val="2"/>
          <w:sz w:val="21"/>
          <w:szCs w:val="21"/>
        </w:rPr>
        <w:t>计算。比较法因选取的可比实例成交价格直接反映了市场价税合计总价，因此该方法直接推导出的比较价值即为价税合计的结果。</w:t>
      </w:r>
    </w:p>
    <w:p w:rsidR="00184596" w:rsidRDefault="00FD048A">
      <w:pPr>
        <w:pStyle w:val="2"/>
        <w:numPr>
          <w:ilvl w:val="0"/>
          <w:numId w:val="0"/>
        </w:numPr>
        <w:spacing w:line="480" w:lineRule="auto"/>
        <w:ind w:left="358" w:hangingChars="170" w:hanging="358"/>
        <w:jc w:val="both"/>
        <w:rPr>
          <w:rFonts w:eastAsia="宋体"/>
          <w:kern w:val="2"/>
          <w:sz w:val="21"/>
          <w:szCs w:val="21"/>
        </w:rPr>
      </w:pPr>
      <w:bookmarkStart w:id="60" w:name="_Toc477252462"/>
      <w:r>
        <w:rPr>
          <w:rFonts w:eastAsia="宋体"/>
          <w:kern w:val="2"/>
          <w:sz w:val="21"/>
          <w:szCs w:val="21"/>
        </w:rPr>
        <w:t>五、估价测算过程</w:t>
      </w:r>
      <w:bookmarkEnd w:id="60"/>
      <w:r>
        <w:rPr>
          <w:rFonts w:eastAsia="宋体" w:hint="eastAsia"/>
          <w:kern w:val="2"/>
          <w:sz w:val="21"/>
          <w:szCs w:val="21"/>
        </w:rPr>
        <w:t xml:space="preserve">  </w:t>
      </w:r>
    </w:p>
    <w:p w:rsidR="00184596" w:rsidRDefault="00FD048A">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估价对象面积</w:t>
      </w:r>
      <w:r>
        <w:rPr>
          <w:rFonts w:ascii="Arial" w:hAnsi="Arial" w:cs="Arial" w:hint="eastAsia"/>
          <w:sz w:val="21"/>
          <w:szCs w:val="21"/>
        </w:rPr>
        <w:t>指标</w:t>
      </w:r>
    </w:p>
    <w:p w:rsidR="00184596" w:rsidRDefault="00FD048A">
      <w:pPr>
        <w:pStyle w:val="11"/>
        <w:autoSpaceDE w:val="0"/>
        <w:autoSpaceDN w:val="0"/>
        <w:spacing w:line="480" w:lineRule="auto"/>
        <w:ind w:firstLineChars="200" w:firstLine="420"/>
        <w:jc w:val="both"/>
        <w:textAlignment w:val="bottom"/>
        <w:rPr>
          <w:rFonts w:ascii="Arial" w:hAnsi="Arial"/>
          <w:bCs/>
          <w:sz w:val="21"/>
        </w:rPr>
      </w:pPr>
      <w:r>
        <w:rPr>
          <w:rFonts w:ascii="Arial" w:hAnsi="Arial" w:hint="eastAsia"/>
          <w:bCs/>
          <w:sz w:val="21"/>
        </w:rPr>
        <w:t>根据《不动产权证书》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hint="eastAsia"/>
          <w:bCs/>
          <w:sz w:val="21"/>
        </w:rPr>
        <w:t>、《房屋面积测算技术报告书（商品房类使用）》及《估价委托书》，估价对象总建筑面积为</w:t>
      </w:r>
      <w:r>
        <w:rPr>
          <w:rFonts w:ascii="Arial" w:hAnsi="Arial" w:hint="eastAsia"/>
          <w:bCs/>
          <w:sz w:val="21"/>
        </w:rPr>
        <w:t>24871.67</w:t>
      </w:r>
      <w:r>
        <w:rPr>
          <w:rFonts w:ascii="Arial" w:hAnsi="Arial" w:hint="eastAsia"/>
          <w:bCs/>
          <w:sz w:val="21"/>
        </w:rPr>
        <w:t>平方米，套内建筑面积为</w:t>
      </w:r>
      <w:r>
        <w:rPr>
          <w:rFonts w:ascii="Arial" w:hAnsi="Arial" w:hint="eastAsia"/>
          <w:bCs/>
          <w:sz w:val="21"/>
        </w:rPr>
        <w:t>17190.47</w:t>
      </w:r>
      <w:r>
        <w:rPr>
          <w:rFonts w:ascii="Arial" w:hAnsi="Arial" w:hint="eastAsia"/>
          <w:bCs/>
          <w:sz w:val="21"/>
        </w:rPr>
        <w:t>平方米</w:t>
      </w:r>
      <w:r>
        <w:rPr>
          <w:rFonts w:ascii="Arial" w:hAnsi="Arial" w:cs="Arial"/>
          <w:sz w:val="21"/>
          <w:szCs w:val="21"/>
        </w:rPr>
        <w:t>，</w:t>
      </w:r>
      <w:r>
        <w:rPr>
          <w:rFonts w:ascii="Arial" w:hAnsi="Arial" w:hint="eastAsia"/>
          <w:bCs/>
          <w:sz w:val="21"/>
        </w:rPr>
        <w:t>详见下表：</w:t>
      </w:r>
    </w:p>
    <w:tbl>
      <w:tblPr>
        <w:tblW w:w="4760" w:type="pct"/>
        <w:jc w:val="center"/>
        <w:tblLayout w:type="fixed"/>
        <w:tblLook w:val="04A0" w:firstRow="1" w:lastRow="0" w:firstColumn="1" w:lastColumn="0" w:noHBand="0" w:noVBand="1"/>
      </w:tblPr>
      <w:tblGrid>
        <w:gridCol w:w="524"/>
        <w:gridCol w:w="970"/>
        <w:gridCol w:w="580"/>
        <w:gridCol w:w="600"/>
        <w:gridCol w:w="1134"/>
        <w:gridCol w:w="1228"/>
        <w:gridCol w:w="1701"/>
        <w:gridCol w:w="543"/>
        <w:gridCol w:w="732"/>
        <w:gridCol w:w="1045"/>
      </w:tblGrid>
      <w:tr w:rsidR="00184596">
        <w:trPr>
          <w:trHeight w:val="20"/>
          <w:tblHeader/>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地块</w:t>
            </w:r>
          </w:p>
        </w:tc>
        <w:tc>
          <w:tcPr>
            <w:tcW w:w="535"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登记/测绘坐落</w:t>
            </w:r>
          </w:p>
        </w:tc>
        <w:tc>
          <w:tcPr>
            <w:tcW w:w="320"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序号</w:t>
            </w:r>
          </w:p>
        </w:tc>
        <w:tc>
          <w:tcPr>
            <w:tcW w:w="330"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楼号/地块</w:t>
            </w:r>
          </w:p>
        </w:tc>
        <w:tc>
          <w:tcPr>
            <w:tcW w:w="625"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部位及房号</w:t>
            </w:r>
          </w:p>
        </w:tc>
        <w:tc>
          <w:tcPr>
            <w:tcW w:w="677"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建筑面积（㎡）</w:t>
            </w:r>
          </w:p>
        </w:tc>
        <w:tc>
          <w:tcPr>
            <w:tcW w:w="938"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套内建筑面积（㎡）</w:t>
            </w:r>
          </w:p>
        </w:tc>
        <w:tc>
          <w:tcPr>
            <w:tcW w:w="300"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用途</w:t>
            </w:r>
          </w:p>
        </w:tc>
        <w:tc>
          <w:tcPr>
            <w:tcW w:w="404"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地上/地下</w:t>
            </w:r>
          </w:p>
        </w:tc>
        <w:tc>
          <w:tcPr>
            <w:tcW w:w="577" w:type="pct"/>
            <w:tcBorders>
              <w:top w:val="single" w:sz="4" w:space="0" w:color="auto"/>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是否取得不动产权证书</w:t>
            </w:r>
          </w:p>
        </w:tc>
      </w:tr>
      <w:tr w:rsidR="00184596">
        <w:trPr>
          <w:trHeight w:val="20"/>
          <w:jc w:val="center"/>
        </w:trPr>
        <w:tc>
          <w:tcPr>
            <w:tcW w:w="289" w:type="pct"/>
            <w:vMerge w:val="restart"/>
            <w:tcBorders>
              <w:top w:val="nil"/>
              <w:left w:val="single" w:sz="4" w:space="0" w:color="auto"/>
              <w:right w:val="single" w:sz="4" w:space="0" w:color="auto"/>
            </w:tcBorders>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042地块</w:t>
            </w:r>
          </w:p>
        </w:tc>
        <w:tc>
          <w:tcPr>
            <w:tcW w:w="535" w:type="pct"/>
            <w:vMerge w:val="restart"/>
            <w:tcBorders>
              <w:top w:val="nil"/>
              <w:left w:val="nil"/>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房山区阜盛西街11号院3号楼</w:t>
            </w: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101</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647.17</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517.82</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102</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645.08</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516.15</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3</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103</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645.10</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516.16</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4</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104</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654.08</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523.35</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5</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201</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882.82</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648.1</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202</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1063.95</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781.07</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7</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3</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203</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749.63</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550.32</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bottom w:val="single" w:sz="4" w:space="0" w:color="auto"/>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651" w:type="pct"/>
            <w:gridSpan w:val="2"/>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小计</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5287.83</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4052.97</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val="restart"/>
            <w:tcBorders>
              <w:top w:val="nil"/>
              <w:left w:val="nil"/>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房山区阜盛西街11号院6号楼</w:t>
            </w: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8</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-101</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969.55</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577.33</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9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9</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-102</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1449.79</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863.29</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10</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-103</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1041.56</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620.21</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11</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-104</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883.94</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526.35</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12</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-105</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863.40</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514.12</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9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13</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-106</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903.32</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537.89</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14</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-107</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892.55</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531.48</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15</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-108</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883.60</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526.15</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16</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6</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-109</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934.77</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556.62</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是</w:t>
            </w:r>
          </w:p>
        </w:tc>
      </w:tr>
      <w:tr w:rsidR="00184596">
        <w:trPr>
          <w:trHeight w:val="266"/>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bottom w:val="single" w:sz="4" w:space="0" w:color="auto"/>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651" w:type="pct"/>
            <w:gridSpan w:val="2"/>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小计</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8822.48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5253.44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r>
      <w:tr w:rsidR="00184596">
        <w:trPr>
          <w:trHeight w:val="20"/>
          <w:jc w:val="center"/>
        </w:trPr>
        <w:tc>
          <w:tcPr>
            <w:tcW w:w="1475" w:type="pct"/>
            <w:gridSpan w:val="4"/>
            <w:tcBorders>
              <w:top w:val="nil"/>
              <w:left w:val="single" w:sz="4" w:space="0" w:color="auto"/>
              <w:bottom w:val="single" w:sz="4" w:space="0" w:color="000000"/>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合计</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14110.31</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9306.41</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r>
      <w:tr w:rsidR="00184596">
        <w:trPr>
          <w:trHeight w:val="20"/>
          <w:jc w:val="center"/>
        </w:trPr>
        <w:tc>
          <w:tcPr>
            <w:tcW w:w="289" w:type="pct"/>
            <w:vMerge w:val="restart"/>
            <w:tcBorders>
              <w:top w:val="nil"/>
              <w:left w:val="single" w:sz="4" w:space="0" w:color="auto"/>
              <w:bottom w:val="single" w:sz="4" w:space="0" w:color="000000"/>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044地块</w:t>
            </w:r>
          </w:p>
        </w:tc>
        <w:tc>
          <w:tcPr>
            <w:tcW w:w="535" w:type="pct"/>
            <w:vMerge w:val="restart"/>
            <w:tcBorders>
              <w:top w:val="nil"/>
              <w:left w:val="nil"/>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房山区长阳镇FS00-LX1</w:t>
            </w:r>
            <w:r>
              <w:rPr>
                <w:rFonts w:ascii="Arial Unicode MS" w:eastAsia="Arial Unicode MS" w:hAnsi="Arial Unicode MS" w:cs="Arial Unicode MS" w:hint="eastAsia"/>
                <w:color w:val="000000"/>
                <w:sz w:val="16"/>
                <w:szCs w:val="16"/>
              </w:rPr>
              <w:lastRenderedPageBreak/>
              <w:t>0-0044地块6#商业楼</w:t>
            </w: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lastRenderedPageBreak/>
              <w:t>17</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101</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867.37</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734.86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否</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18</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102</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771.32</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653.48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否</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19</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103</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746.79</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632.70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否</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20</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201</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762.37</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645.90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否</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21</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202</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762.21</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645.76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否</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22</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203</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875.03</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741.35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地上</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否</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bottom w:val="single" w:sz="4" w:space="0" w:color="auto"/>
              <w:right w:val="single" w:sz="4" w:space="0" w:color="auto"/>
            </w:tcBorders>
            <w:shd w:val="clear" w:color="000000" w:fill="FFFFFF"/>
            <w:noWrap/>
            <w:vAlign w:val="center"/>
          </w:tcPr>
          <w:p w:rsidR="00184596" w:rsidRDefault="00184596">
            <w:pPr>
              <w:widowControl/>
              <w:adjustRightInd/>
              <w:spacing w:line="240" w:lineRule="auto"/>
              <w:jc w:val="center"/>
              <w:textAlignment w:val="auto"/>
              <w:rPr>
                <w:rFonts w:ascii="Arial Unicode MS" w:eastAsia="Arial Unicode MS" w:hAnsi="Arial Unicode MS" w:cs="Arial Unicode MS"/>
                <w:color w:val="000000"/>
                <w:sz w:val="16"/>
                <w:szCs w:val="16"/>
              </w:rPr>
            </w:pPr>
          </w:p>
        </w:tc>
        <w:tc>
          <w:tcPr>
            <w:tcW w:w="651" w:type="pct"/>
            <w:gridSpan w:val="2"/>
            <w:tcBorders>
              <w:top w:val="nil"/>
              <w:left w:val="nil"/>
              <w:bottom w:val="single" w:sz="4" w:space="0" w:color="auto"/>
              <w:right w:val="nil"/>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小计</w:t>
            </w:r>
          </w:p>
        </w:tc>
        <w:tc>
          <w:tcPr>
            <w:tcW w:w="625" w:type="pct"/>
            <w:tcBorders>
              <w:top w:val="nil"/>
              <w:left w:val="single" w:sz="4" w:space="0" w:color="auto"/>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4785.09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4054.05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val="restart"/>
            <w:tcBorders>
              <w:top w:val="nil"/>
              <w:left w:val="nil"/>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房山区长于大街28号院100幢</w:t>
            </w: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23</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-102</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 850.52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545.07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24</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-103</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 882.99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565.88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25</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-104</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 815.94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522.91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26</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-105</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 885.53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567.51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27</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-106</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 802.28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514.16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28</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-107</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 841.70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539.42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sz w:val="16"/>
                <w:szCs w:val="16"/>
              </w:rPr>
              <w:t>是</w:t>
            </w:r>
          </w:p>
        </w:tc>
      </w:tr>
      <w:tr w:rsidR="00184596">
        <w:trPr>
          <w:trHeight w:val="20"/>
          <w:jc w:val="center"/>
        </w:trPr>
        <w:tc>
          <w:tcPr>
            <w:tcW w:w="289" w:type="pct"/>
            <w:vMerge/>
            <w:tcBorders>
              <w:top w:val="nil"/>
              <w:left w:val="single" w:sz="4" w:space="0" w:color="auto"/>
              <w:bottom w:val="single" w:sz="4" w:space="0" w:color="000000"/>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right w:val="single" w:sz="4" w:space="0" w:color="auto"/>
            </w:tcBorders>
            <w:shd w:val="clear" w:color="000000" w:fill="FFFFFF"/>
            <w:noWrap/>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32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29</w:t>
            </w:r>
          </w:p>
        </w:tc>
        <w:tc>
          <w:tcPr>
            <w:tcW w:w="330" w:type="pct"/>
            <w:tcBorders>
              <w:top w:val="nil"/>
              <w:left w:val="nil"/>
              <w:bottom w:val="single" w:sz="4" w:space="0" w:color="auto"/>
              <w:right w:val="single" w:sz="4" w:space="0" w:color="auto"/>
            </w:tcBorders>
            <w:shd w:val="clear" w:color="000000" w:fill="FFFFFF"/>
            <w:noWrap/>
            <w:vAlign w:val="bottom"/>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-108</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 897.31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575.06 </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商业</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地下</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sz w:val="16"/>
                <w:szCs w:val="16"/>
              </w:rPr>
              <w:t>是</w:t>
            </w:r>
          </w:p>
        </w:tc>
      </w:tr>
      <w:tr w:rsidR="00184596">
        <w:trPr>
          <w:trHeight w:val="182"/>
          <w:jc w:val="center"/>
        </w:trPr>
        <w:tc>
          <w:tcPr>
            <w:tcW w:w="289" w:type="pct"/>
            <w:vMerge/>
            <w:tcBorders>
              <w:top w:val="nil"/>
              <w:left w:val="single" w:sz="4" w:space="0" w:color="auto"/>
              <w:bottom w:val="single" w:sz="4" w:space="0" w:color="auto"/>
              <w:right w:val="single" w:sz="4" w:space="0" w:color="auto"/>
            </w:tcBorders>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535" w:type="pct"/>
            <w:vMerge/>
            <w:tcBorders>
              <w:left w:val="nil"/>
              <w:bottom w:val="single" w:sz="4" w:space="0" w:color="auto"/>
              <w:right w:val="single" w:sz="4" w:space="0" w:color="auto"/>
            </w:tcBorders>
            <w:shd w:val="clear" w:color="000000" w:fill="FFFFFF"/>
            <w:noWrap/>
            <w:vAlign w:val="center"/>
          </w:tcPr>
          <w:p w:rsidR="00184596" w:rsidRDefault="00184596">
            <w:pPr>
              <w:widowControl/>
              <w:adjustRightInd/>
              <w:spacing w:line="240" w:lineRule="auto"/>
              <w:textAlignment w:val="auto"/>
              <w:rPr>
                <w:rFonts w:ascii="Arial Unicode MS" w:eastAsia="Arial Unicode MS" w:hAnsi="Arial Unicode MS" w:cs="Arial Unicode MS"/>
                <w:color w:val="000000"/>
                <w:sz w:val="16"/>
                <w:szCs w:val="16"/>
              </w:rPr>
            </w:pPr>
          </w:p>
        </w:tc>
        <w:tc>
          <w:tcPr>
            <w:tcW w:w="651" w:type="pct"/>
            <w:gridSpan w:val="2"/>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小计</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5976.27</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3830.01</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r>
      <w:tr w:rsidR="00184596">
        <w:trPr>
          <w:trHeight w:val="20"/>
          <w:jc w:val="center"/>
        </w:trPr>
        <w:tc>
          <w:tcPr>
            <w:tcW w:w="1475" w:type="pct"/>
            <w:gridSpan w:val="4"/>
            <w:tcBorders>
              <w:top w:val="nil"/>
              <w:left w:val="single" w:sz="4" w:space="0" w:color="auto"/>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合计</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10761.36</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7884.06</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r>
      <w:tr w:rsidR="00184596">
        <w:trPr>
          <w:trHeight w:val="20"/>
          <w:jc w:val="center"/>
        </w:trPr>
        <w:tc>
          <w:tcPr>
            <w:tcW w:w="1475" w:type="pct"/>
            <w:gridSpan w:val="4"/>
            <w:tcBorders>
              <w:top w:val="nil"/>
              <w:left w:val="single" w:sz="4" w:space="0" w:color="auto"/>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总计</w:t>
            </w:r>
          </w:p>
        </w:tc>
        <w:tc>
          <w:tcPr>
            <w:tcW w:w="625"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6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 xml:space="preserve">24871.67 </w:t>
            </w:r>
          </w:p>
        </w:tc>
        <w:tc>
          <w:tcPr>
            <w:tcW w:w="938"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17190.47</w:t>
            </w:r>
          </w:p>
        </w:tc>
        <w:tc>
          <w:tcPr>
            <w:tcW w:w="300"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404"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c>
          <w:tcPr>
            <w:tcW w:w="577" w:type="pct"/>
            <w:tcBorders>
              <w:top w:val="nil"/>
              <w:left w:val="nil"/>
              <w:bottom w:val="single" w:sz="4" w:space="0" w:color="auto"/>
              <w:right w:val="single" w:sz="4" w:space="0" w:color="auto"/>
            </w:tcBorders>
            <w:shd w:val="clear" w:color="000000" w:fill="FFFFFF"/>
            <w:noWrap/>
            <w:vAlign w:val="center"/>
          </w:tcPr>
          <w:p w:rsidR="00184596" w:rsidRDefault="00FD048A">
            <w:pPr>
              <w:widowControl/>
              <w:adjustRightInd/>
              <w:spacing w:line="240" w:lineRule="auto"/>
              <w:jc w:val="center"/>
              <w:textAlignment w:val="auto"/>
              <w:rPr>
                <w:rFonts w:ascii="Arial Unicode MS" w:eastAsia="Arial Unicode MS" w:hAnsi="Arial Unicode MS" w:cs="Arial Unicode MS"/>
                <w:color w:val="000000"/>
                <w:sz w:val="16"/>
                <w:szCs w:val="16"/>
              </w:rPr>
            </w:pPr>
            <w:r>
              <w:rPr>
                <w:rFonts w:ascii="Arial Unicode MS" w:eastAsia="Arial Unicode MS" w:hAnsi="Arial Unicode MS" w:cs="Arial Unicode MS" w:hint="eastAsia"/>
                <w:color w:val="000000"/>
                <w:sz w:val="16"/>
                <w:szCs w:val="16"/>
              </w:rPr>
              <w:t>-</w:t>
            </w:r>
          </w:p>
        </w:tc>
      </w:tr>
    </w:tbl>
    <w:p w:rsidR="00184596" w:rsidRDefault="00FD048A">
      <w:pPr>
        <w:pStyle w:val="11"/>
        <w:autoSpaceDE w:val="0"/>
        <w:autoSpaceDN w:val="0"/>
        <w:spacing w:line="480" w:lineRule="auto"/>
        <w:ind w:right="140"/>
        <w:jc w:val="both"/>
        <w:textAlignment w:val="bottom"/>
        <w:rPr>
          <w:rFonts w:ascii="Arial" w:hAnsi="Arial" w:cs="Arial"/>
          <w:b/>
          <w:sz w:val="21"/>
          <w:szCs w:val="21"/>
        </w:rPr>
      </w:pPr>
      <w:r>
        <w:rPr>
          <w:rFonts w:ascii="Arial" w:hAnsi="Arial" w:cs="Arial" w:hint="eastAsia"/>
          <w:b/>
          <w:sz w:val="21"/>
          <w:szCs w:val="21"/>
        </w:rPr>
        <w:t>（一）比较法</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8"/>
        </w:rPr>
        <w:t>本次评估选取估价对象中房山区阜盛西街</w:t>
      </w:r>
      <w:r>
        <w:rPr>
          <w:rFonts w:ascii="Arial" w:hAnsi="Arial" w:cs="Arial" w:hint="eastAsia"/>
          <w:sz w:val="21"/>
          <w:szCs w:val="28"/>
        </w:rPr>
        <w:t>11</w:t>
      </w:r>
      <w:r>
        <w:rPr>
          <w:rFonts w:ascii="Arial" w:hAnsi="Arial" w:cs="Arial" w:hint="eastAsia"/>
          <w:sz w:val="21"/>
          <w:szCs w:val="28"/>
        </w:rPr>
        <w:t>号院</w:t>
      </w:r>
      <w:r>
        <w:rPr>
          <w:rFonts w:ascii="Arial" w:hAnsi="Arial" w:cs="Arial" w:hint="eastAsia"/>
          <w:sz w:val="21"/>
          <w:szCs w:val="28"/>
        </w:rPr>
        <w:t>3</w:t>
      </w:r>
      <w:r>
        <w:rPr>
          <w:rFonts w:ascii="Arial" w:hAnsi="Arial" w:cs="Arial" w:hint="eastAsia"/>
          <w:sz w:val="21"/>
          <w:szCs w:val="28"/>
        </w:rPr>
        <w:t>号楼</w:t>
      </w:r>
      <w:r>
        <w:rPr>
          <w:rFonts w:ascii="Arial" w:hAnsi="Arial" w:cs="Arial" w:hint="eastAsia"/>
          <w:sz w:val="21"/>
          <w:szCs w:val="28"/>
        </w:rPr>
        <w:t>101</w:t>
      </w:r>
      <w:r>
        <w:rPr>
          <w:rFonts w:ascii="Arial" w:hAnsi="Arial" w:cs="Arial" w:hint="eastAsia"/>
          <w:sz w:val="21"/>
          <w:szCs w:val="28"/>
        </w:rPr>
        <w:t>号商业用房作为标准房，以其为标准求取估价对象</w:t>
      </w:r>
      <w:r>
        <w:rPr>
          <w:rFonts w:ascii="Arial" w:hAnsi="Arial" w:cs="Arial" w:hint="eastAsia"/>
          <w:sz w:val="21"/>
          <w:szCs w:val="28"/>
        </w:rPr>
        <w:t>1</w:t>
      </w:r>
      <w:r>
        <w:rPr>
          <w:rFonts w:ascii="Arial" w:hAnsi="Arial" w:cs="Arial" w:hint="eastAsia"/>
          <w:sz w:val="21"/>
          <w:szCs w:val="28"/>
        </w:rPr>
        <w:t>层商业用房的房地产市场租金水平。</w:t>
      </w:r>
      <w:r>
        <w:rPr>
          <w:rFonts w:ascii="Arial" w:hAnsi="Arial" w:cs="Arial" w:hint="eastAsia"/>
          <w:bCs/>
          <w:sz w:val="21"/>
          <w:szCs w:val="21"/>
        </w:rPr>
        <w:t>通过房地产交易平台等渠道，收集估价对象所在区域同类物业的交易案例，采用房地产交易中的替代原则，筛选出可比案例，统一价格内涵、建立比较基础，而后分别进行交易情况、市场状况、房地产状况</w:t>
      </w:r>
      <w:r>
        <w:rPr>
          <w:rFonts w:ascii="Arial" w:hAnsi="Arial" w:cs="Arial" w:hint="eastAsia"/>
          <w:sz w:val="21"/>
          <w:szCs w:val="21"/>
        </w:rPr>
        <w:t>的修正和调整，计算比较价值。</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搜集交易实例</w:t>
      </w:r>
      <w:r>
        <w:rPr>
          <w:rFonts w:ascii="Arial" w:hAnsi="Arial" w:cs="Arial" w:hint="eastAsia"/>
          <w:sz w:val="21"/>
          <w:szCs w:val="21"/>
        </w:rPr>
        <w:t xml:space="preserve"> </w:t>
      </w:r>
    </w:p>
    <w:p w:rsidR="00184596" w:rsidRDefault="00FD048A" w:rsidP="00FD048A">
      <w:pPr>
        <w:spacing w:line="480" w:lineRule="auto"/>
        <w:ind w:firstLineChars="196" w:firstLine="412"/>
        <w:jc w:val="both"/>
        <w:rPr>
          <w:rFonts w:ascii="Arial" w:hAnsi="Arial" w:cs="Arial"/>
          <w:sz w:val="21"/>
          <w:szCs w:val="28"/>
        </w:rPr>
      </w:pPr>
      <w:r>
        <w:rPr>
          <w:rFonts w:ascii="Arial" w:hAnsi="Arial" w:cs="Arial" w:hint="eastAsia"/>
          <w:sz w:val="21"/>
          <w:szCs w:val="21"/>
        </w:rPr>
        <w:t>评估专业人员通过对估价对象周边房地产经纪机构的走访、</w:t>
      </w:r>
      <w:proofErr w:type="gramStart"/>
      <w:r>
        <w:rPr>
          <w:rFonts w:ascii="Arial" w:hAnsi="Arial" w:cs="Arial" w:hint="eastAsia"/>
          <w:sz w:val="21"/>
          <w:szCs w:val="21"/>
        </w:rPr>
        <w:t>现场市</w:t>
      </w:r>
      <w:proofErr w:type="gramEnd"/>
      <w:r>
        <w:rPr>
          <w:rFonts w:ascii="Arial" w:hAnsi="Arial" w:cs="Arial" w:hint="eastAsia"/>
          <w:sz w:val="21"/>
          <w:szCs w:val="21"/>
        </w:rPr>
        <w:t>调以及对网络挂牌案例进行电</w:t>
      </w:r>
      <w:r>
        <w:rPr>
          <w:rFonts w:ascii="Arial" w:hAnsi="Arial" w:cs="Arial" w:hint="eastAsia"/>
          <w:sz w:val="21"/>
          <w:szCs w:val="28"/>
        </w:rPr>
        <w:t>话核实，选择下列</w:t>
      </w:r>
      <w:r>
        <w:rPr>
          <w:rFonts w:ascii="Arial" w:hAnsi="Arial" w:cs="Arial" w:hint="eastAsia"/>
          <w:sz w:val="21"/>
          <w:szCs w:val="28"/>
        </w:rPr>
        <w:t>A</w:t>
      </w:r>
      <w:r>
        <w:rPr>
          <w:rFonts w:ascii="Arial" w:hAnsi="Arial" w:cs="Arial" w:hint="eastAsia"/>
          <w:sz w:val="21"/>
          <w:szCs w:val="28"/>
        </w:rPr>
        <w:t>、</w:t>
      </w:r>
      <w:r>
        <w:rPr>
          <w:rFonts w:ascii="Arial" w:hAnsi="Arial" w:cs="Arial" w:hint="eastAsia"/>
          <w:sz w:val="21"/>
          <w:szCs w:val="28"/>
        </w:rPr>
        <w:t>B</w:t>
      </w:r>
      <w:r>
        <w:rPr>
          <w:rFonts w:ascii="Arial" w:hAnsi="Arial" w:cs="Arial" w:hint="eastAsia"/>
          <w:sz w:val="21"/>
          <w:szCs w:val="28"/>
        </w:rPr>
        <w:t>、</w:t>
      </w:r>
      <w:r>
        <w:rPr>
          <w:rFonts w:ascii="Arial" w:hAnsi="Arial" w:cs="Arial" w:hint="eastAsia"/>
          <w:sz w:val="21"/>
          <w:szCs w:val="28"/>
        </w:rPr>
        <w:t>C</w:t>
      </w:r>
      <w:r>
        <w:rPr>
          <w:rFonts w:ascii="Arial" w:hAnsi="Arial" w:cs="Arial" w:hint="eastAsia"/>
          <w:sz w:val="21"/>
          <w:szCs w:val="28"/>
        </w:rPr>
        <w:t>三个与估价对象交易实例作为可比实例，可比实例基本情况见下表。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5"/>
        <w:gridCol w:w="2324"/>
        <w:gridCol w:w="2325"/>
        <w:gridCol w:w="2325"/>
      </w:tblGrid>
      <w:tr w:rsidR="00184596">
        <w:trPr>
          <w:cantSplit/>
          <w:jc w:val="center"/>
        </w:trPr>
        <w:tc>
          <w:tcPr>
            <w:tcW w:w="2325" w:type="dxa"/>
          </w:tcPr>
          <w:p w:rsidR="00184596" w:rsidRDefault="00184596">
            <w:pPr>
              <w:overflowPunct w:val="0"/>
              <w:spacing w:line="240" w:lineRule="exact"/>
              <w:rPr>
                <w:rFonts w:ascii="Arial" w:eastAsia="华文细黑" w:hAnsi="Arial"/>
                <w:sz w:val="18"/>
              </w:rPr>
            </w:pPr>
          </w:p>
        </w:tc>
        <w:tc>
          <w:tcPr>
            <w:tcW w:w="232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案例</w:t>
            </w:r>
            <w:r>
              <w:rPr>
                <w:rFonts w:ascii="Arial" w:eastAsia="华文细黑" w:hAnsi="Arial" w:hint="eastAsia"/>
                <w:sz w:val="18"/>
              </w:rPr>
              <w:t>A</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案例</w:t>
            </w:r>
            <w:r>
              <w:rPr>
                <w:rFonts w:ascii="Arial" w:eastAsia="华文细黑" w:hAnsi="Arial" w:hint="eastAsia"/>
                <w:sz w:val="18"/>
              </w:rPr>
              <w:t>B</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案例</w:t>
            </w:r>
            <w:r>
              <w:rPr>
                <w:rFonts w:ascii="Arial" w:eastAsia="华文细黑" w:hAnsi="Arial" w:hint="eastAsia"/>
                <w:sz w:val="18"/>
              </w:rPr>
              <w:t>C</w:t>
            </w:r>
          </w:p>
        </w:tc>
      </w:tr>
      <w:tr w:rsidR="00184596">
        <w:trPr>
          <w:cantSplit/>
          <w:jc w:val="center"/>
        </w:trPr>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项目名称</w:t>
            </w:r>
          </w:p>
        </w:tc>
        <w:tc>
          <w:tcPr>
            <w:tcW w:w="232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长阳半岛</w:t>
            </w:r>
            <w:r>
              <w:rPr>
                <w:rFonts w:ascii="Arial" w:eastAsia="华文细黑" w:hAnsi="Arial" w:hint="eastAsia"/>
                <w:sz w:val="18"/>
              </w:rPr>
              <w:t>V</w:t>
            </w:r>
            <w:r>
              <w:rPr>
                <w:rFonts w:ascii="Arial" w:eastAsia="华文细黑" w:hAnsi="Arial" w:hint="eastAsia"/>
                <w:sz w:val="18"/>
              </w:rPr>
              <w:t>公馆</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首开福茂购物中心</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旭辉</w:t>
            </w:r>
            <w:r>
              <w:rPr>
                <w:rFonts w:ascii="Arial" w:eastAsia="华文细黑" w:hAnsi="Arial" w:hint="eastAsia"/>
                <w:sz w:val="18"/>
              </w:rPr>
              <w:t>E</w:t>
            </w:r>
            <w:r>
              <w:rPr>
                <w:rFonts w:ascii="Arial" w:eastAsia="华文细黑" w:hAnsi="Arial" w:hint="eastAsia"/>
                <w:sz w:val="18"/>
              </w:rPr>
              <w:t>天地</w:t>
            </w:r>
          </w:p>
        </w:tc>
      </w:tr>
      <w:tr w:rsidR="00184596">
        <w:trPr>
          <w:cantSplit/>
          <w:jc w:val="center"/>
        </w:trPr>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数据来源</w:t>
            </w:r>
          </w:p>
        </w:tc>
        <w:tc>
          <w:tcPr>
            <w:tcW w:w="232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房地产交易平台</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房地产交易平台</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房地产交易平台</w:t>
            </w:r>
          </w:p>
        </w:tc>
      </w:tr>
      <w:tr w:rsidR="00184596">
        <w:trPr>
          <w:cantSplit/>
          <w:jc w:val="center"/>
        </w:trPr>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交易价格（元</w:t>
            </w:r>
            <w:r>
              <w:rPr>
                <w:rFonts w:ascii="Arial" w:eastAsia="华文细黑" w:hAnsi="Arial" w:hint="eastAsia"/>
                <w:sz w:val="18"/>
              </w:rPr>
              <w:t>/</w:t>
            </w:r>
            <w:r>
              <w:rPr>
                <w:rFonts w:ascii="Arial" w:eastAsia="华文细黑" w:hAnsi="Arial" w:hint="eastAsia"/>
                <w:sz w:val="18"/>
              </w:rPr>
              <w:t>㎡</w:t>
            </w:r>
            <w:r>
              <w:rPr>
                <w:rFonts w:ascii="Arial" w:eastAsia="华文细黑" w:hAnsi="Arial" w:hint="eastAsia"/>
                <w:sz w:val="18"/>
              </w:rPr>
              <w:t>/</w:t>
            </w:r>
            <w:r>
              <w:rPr>
                <w:rFonts w:ascii="Arial" w:eastAsia="华文细黑" w:hAnsi="Arial" w:hint="eastAsia"/>
                <w:sz w:val="18"/>
              </w:rPr>
              <w:t>天）</w:t>
            </w:r>
          </w:p>
        </w:tc>
        <w:tc>
          <w:tcPr>
            <w:tcW w:w="232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3.8</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3.5</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3.56</w:t>
            </w:r>
          </w:p>
        </w:tc>
      </w:tr>
      <w:tr w:rsidR="00184596">
        <w:trPr>
          <w:cantSplit/>
          <w:jc w:val="center"/>
        </w:trPr>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挂牌日期</w:t>
            </w:r>
          </w:p>
        </w:tc>
        <w:tc>
          <w:tcPr>
            <w:tcW w:w="232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2026</w:t>
            </w:r>
            <w:r>
              <w:rPr>
                <w:rFonts w:ascii="Arial" w:eastAsia="华文细黑" w:hAnsi="Arial" w:hint="eastAsia"/>
                <w:sz w:val="18"/>
              </w:rPr>
              <w:t>年</w:t>
            </w:r>
            <w:r>
              <w:rPr>
                <w:rFonts w:ascii="Arial" w:eastAsia="华文细黑" w:hAnsi="Arial" w:hint="eastAsia"/>
                <w:sz w:val="18"/>
              </w:rPr>
              <w:t>1</w:t>
            </w:r>
            <w:r>
              <w:rPr>
                <w:rFonts w:ascii="Arial" w:eastAsia="华文细黑" w:hAnsi="Arial" w:hint="eastAsia"/>
                <w:sz w:val="18"/>
              </w:rPr>
              <w:t>月</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2025</w:t>
            </w:r>
            <w:r>
              <w:rPr>
                <w:rFonts w:ascii="Arial" w:eastAsia="华文细黑" w:hAnsi="Arial" w:hint="eastAsia"/>
                <w:sz w:val="18"/>
              </w:rPr>
              <w:t>年</w:t>
            </w:r>
            <w:r>
              <w:rPr>
                <w:rFonts w:ascii="Arial" w:eastAsia="华文细黑" w:hAnsi="Arial" w:hint="eastAsia"/>
                <w:sz w:val="18"/>
              </w:rPr>
              <w:t>12</w:t>
            </w:r>
            <w:r>
              <w:rPr>
                <w:rFonts w:ascii="Arial" w:eastAsia="华文细黑" w:hAnsi="Arial" w:hint="eastAsia"/>
                <w:sz w:val="18"/>
              </w:rPr>
              <w:t>月</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2026</w:t>
            </w:r>
            <w:r>
              <w:rPr>
                <w:rFonts w:ascii="Arial" w:eastAsia="华文细黑" w:hAnsi="Arial" w:hint="eastAsia"/>
                <w:sz w:val="18"/>
              </w:rPr>
              <w:t>年</w:t>
            </w:r>
            <w:r>
              <w:rPr>
                <w:rFonts w:ascii="Arial" w:eastAsia="华文细黑" w:hAnsi="Arial" w:hint="eastAsia"/>
                <w:sz w:val="18"/>
              </w:rPr>
              <w:t>1</w:t>
            </w:r>
            <w:r>
              <w:rPr>
                <w:rFonts w:ascii="Arial" w:eastAsia="华文细黑" w:hAnsi="Arial" w:hint="eastAsia"/>
                <w:sz w:val="18"/>
              </w:rPr>
              <w:t>月</w:t>
            </w:r>
          </w:p>
        </w:tc>
      </w:tr>
      <w:tr w:rsidR="00184596">
        <w:trPr>
          <w:cantSplit/>
          <w:jc w:val="center"/>
        </w:trPr>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用途（及类型）</w:t>
            </w:r>
          </w:p>
        </w:tc>
        <w:tc>
          <w:tcPr>
            <w:tcW w:w="232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商业</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商业</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商业</w:t>
            </w:r>
          </w:p>
        </w:tc>
      </w:tr>
      <w:tr w:rsidR="00184596">
        <w:trPr>
          <w:cantSplit/>
          <w:jc w:val="center"/>
        </w:trPr>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建筑面积（㎡）</w:t>
            </w:r>
          </w:p>
        </w:tc>
        <w:tc>
          <w:tcPr>
            <w:tcW w:w="232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500</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160</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150</w:t>
            </w:r>
          </w:p>
        </w:tc>
      </w:tr>
      <w:tr w:rsidR="00184596">
        <w:trPr>
          <w:cantSplit/>
          <w:jc w:val="center"/>
        </w:trPr>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交易情况</w:t>
            </w:r>
          </w:p>
        </w:tc>
        <w:tc>
          <w:tcPr>
            <w:tcW w:w="232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挂牌</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挂牌</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挂牌</w:t>
            </w:r>
          </w:p>
        </w:tc>
      </w:tr>
      <w:tr w:rsidR="00184596">
        <w:trPr>
          <w:cantSplit/>
          <w:jc w:val="center"/>
        </w:trPr>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权利性质</w:t>
            </w:r>
          </w:p>
        </w:tc>
        <w:tc>
          <w:tcPr>
            <w:tcW w:w="232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商品房</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商品房</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商品房</w:t>
            </w:r>
          </w:p>
        </w:tc>
      </w:tr>
      <w:tr w:rsidR="00184596">
        <w:trPr>
          <w:cantSplit/>
          <w:jc w:val="center"/>
        </w:trPr>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成新度</w:t>
            </w:r>
          </w:p>
        </w:tc>
        <w:tc>
          <w:tcPr>
            <w:tcW w:w="232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80-90%</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80-90%</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80-90%</w:t>
            </w:r>
          </w:p>
        </w:tc>
      </w:tr>
      <w:tr w:rsidR="00184596">
        <w:trPr>
          <w:cantSplit/>
          <w:jc w:val="center"/>
        </w:trPr>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建筑结构</w:t>
            </w:r>
          </w:p>
        </w:tc>
        <w:tc>
          <w:tcPr>
            <w:tcW w:w="232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钢混</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钢混</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钢混</w:t>
            </w:r>
          </w:p>
        </w:tc>
      </w:tr>
      <w:tr w:rsidR="00184596">
        <w:trPr>
          <w:cantSplit/>
          <w:jc w:val="center"/>
        </w:trPr>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lastRenderedPageBreak/>
              <w:t>装修</w:t>
            </w:r>
          </w:p>
        </w:tc>
        <w:tc>
          <w:tcPr>
            <w:tcW w:w="232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普通装修</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普通装修</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普通装修</w:t>
            </w:r>
          </w:p>
        </w:tc>
      </w:tr>
      <w:tr w:rsidR="00184596">
        <w:trPr>
          <w:cantSplit/>
          <w:jc w:val="center"/>
        </w:trPr>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临街条件（商业）</w:t>
            </w:r>
          </w:p>
        </w:tc>
        <w:tc>
          <w:tcPr>
            <w:tcW w:w="232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单面临街</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单面临街</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单面临街</w:t>
            </w:r>
          </w:p>
        </w:tc>
      </w:tr>
      <w:tr w:rsidR="00184596">
        <w:trPr>
          <w:cantSplit/>
          <w:jc w:val="center"/>
        </w:trPr>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商业类型</w:t>
            </w:r>
          </w:p>
        </w:tc>
        <w:tc>
          <w:tcPr>
            <w:tcW w:w="232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住宅底商</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商业综合体</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住宅底商</w:t>
            </w:r>
          </w:p>
        </w:tc>
      </w:tr>
      <w:tr w:rsidR="00184596">
        <w:trPr>
          <w:cantSplit/>
          <w:jc w:val="center"/>
        </w:trPr>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楼层</w:t>
            </w:r>
          </w:p>
        </w:tc>
        <w:tc>
          <w:tcPr>
            <w:tcW w:w="232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r>
      <w:tr w:rsidR="00184596">
        <w:trPr>
          <w:cantSplit/>
          <w:jc w:val="center"/>
        </w:trPr>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人流量</w:t>
            </w:r>
          </w:p>
        </w:tc>
        <w:tc>
          <w:tcPr>
            <w:tcW w:w="232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一般</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一般</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一般</w:t>
            </w:r>
          </w:p>
        </w:tc>
      </w:tr>
      <w:tr w:rsidR="00184596">
        <w:trPr>
          <w:cantSplit/>
          <w:jc w:val="center"/>
        </w:trPr>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物业管理</w:t>
            </w:r>
          </w:p>
        </w:tc>
        <w:tc>
          <w:tcPr>
            <w:tcW w:w="232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专业物业公司管理</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专业物业公司管理</w:t>
            </w:r>
          </w:p>
        </w:tc>
        <w:tc>
          <w:tcPr>
            <w:tcW w:w="232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专业物业公司管理</w:t>
            </w:r>
          </w:p>
        </w:tc>
      </w:tr>
    </w:tbl>
    <w:p w:rsidR="00184596" w:rsidRDefault="00FD048A">
      <w:pPr>
        <w:rPr>
          <w:rFonts w:ascii="Arial" w:hAnsi="Arial" w:cs="Arial"/>
          <w:sz w:val="21"/>
          <w:szCs w:val="21"/>
        </w:rPr>
      </w:pPr>
      <w:r>
        <w:rPr>
          <w:rFonts w:ascii="Arial" w:hAnsi="Arial" w:cs="Arial" w:hint="eastAsia"/>
          <w:sz w:val="21"/>
          <w:szCs w:val="21"/>
        </w:rPr>
        <w:br w:type="page"/>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lastRenderedPageBreak/>
        <w:t>各案例位置及照片如下：</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3099"/>
        <w:gridCol w:w="3100"/>
        <w:gridCol w:w="3100"/>
      </w:tblGrid>
      <w:tr w:rsidR="00184596">
        <w:trPr>
          <w:cantSplit/>
          <w:jc w:val="center"/>
        </w:trPr>
        <w:tc>
          <w:tcPr>
            <w:tcW w:w="9299" w:type="dxa"/>
            <w:gridSpan w:val="3"/>
          </w:tcPr>
          <w:p w:rsidR="00184596" w:rsidRDefault="00FD048A">
            <w:pPr>
              <w:jc w:val="center"/>
              <w:rPr>
                <w:rFonts w:ascii="华文细黑" w:eastAsia="华文细黑" w:hAnsi="华文细黑"/>
              </w:rPr>
            </w:pPr>
            <w:r>
              <w:rPr>
                <w:rFonts w:ascii="华文细黑" w:eastAsia="华文细黑" w:hAnsi="华文细黑" w:hint="eastAsia"/>
              </w:rPr>
              <w:t>案例位置</w:t>
            </w:r>
          </w:p>
        </w:tc>
      </w:tr>
      <w:tr w:rsidR="00184596">
        <w:trPr>
          <w:cantSplit/>
          <w:trHeight w:hRule="exact" w:val="7655"/>
          <w:jc w:val="center"/>
        </w:trPr>
        <w:tc>
          <w:tcPr>
            <w:tcW w:w="9299" w:type="dxa"/>
            <w:gridSpan w:val="3"/>
          </w:tcPr>
          <w:p w:rsidR="00184596" w:rsidRDefault="00FD048A">
            <w:pPr>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3769995</wp:posOffset>
                      </wp:positionH>
                      <wp:positionV relativeFrom="paragraph">
                        <wp:posOffset>1200785</wp:posOffset>
                      </wp:positionV>
                      <wp:extent cx="718185" cy="374015"/>
                      <wp:effectExtent l="286385" t="12700" r="16510" b="55245"/>
                      <wp:wrapNone/>
                      <wp:docPr id="2129118748" name="线形标注 1 1"/>
                      <wp:cNvGraphicFramePr/>
                      <a:graphic xmlns:a="http://schemas.openxmlformats.org/drawingml/2006/main">
                        <a:graphicData uri="http://schemas.microsoft.com/office/word/2010/wordprocessingShape">
                          <wps:wsp>
                            <wps:cNvSpPr/>
                            <wps:spPr>
                              <a:xfrm>
                                <a:off x="0" y="0"/>
                                <a:ext cx="718185" cy="374015"/>
                              </a:xfrm>
                              <a:prstGeom prst="borderCallout1">
                                <a:avLst/>
                              </a:prstGeom>
                              <a:solidFill>
                                <a:srgbClr val="1F497D">
                                  <a:lumMod val="60000"/>
                                  <a:lumOff val="40000"/>
                                </a:srgbClr>
                              </a:solidFill>
                              <a:ln w="25400" cap="flat" cmpd="sng" algn="ctr">
                                <a:solidFill>
                                  <a:srgbClr val="4F81BD">
                                    <a:shade val="50000"/>
                                  </a:srgbClr>
                                </a:solidFill>
                                <a:prstDash val="solid"/>
                              </a:ln>
                              <a:effectLst/>
                            </wps:spPr>
                            <wps:txbx>
                              <w:txbxContent>
                                <w:p w:rsidR="00FD048A" w:rsidRDefault="00FD048A">
                                  <w:pPr>
                                    <w:jc w:val="center"/>
                                    <w:rPr>
                                      <w:b/>
                                      <w:color w:val="FFFFFF"/>
                                    </w:rPr>
                                  </w:pPr>
                                  <w:r>
                                    <w:rPr>
                                      <w:rFonts w:hint="eastAsia"/>
                                      <w:b/>
                                      <w:color w:val="FFFFFF"/>
                                    </w:rPr>
                                    <w:t>案例</w:t>
                                  </w:r>
                                  <w:r>
                                    <w:rPr>
                                      <w:rFonts w:ascii="Arial" w:hAnsi="Arial" w:cs="Arial"/>
                                      <w:b/>
                                      <w:color w:val="FFFFFF"/>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线形标注 1 1" o:spid="_x0000_s1026" o:spt="47" type="#_x0000_t47" style="position:absolute;left:0pt;margin-left:296.85pt;margin-top:94.55pt;height:29.45pt;width:56.55pt;z-index:251668480;v-text-anchor:middle;mso-width-relative:page;mso-height-relative:page;" fillcolor="#558ED5" filled="t" stroked="t" coordsize="21600,21600" o:gfxdata="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&#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m7nMa2QAAAAsBAAAPAAAAAAAAAAEAIAAAACIAAABk&#10;cnMvZG93bnJldi54bWxQSwECFAAUAAAACACHTuJA33VjobACAABqBQAADgAAAAAAAAABACAAAAAo&#10;AQAAZHJzL2Uyb0RvYy54bWxQSwUGAAAAAAYABgBZAQAASgYAAAAA&#10;" adj="-8280,24300,-1800,4050">
                      <v:fill on="t" focussize="0,0"/>
                      <v:stroke weight="2pt" color="#385D8A" joinstyle="round"/>
                      <v:imagedata o:title=""/>
                      <o:lock v:ext="edit" aspectratio="f"/>
                      <v:textbox>
                        <w:txbxContent>
                          <w:p w14:paraId="5E87DCA2">
                            <w:pPr>
                              <w:jc w:val="center"/>
                              <w:rPr>
                                <w:rFonts w:hint="eastAsia"/>
                                <w:b/>
                                <w:color w:val="FFFFFF"/>
                              </w:rPr>
                            </w:pPr>
                            <w:r>
                              <w:rPr>
                                <w:rFonts w:hint="eastAsia"/>
                                <w:b/>
                                <w:color w:val="FFFFFF"/>
                              </w:rPr>
                              <w:t>案例</w:t>
                            </w:r>
                            <w:r>
                              <w:rPr>
                                <w:rFonts w:ascii="Arial" w:hAnsi="Arial" w:cs="Arial"/>
                                <w:b/>
                                <w:color w:val="FFFFFF"/>
                              </w:rPr>
                              <w:t>A</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2534285</wp:posOffset>
                      </wp:positionH>
                      <wp:positionV relativeFrom="paragraph">
                        <wp:posOffset>644525</wp:posOffset>
                      </wp:positionV>
                      <wp:extent cx="718185" cy="389255"/>
                      <wp:effectExtent l="12700" t="12700" r="259715" b="70485"/>
                      <wp:wrapNone/>
                      <wp:docPr id="93963290" name="线形标注 1 9"/>
                      <wp:cNvGraphicFramePr/>
                      <a:graphic xmlns:a="http://schemas.openxmlformats.org/drawingml/2006/main">
                        <a:graphicData uri="http://schemas.microsoft.com/office/word/2010/wordprocessingShape">
                          <wps:wsp>
                            <wps:cNvSpPr/>
                            <wps:spPr>
                              <a:xfrm>
                                <a:off x="0" y="0"/>
                                <a:ext cx="718185" cy="389255"/>
                              </a:xfrm>
                              <a:prstGeom prst="borderCallout1">
                                <a:avLst>
                                  <a:gd name="adj1" fmla="val 30307"/>
                                  <a:gd name="adj2" fmla="val 103831"/>
                                  <a:gd name="adj3" fmla="val 116352"/>
                                  <a:gd name="adj4" fmla="val 132945"/>
                                </a:avLst>
                              </a:prstGeom>
                              <a:solidFill>
                                <a:srgbClr val="1F497D">
                                  <a:lumMod val="60000"/>
                                  <a:lumOff val="40000"/>
                                </a:srgbClr>
                              </a:solidFill>
                              <a:ln w="25400" cap="flat" cmpd="sng" algn="ctr">
                                <a:solidFill>
                                  <a:srgbClr val="4F81BD">
                                    <a:shade val="50000"/>
                                  </a:srgbClr>
                                </a:solidFill>
                                <a:prstDash val="solid"/>
                              </a:ln>
                              <a:effectLst/>
                            </wps:spPr>
                            <wps:txbx>
                              <w:txbxContent>
                                <w:p w:rsidR="00FD048A" w:rsidRDefault="00FD048A">
                                  <w:pPr>
                                    <w:jc w:val="center"/>
                                    <w:rPr>
                                      <w:b/>
                                      <w:color w:val="FFFFFF"/>
                                    </w:rPr>
                                  </w:pPr>
                                  <w:r>
                                    <w:rPr>
                                      <w:rFonts w:hint="eastAsia"/>
                                      <w:b/>
                                      <w:color w:val="FFFFFF"/>
                                    </w:rPr>
                                    <w:t>案例</w:t>
                                  </w:r>
                                  <w:r>
                                    <w:rPr>
                                      <w:rFonts w:ascii="Arial" w:hAnsi="Arial" w:cs="Arial" w:hint="eastAsia"/>
                                      <w:b/>
                                      <w:color w:val="FFFFFF"/>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线形标注 1 9" o:spid="_x0000_s1026" o:spt="47" type="#_x0000_t47" style="position:absolute;left:0pt;margin-left:199.55pt;margin-top:50.75pt;height:30.65pt;width:56.55pt;z-index:251669504;v-text-anchor:middle;mso-width-relative:page;mso-height-relative:page;" fillcolor="#558ED5" filled="t" stroked="t" coordsize="21600,21600" o:gfxdata="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C36r9tsAAAALAQAADwAAAAAAAAABACAAAAAiAAAAZHJz&#10;L2Rvd25yZXYueG1sUEsBAhQAFAAAAAgAh07iQDjb48DlAgAABAYAAA4AAAAAAAAAAQAgAAAAKgEA&#10;AGRycy9lMm9Eb2MueG1sUEsFBgAAAAAGAAYAWQEAAIEGAAAAAA==&#10;" adj="28716,25132,22427,6546">
                      <v:fill on="t" focussize="0,0"/>
                      <v:stroke weight="2pt" color="#385D8A" joinstyle="round"/>
                      <v:imagedata o:title=""/>
                      <o:lock v:ext="edit" aspectratio="f"/>
                      <v:textbox>
                        <w:txbxContent>
                          <w:p w14:paraId="3ADBCD3B">
                            <w:pPr>
                              <w:jc w:val="center"/>
                              <w:rPr>
                                <w:rFonts w:hint="eastAsia"/>
                                <w:b/>
                                <w:color w:val="FFFFFF"/>
                              </w:rPr>
                            </w:pPr>
                            <w:r>
                              <w:rPr>
                                <w:rFonts w:hint="eastAsia"/>
                                <w:b/>
                                <w:color w:val="FFFFFF"/>
                              </w:rPr>
                              <w:t>案例</w:t>
                            </w:r>
                            <w:r>
                              <w:rPr>
                                <w:rFonts w:hint="eastAsia" w:ascii="Arial" w:hAnsi="Arial" w:cs="Arial"/>
                                <w:b/>
                                <w:color w:val="FFFFFF"/>
                              </w:rPr>
                              <w:t>B</w:t>
                            </w:r>
                          </w:p>
                        </w:txbxContent>
                      </v:textbox>
                    </v:shape>
                  </w:pict>
                </mc:Fallback>
              </mc:AlternateContent>
            </w:r>
            <w:r>
              <w:rPr>
                <w:noProof/>
              </w:rPr>
              <w:drawing>
                <wp:inline distT="0" distB="0" distL="0" distR="0">
                  <wp:extent cx="5868035" cy="4773930"/>
                  <wp:effectExtent l="0" t="0" r="14605" b="11430"/>
                  <wp:docPr id="1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868035" cy="4773930"/>
                          </a:xfrm>
                          <a:prstGeom prst="rect">
                            <a:avLst/>
                          </a:prstGeom>
                          <a:noFill/>
                          <a:ln>
                            <a:noFill/>
                          </a:ln>
                          <a:effectLst/>
                        </pic:spPr>
                      </pic:pic>
                    </a:graphicData>
                  </a:graphic>
                </wp:inline>
              </w:drawing>
            </w:r>
            <w:r>
              <w:rPr>
                <w:noProof/>
              </w:rPr>
              <mc:AlternateContent>
                <mc:Choice Requires="wps">
                  <w:drawing>
                    <wp:anchor distT="0" distB="0" distL="114300" distR="114300" simplePos="0" relativeHeight="251663872" behindDoc="0" locked="0" layoutInCell="1" allowOverlap="1">
                      <wp:simplePos x="0" y="0"/>
                      <wp:positionH relativeFrom="column">
                        <wp:posOffset>1623060</wp:posOffset>
                      </wp:positionH>
                      <wp:positionV relativeFrom="paragraph">
                        <wp:posOffset>3555365</wp:posOffset>
                      </wp:positionV>
                      <wp:extent cx="718185" cy="427355"/>
                      <wp:effectExtent l="258445" t="275590" r="13970" b="13335"/>
                      <wp:wrapNone/>
                      <wp:docPr id="1454952590" name="线形标注 1 11"/>
                      <wp:cNvGraphicFramePr/>
                      <a:graphic xmlns:a="http://schemas.openxmlformats.org/drawingml/2006/main">
                        <a:graphicData uri="http://schemas.microsoft.com/office/word/2010/wordprocessingShape">
                          <wps:wsp>
                            <wps:cNvSpPr/>
                            <wps:spPr bwMode="auto">
                              <a:xfrm>
                                <a:off x="0" y="0"/>
                                <a:ext cx="718185" cy="427355"/>
                              </a:xfrm>
                              <a:prstGeom prst="borderCallout1">
                                <a:avLst>
                                  <a:gd name="adj1" fmla="val 40449"/>
                                  <a:gd name="adj2" fmla="val -10611"/>
                                  <a:gd name="adj3" fmla="val -63370"/>
                                  <a:gd name="adj4" fmla="val -34305"/>
                                </a:avLst>
                              </a:prstGeom>
                              <a:solidFill>
                                <a:srgbClr val="558ED5"/>
                              </a:solidFill>
                              <a:ln w="25400" cmpd="sng" algn="ctr">
                                <a:solidFill>
                                  <a:srgbClr val="385D8A"/>
                                </a:solidFill>
                                <a:miter lim="800000"/>
                              </a:ln>
                              <a:effectLst/>
                            </wps:spPr>
                            <wps:txbx>
                              <w:txbxContent>
                                <w:p w:rsidR="00FD048A" w:rsidRDefault="00FD048A">
                                  <w:pPr>
                                    <w:jc w:val="center"/>
                                    <w:rPr>
                                      <w:b/>
                                      <w:color w:val="FFFFFF"/>
                                    </w:rPr>
                                  </w:pPr>
                                  <w:r>
                                    <w:rPr>
                                      <w:rFonts w:hint="eastAsia"/>
                                      <w:b/>
                                      <w:color w:val="FFFFFF"/>
                                    </w:rPr>
                                    <w:t>案例</w:t>
                                  </w:r>
                                  <w:r>
                                    <w:rPr>
                                      <w:rFonts w:ascii="Arial" w:hAnsi="Arial" w:cs="Arial" w:hint="eastAsia"/>
                                      <w:b/>
                                      <w:color w:val="FFFFFF"/>
                                    </w:rPr>
                                    <w:t>C</w:t>
                                  </w:r>
                                </w:p>
                              </w:txbxContent>
                            </wps:txbx>
                            <wps:bodyPr rot="0" vert="horz" wrap="square" lIns="91440" tIns="45720" rIns="91440" bIns="45720" anchor="ctr" anchorCtr="0" upright="1">
                              <a:noAutofit/>
                            </wps:bodyPr>
                          </wps:wsp>
                        </a:graphicData>
                      </a:graphic>
                    </wp:anchor>
                  </w:drawing>
                </mc:Choice>
                <mc:Fallback xmlns:wpsCustomData="http://www.wps.cn/officeDocument/2013/wpsCustomData" xmlns:w15="http://schemas.microsoft.com/office/word/2012/wordml">
                  <w:pict>
                    <v:shape id="线形标注 1 11" o:spid="_x0000_s1026" o:spt="47" type="#_x0000_t47" style="position:absolute;left:0pt;margin-left:127.8pt;margin-top:279.95pt;height:33.65pt;width:56.55pt;z-index:251670528;v-text-anchor:middle;mso-width-relative:page;mso-height-relative:page;" fillcolor="#558ED5" filled="t" stroked="t" coordsize="21600,21600" o:gfxdata="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9xiSM9kA&#10;AAALAQAADwAAAAAAAAABACAAAAAiAAAAZHJzL2Rvd25yZXYueG1sUEsBAhQAFAAAAAgAh07iQHoD&#10;fHiQAgAAKAUAAA4AAAAAAAAAAQAgAAAAKAEAAGRycy9lMm9Eb2MueG1sUEsFBgAAAAAGAAYAWQEA&#10;ACoGAAAAAA==&#10;" adj="-7410,-13688,-2292,8737">
                      <v:fill on="t" focussize="0,0"/>
                      <v:stroke weight="2pt" color="#385D8A" miterlimit="8" joinstyle="miter"/>
                      <v:imagedata o:title=""/>
                      <o:lock v:ext="edit" aspectratio="f"/>
                      <v:textbox>
                        <w:txbxContent>
                          <w:p w14:paraId="68B94DB9">
                            <w:pPr>
                              <w:jc w:val="center"/>
                              <w:rPr>
                                <w:rFonts w:hint="eastAsia"/>
                                <w:b/>
                                <w:color w:val="FFFFFF"/>
                              </w:rPr>
                            </w:pPr>
                            <w:r>
                              <w:rPr>
                                <w:rFonts w:hint="eastAsia"/>
                                <w:b/>
                                <w:color w:val="FFFFFF"/>
                              </w:rPr>
                              <w:t>案例</w:t>
                            </w:r>
                            <w:r>
                              <w:rPr>
                                <w:rFonts w:hint="eastAsia" w:ascii="Arial" w:hAnsi="Arial" w:cs="Arial"/>
                                <w:b/>
                                <w:color w:val="FFFFFF"/>
                              </w:rPr>
                              <w:t>C</w:t>
                            </w:r>
                          </w:p>
                        </w:txbxContent>
                      </v:textbox>
                    </v:shape>
                  </w:pict>
                </mc:Fallback>
              </mc:AlternateContent>
            </w:r>
            <w:r>
              <w:rPr>
                <w:noProof/>
              </w:rPr>
              <w:drawing>
                <wp:anchor distT="0" distB="0" distL="114300" distR="114300" simplePos="0" relativeHeight="251660800" behindDoc="0" locked="0" layoutInCell="1" allowOverlap="1">
                  <wp:simplePos x="0" y="0"/>
                  <wp:positionH relativeFrom="column">
                    <wp:posOffset>2050415</wp:posOffset>
                  </wp:positionH>
                  <wp:positionV relativeFrom="paragraph">
                    <wp:posOffset>2421890</wp:posOffset>
                  </wp:positionV>
                  <wp:extent cx="971550" cy="542925"/>
                  <wp:effectExtent l="0" t="0" r="0" b="0"/>
                  <wp:wrapNone/>
                  <wp:docPr id="85414113" name="图片 4" descr="说明: 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4113" name="图片 4" descr="说明: 估价对象tag-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971550" cy="542925"/>
                          </a:xfrm>
                          <a:prstGeom prst="rect">
                            <a:avLst/>
                          </a:prstGeom>
                          <a:noFill/>
                          <a:ln>
                            <a:noFill/>
                          </a:ln>
                        </pic:spPr>
                      </pic:pic>
                    </a:graphicData>
                  </a:graphic>
                </wp:anchor>
              </w:drawing>
            </w:r>
          </w:p>
        </w:tc>
      </w:tr>
      <w:tr w:rsidR="00184596">
        <w:trPr>
          <w:cantSplit/>
          <w:jc w:val="center"/>
        </w:trPr>
        <w:tc>
          <w:tcPr>
            <w:tcW w:w="9299" w:type="dxa"/>
            <w:gridSpan w:val="3"/>
          </w:tcPr>
          <w:p w:rsidR="00184596" w:rsidRDefault="00FD048A">
            <w:pPr>
              <w:jc w:val="center"/>
              <w:rPr>
                <w:rFonts w:ascii="华文细黑" w:eastAsia="华文细黑" w:hAnsi="华文细黑"/>
              </w:rPr>
            </w:pPr>
            <w:r>
              <w:rPr>
                <w:rFonts w:ascii="华文细黑" w:eastAsia="华文细黑" w:hAnsi="华文细黑" w:hint="eastAsia"/>
              </w:rPr>
              <w:t>案例照片</w:t>
            </w:r>
          </w:p>
        </w:tc>
      </w:tr>
      <w:tr w:rsidR="00184596">
        <w:trPr>
          <w:cantSplit/>
          <w:jc w:val="center"/>
        </w:trPr>
        <w:tc>
          <w:tcPr>
            <w:tcW w:w="3099" w:type="dxa"/>
            <w:tcBorders>
              <w:bottom w:val="dotted" w:sz="2" w:space="0" w:color="404040"/>
            </w:tcBorders>
          </w:tcPr>
          <w:p w:rsidR="00184596" w:rsidRDefault="00FD048A">
            <w:pPr>
              <w:jc w:val="center"/>
              <w:rPr>
                <w:rFonts w:ascii="华文细黑" w:eastAsia="华文细黑" w:hAnsi="华文细黑"/>
                <w:color w:val="E36C0A"/>
              </w:rPr>
            </w:pPr>
            <w:r>
              <w:rPr>
                <w:rFonts w:ascii="华文细黑" w:eastAsia="华文细黑" w:hAnsi="华文细黑" w:hint="eastAsia"/>
                <w:color w:val="E36C0A"/>
              </w:rPr>
              <w:t>案例A</w:t>
            </w:r>
          </w:p>
        </w:tc>
        <w:tc>
          <w:tcPr>
            <w:tcW w:w="3100" w:type="dxa"/>
            <w:tcBorders>
              <w:bottom w:val="dotted" w:sz="2" w:space="0" w:color="404040"/>
            </w:tcBorders>
          </w:tcPr>
          <w:p w:rsidR="00184596" w:rsidRDefault="00FD048A">
            <w:pPr>
              <w:jc w:val="center"/>
              <w:rPr>
                <w:rFonts w:ascii="华文细黑" w:eastAsia="华文细黑" w:hAnsi="华文细黑"/>
                <w:color w:val="E36C0A"/>
              </w:rPr>
            </w:pPr>
            <w:r>
              <w:rPr>
                <w:rFonts w:ascii="华文细黑" w:eastAsia="华文细黑" w:hAnsi="华文细黑" w:hint="eastAsia"/>
                <w:color w:val="E36C0A"/>
              </w:rPr>
              <w:t>案例B</w:t>
            </w:r>
          </w:p>
        </w:tc>
        <w:tc>
          <w:tcPr>
            <w:tcW w:w="3100" w:type="dxa"/>
            <w:tcBorders>
              <w:bottom w:val="dotted" w:sz="2" w:space="0" w:color="404040"/>
            </w:tcBorders>
          </w:tcPr>
          <w:p w:rsidR="00184596" w:rsidRDefault="00FD048A">
            <w:pPr>
              <w:jc w:val="center"/>
              <w:rPr>
                <w:rFonts w:ascii="华文细黑" w:eastAsia="华文细黑" w:hAnsi="华文细黑"/>
                <w:color w:val="E36C0A"/>
              </w:rPr>
            </w:pPr>
            <w:r>
              <w:rPr>
                <w:rFonts w:ascii="华文细黑" w:eastAsia="华文细黑" w:hAnsi="华文细黑" w:hint="eastAsia"/>
                <w:color w:val="E36C0A"/>
              </w:rPr>
              <w:t>案例C</w:t>
            </w:r>
          </w:p>
        </w:tc>
      </w:tr>
      <w:tr w:rsidR="00184596">
        <w:trPr>
          <w:cantSplit/>
          <w:trHeight w:val="3639"/>
          <w:jc w:val="center"/>
        </w:trPr>
        <w:tc>
          <w:tcPr>
            <w:tcW w:w="3099" w:type="dxa"/>
          </w:tcPr>
          <w:p w:rsidR="00184596" w:rsidRDefault="00FD048A">
            <w:pPr>
              <w:jc w:val="center"/>
            </w:pPr>
            <w:r>
              <w:rPr>
                <w:noProof/>
              </w:rPr>
              <w:drawing>
                <wp:inline distT="0" distB="0" distL="0" distR="0">
                  <wp:extent cx="1929765" cy="2193290"/>
                  <wp:effectExtent l="0" t="0" r="5715" b="1270"/>
                  <wp:docPr id="1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29765" cy="2193290"/>
                          </a:xfrm>
                          <a:prstGeom prst="rect">
                            <a:avLst/>
                          </a:prstGeom>
                          <a:noFill/>
                          <a:ln>
                            <a:noFill/>
                          </a:ln>
                          <a:effectLst/>
                        </pic:spPr>
                      </pic:pic>
                    </a:graphicData>
                  </a:graphic>
                </wp:inline>
              </w:drawing>
            </w:r>
          </w:p>
        </w:tc>
        <w:tc>
          <w:tcPr>
            <w:tcW w:w="3100" w:type="dxa"/>
          </w:tcPr>
          <w:p w:rsidR="00184596" w:rsidRDefault="00FD048A">
            <w:pPr>
              <w:jc w:val="center"/>
            </w:pPr>
            <w:r>
              <w:rPr>
                <w:noProof/>
              </w:rPr>
              <w:drawing>
                <wp:inline distT="0" distB="0" distL="0" distR="0">
                  <wp:extent cx="1929765" cy="2221230"/>
                  <wp:effectExtent l="0" t="0" r="5715" b="3810"/>
                  <wp:docPr id="1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9765" cy="2221230"/>
                          </a:xfrm>
                          <a:prstGeom prst="rect">
                            <a:avLst/>
                          </a:prstGeom>
                          <a:noFill/>
                          <a:ln>
                            <a:noFill/>
                          </a:ln>
                          <a:effectLst/>
                        </pic:spPr>
                      </pic:pic>
                    </a:graphicData>
                  </a:graphic>
                </wp:inline>
              </w:drawing>
            </w:r>
          </w:p>
        </w:tc>
        <w:tc>
          <w:tcPr>
            <w:tcW w:w="3100" w:type="dxa"/>
          </w:tcPr>
          <w:p w:rsidR="00184596" w:rsidRDefault="00FD048A">
            <w:pPr>
              <w:jc w:val="center"/>
            </w:pPr>
            <w:r>
              <w:rPr>
                <w:noProof/>
              </w:rPr>
              <w:drawing>
                <wp:inline distT="0" distB="0" distL="0" distR="0">
                  <wp:extent cx="1929765" cy="2221230"/>
                  <wp:effectExtent l="0" t="0" r="5715" b="3810"/>
                  <wp:docPr id="1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929765" cy="2221230"/>
                          </a:xfrm>
                          <a:prstGeom prst="rect">
                            <a:avLst/>
                          </a:prstGeom>
                          <a:noFill/>
                          <a:ln>
                            <a:noFill/>
                          </a:ln>
                          <a:effectLst/>
                        </pic:spPr>
                      </pic:pic>
                    </a:graphicData>
                  </a:graphic>
                </wp:inline>
              </w:drawing>
            </w:r>
          </w:p>
        </w:tc>
      </w:tr>
    </w:tbl>
    <w:p w:rsidR="00184596" w:rsidRDefault="00184596" w:rsidP="00FD048A">
      <w:pPr>
        <w:spacing w:line="480" w:lineRule="auto"/>
        <w:ind w:firstLineChars="196" w:firstLine="412"/>
        <w:jc w:val="both"/>
        <w:rPr>
          <w:rFonts w:ascii="Arial" w:hAnsi="Arial" w:cs="Arial"/>
          <w:sz w:val="21"/>
          <w:szCs w:val="21"/>
        </w:rPr>
        <w:sectPr w:rsidR="00184596">
          <w:headerReference w:type="default" r:id="rId46"/>
          <w:footerReference w:type="default" r:id="rId47"/>
          <w:pgSz w:w="11906" w:h="16838"/>
          <w:pgMar w:top="1843" w:right="1304" w:bottom="1134" w:left="1304" w:header="1134" w:footer="907" w:gutter="0"/>
          <w:cols w:space="720"/>
          <w:docGrid w:type="lines" w:linePitch="312"/>
        </w:sectPr>
      </w:pP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lastRenderedPageBreak/>
        <w:t>3.</w:t>
      </w:r>
      <w:r>
        <w:rPr>
          <w:rFonts w:ascii="Arial" w:hAnsi="Arial" w:cs="Arial" w:hint="eastAsia"/>
          <w:sz w:val="21"/>
          <w:szCs w:val="21"/>
        </w:rPr>
        <w:t>建立比较基础</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）统一财产范围：设定估价对象与可比案例的实物范围相同，均不含有房地产以外的资产，不存在债权债务，没有其他权益或负担；</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）统一付款方式：设定估价对象与可比案例的付款方式均为一次性付清；</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）统一融资条件：常规融资条件；</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）统一税费负担：买卖双方各付各税；</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）统一计价单位：统一为单价，为单位建筑面积租金价格，即“元</w:t>
      </w:r>
      <w:r>
        <w:rPr>
          <w:rFonts w:ascii="Arial" w:hAnsi="Arial" w:cs="Arial" w:hint="eastAsia"/>
          <w:sz w:val="21"/>
          <w:szCs w:val="21"/>
        </w:rPr>
        <w:t>/</w:t>
      </w:r>
      <w:r>
        <w:rPr>
          <w:rFonts w:ascii="Arial" w:hAnsi="Arial" w:cs="Arial" w:hint="eastAsia"/>
          <w:sz w:val="21"/>
          <w:szCs w:val="21"/>
        </w:rPr>
        <w:t>建筑平方米</w:t>
      </w:r>
      <w:r>
        <w:rPr>
          <w:rFonts w:ascii="Arial" w:hAnsi="Arial" w:cs="Arial" w:hint="eastAsia"/>
          <w:sz w:val="21"/>
          <w:szCs w:val="21"/>
        </w:rPr>
        <w:t>/</w:t>
      </w:r>
      <w:r>
        <w:rPr>
          <w:rFonts w:ascii="Arial" w:hAnsi="Arial" w:cs="Arial" w:hint="eastAsia"/>
          <w:sz w:val="21"/>
          <w:szCs w:val="21"/>
        </w:rPr>
        <w:t>天”，币种为人民币。</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4.</w:t>
      </w:r>
      <w:r>
        <w:rPr>
          <w:rFonts w:ascii="Arial" w:hAnsi="Arial" w:cs="Arial" w:hint="eastAsia"/>
          <w:sz w:val="21"/>
          <w:szCs w:val="21"/>
        </w:rPr>
        <w:t>因素条件说明</w:t>
      </w:r>
    </w:p>
    <w:p w:rsidR="00184596" w:rsidRDefault="00FD048A">
      <w:pPr>
        <w:jc w:val="center"/>
        <w:rPr>
          <w:rFonts w:ascii="Arial" w:eastAsia="方正黑体简体" w:hAnsi="Arial" w:cs="Arial"/>
          <w:bCs/>
          <w:szCs w:val="24"/>
        </w:rPr>
      </w:pPr>
      <w:r>
        <w:rPr>
          <w:rFonts w:ascii="Arial" w:eastAsia="方正黑体简体" w:hAnsi="Arial" w:cs="Arial" w:hint="eastAsia"/>
          <w:bCs/>
          <w:szCs w:val="24"/>
        </w:rPr>
        <w:t>表</w:t>
      </w:r>
      <w:r>
        <w:rPr>
          <w:rFonts w:ascii="Arial" w:eastAsia="方正黑体简体" w:hAnsi="Arial" w:cs="Arial" w:hint="eastAsia"/>
          <w:bCs/>
          <w:szCs w:val="24"/>
        </w:rPr>
        <w:t>1</w:t>
      </w:r>
      <w:r>
        <w:rPr>
          <w:rFonts w:ascii="Arial" w:eastAsia="方正黑体简体" w:hAnsi="Arial" w:cs="Arial" w:hint="eastAsia"/>
          <w:bCs/>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4"/>
        <w:gridCol w:w="1888"/>
        <w:gridCol w:w="1604"/>
        <w:gridCol w:w="1604"/>
        <w:gridCol w:w="1604"/>
        <w:gridCol w:w="1605"/>
      </w:tblGrid>
      <w:tr w:rsidR="00184596">
        <w:trPr>
          <w:cantSplit/>
          <w:tblHeader/>
          <w:jc w:val="center"/>
        </w:trPr>
        <w:tc>
          <w:tcPr>
            <w:tcW w:w="2882" w:type="dxa"/>
            <w:gridSpan w:val="2"/>
            <w:vMerge w:val="restart"/>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比较因素</w:t>
            </w:r>
          </w:p>
        </w:tc>
        <w:tc>
          <w:tcPr>
            <w:tcW w:w="1604" w:type="dxa"/>
            <w:vAlign w:val="center"/>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估价对象</w:t>
            </w:r>
          </w:p>
        </w:tc>
        <w:tc>
          <w:tcPr>
            <w:tcW w:w="1604" w:type="dxa"/>
            <w:vAlign w:val="center"/>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案例：</w:t>
            </w:r>
            <w:r>
              <w:rPr>
                <w:rFonts w:ascii="Arial" w:eastAsia="华文细黑" w:hAnsi="Arial" w:hint="eastAsia"/>
                <w:sz w:val="18"/>
              </w:rPr>
              <w:t>A</w:t>
            </w:r>
          </w:p>
        </w:tc>
        <w:tc>
          <w:tcPr>
            <w:tcW w:w="1604" w:type="dxa"/>
            <w:vAlign w:val="center"/>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案例：</w:t>
            </w:r>
            <w:r>
              <w:rPr>
                <w:rFonts w:ascii="Arial" w:eastAsia="华文细黑" w:hAnsi="Arial" w:hint="eastAsia"/>
                <w:sz w:val="18"/>
              </w:rPr>
              <w:t>B</w:t>
            </w:r>
          </w:p>
        </w:tc>
        <w:tc>
          <w:tcPr>
            <w:tcW w:w="1605" w:type="dxa"/>
            <w:vAlign w:val="center"/>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案例：</w:t>
            </w:r>
            <w:r>
              <w:rPr>
                <w:rFonts w:ascii="Arial" w:eastAsia="华文细黑" w:hAnsi="Arial" w:hint="eastAsia"/>
                <w:sz w:val="18"/>
              </w:rPr>
              <w:t>C</w:t>
            </w:r>
          </w:p>
        </w:tc>
      </w:tr>
      <w:tr w:rsidR="00184596">
        <w:trPr>
          <w:cantSplit/>
          <w:tblHeader/>
          <w:jc w:val="center"/>
        </w:trPr>
        <w:tc>
          <w:tcPr>
            <w:tcW w:w="2882" w:type="dxa"/>
            <w:gridSpan w:val="2"/>
            <w:vMerge/>
            <w:vAlign w:val="center"/>
          </w:tcPr>
          <w:p w:rsidR="00184596" w:rsidRDefault="00184596">
            <w:pPr>
              <w:widowControl/>
              <w:spacing w:line="240" w:lineRule="exact"/>
              <w:rPr>
                <w:rFonts w:ascii="华文细黑" w:eastAsia="华文细黑" w:hAnsi="华文细黑" w:cs="Arial"/>
                <w:color w:val="000000"/>
                <w:sz w:val="18"/>
                <w:szCs w:val="18"/>
              </w:rPr>
            </w:pPr>
          </w:p>
        </w:tc>
        <w:tc>
          <w:tcPr>
            <w:tcW w:w="1604" w:type="dxa"/>
          </w:tcPr>
          <w:p w:rsidR="00184596" w:rsidRDefault="00FD048A">
            <w:pPr>
              <w:wordWrap w:val="0"/>
              <w:overflowPunct w:val="0"/>
              <w:spacing w:line="240" w:lineRule="exact"/>
              <w:rPr>
                <w:rFonts w:ascii="Arial" w:eastAsia="华文细黑" w:hAnsi="Arial"/>
                <w:sz w:val="18"/>
              </w:rPr>
            </w:pPr>
            <w:proofErr w:type="gramStart"/>
            <w:r>
              <w:rPr>
                <w:rFonts w:ascii="Arial" w:eastAsia="华文细黑" w:hAnsi="Arial" w:hint="eastAsia"/>
                <w:sz w:val="18"/>
              </w:rPr>
              <w:t>熙悦天</w:t>
            </w:r>
            <w:proofErr w:type="gramEnd"/>
            <w:r>
              <w:rPr>
                <w:rFonts w:ascii="Arial" w:eastAsia="华文细黑" w:hAnsi="Arial" w:hint="eastAsia"/>
                <w:sz w:val="18"/>
              </w:rPr>
              <w:t>街</w:t>
            </w:r>
          </w:p>
        </w:tc>
        <w:tc>
          <w:tcPr>
            <w:tcW w:w="160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长阳半岛</w:t>
            </w:r>
            <w:r>
              <w:rPr>
                <w:rFonts w:ascii="Arial" w:eastAsia="华文细黑" w:hAnsi="Arial" w:hint="eastAsia"/>
                <w:sz w:val="18"/>
              </w:rPr>
              <w:t>V</w:t>
            </w:r>
            <w:r>
              <w:rPr>
                <w:rFonts w:ascii="Arial" w:eastAsia="华文细黑" w:hAnsi="Arial" w:hint="eastAsia"/>
                <w:sz w:val="18"/>
              </w:rPr>
              <w:t>公馆</w:t>
            </w:r>
          </w:p>
        </w:tc>
        <w:tc>
          <w:tcPr>
            <w:tcW w:w="160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首开福茂购物中心</w:t>
            </w:r>
          </w:p>
        </w:tc>
        <w:tc>
          <w:tcPr>
            <w:tcW w:w="160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旭辉</w:t>
            </w:r>
            <w:r>
              <w:rPr>
                <w:rFonts w:ascii="Arial" w:eastAsia="华文细黑" w:hAnsi="Arial" w:hint="eastAsia"/>
                <w:sz w:val="18"/>
              </w:rPr>
              <w:t>E</w:t>
            </w:r>
            <w:r>
              <w:rPr>
                <w:rFonts w:ascii="Arial" w:eastAsia="华文细黑" w:hAnsi="Arial" w:hint="eastAsia"/>
                <w:sz w:val="18"/>
              </w:rPr>
              <w:t>天地</w:t>
            </w:r>
          </w:p>
        </w:tc>
      </w:tr>
      <w:tr w:rsidR="00184596">
        <w:trPr>
          <w:cantSplit/>
          <w:tblHeader/>
          <w:jc w:val="center"/>
        </w:trPr>
        <w:tc>
          <w:tcPr>
            <w:tcW w:w="2882" w:type="dxa"/>
            <w:gridSpan w:val="2"/>
            <w:vMerge/>
            <w:vAlign w:val="center"/>
          </w:tcPr>
          <w:p w:rsidR="00184596" w:rsidRDefault="00184596">
            <w:pPr>
              <w:widowControl/>
              <w:spacing w:line="240" w:lineRule="exact"/>
              <w:rPr>
                <w:rFonts w:ascii="华文细黑" w:eastAsia="华文细黑" w:hAnsi="华文细黑" w:cs="Arial"/>
                <w:color w:val="000000"/>
                <w:sz w:val="18"/>
                <w:szCs w:val="18"/>
              </w:rPr>
            </w:pPr>
          </w:p>
        </w:tc>
        <w:tc>
          <w:tcPr>
            <w:tcW w:w="160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房山区阜盛西街</w:t>
            </w:r>
            <w:r>
              <w:rPr>
                <w:rFonts w:ascii="Arial" w:eastAsia="华文细黑" w:hAnsi="Arial" w:hint="eastAsia"/>
                <w:sz w:val="18"/>
              </w:rPr>
              <w:t>11</w:t>
            </w:r>
            <w:r>
              <w:rPr>
                <w:rFonts w:ascii="Arial" w:eastAsia="华文细黑" w:hAnsi="Arial" w:hint="eastAsia"/>
                <w:sz w:val="18"/>
              </w:rPr>
              <w:t>号院</w:t>
            </w:r>
          </w:p>
        </w:tc>
        <w:tc>
          <w:tcPr>
            <w:tcW w:w="1604" w:type="dxa"/>
            <w:vAlign w:val="center"/>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房山区长阳路与长泽南街交汇处</w:t>
            </w:r>
          </w:p>
        </w:tc>
        <w:tc>
          <w:tcPr>
            <w:tcW w:w="1604" w:type="dxa"/>
            <w:vAlign w:val="center"/>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房山区怡和北路</w:t>
            </w:r>
            <w:r>
              <w:rPr>
                <w:rFonts w:ascii="Arial" w:eastAsia="华文细黑" w:hAnsi="Arial" w:hint="eastAsia"/>
                <w:sz w:val="18"/>
              </w:rPr>
              <w:t>3</w:t>
            </w:r>
            <w:r>
              <w:rPr>
                <w:rFonts w:ascii="Arial" w:eastAsia="华文细黑" w:hAnsi="Arial" w:hint="eastAsia"/>
                <w:sz w:val="18"/>
              </w:rPr>
              <w:t>号院</w:t>
            </w:r>
          </w:p>
        </w:tc>
        <w:tc>
          <w:tcPr>
            <w:tcW w:w="1605" w:type="dxa"/>
            <w:vAlign w:val="center"/>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房山区书院南街</w:t>
            </w:r>
            <w:r>
              <w:rPr>
                <w:rFonts w:ascii="Arial" w:eastAsia="华文细黑" w:hAnsi="Arial" w:hint="eastAsia"/>
                <w:sz w:val="18"/>
              </w:rPr>
              <w:t>12</w:t>
            </w:r>
            <w:r>
              <w:rPr>
                <w:rFonts w:ascii="Arial" w:eastAsia="华文细黑" w:hAnsi="Arial" w:hint="eastAsia"/>
                <w:sz w:val="18"/>
              </w:rPr>
              <w:t>号院</w:t>
            </w:r>
          </w:p>
        </w:tc>
      </w:tr>
      <w:tr w:rsidR="00184596">
        <w:trPr>
          <w:cantSplit/>
          <w:jc w:val="center"/>
        </w:trPr>
        <w:tc>
          <w:tcPr>
            <w:tcW w:w="2882" w:type="dxa"/>
            <w:gridSpan w:val="2"/>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交易情况</w:t>
            </w:r>
          </w:p>
        </w:tc>
        <w:tc>
          <w:tcPr>
            <w:tcW w:w="1604" w:type="dxa"/>
            <w:vAlign w:val="center"/>
          </w:tcPr>
          <w:p w:rsidR="00184596" w:rsidRDefault="00FD048A">
            <w:pPr>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正常</w:t>
            </w:r>
          </w:p>
        </w:tc>
        <w:tc>
          <w:tcPr>
            <w:tcW w:w="1604" w:type="dxa"/>
            <w:vAlign w:val="center"/>
          </w:tcPr>
          <w:p w:rsidR="00184596" w:rsidRDefault="00FD048A">
            <w:pPr>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挂牌</w:t>
            </w:r>
          </w:p>
        </w:tc>
        <w:tc>
          <w:tcPr>
            <w:tcW w:w="1604" w:type="dxa"/>
            <w:vAlign w:val="center"/>
          </w:tcPr>
          <w:p w:rsidR="00184596" w:rsidRDefault="00FD048A">
            <w:pPr>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挂牌</w:t>
            </w:r>
          </w:p>
        </w:tc>
        <w:tc>
          <w:tcPr>
            <w:tcW w:w="1605" w:type="dxa"/>
            <w:vAlign w:val="center"/>
          </w:tcPr>
          <w:p w:rsidR="00184596" w:rsidRDefault="00FD048A">
            <w:pPr>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挂牌</w:t>
            </w:r>
          </w:p>
        </w:tc>
      </w:tr>
      <w:tr w:rsidR="00184596">
        <w:trPr>
          <w:cantSplit/>
          <w:jc w:val="center"/>
        </w:trPr>
        <w:tc>
          <w:tcPr>
            <w:tcW w:w="994" w:type="dxa"/>
            <w:vMerge w:val="restart"/>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权益状况</w:t>
            </w:r>
          </w:p>
        </w:tc>
        <w:tc>
          <w:tcPr>
            <w:tcW w:w="1888" w:type="dxa"/>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用途</w:t>
            </w:r>
          </w:p>
        </w:tc>
        <w:tc>
          <w:tcPr>
            <w:tcW w:w="1604" w:type="dxa"/>
            <w:vAlign w:val="center"/>
          </w:tcPr>
          <w:p w:rsidR="00184596" w:rsidRDefault="00FD048A">
            <w:pPr>
              <w:widowControl/>
              <w:tabs>
                <w:tab w:val="left" w:pos="1165"/>
              </w:tabs>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w:t>
            </w:r>
          </w:p>
        </w:tc>
        <w:tc>
          <w:tcPr>
            <w:tcW w:w="1604" w:type="dxa"/>
            <w:vAlign w:val="center"/>
          </w:tcPr>
          <w:p w:rsidR="00184596" w:rsidRDefault="00FD048A">
            <w:pPr>
              <w:widowControl/>
              <w:tabs>
                <w:tab w:val="left" w:pos="1165"/>
              </w:tabs>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w:t>
            </w:r>
          </w:p>
        </w:tc>
        <w:tc>
          <w:tcPr>
            <w:tcW w:w="1604" w:type="dxa"/>
            <w:vAlign w:val="center"/>
          </w:tcPr>
          <w:p w:rsidR="00184596" w:rsidRDefault="00FD048A">
            <w:pPr>
              <w:widowControl/>
              <w:tabs>
                <w:tab w:val="left" w:pos="1165"/>
              </w:tabs>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w:t>
            </w:r>
          </w:p>
        </w:tc>
        <w:tc>
          <w:tcPr>
            <w:tcW w:w="1605" w:type="dxa"/>
            <w:vAlign w:val="center"/>
          </w:tcPr>
          <w:p w:rsidR="00184596" w:rsidRDefault="00FD048A">
            <w:pPr>
              <w:widowControl/>
              <w:tabs>
                <w:tab w:val="left" w:pos="1165"/>
              </w:tabs>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w:t>
            </w:r>
          </w:p>
        </w:tc>
      </w:tr>
      <w:tr w:rsidR="00184596">
        <w:trPr>
          <w:cantSplit/>
          <w:trHeight w:val="157"/>
          <w:jc w:val="center"/>
        </w:trPr>
        <w:tc>
          <w:tcPr>
            <w:tcW w:w="994" w:type="dxa"/>
            <w:vMerge/>
            <w:vAlign w:val="center"/>
          </w:tcPr>
          <w:p w:rsidR="00184596" w:rsidRDefault="00184596">
            <w:pPr>
              <w:widowControl/>
              <w:spacing w:line="240" w:lineRule="exact"/>
              <w:rPr>
                <w:rFonts w:ascii="华文细黑" w:eastAsia="华文细黑" w:hAnsi="华文细黑" w:cs="Arial"/>
                <w:color w:val="000000"/>
                <w:sz w:val="18"/>
                <w:szCs w:val="18"/>
              </w:rPr>
            </w:pPr>
          </w:p>
        </w:tc>
        <w:tc>
          <w:tcPr>
            <w:tcW w:w="1888" w:type="dxa"/>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highlight w:val="lightGray"/>
              </w:rPr>
              <w:t>权利性质</w:t>
            </w:r>
          </w:p>
        </w:tc>
        <w:tc>
          <w:tcPr>
            <w:tcW w:w="1604" w:type="dxa"/>
            <w:vAlign w:val="center"/>
          </w:tcPr>
          <w:p w:rsidR="00184596" w:rsidRDefault="00FD048A">
            <w:pPr>
              <w:widowControl/>
              <w:spacing w:line="240" w:lineRule="exact"/>
              <w:rPr>
                <w:rFonts w:ascii="Arial" w:eastAsia="华文细黑" w:hAnsi="Arial" w:cs="Arial"/>
                <w:color w:val="000000"/>
                <w:sz w:val="18"/>
                <w:szCs w:val="18"/>
              </w:rPr>
            </w:pPr>
            <w:r>
              <w:rPr>
                <w:rFonts w:ascii="Arial" w:eastAsia="华文细黑" w:hAnsi="Arial" w:hint="eastAsia"/>
                <w:sz w:val="18"/>
              </w:rPr>
              <w:t>商品房</w:t>
            </w:r>
          </w:p>
        </w:tc>
        <w:tc>
          <w:tcPr>
            <w:tcW w:w="1604" w:type="dxa"/>
            <w:vAlign w:val="center"/>
          </w:tcPr>
          <w:p w:rsidR="00184596" w:rsidRDefault="00FD048A">
            <w:pPr>
              <w:widowControl/>
              <w:spacing w:line="240" w:lineRule="exact"/>
              <w:rPr>
                <w:rFonts w:ascii="Arial" w:eastAsia="华文细黑" w:hAnsi="Arial" w:cs="Arial"/>
                <w:color w:val="000000"/>
                <w:sz w:val="18"/>
                <w:szCs w:val="18"/>
              </w:rPr>
            </w:pPr>
            <w:r>
              <w:rPr>
                <w:rFonts w:ascii="Arial" w:eastAsia="华文细黑" w:hAnsi="Arial" w:hint="eastAsia"/>
                <w:sz w:val="18"/>
              </w:rPr>
              <w:t>商品房</w:t>
            </w:r>
          </w:p>
        </w:tc>
        <w:tc>
          <w:tcPr>
            <w:tcW w:w="1604" w:type="dxa"/>
            <w:vAlign w:val="center"/>
          </w:tcPr>
          <w:p w:rsidR="00184596" w:rsidRDefault="00FD048A">
            <w:pPr>
              <w:widowControl/>
              <w:spacing w:line="240" w:lineRule="exact"/>
              <w:rPr>
                <w:rFonts w:ascii="Arial" w:eastAsia="华文细黑" w:hAnsi="Arial" w:cs="Arial"/>
                <w:color w:val="000000"/>
                <w:sz w:val="18"/>
                <w:szCs w:val="18"/>
              </w:rPr>
            </w:pPr>
            <w:r>
              <w:rPr>
                <w:rFonts w:ascii="Arial" w:eastAsia="华文细黑" w:hAnsi="Arial" w:hint="eastAsia"/>
                <w:sz w:val="18"/>
              </w:rPr>
              <w:t>商品房</w:t>
            </w:r>
          </w:p>
        </w:tc>
        <w:tc>
          <w:tcPr>
            <w:tcW w:w="1605" w:type="dxa"/>
            <w:vAlign w:val="center"/>
          </w:tcPr>
          <w:p w:rsidR="00184596" w:rsidRDefault="00FD048A">
            <w:pPr>
              <w:widowControl/>
              <w:spacing w:line="240" w:lineRule="exact"/>
              <w:rPr>
                <w:rFonts w:ascii="Arial" w:eastAsia="华文细黑" w:hAnsi="Arial" w:cs="Arial"/>
                <w:color w:val="000000"/>
                <w:sz w:val="18"/>
                <w:szCs w:val="18"/>
              </w:rPr>
            </w:pPr>
            <w:r>
              <w:rPr>
                <w:rFonts w:ascii="Arial" w:eastAsia="华文细黑" w:hAnsi="Arial" w:hint="eastAsia"/>
                <w:sz w:val="18"/>
              </w:rPr>
              <w:t>商品房</w:t>
            </w:r>
          </w:p>
        </w:tc>
      </w:tr>
      <w:tr w:rsidR="00184596">
        <w:trPr>
          <w:cantSplit/>
          <w:jc w:val="center"/>
        </w:trPr>
        <w:tc>
          <w:tcPr>
            <w:tcW w:w="99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市场状况</w:t>
            </w:r>
          </w:p>
        </w:tc>
        <w:tc>
          <w:tcPr>
            <w:tcW w:w="1888" w:type="dxa"/>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交易时间</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2026年1月14日</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2026年1月</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2025年12月</w:t>
            </w:r>
          </w:p>
        </w:tc>
        <w:tc>
          <w:tcPr>
            <w:tcW w:w="1605"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2026年1月</w:t>
            </w:r>
          </w:p>
        </w:tc>
      </w:tr>
      <w:tr w:rsidR="00184596">
        <w:trPr>
          <w:cantSplit/>
          <w:jc w:val="center"/>
        </w:trPr>
        <w:tc>
          <w:tcPr>
            <w:tcW w:w="994" w:type="dxa"/>
            <w:vMerge w:val="restart"/>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区位状况</w:t>
            </w:r>
          </w:p>
        </w:tc>
        <w:tc>
          <w:tcPr>
            <w:tcW w:w="1888" w:type="dxa"/>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商业繁华度</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c>
          <w:tcPr>
            <w:tcW w:w="1605"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r>
      <w:tr w:rsidR="00184596">
        <w:trPr>
          <w:cantSplit/>
          <w:jc w:val="center"/>
        </w:trPr>
        <w:tc>
          <w:tcPr>
            <w:tcW w:w="994" w:type="dxa"/>
            <w:vMerge/>
            <w:vAlign w:val="center"/>
          </w:tcPr>
          <w:p w:rsidR="00184596" w:rsidRDefault="00184596">
            <w:pPr>
              <w:widowControl/>
              <w:spacing w:line="240" w:lineRule="exact"/>
              <w:rPr>
                <w:rFonts w:ascii="华文细黑" w:eastAsia="华文细黑" w:hAnsi="华文细黑" w:cs="Arial"/>
                <w:color w:val="000000"/>
                <w:sz w:val="18"/>
                <w:szCs w:val="18"/>
              </w:rPr>
            </w:pPr>
          </w:p>
        </w:tc>
        <w:tc>
          <w:tcPr>
            <w:tcW w:w="1888" w:type="dxa"/>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交通便捷度</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较好</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较好</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较好</w:t>
            </w:r>
          </w:p>
        </w:tc>
        <w:tc>
          <w:tcPr>
            <w:tcW w:w="1605"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较好</w:t>
            </w:r>
          </w:p>
        </w:tc>
      </w:tr>
      <w:tr w:rsidR="00184596">
        <w:trPr>
          <w:cantSplit/>
          <w:jc w:val="center"/>
        </w:trPr>
        <w:tc>
          <w:tcPr>
            <w:tcW w:w="994" w:type="dxa"/>
            <w:vMerge/>
            <w:vAlign w:val="center"/>
          </w:tcPr>
          <w:p w:rsidR="00184596" w:rsidRDefault="00184596">
            <w:pPr>
              <w:widowControl/>
              <w:spacing w:line="240" w:lineRule="exact"/>
              <w:rPr>
                <w:rFonts w:ascii="华文细黑" w:eastAsia="华文细黑" w:hAnsi="华文细黑" w:cs="Arial"/>
                <w:color w:val="000000"/>
                <w:sz w:val="18"/>
                <w:szCs w:val="18"/>
              </w:rPr>
            </w:pPr>
          </w:p>
        </w:tc>
        <w:tc>
          <w:tcPr>
            <w:tcW w:w="1888" w:type="dxa"/>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公共配套设施</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c>
          <w:tcPr>
            <w:tcW w:w="1605"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r>
      <w:tr w:rsidR="00184596">
        <w:trPr>
          <w:cantSplit/>
          <w:jc w:val="center"/>
        </w:trPr>
        <w:tc>
          <w:tcPr>
            <w:tcW w:w="994" w:type="dxa"/>
            <w:vMerge/>
            <w:vAlign w:val="center"/>
          </w:tcPr>
          <w:p w:rsidR="00184596" w:rsidRDefault="00184596">
            <w:pPr>
              <w:widowControl/>
              <w:spacing w:line="240" w:lineRule="exact"/>
              <w:rPr>
                <w:rFonts w:ascii="华文细黑" w:eastAsia="华文细黑" w:hAnsi="华文细黑" w:cs="Arial"/>
                <w:color w:val="000000"/>
                <w:sz w:val="18"/>
                <w:szCs w:val="18"/>
              </w:rPr>
            </w:pPr>
          </w:p>
        </w:tc>
        <w:tc>
          <w:tcPr>
            <w:tcW w:w="1888" w:type="dxa"/>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基础设施水平</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七通</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七通</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七通</w:t>
            </w:r>
          </w:p>
        </w:tc>
        <w:tc>
          <w:tcPr>
            <w:tcW w:w="1605"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七通</w:t>
            </w:r>
          </w:p>
        </w:tc>
      </w:tr>
      <w:tr w:rsidR="00184596">
        <w:trPr>
          <w:cantSplit/>
          <w:jc w:val="center"/>
        </w:trPr>
        <w:tc>
          <w:tcPr>
            <w:tcW w:w="994" w:type="dxa"/>
            <w:vMerge/>
            <w:vAlign w:val="center"/>
          </w:tcPr>
          <w:p w:rsidR="00184596" w:rsidRDefault="00184596">
            <w:pPr>
              <w:widowControl/>
              <w:spacing w:line="240" w:lineRule="exact"/>
              <w:rPr>
                <w:rFonts w:ascii="华文细黑" w:eastAsia="华文细黑" w:hAnsi="华文细黑" w:cs="Arial"/>
                <w:color w:val="000000"/>
                <w:sz w:val="18"/>
                <w:szCs w:val="18"/>
              </w:rPr>
            </w:pPr>
          </w:p>
        </w:tc>
        <w:tc>
          <w:tcPr>
            <w:tcW w:w="1888" w:type="dxa"/>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自然及人文环境</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较好</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较好</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较好</w:t>
            </w:r>
          </w:p>
        </w:tc>
        <w:tc>
          <w:tcPr>
            <w:tcW w:w="1605"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较好</w:t>
            </w:r>
          </w:p>
        </w:tc>
      </w:tr>
      <w:tr w:rsidR="00184596">
        <w:trPr>
          <w:cantSplit/>
          <w:jc w:val="center"/>
        </w:trPr>
        <w:tc>
          <w:tcPr>
            <w:tcW w:w="994" w:type="dxa"/>
            <w:vMerge/>
            <w:vAlign w:val="center"/>
          </w:tcPr>
          <w:p w:rsidR="00184596" w:rsidRDefault="00184596">
            <w:pPr>
              <w:widowControl/>
              <w:spacing w:line="240" w:lineRule="exact"/>
              <w:rPr>
                <w:rFonts w:ascii="华文细黑" w:eastAsia="华文细黑" w:hAnsi="华文细黑" w:cs="Arial"/>
                <w:color w:val="000000"/>
                <w:sz w:val="18"/>
                <w:szCs w:val="18"/>
              </w:rPr>
            </w:pPr>
          </w:p>
        </w:tc>
        <w:tc>
          <w:tcPr>
            <w:tcW w:w="1888" w:type="dxa"/>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临街状况</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单面临街</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单面临街</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单面临街</w:t>
            </w:r>
          </w:p>
        </w:tc>
        <w:tc>
          <w:tcPr>
            <w:tcW w:w="1605"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单面临街</w:t>
            </w:r>
          </w:p>
        </w:tc>
      </w:tr>
      <w:tr w:rsidR="00184596">
        <w:trPr>
          <w:cantSplit/>
          <w:jc w:val="center"/>
        </w:trPr>
        <w:tc>
          <w:tcPr>
            <w:tcW w:w="994" w:type="dxa"/>
            <w:vMerge/>
            <w:vAlign w:val="center"/>
          </w:tcPr>
          <w:p w:rsidR="00184596" w:rsidRDefault="00184596">
            <w:pPr>
              <w:widowControl/>
              <w:spacing w:line="240" w:lineRule="exact"/>
              <w:rPr>
                <w:rFonts w:ascii="华文细黑" w:eastAsia="华文细黑" w:hAnsi="华文细黑" w:cs="Arial"/>
                <w:color w:val="000000"/>
                <w:sz w:val="18"/>
                <w:szCs w:val="18"/>
              </w:rPr>
            </w:pPr>
          </w:p>
        </w:tc>
        <w:tc>
          <w:tcPr>
            <w:tcW w:w="1888" w:type="dxa"/>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人流量</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c>
          <w:tcPr>
            <w:tcW w:w="1605"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一般</w:t>
            </w:r>
          </w:p>
        </w:tc>
      </w:tr>
      <w:tr w:rsidR="00184596">
        <w:trPr>
          <w:cantSplit/>
          <w:jc w:val="center"/>
        </w:trPr>
        <w:tc>
          <w:tcPr>
            <w:tcW w:w="994" w:type="dxa"/>
            <w:vMerge/>
            <w:vAlign w:val="center"/>
          </w:tcPr>
          <w:p w:rsidR="00184596" w:rsidRDefault="00184596">
            <w:pPr>
              <w:widowControl/>
              <w:spacing w:line="240" w:lineRule="exact"/>
              <w:rPr>
                <w:rFonts w:ascii="华文细黑" w:eastAsia="华文细黑" w:hAnsi="华文细黑" w:cs="Arial"/>
                <w:color w:val="000000"/>
                <w:sz w:val="18"/>
                <w:szCs w:val="18"/>
              </w:rPr>
            </w:pPr>
          </w:p>
        </w:tc>
        <w:tc>
          <w:tcPr>
            <w:tcW w:w="1888" w:type="dxa"/>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楼层</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1</w:t>
            </w:r>
            <w:r>
              <w:rPr>
                <w:rFonts w:ascii="Arial" w:eastAsia="华文细黑" w:hAnsi="Arial" w:hint="eastAsia"/>
                <w:sz w:val="18"/>
              </w:rPr>
              <w:t>层</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1</w:t>
            </w:r>
            <w:r>
              <w:rPr>
                <w:rFonts w:ascii="Arial" w:eastAsia="华文细黑" w:hAnsi="Arial" w:hint="eastAsia"/>
                <w:sz w:val="18"/>
              </w:rPr>
              <w:t>层</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1</w:t>
            </w:r>
            <w:r>
              <w:rPr>
                <w:rFonts w:ascii="Arial" w:eastAsia="华文细黑" w:hAnsi="Arial" w:hint="eastAsia"/>
                <w:sz w:val="18"/>
              </w:rPr>
              <w:t>层</w:t>
            </w:r>
          </w:p>
        </w:tc>
        <w:tc>
          <w:tcPr>
            <w:tcW w:w="1605"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1</w:t>
            </w:r>
            <w:r>
              <w:rPr>
                <w:rFonts w:ascii="Arial" w:eastAsia="华文细黑" w:hAnsi="Arial" w:hint="eastAsia"/>
                <w:sz w:val="18"/>
              </w:rPr>
              <w:t>层</w:t>
            </w:r>
          </w:p>
        </w:tc>
      </w:tr>
      <w:tr w:rsidR="00184596">
        <w:trPr>
          <w:cantSplit/>
          <w:jc w:val="center"/>
        </w:trPr>
        <w:tc>
          <w:tcPr>
            <w:tcW w:w="994" w:type="dxa"/>
            <w:vMerge w:val="restart"/>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实物状况</w:t>
            </w:r>
          </w:p>
        </w:tc>
        <w:tc>
          <w:tcPr>
            <w:tcW w:w="1888" w:type="dxa"/>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商业类型</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商业综合体</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住宅底商</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商业综合体</w:t>
            </w:r>
          </w:p>
        </w:tc>
        <w:tc>
          <w:tcPr>
            <w:tcW w:w="1605"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住宅底商</w:t>
            </w:r>
          </w:p>
        </w:tc>
      </w:tr>
      <w:tr w:rsidR="00184596">
        <w:trPr>
          <w:cantSplit/>
          <w:jc w:val="center"/>
        </w:trPr>
        <w:tc>
          <w:tcPr>
            <w:tcW w:w="994" w:type="dxa"/>
            <w:vMerge/>
            <w:vAlign w:val="center"/>
          </w:tcPr>
          <w:p w:rsidR="00184596" w:rsidRDefault="00184596">
            <w:pPr>
              <w:widowControl/>
              <w:spacing w:line="240" w:lineRule="exact"/>
              <w:rPr>
                <w:rFonts w:ascii="华文细黑" w:eastAsia="华文细黑" w:hAnsi="华文细黑" w:cs="Arial"/>
                <w:color w:val="000000"/>
                <w:sz w:val="18"/>
                <w:szCs w:val="18"/>
              </w:rPr>
            </w:pPr>
          </w:p>
        </w:tc>
        <w:tc>
          <w:tcPr>
            <w:tcW w:w="1888" w:type="dxa"/>
            <w:noWrap/>
            <w:vAlign w:val="center"/>
          </w:tcPr>
          <w:p w:rsidR="00184596" w:rsidRDefault="00FD048A">
            <w:pPr>
              <w:widowControl/>
              <w:spacing w:line="240" w:lineRule="exact"/>
              <w:rPr>
                <w:rFonts w:ascii="华文细黑" w:eastAsia="华文细黑" w:hAnsi="华文细黑" w:cs="Arial"/>
                <w:color w:val="000000"/>
                <w:sz w:val="18"/>
                <w:szCs w:val="18"/>
              </w:rPr>
            </w:pPr>
            <w:commentRangeStart w:id="61"/>
            <w:r>
              <w:rPr>
                <w:rFonts w:ascii="华文细黑" w:eastAsia="华文细黑" w:hAnsi="华文细黑" w:cs="Arial" w:hint="eastAsia"/>
                <w:color w:val="000000"/>
                <w:sz w:val="18"/>
                <w:szCs w:val="18"/>
              </w:rPr>
              <w:t>建筑面积</w:t>
            </w:r>
            <w:commentRangeEnd w:id="61"/>
            <w:r w:rsidR="006B311D">
              <w:rPr>
                <w:rStyle w:val="af5"/>
              </w:rPr>
              <w:commentReference w:id="61"/>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647.17</w:t>
            </w:r>
          </w:p>
        </w:tc>
        <w:tc>
          <w:tcPr>
            <w:tcW w:w="1604" w:type="dxa"/>
          </w:tcPr>
          <w:p w:rsidR="00184596" w:rsidRDefault="00FD048A">
            <w:pPr>
              <w:wordWrap w:val="0"/>
              <w:overflowPunct w:val="0"/>
              <w:spacing w:line="240" w:lineRule="exact"/>
              <w:rPr>
                <w:rFonts w:ascii="华文细黑" w:eastAsia="华文细黑" w:hAnsi="华文细黑" w:cs="Arial"/>
                <w:color w:val="000000"/>
                <w:sz w:val="18"/>
                <w:szCs w:val="18"/>
              </w:rPr>
            </w:pPr>
            <w:r>
              <w:rPr>
                <w:rFonts w:ascii="Arial" w:eastAsia="华文细黑" w:hAnsi="Arial" w:hint="eastAsia"/>
                <w:sz w:val="18"/>
              </w:rPr>
              <w:t>500</w:t>
            </w:r>
          </w:p>
        </w:tc>
        <w:tc>
          <w:tcPr>
            <w:tcW w:w="1604" w:type="dxa"/>
          </w:tcPr>
          <w:p w:rsidR="00184596" w:rsidRDefault="00FD048A">
            <w:pPr>
              <w:wordWrap w:val="0"/>
              <w:overflowPunct w:val="0"/>
              <w:spacing w:line="240" w:lineRule="exact"/>
              <w:rPr>
                <w:rFonts w:ascii="华文细黑" w:eastAsia="华文细黑" w:hAnsi="华文细黑" w:cs="Arial"/>
                <w:color w:val="000000"/>
                <w:sz w:val="18"/>
                <w:szCs w:val="18"/>
              </w:rPr>
            </w:pPr>
            <w:r>
              <w:rPr>
                <w:rFonts w:ascii="Arial" w:eastAsia="华文细黑" w:hAnsi="Arial" w:hint="eastAsia"/>
                <w:sz w:val="18"/>
              </w:rPr>
              <w:t>160</w:t>
            </w:r>
          </w:p>
        </w:tc>
        <w:tc>
          <w:tcPr>
            <w:tcW w:w="1605" w:type="dxa"/>
          </w:tcPr>
          <w:p w:rsidR="00184596" w:rsidRDefault="00FD048A">
            <w:pPr>
              <w:wordWrap w:val="0"/>
              <w:overflowPunct w:val="0"/>
              <w:spacing w:line="240" w:lineRule="exact"/>
              <w:rPr>
                <w:rFonts w:ascii="华文细黑" w:eastAsia="华文细黑" w:hAnsi="华文细黑" w:cs="Arial"/>
                <w:color w:val="000000"/>
                <w:sz w:val="18"/>
                <w:szCs w:val="18"/>
              </w:rPr>
            </w:pPr>
            <w:r>
              <w:rPr>
                <w:rFonts w:ascii="Arial" w:eastAsia="华文细黑" w:hAnsi="Arial" w:hint="eastAsia"/>
                <w:sz w:val="18"/>
              </w:rPr>
              <w:t>150</w:t>
            </w:r>
          </w:p>
        </w:tc>
      </w:tr>
      <w:tr w:rsidR="00184596">
        <w:trPr>
          <w:cantSplit/>
          <w:jc w:val="center"/>
        </w:trPr>
        <w:tc>
          <w:tcPr>
            <w:tcW w:w="994" w:type="dxa"/>
            <w:vMerge/>
            <w:vAlign w:val="center"/>
          </w:tcPr>
          <w:p w:rsidR="00184596" w:rsidRDefault="00184596">
            <w:pPr>
              <w:widowControl/>
              <w:spacing w:line="240" w:lineRule="exact"/>
              <w:rPr>
                <w:rFonts w:ascii="华文细黑" w:eastAsia="华文细黑" w:hAnsi="华文细黑" w:cs="Arial"/>
                <w:color w:val="000000"/>
                <w:sz w:val="18"/>
                <w:szCs w:val="18"/>
              </w:rPr>
            </w:pPr>
          </w:p>
        </w:tc>
        <w:tc>
          <w:tcPr>
            <w:tcW w:w="1888" w:type="dxa"/>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建筑结构</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钢混</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钢混</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钢混</w:t>
            </w:r>
          </w:p>
        </w:tc>
        <w:tc>
          <w:tcPr>
            <w:tcW w:w="1605"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钢混</w:t>
            </w:r>
          </w:p>
        </w:tc>
      </w:tr>
      <w:tr w:rsidR="00184596">
        <w:trPr>
          <w:cantSplit/>
          <w:jc w:val="center"/>
        </w:trPr>
        <w:tc>
          <w:tcPr>
            <w:tcW w:w="994" w:type="dxa"/>
            <w:vMerge/>
            <w:vAlign w:val="center"/>
          </w:tcPr>
          <w:p w:rsidR="00184596" w:rsidRDefault="00184596">
            <w:pPr>
              <w:widowControl/>
              <w:spacing w:line="240" w:lineRule="exact"/>
              <w:rPr>
                <w:rFonts w:ascii="华文细黑" w:eastAsia="华文细黑" w:hAnsi="华文细黑" w:cs="Arial"/>
                <w:color w:val="000000"/>
                <w:sz w:val="18"/>
                <w:szCs w:val="18"/>
              </w:rPr>
            </w:pPr>
          </w:p>
        </w:tc>
        <w:tc>
          <w:tcPr>
            <w:tcW w:w="1888" w:type="dxa"/>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内部装修</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毛坯</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普通装修</w:t>
            </w:r>
          </w:p>
        </w:tc>
        <w:tc>
          <w:tcPr>
            <w:tcW w:w="1604"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普通装修</w:t>
            </w:r>
          </w:p>
        </w:tc>
        <w:tc>
          <w:tcPr>
            <w:tcW w:w="1605" w:type="dxa"/>
            <w:vAlign w:val="center"/>
          </w:tcPr>
          <w:p w:rsidR="00184596" w:rsidRDefault="00FD048A">
            <w:pPr>
              <w:widowControl/>
              <w:spacing w:line="240" w:lineRule="exact"/>
              <w:rPr>
                <w:rFonts w:ascii="华文细黑" w:eastAsia="华文细黑" w:hAnsi="华文细黑" w:cs="Arial"/>
                <w:color w:val="000000"/>
                <w:sz w:val="18"/>
                <w:szCs w:val="18"/>
              </w:rPr>
            </w:pPr>
            <w:r>
              <w:rPr>
                <w:rFonts w:ascii="Arial" w:eastAsia="华文细黑" w:hAnsi="Arial" w:hint="eastAsia"/>
                <w:sz w:val="18"/>
              </w:rPr>
              <w:t>普通装修</w:t>
            </w:r>
          </w:p>
        </w:tc>
      </w:tr>
      <w:tr w:rsidR="00184596">
        <w:trPr>
          <w:cantSplit/>
          <w:jc w:val="center"/>
        </w:trPr>
        <w:tc>
          <w:tcPr>
            <w:tcW w:w="994" w:type="dxa"/>
            <w:vMerge/>
            <w:vAlign w:val="center"/>
          </w:tcPr>
          <w:p w:rsidR="00184596" w:rsidRDefault="00184596">
            <w:pPr>
              <w:widowControl/>
              <w:spacing w:line="240" w:lineRule="exact"/>
              <w:rPr>
                <w:rFonts w:ascii="华文细黑" w:eastAsia="华文细黑" w:hAnsi="华文细黑" w:cs="Arial"/>
                <w:color w:val="000000"/>
                <w:sz w:val="18"/>
                <w:szCs w:val="18"/>
              </w:rPr>
            </w:pPr>
          </w:p>
        </w:tc>
        <w:tc>
          <w:tcPr>
            <w:tcW w:w="1888" w:type="dxa"/>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成新度</w:t>
            </w:r>
          </w:p>
        </w:tc>
        <w:tc>
          <w:tcPr>
            <w:tcW w:w="160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90-100%</w:t>
            </w:r>
          </w:p>
        </w:tc>
        <w:tc>
          <w:tcPr>
            <w:tcW w:w="160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80-90%</w:t>
            </w:r>
          </w:p>
        </w:tc>
        <w:tc>
          <w:tcPr>
            <w:tcW w:w="160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80-90%</w:t>
            </w:r>
          </w:p>
        </w:tc>
        <w:tc>
          <w:tcPr>
            <w:tcW w:w="1605" w:type="dxa"/>
          </w:tcPr>
          <w:p w:rsidR="00184596" w:rsidRDefault="00FD048A">
            <w:pPr>
              <w:wordWrap w:val="0"/>
              <w:overflowPunct w:val="0"/>
              <w:spacing w:line="240" w:lineRule="exact"/>
              <w:rPr>
                <w:rFonts w:ascii="华文细黑" w:eastAsia="华文细黑" w:hAnsi="华文细黑" w:cs="Arial"/>
                <w:color w:val="000000"/>
                <w:sz w:val="18"/>
                <w:szCs w:val="18"/>
              </w:rPr>
            </w:pPr>
            <w:r>
              <w:rPr>
                <w:rFonts w:ascii="Arial" w:eastAsia="华文细黑" w:hAnsi="Arial" w:hint="eastAsia"/>
                <w:sz w:val="18"/>
              </w:rPr>
              <w:t>80-90%</w:t>
            </w:r>
          </w:p>
        </w:tc>
      </w:tr>
      <w:tr w:rsidR="00184596">
        <w:trPr>
          <w:cantSplit/>
          <w:jc w:val="center"/>
        </w:trPr>
        <w:tc>
          <w:tcPr>
            <w:tcW w:w="994" w:type="dxa"/>
            <w:vMerge/>
            <w:vAlign w:val="center"/>
          </w:tcPr>
          <w:p w:rsidR="00184596" w:rsidRDefault="00184596">
            <w:pPr>
              <w:widowControl/>
              <w:spacing w:line="240" w:lineRule="exact"/>
              <w:rPr>
                <w:rFonts w:ascii="华文细黑" w:eastAsia="华文细黑" w:hAnsi="华文细黑" w:cs="Arial"/>
                <w:color w:val="000000"/>
                <w:sz w:val="18"/>
                <w:szCs w:val="18"/>
              </w:rPr>
            </w:pPr>
          </w:p>
        </w:tc>
        <w:tc>
          <w:tcPr>
            <w:tcW w:w="1888" w:type="dxa"/>
            <w:noWrap/>
          </w:tcPr>
          <w:p w:rsidR="00184596" w:rsidRDefault="00FD048A">
            <w:pPr>
              <w:wordWrap w:val="0"/>
              <w:overflowPunct w:val="0"/>
              <w:spacing w:line="240" w:lineRule="exact"/>
              <w:rPr>
                <w:rFonts w:ascii="华文细黑" w:eastAsia="华文细黑" w:hAnsi="华文细黑" w:cs="Arial"/>
                <w:color w:val="000000"/>
                <w:sz w:val="18"/>
                <w:szCs w:val="18"/>
              </w:rPr>
            </w:pPr>
            <w:r>
              <w:rPr>
                <w:rFonts w:ascii="Arial" w:eastAsia="华文细黑" w:hAnsi="Arial" w:hint="eastAsia"/>
                <w:sz w:val="18"/>
              </w:rPr>
              <w:t>物业管理</w:t>
            </w:r>
          </w:p>
        </w:tc>
        <w:tc>
          <w:tcPr>
            <w:tcW w:w="160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专业物业公司管理</w:t>
            </w:r>
          </w:p>
        </w:tc>
        <w:tc>
          <w:tcPr>
            <w:tcW w:w="160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专业物业公司管理</w:t>
            </w:r>
          </w:p>
        </w:tc>
        <w:tc>
          <w:tcPr>
            <w:tcW w:w="1604"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专业物业公司管理</w:t>
            </w:r>
          </w:p>
        </w:tc>
        <w:tc>
          <w:tcPr>
            <w:tcW w:w="1605" w:type="dxa"/>
          </w:tcPr>
          <w:p w:rsidR="00184596" w:rsidRDefault="00FD048A">
            <w:pPr>
              <w:wordWrap w:val="0"/>
              <w:overflowPunct w:val="0"/>
              <w:spacing w:line="240" w:lineRule="exact"/>
              <w:rPr>
                <w:rFonts w:ascii="Arial" w:eastAsia="华文细黑" w:hAnsi="Arial"/>
                <w:sz w:val="18"/>
              </w:rPr>
            </w:pPr>
            <w:r>
              <w:rPr>
                <w:rFonts w:ascii="Arial" w:eastAsia="华文细黑" w:hAnsi="Arial" w:hint="eastAsia"/>
                <w:sz w:val="18"/>
              </w:rPr>
              <w:t>专业物业公司管理</w:t>
            </w:r>
          </w:p>
        </w:tc>
      </w:tr>
    </w:tbl>
    <w:p w:rsidR="00184596" w:rsidRDefault="00FD048A" w:rsidP="00FD048A">
      <w:pPr>
        <w:spacing w:beforeLines="50" w:before="120" w:line="480" w:lineRule="auto"/>
        <w:ind w:firstLineChars="196" w:firstLine="412"/>
        <w:jc w:val="both"/>
        <w:rPr>
          <w:rFonts w:ascii="Arial" w:hAnsi="Arial" w:cs="Arial"/>
          <w:sz w:val="21"/>
          <w:szCs w:val="21"/>
        </w:rPr>
      </w:pPr>
      <w:r>
        <w:rPr>
          <w:rFonts w:ascii="Arial" w:hAnsi="Arial" w:cs="Arial" w:hint="eastAsia"/>
          <w:sz w:val="21"/>
          <w:szCs w:val="21"/>
        </w:rPr>
        <w:br w:type="page"/>
      </w:r>
      <w:r>
        <w:rPr>
          <w:rFonts w:ascii="Arial" w:hAnsi="Arial" w:cs="Arial" w:hint="eastAsia"/>
          <w:sz w:val="21"/>
          <w:szCs w:val="21"/>
        </w:rPr>
        <w:lastRenderedPageBreak/>
        <w:t>5.</w:t>
      </w:r>
      <w:r>
        <w:rPr>
          <w:rFonts w:ascii="Arial" w:hAnsi="Arial" w:cs="Arial" w:hint="eastAsia"/>
          <w:sz w:val="21"/>
          <w:szCs w:val="21"/>
        </w:rPr>
        <w:t>编制因素修正及调整系数表（见表</w:t>
      </w:r>
      <w:r>
        <w:rPr>
          <w:rFonts w:ascii="Arial" w:hAnsi="Arial" w:cs="Arial" w:hint="eastAsia"/>
          <w:sz w:val="21"/>
          <w:szCs w:val="21"/>
        </w:rPr>
        <w:t>2</w:t>
      </w:r>
      <w:r>
        <w:rPr>
          <w:rFonts w:ascii="Arial" w:hAnsi="Arial" w:cs="Arial" w:hint="eastAsia"/>
          <w:sz w:val="21"/>
          <w:szCs w:val="21"/>
        </w:rPr>
        <w:t>）</w:t>
      </w:r>
    </w:p>
    <w:p w:rsidR="00184596" w:rsidRDefault="00FD048A">
      <w:pPr>
        <w:spacing w:line="360" w:lineRule="auto"/>
        <w:jc w:val="center"/>
        <w:rPr>
          <w:rFonts w:ascii="Arial" w:eastAsia="方正黑体简体" w:hAnsi="Arial" w:cs="Arial"/>
          <w:bCs/>
          <w:szCs w:val="24"/>
        </w:rPr>
      </w:pPr>
      <w:r>
        <w:rPr>
          <w:rFonts w:ascii="Arial" w:eastAsia="方正黑体简体" w:hAnsi="Arial" w:cs="Arial" w:hint="eastAsia"/>
          <w:bCs/>
          <w:szCs w:val="24"/>
        </w:rPr>
        <w:t>表</w:t>
      </w:r>
      <w:r>
        <w:rPr>
          <w:rFonts w:ascii="Arial" w:eastAsia="方正黑体简体" w:hAnsi="Arial" w:cs="Arial" w:hint="eastAsia"/>
          <w:bCs/>
          <w:szCs w:val="24"/>
        </w:rPr>
        <w:t>2</w:t>
      </w:r>
      <w:r>
        <w:rPr>
          <w:rFonts w:ascii="Arial" w:eastAsia="方正黑体简体" w:hAnsi="Arial" w:cs="Arial" w:hint="eastAsia"/>
          <w:bCs/>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59"/>
        <w:gridCol w:w="2352"/>
        <w:gridCol w:w="1597"/>
        <w:gridCol w:w="1597"/>
        <w:gridCol w:w="1597"/>
        <w:gridCol w:w="1597"/>
      </w:tblGrid>
      <w:tr w:rsidR="00184596">
        <w:trPr>
          <w:cantSplit/>
          <w:tblHeader/>
          <w:jc w:val="center"/>
        </w:trPr>
        <w:tc>
          <w:tcPr>
            <w:tcW w:w="2911" w:type="dxa"/>
            <w:gridSpan w:val="2"/>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比较因素</w:t>
            </w:r>
          </w:p>
        </w:tc>
        <w:tc>
          <w:tcPr>
            <w:tcW w:w="1597" w:type="dxa"/>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估价对象</w:t>
            </w:r>
          </w:p>
        </w:tc>
        <w:tc>
          <w:tcPr>
            <w:tcW w:w="1597" w:type="dxa"/>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案例：</w:t>
            </w:r>
            <w:r>
              <w:rPr>
                <w:rFonts w:ascii="Arial" w:eastAsia="华文细黑" w:hAnsi="Arial" w:cs="Arial"/>
                <w:sz w:val="18"/>
                <w:szCs w:val="18"/>
              </w:rPr>
              <w:t>A</w:t>
            </w:r>
          </w:p>
        </w:tc>
        <w:tc>
          <w:tcPr>
            <w:tcW w:w="1597" w:type="dxa"/>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案例：</w:t>
            </w:r>
            <w:r>
              <w:rPr>
                <w:rFonts w:ascii="Arial" w:eastAsia="华文细黑" w:hAnsi="Arial" w:cs="Arial"/>
                <w:sz w:val="18"/>
                <w:szCs w:val="18"/>
              </w:rPr>
              <w:t>B</w:t>
            </w:r>
          </w:p>
        </w:tc>
        <w:tc>
          <w:tcPr>
            <w:tcW w:w="1597" w:type="dxa"/>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案例：</w:t>
            </w:r>
            <w:r>
              <w:rPr>
                <w:rFonts w:ascii="Arial" w:eastAsia="华文细黑" w:hAnsi="Arial" w:cs="Arial"/>
                <w:sz w:val="18"/>
                <w:szCs w:val="18"/>
              </w:rPr>
              <w:t>C</w:t>
            </w:r>
          </w:p>
        </w:tc>
      </w:tr>
      <w:tr w:rsidR="00184596">
        <w:trPr>
          <w:jc w:val="center"/>
        </w:trPr>
        <w:tc>
          <w:tcPr>
            <w:tcW w:w="2911" w:type="dxa"/>
            <w:gridSpan w:val="2"/>
            <w:noWrap/>
            <w:vAlign w:val="center"/>
          </w:tcPr>
          <w:p w:rsidR="00184596" w:rsidRDefault="00FD048A">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交易情况</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w:t>
            </w:r>
            <w:r>
              <w:rPr>
                <w:rFonts w:ascii="Arial" w:eastAsia="华文细黑" w:hAnsi="Arial" w:cs="Arial" w:hint="eastAsia"/>
                <w:sz w:val="18"/>
                <w:szCs w:val="18"/>
              </w:rPr>
              <w:t>12</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w:t>
            </w:r>
            <w:r>
              <w:rPr>
                <w:rFonts w:ascii="Arial" w:eastAsia="华文细黑" w:hAnsi="Arial" w:cs="Arial" w:hint="eastAsia"/>
                <w:sz w:val="18"/>
                <w:szCs w:val="18"/>
              </w:rPr>
              <w:t>12</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w:t>
            </w:r>
            <w:r>
              <w:rPr>
                <w:rFonts w:ascii="Arial" w:eastAsia="华文细黑" w:hAnsi="Arial" w:cs="Arial" w:hint="eastAsia"/>
                <w:sz w:val="18"/>
                <w:szCs w:val="18"/>
              </w:rPr>
              <w:t>12</w:t>
            </w:r>
          </w:p>
        </w:tc>
      </w:tr>
      <w:tr w:rsidR="00184596">
        <w:trPr>
          <w:jc w:val="center"/>
        </w:trPr>
        <w:tc>
          <w:tcPr>
            <w:tcW w:w="559" w:type="dxa"/>
            <w:vMerge w:val="restart"/>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权益状况</w:t>
            </w:r>
          </w:p>
        </w:tc>
        <w:tc>
          <w:tcPr>
            <w:tcW w:w="2352"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用途</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184596">
        <w:trPr>
          <w:jc w:val="center"/>
        </w:trPr>
        <w:tc>
          <w:tcPr>
            <w:tcW w:w="559" w:type="dxa"/>
            <w:vMerge/>
            <w:vAlign w:val="center"/>
          </w:tcPr>
          <w:p w:rsidR="00184596" w:rsidRDefault="00184596">
            <w:pPr>
              <w:widowControl/>
              <w:spacing w:line="240" w:lineRule="exact"/>
              <w:rPr>
                <w:rFonts w:ascii="华文细黑" w:eastAsia="华文细黑" w:hAnsi="华文细黑" w:cs="Arial"/>
                <w:sz w:val="18"/>
                <w:szCs w:val="18"/>
              </w:rPr>
            </w:pPr>
          </w:p>
        </w:tc>
        <w:tc>
          <w:tcPr>
            <w:tcW w:w="2352" w:type="dxa"/>
            <w:noWrap/>
            <w:vAlign w:val="center"/>
          </w:tcPr>
          <w:p w:rsidR="00184596" w:rsidRDefault="00FD048A">
            <w:pPr>
              <w:widowControl/>
              <w:spacing w:line="240" w:lineRule="auto"/>
              <w:rPr>
                <w:rFonts w:ascii="华文细黑" w:eastAsia="华文细黑" w:hAnsi="华文细黑" w:cs="Arial"/>
                <w:sz w:val="18"/>
                <w:szCs w:val="18"/>
              </w:rPr>
            </w:pPr>
            <w:r>
              <w:rPr>
                <w:rFonts w:ascii="华文细黑" w:eastAsia="华文细黑" w:hAnsi="华文细黑" w:cs="Arial" w:hint="eastAsia"/>
                <w:sz w:val="18"/>
                <w:szCs w:val="18"/>
                <w:highlight w:val="lightGray"/>
              </w:rPr>
              <w:t>权利性质</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184596">
        <w:trPr>
          <w:jc w:val="center"/>
        </w:trPr>
        <w:tc>
          <w:tcPr>
            <w:tcW w:w="559" w:type="dxa"/>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市场状况</w:t>
            </w:r>
          </w:p>
        </w:tc>
        <w:tc>
          <w:tcPr>
            <w:tcW w:w="2352"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交易时间</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184596">
        <w:trPr>
          <w:jc w:val="center"/>
        </w:trPr>
        <w:tc>
          <w:tcPr>
            <w:tcW w:w="559" w:type="dxa"/>
            <w:vMerge w:val="restart"/>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区位状况</w:t>
            </w:r>
          </w:p>
        </w:tc>
        <w:tc>
          <w:tcPr>
            <w:tcW w:w="2352"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商业繁华度</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184596">
        <w:trPr>
          <w:jc w:val="center"/>
        </w:trPr>
        <w:tc>
          <w:tcPr>
            <w:tcW w:w="559" w:type="dxa"/>
            <w:vMerge/>
            <w:vAlign w:val="center"/>
          </w:tcPr>
          <w:p w:rsidR="00184596" w:rsidRDefault="00184596">
            <w:pPr>
              <w:widowControl/>
              <w:spacing w:line="240" w:lineRule="exact"/>
              <w:rPr>
                <w:rFonts w:ascii="华文细黑" w:eastAsia="华文细黑" w:hAnsi="华文细黑" w:cs="Arial"/>
                <w:sz w:val="18"/>
                <w:szCs w:val="18"/>
              </w:rPr>
            </w:pPr>
          </w:p>
        </w:tc>
        <w:tc>
          <w:tcPr>
            <w:tcW w:w="2352"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交通便捷度</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184596">
        <w:trPr>
          <w:jc w:val="center"/>
        </w:trPr>
        <w:tc>
          <w:tcPr>
            <w:tcW w:w="559" w:type="dxa"/>
            <w:vMerge/>
            <w:vAlign w:val="center"/>
          </w:tcPr>
          <w:p w:rsidR="00184596" w:rsidRDefault="00184596">
            <w:pPr>
              <w:widowControl/>
              <w:spacing w:line="240" w:lineRule="exact"/>
              <w:rPr>
                <w:rFonts w:ascii="华文细黑" w:eastAsia="华文细黑" w:hAnsi="华文细黑" w:cs="Arial"/>
                <w:sz w:val="18"/>
                <w:szCs w:val="18"/>
              </w:rPr>
            </w:pPr>
          </w:p>
        </w:tc>
        <w:tc>
          <w:tcPr>
            <w:tcW w:w="2352"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公共配套设施</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184596">
        <w:trPr>
          <w:jc w:val="center"/>
        </w:trPr>
        <w:tc>
          <w:tcPr>
            <w:tcW w:w="559" w:type="dxa"/>
            <w:vMerge/>
            <w:vAlign w:val="center"/>
          </w:tcPr>
          <w:p w:rsidR="00184596" w:rsidRDefault="00184596">
            <w:pPr>
              <w:widowControl/>
              <w:spacing w:line="240" w:lineRule="exact"/>
              <w:rPr>
                <w:rFonts w:ascii="华文细黑" w:eastAsia="华文细黑" w:hAnsi="华文细黑" w:cs="Arial"/>
                <w:sz w:val="18"/>
                <w:szCs w:val="18"/>
              </w:rPr>
            </w:pPr>
          </w:p>
        </w:tc>
        <w:tc>
          <w:tcPr>
            <w:tcW w:w="2352"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基础设施水平</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184596">
        <w:trPr>
          <w:jc w:val="center"/>
        </w:trPr>
        <w:tc>
          <w:tcPr>
            <w:tcW w:w="559" w:type="dxa"/>
            <w:vMerge/>
            <w:vAlign w:val="center"/>
          </w:tcPr>
          <w:p w:rsidR="00184596" w:rsidRDefault="00184596">
            <w:pPr>
              <w:widowControl/>
              <w:spacing w:line="240" w:lineRule="exact"/>
              <w:rPr>
                <w:rFonts w:ascii="华文细黑" w:eastAsia="华文细黑" w:hAnsi="华文细黑" w:cs="Arial"/>
                <w:sz w:val="18"/>
                <w:szCs w:val="18"/>
              </w:rPr>
            </w:pPr>
          </w:p>
        </w:tc>
        <w:tc>
          <w:tcPr>
            <w:tcW w:w="2352"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自然及人文环境</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184596">
        <w:trPr>
          <w:jc w:val="center"/>
        </w:trPr>
        <w:tc>
          <w:tcPr>
            <w:tcW w:w="559" w:type="dxa"/>
            <w:vMerge/>
            <w:vAlign w:val="center"/>
          </w:tcPr>
          <w:p w:rsidR="00184596" w:rsidRDefault="00184596">
            <w:pPr>
              <w:widowControl/>
              <w:spacing w:line="240" w:lineRule="exact"/>
              <w:rPr>
                <w:rFonts w:ascii="华文细黑" w:eastAsia="华文细黑" w:hAnsi="华文细黑" w:cs="Arial"/>
                <w:sz w:val="18"/>
                <w:szCs w:val="18"/>
              </w:rPr>
            </w:pPr>
          </w:p>
        </w:tc>
        <w:tc>
          <w:tcPr>
            <w:tcW w:w="2352"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临街状况</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184596">
        <w:trPr>
          <w:jc w:val="center"/>
        </w:trPr>
        <w:tc>
          <w:tcPr>
            <w:tcW w:w="559" w:type="dxa"/>
            <w:vMerge/>
            <w:vAlign w:val="center"/>
          </w:tcPr>
          <w:p w:rsidR="00184596" w:rsidRDefault="00184596">
            <w:pPr>
              <w:widowControl/>
              <w:spacing w:line="240" w:lineRule="exact"/>
              <w:rPr>
                <w:rFonts w:ascii="华文细黑" w:eastAsia="华文细黑" w:hAnsi="华文细黑" w:cs="Arial"/>
                <w:sz w:val="18"/>
                <w:szCs w:val="18"/>
              </w:rPr>
            </w:pPr>
          </w:p>
        </w:tc>
        <w:tc>
          <w:tcPr>
            <w:tcW w:w="2352"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人流量</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184596">
        <w:trPr>
          <w:jc w:val="center"/>
        </w:trPr>
        <w:tc>
          <w:tcPr>
            <w:tcW w:w="559" w:type="dxa"/>
            <w:vMerge/>
            <w:vAlign w:val="center"/>
          </w:tcPr>
          <w:p w:rsidR="00184596" w:rsidRDefault="00184596">
            <w:pPr>
              <w:widowControl/>
              <w:spacing w:line="240" w:lineRule="exact"/>
              <w:rPr>
                <w:rFonts w:ascii="华文细黑" w:eastAsia="华文细黑" w:hAnsi="华文细黑" w:cs="Arial"/>
                <w:sz w:val="18"/>
                <w:szCs w:val="18"/>
              </w:rPr>
            </w:pPr>
          </w:p>
        </w:tc>
        <w:tc>
          <w:tcPr>
            <w:tcW w:w="2352"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楼层</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184596">
        <w:trPr>
          <w:jc w:val="center"/>
        </w:trPr>
        <w:tc>
          <w:tcPr>
            <w:tcW w:w="559" w:type="dxa"/>
            <w:vMerge w:val="restart"/>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实物状况</w:t>
            </w:r>
          </w:p>
        </w:tc>
        <w:tc>
          <w:tcPr>
            <w:tcW w:w="2352"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商业类型</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94</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94</w:t>
            </w:r>
          </w:p>
        </w:tc>
      </w:tr>
      <w:tr w:rsidR="00184596">
        <w:trPr>
          <w:jc w:val="center"/>
        </w:trPr>
        <w:tc>
          <w:tcPr>
            <w:tcW w:w="559" w:type="dxa"/>
            <w:vMerge/>
            <w:textDirection w:val="tbRlV"/>
            <w:vAlign w:val="center"/>
          </w:tcPr>
          <w:p w:rsidR="00184596" w:rsidRDefault="00184596">
            <w:pPr>
              <w:widowControl/>
              <w:spacing w:line="240" w:lineRule="exact"/>
              <w:rPr>
                <w:rFonts w:ascii="华文细黑" w:eastAsia="华文细黑" w:hAnsi="华文细黑" w:cs="Arial"/>
                <w:sz w:val="18"/>
                <w:szCs w:val="18"/>
              </w:rPr>
            </w:pPr>
          </w:p>
        </w:tc>
        <w:tc>
          <w:tcPr>
            <w:tcW w:w="2352"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建筑面积</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w:t>
            </w:r>
            <w:r>
              <w:rPr>
                <w:rFonts w:ascii="Arial" w:eastAsia="华文细黑" w:hAnsi="Arial" w:cs="Arial" w:hint="eastAsia"/>
                <w:sz w:val="18"/>
                <w:szCs w:val="18"/>
              </w:rPr>
              <w:t>2</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w:t>
            </w:r>
            <w:r>
              <w:rPr>
                <w:rFonts w:ascii="Arial" w:eastAsia="华文细黑" w:hAnsi="Arial" w:cs="Arial" w:hint="eastAsia"/>
                <w:sz w:val="18"/>
                <w:szCs w:val="18"/>
              </w:rPr>
              <w:t>4</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w:t>
            </w:r>
            <w:r>
              <w:rPr>
                <w:rFonts w:ascii="Arial" w:eastAsia="华文细黑" w:hAnsi="Arial" w:cs="Arial" w:hint="eastAsia"/>
                <w:sz w:val="18"/>
                <w:szCs w:val="18"/>
              </w:rPr>
              <w:t>4</w:t>
            </w:r>
          </w:p>
        </w:tc>
      </w:tr>
      <w:tr w:rsidR="00184596">
        <w:trPr>
          <w:jc w:val="center"/>
        </w:trPr>
        <w:tc>
          <w:tcPr>
            <w:tcW w:w="559" w:type="dxa"/>
            <w:vMerge/>
            <w:vAlign w:val="center"/>
          </w:tcPr>
          <w:p w:rsidR="00184596" w:rsidRDefault="00184596">
            <w:pPr>
              <w:widowControl/>
              <w:spacing w:line="240" w:lineRule="exact"/>
              <w:rPr>
                <w:rFonts w:ascii="华文细黑" w:eastAsia="华文细黑" w:hAnsi="华文细黑" w:cs="Arial"/>
                <w:sz w:val="18"/>
                <w:szCs w:val="18"/>
              </w:rPr>
            </w:pPr>
          </w:p>
        </w:tc>
        <w:tc>
          <w:tcPr>
            <w:tcW w:w="2352"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建筑结构</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r>
      <w:tr w:rsidR="00184596">
        <w:trPr>
          <w:jc w:val="center"/>
        </w:trPr>
        <w:tc>
          <w:tcPr>
            <w:tcW w:w="559" w:type="dxa"/>
            <w:vMerge/>
            <w:vAlign w:val="center"/>
          </w:tcPr>
          <w:p w:rsidR="00184596" w:rsidRDefault="00184596">
            <w:pPr>
              <w:widowControl/>
              <w:spacing w:line="240" w:lineRule="exact"/>
              <w:rPr>
                <w:rFonts w:ascii="华文细黑" w:eastAsia="华文细黑" w:hAnsi="华文细黑" w:cs="Arial"/>
                <w:sz w:val="18"/>
                <w:szCs w:val="18"/>
              </w:rPr>
            </w:pPr>
          </w:p>
        </w:tc>
        <w:tc>
          <w:tcPr>
            <w:tcW w:w="2352"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内部装修</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w:t>
            </w:r>
            <w:r>
              <w:rPr>
                <w:rFonts w:ascii="Arial" w:eastAsia="华文细黑" w:hAnsi="Arial" w:cs="Arial" w:hint="eastAsia"/>
                <w:sz w:val="18"/>
                <w:szCs w:val="18"/>
              </w:rPr>
              <w:t>5</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w:t>
            </w:r>
            <w:r>
              <w:rPr>
                <w:rFonts w:ascii="Arial" w:eastAsia="华文细黑" w:hAnsi="Arial" w:cs="Arial" w:hint="eastAsia"/>
                <w:sz w:val="18"/>
                <w:szCs w:val="18"/>
              </w:rPr>
              <w:t>5</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w:t>
            </w:r>
            <w:r>
              <w:rPr>
                <w:rFonts w:ascii="Arial" w:eastAsia="华文细黑" w:hAnsi="Arial" w:cs="Arial" w:hint="eastAsia"/>
                <w:sz w:val="18"/>
                <w:szCs w:val="18"/>
              </w:rPr>
              <w:t>5</w:t>
            </w:r>
          </w:p>
        </w:tc>
      </w:tr>
      <w:tr w:rsidR="00184596">
        <w:trPr>
          <w:jc w:val="center"/>
        </w:trPr>
        <w:tc>
          <w:tcPr>
            <w:tcW w:w="559" w:type="dxa"/>
            <w:vMerge/>
            <w:vAlign w:val="center"/>
          </w:tcPr>
          <w:p w:rsidR="00184596" w:rsidRDefault="00184596">
            <w:pPr>
              <w:widowControl/>
              <w:spacing w:line="240" w:lineRule="exact"/>
              <w:rPr>
                <w:rFonts w:ascii="华文细黑" w:eastAsia="华文细黑" w:hAnsi="华文细黑" w:cs="Arial"/>
                <w:sz w:val="18"/>
                <w:szCs w:val="18"/>
              </w:rPr>
            </w:pPr>
          </w:p>
        </w:tc>
        <w:tc>
          <w:tcPr>
            <w:tcW w:w="2352"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成新度</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tabs>
                <w:tab w:val="left" w:pos="573"/>
              </w:tabs>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95</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95</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95</w:t>
            </w:r>
          </w:p>
        </w:tc>
      </w:tr>
      <w:tr w:rsidR="00184596">
        <w:trPr>
          <w:jc w:val="center"/>
        </w:trPr>
        <w:tc>
          <w:tcPr>
            <w:tcW w:w="559" w:type="dxa"/>
            <w:vMerge/>
            <w:vAlign w:val="center"/>
          </w:tcPr>
          <w:p w:rsidR="00184596" w:rsidRDefault="00184596">
            <w:pPr>
              <w:widowControl/>
              <w:spacing w:line="240" w:lineRule="exact"/>
              <w:rPr>
                <w:rFonts w:ascii="华文细黑" w:eastAsia="华文细黑" w:hAnsi="华文细黑" w:cs="Arial"/>
                <w:sz w:val="18"/>
                <w:szCs w:val="18"/>
              </w:rPr>
            </w:pPr>
          </w:p>
        </w:tc>
        <w:tc>
          <w:tcPr>
            <w:tcW w:w="2352" w:type="dxa"/>
            <w:noWrap/>
          </w:tcPr>
          <w:p w:rsidR="00184596" w:rsidRDefault="00FD048A">
            <w:pPr>
              <w:wordWrap w:val="0"/>
              <w:overflowPunct w:val="0"/>
              <w:spacing w:line="240" w:lineRule="exact"/>
              <w:rPr>
                <w:rFonts w:ascii="华文细黑" w:eastAsia="华文细黑" w:hAnsi="华文细黑" w:cs="Arial"/>
                <w:sz w:val="18"/>
                <w:szCs w:val="18"/>
              </w:rPr>
            </w:pPr>
            <w:r>
              <w:rPr>
                <w:rFonts w:ascii="Arial" w:eastAsia="华文细黑" w:hAnsi="Arial" w:hint="eastAsia"/>
                <w:sz w:val="18"/>
              </w:rPr>
              <w:t>物业管理</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c>
          <w:tcPr>
            <w:tcW w:w="1597" w:type="dxa"/>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100</w:t>
            </w:r>
          </w:p>
        </w:tc>
      </w:tr>
    </w:tbl>
    <w:p w:rsidR="00184596" w:rsidRDefault="00FD048A" w:rsidP="00FD048A">
      <w:pPr>
        <w:spacing w:beforeLines="100" w:before="240" w:line="480" w:lineRule="auto"/>
        <w:ind w:firstLineChars="196" w:firstLine="412"/>
        <w:jc w:val="both"/>
        <w:rPr>
          <w:rFonts w:ascii="Arial" w:hAnsi="Arial" w:cs="Arial"/>
          <w:sz w:val="21"/>
          <w:szCs w:val="21"/>
        </w:rPr>
      </w:pPr>
      <w:r>
        <w:rPr>
          <w:rFonts w:ascii="Arial" w:hAnsi="Arial" w:cs="Arial" w:hint="eastAsia"/>
          <w:sz w:val="21"/>
          <w:szCs w:val="21"/>
        </w:rPr>
        <w:t>各因素条件指数确定说明如下：</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）交易情况修正指数的确定</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由于估价对象和各案例交易情况不同，各案例租金均为挂牌租金水平，故估价对象及可比案例的修正系数分别为</w:t>
      </w:r>
      <w:r>
        <w:rPr>
          <w:rFonts w:ascii="Arial" w:hAnsi="Arial" w:cs="Arial" w:hint="eastAsia"/>
          <w:sz w:val="21"/>
          <w:szCs w:val="21"/>
        </w:rPr>
        <w:t>100</w:t>
      </w:r>
      <w:r>
        <w:rPr>
          <w:rFonts w:ascii="Arial" w:hAnsi="Arial" w:cs="Arial" w:hint="eastAsia"/>
          <w:sz w:val="21"/>
          <w:szCs w:val="21"/>
        </w:rPr>
        <w:t>；</w:t>
      </w:r>
      <w:r>
        <w:rPr>
          <w:rFonts w:ascii="Arial" w:hAnsi="Arial" w:cs="Arial" w:hint="eastAsia"/>
          <w:sz w:val="21"/>
          <w:szCs w:val="21"/>
        </w:rPr>
        <w:t>105</w:t>
      </w:r>
      <w:r>
        <w:rPr>
          <w:rFonts w:ascii="Arial" w:hAnsi="Arial" w:cs="Arial" w:hint="eastAsia"/>
          <w:sz w:val="21"/>
          <w:szCs w:val="21"/>
        </w:rPr>
        <w:t>；</w:t>
      </w:r>
      <w:r>
        <w:rPr>
          <w:rFonts w:ascii="Arial" w:hAnsi="Arial" w:cs="Arial" w:hint="eastAsia"/>
          <w:sz w:val="21"/>
          <w:szCs w:val="21"/>
        </w:rPr>
        <w:t>105</w:t>
      </w:r>
      <w:r>
        <w:rPr>
          <w:rFonts w:ascii="Arial" w:hAnsi="Arial" w:cs="Arial" w:hint="eastAsia"/>
          <w:sz w:val="21"/>
          <w:szCs w:val="21"/>
        </w:rPr>
        <w:t>；</w:t>
      </w:r>
      <w:r>
        <w:rPr>
          <w:rFonts w:ascii="Arial" w:hAnsi="Arial" w:cs="Arial" w:hint="eastAsia"/>
          <w:sz w:val="21"/>
          <w:szCs w:val="21"/>
        </w:rPr>
        <w:t>105</w:t>
      </w:r>
      <w:r>
        <w:rPr>
          <w:rFonts w:ascii="Arial" w:hAnsi="Arial" w:cs="Arial" w:hint="eastAsia"/>
          <w:sz w:val="21"/>
          <w:szCs w:val="21"/>
        </w:rPr>
        <w:t>。</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）市场状况调整</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估价对象的价值时点为</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 xml:space="preserve"> </w:t>
      </w:r>
      <w:r>
        <w:rPr>
          <w:rFonts w:ascii="Arial" w:hAnsi="Arial" w:cs="Arial" w:hint="eastAsia"/>
          <w:sz w:val="21"/>
          <w:szCs w:val="21"/>
        </w:rPr>
        <w:t>，可比实例交易日期分别为</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月，根据注册房地产估价师所掌握该区域商业房地产市场情况，此段时间该类型房地产市场价格平稳，故估价对象及可比案例的调整系数均为</w:t>
      </w:r>
      <w:r>
        <w:rPr>
          <w:rFonts w:ascii="Arial" w:hAnsi="Arial" w:cs="Arial" w:hint="eastAsia"/>
          <w:sz w:val="21"/>
          <w:szCs w:val="21"/>
        </w:rPr>
        <w:t>100</w:t>
      </w:r>
      <w:r>
        <w:rPr>
          <w:rFonts w:ascii="Arial" w:hAnsi="Arial" w:cs="Arial" w:hint="eastAsia"/>
          <w:sz w:val="21"/>
          <w:szCs w:val="21"/>
        </w:rPr>
        <w:t>。</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）房地产状况调整</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本次评估以估价对象房地产的状况为基准，调整系数设定为</w:t>
      </w:r>
      <w:r>
        <w:rPr>
          <w:rFonts w:ascii="Arial" w:hAnsi="Arial" w:cs="Arial" w:hint="eastAsia"/>
          <w:sz w:val="21"/>
          <w:szCs w:val="21"/>
        </w:rPr>
        <w:t>100</w:t>
      </w:r>
      <w:r>
        <w:rPr>
          <w:rFonts w:ascii="Arial" w:hAnsi="Arial" w:cs="Arial" w:hint="eastAsia"/>
          <w:sz w:val="21"/>
          <w:szCs w:val="21"/>
        </w:rPr>
        <w:t>，可比实例的调整系数为逐项与</w:t>
      </w:r>
      <w:r>
        <w:rPr>
          <w:rFonts w:ascii="Arial" w:hAnsi="Arial" w:cs="Arial" w:hint="eastAsia"/>
          <w:sz w:val="21"/>
          <w:szCs w:val="21"/>
        </w:rPr>
        <w:lastRenderedPageBreak/>
        <w:t>之比较得出。</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hint="eastAsia"/>
          <w:sz w:val="21"/>
          <w:szCs w:val="21"/>
        </w:rPr>
        <w:t xml:space="preserve"> </w:t>
      </w:r>
      <w:r>
        <w:rPr>
          <w:rFonts w:ascii="Arial" w:hAnsi="Arial" w:cs="Arial" w:hint="eastAsia"/>
          <w:sz w:val="21"/>
          <w:szCs w:val="21"/>
        </w:rPr>
        <w:t>权益状况</w:t>
      </w:r>
    </w:p>
    <w:p w:rsidR="00184596" w:rsidRDefault="00FD048A">
      <w:pPr>
        <w:autoSpaceDE w:val="0"/>
        <w:autoSpaceDN w:val="0"/>
        <w:jc w:val="center"/>
        <w:rPr>
          <w:rFonts w:ascii="宋体" w:hAnsi="宋体"/>
          <w:szCs w:val="24"/>
        </w:rPr>
      </w:pPr>
      <w:r>
        <w:rPr>
          <w:rFonts w:ascii="方正黑体简体" w:eastAsia="方正黑体简体" w:hAnsi="华文细黑" w:hint="eastAsia"/>
          <w:szCs w:val="24"/>
        </w:rPr>
        <w:t>权益状况等级说明表</w:t>
      </w:r>
    </w:p>
    <w:tbl>
      <w:tblPr>
        <w:tblW w:w="4939"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413"/>
        <w:gridCol w:w="6810"/>
        <w:gridCol w:w="1075"/>
      </w:tblGrid>
      <w:tr w:rsidR="00184596">
        <w:trPr>
          <w:cantSplit/>
          <w:jc w:val="center"/>
        </w:trPr>
        <w:tc>
          <w:tcPr>
            <w:tcW w:w="760" w:type="pct"/>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权益状况</w:t>
            </w:r>
          </w:p>
        </w:tc>
        <w:tc>
          <w:tcPr>
            <w:tcW w:w="3661" w:type="pct"/>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等级划分</w:t>
            </w:r>
          </w:p>
        </w:tc>
        <w:tc>
          <w:tcPr>
            <w:tcW w:w="578" w:type="pct"/>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每等级向下调整幅度</w:t>
            </w:r>
          </w:p>
        </w:tc>
      </w:tr>
      <w:tr w:rsidR="00184596">
        <w:trPr>
          <w:cantSplit/>
          <w:jc w:val="center"/>
        </w:trPr>
        <w:tc>
          <w:tcPr>
            <w:tcW w:w="760" w:type="pct"/>
            <w:vAlign w:val="center"/>
          </w:tcPr>
          <w:p w:rsidR="00184596" w:rsidRDefault="00FD048A">
            <w:pPr>
              <w:widowControl/>
              <w:spacing w:line="240" w:lineRule="exact"/>
              <w:rPr>
                <w:rFonts w:ascii="Arial" w:eastAsia="华文细黑" w:hAnsi="Arial" w:cs="Arial"/>
                <w:sz w:val="18"/>
                <w:szCs w:val="18"/>
              </w:rPr>
            </w:pPr>
            <w:r>
              <w:rPr>
                <w:rFonts w:ascii="Arial" w:eastAsia="华文细黑" w:hAnsi="Arial" w:cs="Arial"/>
                <w:sz w:val="18"/>
                <w:szCs w:val="18"/>
              </w:rPr>
              <w:t>用途</w:t>
            </w:r>
          </w:p>
        </w:tc>
        <w:tc>
          <w:tcPr>
            <w:tcW w:w="3661" w:type="pct"/>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估价对象与</w:t>
            </w:r>
            <w:r>
              <w:rPr>
                <w:rFonts w:ascii="Arial" w:eastAsia="华文细黑" w:hAnsi="Arial" w:cs="Arial" w:hint="eastAsia"/>
                <w:sz w:val="18"/>
                <w:szCs w:val="18"/>
              </w:rPr>
              <w:t>可比实例</w:t>
            </w:r>
            <w:r>
              <w:rPr>
                <w:rFonts w:ascii="Arial" w:eastAsia="华文细黑" w:hAnsi="Arial" w:cs="Arial"/>
                <w:sz w:val="18"/>
                <w:szCs w:val="18"/>
              </w:rPr>
              <w:t>用途均为</w:t>
            </w:r>
            <w:r>
              <w:rPr>
                <w:rFonts w:ascii="Arial" w:eastAsia="华文细黑" w:hAnsi="Arial" w:cs="Arial" w:hint="eastAsia"/>
                <w:sz w:val="18"/>
                <w:szCs w:val="18"/>
              </w:rPr>
              <w:t>商业，故估价对象及可比案例的调整系数均为</w:t>
            </w:r>
            <w:r>
              <w:rPr>
                <w:rFonts w:ascii="Arial" w:eastAsia="华文细黑" w:hAnsi="Arial" w:cs="Arial" w:hint="eastAsia"/>
                <w:sz w:val="18"/>
                <w:szCs w:val="18"/>
              </w:rPr>
              <w:t>100</w:t>
            </w:r>
          </w:p>
        </w:tc>
        <w:tc>
          <w:tcPr>
            <w:tcW w:w="578" w:type="pct"/>
            <w:vAlign w:val="center"/>
          </w:tcPr>
          <w:p w:rsidR="00184596" w:rsidRDefault="00FD048A">
            <w:pPr>
              <w:spacing w:line="240" w:lineRule="exact"/>
              <w:rPr>
                <w:rFonts w:ascii="Arial" w:eastAsia="华文细黑" w:hAnsi="Arial" w:cs="Arial"/>
                <w:sz w:val="18"/>
                <w:szCs w:val="18"/>
              </w:rPr>
            </w:pPr>
            <w:r>
              <w:rPr>
                <w:rFonts w:ascii="Arial" w:eastAsia="华文细黑" w:hAnsi="Arial" w:cs="Arial" w:hint="eastAsia"/>
                <w:sz w:val="18"/>
                <w:szCs w:val="18"/>
              </w:rPr>
              <w:t>-</w:t>
            </w:r>
          </w:p>
        </w:tc>
      </w:tr>
      <w:tr w:rsidR="00184596">
        <w:trPr>
          <w:cantSplit/>
          <w:jc w:val="center"/>
        </w:trPr>
        <w:tc>
          <w:tcPr>
            <w:tcW w:w="760" w:type="pct"/>
            <w:vAlign w:val="center"/>
          </w:tcPr>
          <w:p w:rsidR="00184596" w:rsidRDefault="00FD048A">
            <w:pPr>
              <w:widowControl/>
              <w:spacing w:line="240" w:lineRule="exact"/>
              <w:rPr>
                <w:rFonts w:ascii="Arial" w:eastAsia="华文细黑" w:hAnsi="Arial" w:cs="Arial"/>
                <w:sz w:val="18"/>
                <w:szCs w:val="18"/>
              </w:rPr>
            </w:pPr>
            <w:r>
              <w:rPr>
                <w:rFonts w:ascii="Arial" w:eastAsia="华文细黑" w:hAnsi="Arial" w:cs="Arial" w:hint="eastAsia"/>
                <w:sz w:val="18"/>
                <w:szCs w:val="18"/>
              </w:rPr>
              <w:t>权利性质</w:t>
            </w:r>
          </w:p>
        </w:tc>
        <w:tc>
          <w:tcPr>
            <w:tcW w:w="3661" w:type="pct"/>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估价对象与</w:t>
            </w:r>
            <w:r>
              <w:rPr>
                <w:rFonts w:ascii="Arial" w:eastAsia="华文细黑" w:hAnsi="Arial" w:cs="Arial" w:hint="eastAsia"/>
                <w:sz w:val="18"/>
                <w:szCs w:val="18"/>
              </w:rPr>
              <w:t>可比实例土地性质均为国有出让，房屋性质为商品房，均为完全产权，故估价对象及可比案例的调整系数均为</w:t>
            </w:r>
            <w:r>
              <w:rPr>
                <w:rFonts w:ascii="Arial" w:eastAsia="华文细黑" w:hAnsi="Arial" w:cs="Arial" w:hint="eastAsia"/>
                <w:sz w:val="18"/>
                <w:szCs w:val="18"/>
              </w:rPr>
              <w:t>100</w:t>
            </w:r>
          </w:p>
        </w:tc>
        <w:tc>
          <w:tcPr>
            <w:tcW w:w="578" w:type="pct"/>
            <w:vAlign w:val="center"/>
          </w:tcPr>
          <w:p w:rsidR="00184596" w:rsidRDefault="00FD048A">
            <w:pPr>
              <w:spacing w:line="240" w:lineRule="exact"/>
              <w:rPr>
                <w:rFonts w:ascii="Arial" w:eastAsia="华文细黑" w:hAnsi="Arial" w:cs="Arial"/>
                <w:sz w:val="18"/>
                <w:szCs w:val="18"/>
              </w:rPr>
            </w:pPr>
            <w:r>
              <w:rPr>
                <w:rFonts w:ascii="Arial" w:eastAsia="华文细黑" w:hAnsi="Arial" w:cs="Arial" w:hint="eastAsia"/>
                <w:sz w:val="18"/>
                <w:szCs w:val="18"/>
              </w:rPr>
              <w:t>-</w:t>
            </w:r>
          </w:p>
        </w:tc>
      </w:tr>
    </w:tbl>
    <w:p w:rsidR="00184596" w:rsidRDefault="00FD048A" w:rsidP="00FD048A">
      <w:pPr>
        <w:spacing w:beforeLines="100" w:before="240" w:line="480" w:lineRule="auto"/>
        <w:ind w:firstLineChars="196" w:firstLine="412"/>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）区位状况</w:t>
      </w:r>
    </w:p>
    <w:p w:rsidR="00184596" w:rsidRDefault="00FD048A">
      <w:pPr>
        <w:autoSpaceDE w:val="0"/>
        <w:autoSpaceDN w:val="0"/>
        <w:jc w:val="center"/>
        <w:rPr>
          <w:rFonts w:ascii="方正黑体简体" w:eastAsia="方正黑体简体" w:hAnsi="华文细黑"/>
          <w:szCs w:val="24"/>
        </w:rPr>
      </w:pPr>
      <w:r>
        <w:rPr>
          <w:rFonts w:ascii="方正黑体简体" w:eastAsia="方正黑体简体" w:hAnsi="华文细黑" w:hint="eastAsia"/>
          <w:szCs w:val="24"/>
        </w:rPr>
        <w:t>区位状况等级说明表</w:t>
      </w:r>
    </w:p>
    <w:tbl>
      <w:tblPr>
        <w:tblW w:w="4939"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414"/>
        <w:gridCol w:w="1360"/>
        <w:gridCol w:w="910"/>
        <w:gridCol w:w="451"/>
        <w:gridCol w:w="687"/>
        <w:gridCol w:w="673"/>
        <w:gridCol w:w="461"/>
        <w:gridCol w:w="900"/>
        <w:gridCol w:w="1371"/>
        <w:gridCol w:w="1071"/>
      </w:tblGrid>
      <w:tr w:rsidR="00184596">
        <w:trPr>
          <w:cantSplit/>
          <w:jc w:val="center"/>
        </w:trPr>
        <w:tc>
          <w:tcPr>
            <w:tcW w:w="760"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区位状况</w:t>
            </w:r>
          </w:p>
        </w:tc>
        <w:tc>
          <w:tcPr>
            <w:tcW w:w="3662" w:type="pct"/>
            <w:gridSpan w:val="8"/>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等级划分</w:t>
            </w:r>
          </w:p>
        </w:tc>
        <w:tc>
          <w:tcPr>
            <w:tcW w:w="576"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每等级向下调整幅度</w:t>
            </w:r>
          </w:p>
        </w:tc>
      </w:tr>
      <w:tr w:rsidR="00184596">
        <w:trPr>
          <w:cantSplit/>
          <w:jc w:val="center"/>
        </w:trPr>
        <w:tc>
          <w:tcPr>
            <w:tcW w:w="760" w:type="pct"/>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商业繁华</w:t>
            </w:r>
            <w:r>
              <w:rPr>
                <w:rFonts w:ascii="华文细黑" w:eastAsia="华文细黑" w:hAnsi="华文细黑" w:cs="Arial"/>
                <w:sz w:val="18"/>
                <w:szCs w:val="18"/>
              </w:rPr>
              <w:t>度</w:t>
            </w:r>
          </w:p>
        </w:tc>
        <w:tc>
          <w:tcPr>
            <w:tcW w:w="731"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好</w:t>
            </w:r>
          </w:p>
        </w:tc>
        <w:tc>
          <w:tcPr>
            <w:tcW w:w="731"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较好</w:t>
            </w:r>
          </w:p>
        </w:tc>
        <w:tc>
          <w:tcPr>
            <w:tcW w:w="731"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一般</w:t>
            </w:r>
          </w:p>
        </w:tc>
        <w:tc>
          <w:tcPr>
            <w:tcW w:w="732"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较差</w:t>
            </w:r>
          </w:p>
        </w:tc>
        <w:tc>
          <w:tcPr>
            <w:tcW w:w="735"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差</w:t>
            </w:r>
          </w:p>
        </w:tc>
        <w:tc>
          <w:tcPr>
            <w:tcW w:w="576"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2</w:t>
            </w:r>
          </w:p>
        </w:tc>
      </w:tr>
      <w:tr w:rsidR="00184596">
        <w:trPr>
          <w:cantSplit/>
          <w:jc w:val="center"/>
        </w:trPr>
        <w:tc>
          <w:tcPr>
            <w:tcW w:w="760" w:type="pct"/>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交通便捷度</w:t>
            </w:r>
          </w:p>
        </w:tc>
        <w:tc>
          <w:tcPr>
            <w:tcW w:w="731"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好</w:t>
            </w:r>
          </w:p>
        </w:tc>
        <w:tc>
          <w:tcPr>
            <w:tcW w:w="731"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较好</w:t>
            </w:r>
          </w:p>
        </w:tc>
        <w:tc>
          <w:tcPr>
            <w:tcW w:w="731"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一般</w:t>
            </w:r>
          </w:p>
        </w:tc>
        <w:tc>
          <w:tcPr>
            <w:tcW w:w="732"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较差</w:t>
            </w:r>
          </w:p>
        </w:tc>
        <w:tc>
          <w:tcPr>
            <w:tcW w:w="735"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差</w:t>
            </w:r>
          </w:p>
        </w:tc>
        <w:tc>
          <w:tcPr>
            <w:tcW w:w="576"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2</w:t>
            </w:r>
          </w:p>
        </w:tc>
      </w:tr>
      <w:tr w:rsidR="00184596">
        <w:trPr>
          <w:cantSplit/>
          <w:jc w:val="center"/>
        </w:trPr>
        <w:tc>
          <w:tcPr>
            <w:tcW w:w="760" w:type="pct"/>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公共配套设施</w:t>
            </w:r>
          </w:p>
        </w:tc>
        <w:tc>
          <w:tcPr>
            <w:tcW w:w="731"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好</w:t>
            </w:r>
          </w:p>
        </w:tc>
        <w:tc>
          <w:tcPr>
            <w:tcW w:w="731"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较好</w:t>
            </w:r>
          </w:p>
        </w:tc>
        <w:tc>
          <w:tcPr>
            <w:tcW w:w="731"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一般</w:t>
            </w:r>
          </w:p>
        </w:tc>
        <w:tc>
          <w:tcPr>
            <w:tcW w:w="732"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较差</w:t>
            </w:r>
          </w:p>
        </w:tc>
        <w:tc>
          <w:tcPr>
            <w:tcW w:w="735"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差</w:t>
            </w:r>
          </w:p>
        </w:tc>
        <w:tc>
          <w:tcPr>
            <w:tcW w:w="576"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2</w:t>
            </w:r>
          </w:p>
        </w:tc>
      </w:tr>
      <w:tr w:rsidR="00184596">
        <w:trPr>
          <w:cantSplit/>
          <w:jc w:val="center"/>
        </w:trPr>
        <w:tc>
          <w:tcPr>
            <w:tcW w:w="760" w:type="pct"/>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基础设施水平</w:t>
            </w:r>
          </w:p>
        </w:tc>
        <w:tc>
          <w:tcPr>
            <w:tcW w:w="731"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七通</w:t>
            </w:r>
          </w:p>
        </w:tc>
        <w:tc>
          <w:tcPr>
            <w:tcW w:w="731"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六通</w:t>
            </w:r>
          </w:p>
        </w:tc>
        <w:tc>
          <w:tcPr>
            <w:tcW w:w="731"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五通</w:t>
            </w:r>
          </w:p>
        </w:tc>
        <w:tc>
          <w:tcPr>
            <w:tcW w:w="732"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四通</w:t>
            </w:r>
          </w:p>
        </w:tc>
        <w:tc>
          <w:tcPr>
            <w:tcW w:w="735"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三通</w:t>
            </w:r>
          </w:p>
        </w:tc>
        <w:tc>
          <w:tcPr>
            <w:tcW w:w="576"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1</w:t>
            </w:r>
          </w:p>
        </w:tc>
      </w:tr>
      <w:tr w:rsidR="00184596">
        <w:trPr>
          <w:cantSplit/>
          <w:jc w:val="center"/>
        </w:trPr>
        <w:tc>
          <w:tcPr>
            <w:tcW w:w="760" w:type="pct"/>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环境质量</w:t>
            </w:r>
          </w:p>
        </w:tc>
        <w:tc>
          <w:tcPr>
            <w:tcW w:w="731"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好</w:t>
            </w:r>
          </w:p>
        </w:tc>
        <w:tc>
          <w:tcPr>
            <w:tcW w:w="731"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较好</w:t>
            </w:r>
          </w:p>
        </w:tc>
        <w:tc>
          <w:tcPr>
            <w:tcW w:w="731"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一般</w:t>
            </w:r>
          </w:p>
        </w:tc>
        <w:tc>
          <w:tcPr>
            <w:tcW w:w="732"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较差</w:t>
            </w:r>
          </w:p>
        </w:tc>
        <w:tc>
          <w:tcPr>
            <w:tcW w:w="735"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差</w:t>
            </w:r>
          </w:p>
        </w:tc>
        <w:tc>
          <w:tcPr>
            <w:tcW w:w="576"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2</w:t>
            </w:r>
          </w:p>
        </w:tc>
      </w:tr>
      <w:tr w:rsidR="00184596">
        <w:trPr>
          <w:cantSplit/>
          <w:jc w:val="center"/>
        </w:trPr>
        <w:tc>
          <w:tcPr>
            <w:tcW w:w="760" w:type="pct"/>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临街状况</w:t>
            </w:r>
          </w:p>
        </w:tc>
        <w:tc>
          <w:tcPr>
            <w:tcW w:w="1831" w:type="pct"/>
            <w:gridSpan w:val="4"/>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双面临街</w:t>
            </w:r>
          </w:p>
        </w:tc>
        <w:tc>
          <w:tcPr>
            <w:tcW w:w="1831" w:type="pct"/>
            <w:gridSpan w:val="4"/>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单面临街</w:t>
            </w:r>
          </w:p>
        </w:tc>
        <w:tc>
          <w:tcPr>
            <w:tcW w:w="576"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2</w:t>
            </w:r>
          </w:p>
        </w:tc>
      </w:tr>
      <w:tr w:rsidR="00184596">
        <w:trPr>
          <w:cantSplit/>
          <w:jc w:val="center"/>
        </w:trPr>
        <w:tc>
          <w:tcPr>
            <w:tcW w:w="760" w:type="pct"/>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人流量</w:t>
            </w:r>
          </w:p>
        </w:tc>
        <w:tc>
          <w:tcPr>
            <w:tcW w:w="731"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好</w:t>
            </w:r>
          </w:p>
        </w:tc>
        <w:tc>
          <w:tcPr>
            <w:tcW w:w="731"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较好</w:t>
            </w:r>
          </w:p>
        </w:tc>
        <w:tc>
          <w:tcPr>
            <w:tcW w:w="731"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一般</w:t>
            </w:r>
          </w:p>
        </w:tc>
        <w:tc>
          <w:tcPr>
            <w:tcW w:w="732"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较差</w:t>
            </w:r>
          </w:p>
        </w:tc>
        <w:tc>
          <w:tcPr>
            <w:tcW w:w="735"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差</w:t>
            </w:r>
          </w:p>
        </w:tc>
        <w:tc>
          <w:tcPr>
            <w:tcW w:w="576"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2</w:t>
            </w:r>
          </w:p>
        </w:tc>
      </w:tr>
      <w:tr w:rsidR="00184596">
        <w:trPr>
          <w:cantSplit/>
          <w:jc w:val="center"/>
        </w:trPr>
        <w:tc>
          <w:tcPr>
            <w:tcW w:w="760" w:type="pct"/>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楼层</w:t>
            </w:r>
          </w:p>
        </w:tc>
        <w:tc>
          <w:tcPr>
            <w:tcW w:w="1220"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1层</w:t>
            </w:r>
          </w:p>
        </w:tc>
        <w:tc>
          <w:tcPr>
            <w:tcW w:w="1221" w:type="pct"/>
            <w:gridSpan w:val="4"/>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2层</w:t>
            </w:r>
          </w:p>
        </w:tc>
        <w:tc>
          <w:tcPr>
            <w:tcW w:w="1221" w:type="pct"/>
            <w:gridSpan w:val="2"/>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3层</w:t>
            </w:r>
          </w:p>
        </w:tc>
        <w:tc>
          <w:tcPr>
            <w:tcW w:w="576" w:type="pct"/>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2</w:t>
            </w:r>
          </w:p>
        </w:tc>
      </w:tr>
    </w:tbl>
    <w:p w:rsidR="00184596" w:rsidRDefault="00FD048A" w:rsidP="00FD048A">
      <w:pPr>
        <w:spacing w:beforeLines="100" w:before="240" w:line="480" w:lineRule="auto"/>
        <w:ind w:firstLineChars="196" w:firstLine="412"/>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）实物状况</w:t>
      </w:r>
    </w:p>
    <w:p w:rsidR="00184596" w:rsidRDefault="00FD048A">
      <w:pPr>
        <w:autoSpaceDE w:val="0"/>
        <w:autoSpaceDN w:val="0"/>
        <w:jc w:val="center"/>
        <w:rPr>
          <w:rFonts w:ascii="方正黑体简体" w:eastAsia="方正黑体简体" w:hAnsi="华文细黑"/>
          <w:szCs w:val="24"/>
        </w:rPr>
      </w:pPr>
      <w:r>
        <w:rPr>
          <w:rFonts w:ascii="方正黑体简体" w:eastAsia="方正黑体简体" w:hAnsi="华文细黑" w:hint="eastAsia"/>
          <w:szCs w:val="24"/>
        </w:rPr>
        <w:t>实物状况等级说明表</w:t>
      </w:r>
    </w:p>
    <w:tbl>
      <w:tblPr>
        <w:tblpPr w:leftFromText="180" w:rightFromText="180" w:vertAnchor="text" w:horzAnchor="page" w:tblpX="1270" w:tblpY="153"/>
        <w:tblOverlap w:val="never"/>
        <w:tblW w:w="9299"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418"/>
        <w:gridCol w:w="1360"/>
        <w:gridCol w:w="341"/>
        <w:gridCol w:w="567"/>
        <w:gridCol w:w="453"/>
        <w:gridCol w:w="681"/>
        <w:gridCol w:w="680"/>
        <w:gridCol w:w="454"/>
        <w:gridCol w:w="567"/>
        <w:gridCol w:w="340"/>
        <w:gridCol w:w="1361"/>
        <w:gridCol w:w="1077"/>
      </w:tblGrid>
      <w:tr w:rsidR="00184596">
        <w:trPr>
          <w:cantSplit/>
        </w:trPr>
        <w:tc>
          <w:tcPr>
            <w:tcW w:w="1418"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实物状况</w:t>
            </w:r>
          </w:p>
        </w:tc>
        <w:tc>
          <w:tcPr>
            <w:tcW w:w="6804" w:type="dxa"/>
            <w:gridSpan w:val="10"/>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等级划分</w:t>
            </w:r>
          </w:p>
        </w:tc>
        <w:tc>
          <w:tcPr>
            <w:tcW w:w="1077"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每等级向下调整幅度</w:t>
            </w:r>
          </w:p>
        </w:tc>
      </w:tr>
      <w:tr w:rsidR="00184596">
        <w:trPr>
          <w:cantSplit/>
        </w:trPr>
        <w:tc>
          <w:tcPr>
            <w:tcW w:w="1418"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商业</w:t>
            </w:r>
            <w:r>
              <w:rPr>
                <w:rFonts w:ascii="华文细黑" w:eastAsia="华文细黑" w:hAnsi="华文细黑" w:cs="Arial"/>
                <w:sz w:val="18"/>
                <w:szCs w:val="18"/>
              </w:rPr>
              <w:t>类型</w:t>
            </w:r>
          </w:p>
        </w:tc>
        <w:tc>
          <w:tcPr>
            <w:tcW w:w="1701" w:type="dxa"/>
            <w:gridSpan w:val="2"/>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商业综合体</w:t>
            </w:r>
          </w:p>
        </w:tc>
        <w:tc>
          <w:tcPr>
            <w:tcW w:w="1701" w:type="dxa"/>
            <w:gridSpan w:val="3"/>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商业街商铺</w:t>
            </w:r>
          </w:p>
        </w:tc>
        <w:tc>
          <w:tcPr>
            <w:tcW w:w="1701" w:type="dxa"/>
            <w:gridSpan w:val="3"/>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写字楼底商</w:t>
            </w:r>
          </w:p>
        </w:tc>
        <w:tc>
          <w:tcPr>
            <w:tcW w:w="1701" w:type="dxa"/>
            <w:gridSpan w:val="2"/>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住宅底商</w:t>
            </w:r>
          </w:p>
        </w:tc>
        <w:tc>
          <w:tcPr>
            <w:tcW w:w="1077"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2</w:t>
            </w:r>
          </w:p>
        </w:tc>
      </w:tr>
      <w:tr w:rsidR="00184596">
        <w:trPr>
          <w:cantSplit/>
        </w:trPr>
        <w:tc>
          <w:tcPr>
            <w:tcW w:w="1418"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建筑</w:t>
            </w:r>
            <w:r>
              <w:rPr>
                <w:rFonts w:ascii="华文细黑" w:eastAsia="华文细黑" w:hAnsi="华文细黑" w:cs="Arial" w:hint="eastAsia"/>
                <w:sz w:val="18"/>
                <w:szCs w:val="18"/>
              </w:rPr>
              <w:t>面积</w:t>
            </w:r>
          </w:p>
        </w:tc>
        <w:tc>
          <w:tcPr>
            <w:tcW w:w="1360"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0</w:t>
            </w:r>
          </w:p>
        </w:tc>
        <w:tc>
          <w:tcPr>
            <w:tcW w:w="1361" w:type="dxa"/>
            <w:gridSpan w:val="3"/>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300</w:t>
            </w:r>
          </w:p>
        </w:tc>
        <w:tc>
          <w:tcPr>
            <w:tcW w:w="1361" w:type="dxa"/>
            <w:gridSpan w:val="2"/>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600</w:t>
            </w:r>
          </w:p>
        </w:tc>
        <w:tc>
          <w:tcPr>
            <w:tcW w:w="1361" w:type="dxa"/>
            <w:gridSpan w:val="3"/>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900</w:t>
            </w:r>
          </w:p>
        </w:tc>
        <w:tc>
          <w:tcPr>
            <w:tcW w:w="1361"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1200</w:t>
            </w:r>
          </w:p>
        </w:tc>
        <w:tc>
          <w:tcPr>
            <w:tcW w:w="1077"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2</w:t>
            </w:r>
          </w:p>
        </w:tc>
      </w:tr>
      <w:tr w:rsidR="00184596">
        <w:trPr>
          <w:cantSplit/>
        </w:trPr>
        <w:tc>
          <w:tcPr>
            <w:tcW w:w="1418"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建筑结构</w:t>
            </w:r>
          </w:p>
        </w:tc>
        <w:tc>
          <w:tcPr>
            <w:tcW w:w="2268" w:type="dxa"/>
            <w:gridSpan w:val="3"/>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钢结构</w:t>
            </w:r>
          </w:p>
        </w:tc>
        <w:tc>
          <w:tcPr>
            <w:tcW w:w="2268" w:type="dxa"/>
            <w:gridSpan w:val="4"/>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钢混结构</w:t>
            </w:r>
          </w:p>
        </w:tc>
        <w:tc>
          <w:tcPr>
            <w:tcW w:w="2268" w:type="dxa"/>
            <w:gridSpan w:val="3"/>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砖混结构</w:t>
            </w:r>
          </w:p>
        </w:tc>
        <w:tc>
          <w:tcPr>
            <w:tcW w:w="1077"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2</w:t>
            </w:r>
          </w:p>
        </w:tc>
      </w:tr>
      <w:tr w:rsidR="00184596">
        <w:trPr>
          <w:cantSplit/>
        </w:trPr>
        <w:tc>
          <w:tcPr>
            <w:tcW w:w="1418"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成新度</w:t>
            </w:r>
          </w:p>
        </w:tc>
        <w:tc>
          <w:tcPr>
            <w:tcW w:w="1360" w:type="dxa"/>
            <w:noWrap/>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90</w:t>
            </w:r>
            <w:r>
              <w:rPr>
                <w:rFonts w:ascii="华文细黑" w:eastAsia="华文细黑" w:hAnsi="华文细黑" w:cs="Arial"/>
                <w:sz w:val="18"/>
                <w:szCs w:val="18"/>
              </w:rPr>
              <w:t>%（含）以上</w:t>
            </w:r>
          </w:p>
        </w:tc>
        <w:tc>
          <w:tcPr>
            <w:tcW w:w="1361" w:type="dxa"/>
            <w:gridSpan w:val="3"/>
            <w:noWrap/>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80</w:t>
            </w:r>
            <w:r>
              <w:rPr>
                <w:rFonts w:ascii="华文细黑" w:eastAsia="华文细黑" w:hAnsi="华文细黑" w:cs="Arial"/>
                <w:sz w:val="18"/>
                <w:szCs w:val="18"/>
              </w:rPr>
              <w:t>%（含）-</w:t>
            </w:r>
            <w:r>
              <w:rPr>
                <w:rFonts w:ascii="Arial" w:eastAsia="华文细黑" w:hAnsi="Arial" w:cs="Arial"/>
                <w:sz w:val="18"/>
                <w:szCs w:val="18"/>
              </w:rPr>
              <w:t>90</w:t>
            </w:r>
          </w:p>
        </w:tc>
        <w:tc>
          <w:tcPr>
            <w:tcW w:w="1361" w:type="dxa"/>
            <w:gridSpan w:val="2"/>
            <w:noWrap/>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70</w:t>
            </w:r>
            <w:r>
              <w:rPr>
                <w:rFonts w:ascii="华文细黑" w:eastAsia="华文细黑" w:hAnsi="华文细黑" w:cs="Arial"/>
                <w:sz w:val="18"/>
                <w:szCs w:val="18"/>
              </w:rPr>
              <w:t>%（含）-</w:t>
            </w:r>
            <w:r>
              <w:rPr>
                <w:rFonts w:ascii="Arial" w:eastAsia="华文细黑" w:hAnsi="Arial" w:cs="Arial"/>
                <w:sz w:val="18"/>
                <w:szCs w:val="18"/>
              </w:rPr>
              <w:t>80</w:t>
            </w:r>
          </w:p>
        </w:tc>
        <w:tc>
          <w:tcPr>
            <w:tcW w:w="1361" w:type="dxa"/>
            <w:gridSpan w:val="3"/>
            <w:noWrap/>
            <w:vAlign w:val="center"/>
          </w:tcPr>
          <w:p w:rsidR="00184596" w:rsidRDefault="00FD048A">
            <w:pPr>
              <w:spacing w:line="240" w:lineRule="exact"/>
              <w:rPr>
                <w:rFonts w:ascii="华文细黑" w:eastAsia="华文细黑" w:hAnsi="华文细黑" w:cs="Arial"/>
                <w:sz w:val="18"/>
                <w:szCs w:val="18"/>
              </w:rPr>
            </w:pPr>
            <w:r>
              <w:rPr>
                <w:rFonts w:ascii="Arial" w:eastAsia="华文细黑" w:hAnsi="Arial" w:cs="Arial"/>
                <w:sz w:val="18"/>
                <w:szCs w:val="18"/>
              </w:rPr>
              <w:t>60</w:t>
            </w:r>
            <w:r>
              <w:rPr>
                <w:rFonts w:ascii="华文细黑" w:eastAsia="华文细黑" w:hAnsi="华文细黑" w:cs="Arial"/>
                <w:sz w:val="18"/>
                <w:szCs w:val="18"/>
              </w:rPr>
              <w:t>%（含）-</w:t>
            </w:r>
            <w:r>
              <w:rPr>
                <w:rFonts w:ascii="Arial" w:eastAsia="华文细黑" w:hAnsi="Arial" w:cs="Arial"/>
                <w:sz w:val="18"/>
                <w:szCs w:val="18"/>
              </w:rPr>
              <w:t>70</w:t>
            </w:r>
          </w:p>
        </w:tc>
        <w:tc>
          <w:tcPr>
            <w:tcW w:w="1361" w:type="dxa"/>
            <w:noWrap/>
            <w:vAlign w:val="center"/>
          </w:tcPr>
          <w:p w:rsidR="00184596" w:rsidRDefault="00FD048A">
            <w:pPr>
              <w:spacing w:line="240" w:lineRule="exact"/>
              <w:rPr>
                <w:rFonts w:ascii="华文细黑" w:eastAsia="华文细黑" w:hAnsi="华文细黑" w:cs="Arial"/>
                <w:sz w:val="18"/>
                <w:szCs w:val="18"/>
              </w:rPr>
            </w:pPr>
            <w:commentRangeStart w:id="62"/>
            <w:r>
              <w:rPr>
                <w:rFonts w:ascii="Arial" w:eastAsia="华文细黑" w:hAnsi="Arial" w:cs="Arial"/>
                <w:sz w:val="18"/>
                <w:szCs w:val="18"/>
              </w:rPr>
              <w:t>50</w:t>
            </w:r>
            <w:r>
              <w:rPr>
                <w:rFonts w:ascii="华文细黑" w:eastAsia="华文细黑" w:hAnsi="华文细黑" w:cs="Arial"/>
                <w:sz w:val="18"/>
                <w:szCs w:val="18"/>
              </w:rPr>
              <w:t>%（含）</w:t>
            </w:r>
            <w:commentRangeEnd w:id="62"/>
            <w:r w:rsidR="00461451">
              <w:rPr>
                <w:rStyle w:val="af5"/>
              </w:rPr>
              <w:commentReference w:id="62"/>
            </w:r>
            <w:r>
              <w:rPr>
                <w:rFonts w:ascii="华文细黑" w:eastAsia="华文细黑" w:hAnsi="华文细黑" w:cs="Arial"/>
                <w:sz w:val="18"/>
                <w:szCs w:val="18"/>
              </w:rPr>
              <w:t>-</w:t>
            </w:r>
            <w:r>
              <w:rPr>
                <w:rFonts w:ascii="Arial" w:eastAsia="华文细黑" w:hAnsi="Arial" w:cs="Arial"/>
                <w:sz w:val="18"/>
                <w:szCs w:val="18"/>
              </w:rPr>
              <w:t>60</w:t>
            </w:r>
          </w:p>
        </w:tc>
        <w:tc>
          <w:tcPr>
            <w:tcW w:w="1077"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5</w:t>
            </w:r>
          </w:p>
        </w:tc>
      </w:tr>
      <w:tr w:rsidR="00184596">
        <w:trPr>
          <w:cantSplit/>
        </w:trPr>
        <w:tc>
          <w:tcPr>
            <w:tcW w:w="1418"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物业管理</w:t>
            </w:r>
          </w:p>
        </w:tc>
        <w:tc>
          <w:tcPr>
            <w:tcW w:w="3402" w:type="dxa"/>
            <w:gridSpan w:val="5"/>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专业</w:t>
            </w:r>
          </w:p>
        </w:tc>
        <w:tc>
          <w:tcPr>
            <w:tcW w:w="3402" w:type="dxa"/>
            <w:gridSpan w:val="5"/>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普通</w:t>
            </w:r>
          </w:p>
        </w:tc>
        <w:tc>
          <w:tcPr>
            <w:tcW w:w="1077"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2</w:t>
            </w:r>
          </w:p>
        </w:tc>
      </w:tr>
      <w:tr w:rsidR="00184596">
        <w:trPr>
          <w:cantSplit/>
        </w:trPr>
        <w:tc>
          <w:tcPr>
            <w:tcW w:w="1418"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层高</w:t>
            </w:r>
          </w:p>
        </w:tc>
        <w:tc>
          <w:tcPr>
            <w:tcW w:w="3402" w:type="dxa"/>
            <w:gridSpan w:val="5"/>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超高层高</w:t>
            </w:r>
          </w:p>
        </w:tc>
        <w:tc>
          <w:tcPr>
            <w:tcW w:w="3402" w:type="dxa"/>
            <w:gridSpan w:val="5"/>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标准层高</w:t>
            </w:r>
          </w:p>
        </w:tc>
        <w:tc>
          <w:tcPr>
            <w:tcW w:w="1077"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2</w:t>
            </w:r>
          </w:p>
        </w:tc>
      </w:tr>
      <w:tr w:rsidR="00184596">
        <w:trPr>
          <w:cantSplit/>
        </w:trPr>
        <w:tc>
          <w:tcPr>
            <w:tcW w:w="1418"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内部装修</w:t>
            </w:r>
          </w:p>
        </w:tc>
        <w:tc>
          <w:tcPr>
            <w:tcW w:w="1701" w:type="dxa"/>
            <w:gridSpan w:val="2"/>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精装修</w:t>
            </w:r>
          </w:p>
        </w:tc>
        <w:tc>
          <w:tcPr>
            <w:tcW w:w="1701" w:type="dxa"/>
            <w:gridSpan w:val="3"/>
            <w:noWrap/>
            <w:vAlign w:val="center"/>
          </w:tcPr>
          <w:p w:rsidR="00184596" w:rsidRDefault="00FD048A">
            <w:pPr>
              <w:spacing w:line="240" w:lineRule="exact"/>
              <w:rPr>
                <w:rFonts w:ascii="华文细黑" w:eastAsia="华文细黑" w:hAnsi="华文细黑" w:cs="Arial"/>
                <w:sz w:val="18"/>
                <w:szCs w:val="18"/>
              </w:rPr>
            </w:pPr>
            <w:proofErr w:type="gramStart"/>
            <w:r>
              <w:rPr>
                <w:rFonts w:ascii="华文细黑" w:eastAsia="华文细黑" w:hAnsi="华文细黑" w:cs="Arial" w:hint="eastAsia"/>
                <w:sz w:val="18"/>
                <w:szCs w:val="18"/>
              </w:rPr>
              <w:t>普装</w:t>
            </w:r>
            <w:proofErr w:type="gramEnd"/>
          </w:p>
        </w:tc>
        <w:tc>
          <w:tcPr>
            <w:tcW w:w="1701" w:type="dxa"/>
            <w:gridSpan w:val="3"/>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简装</w:t>
            </w:r>
          </w:p>
        </w:tc>
        <w:tc>
          <w:tcPr>
            <w:tcW w:w="1701" w:type="dxa"/>
            <w:gridSpan w:val="2"/>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sz w:val="18"/>
                <w:szCs w:val="18"/>
              </w:rPr>
              <w:t>毛坯</w:t>
            </w:r>
          </w:p>
        </w:tc>
        <w:tc>
          <w:tcPr>
            <w:tcW w:w="1077" w:type="dxa"/>
            <w:noWrap/>
            <w:vAlign w:val="center"/>
          </w:tcPr>
          <w:p w:rsidR="00184596" w:rsidRDefault="00FD048A">
            <w:pPr>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5</w:t>
            </w:r>
          </w:p>
        </w:tc>
      </w:tr>
    </w:tbl>
    <w:p w:rsidR="00184596" w:rsidRDefault="00184596">
      <w:pPr>
        <w:widowControl/>
        <w:spacing w:line="240" w:lineRule="exact"/>
        <w:rPr>
          <w:rFonts w:ascii="华文细黑" w:eastAsia="华文细黑" w:hAnsi="华文细黑" w:cs="Arial"/>
          <w:color w:val="000000"/>
          <w:sz w:val="18"/>
          <w:szCs w:val="18"/>
        </w:rPr>
      </w:pP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 xml:space="preserve">6. </w:t>
      </w:r>
      <w:r>
        <w:rPr>
          <w:rFonts w:ascii="Arial" w:hAnsi="Arial" w:cs="Arial" w:hint="eastAsia"/>
          <w:sz w:val="21"/>
          <w:szCs w:val="21"/>
        </w:rPr>
        <w:t>因素修正及调整</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在各因素条件指数表的基础上，进行交易情况修正、市场状况及房地产状况调整，即估价对象的因素条件指数与比较实例的因素条件进行比较，得到各因素修正及调整系数，计算得出估价对象比较</w:t>
      </w:r>
      <w:r>
        <w:rPr>
          <w:rFonts w:ascii="Arial" w:hAnsi="Arial" w:cs="Arial" w:hint="eastAsia"/>
          <w:sz w:val="21"/>
          <w:szCs w:val="21"/>
        </w:rPr>
        <w:lastRenderedPageBreak/>
        <w:t>价值</w:t>
      </w:r>
      <w:r>
        <w:rPr>
          <w:rFonts w:ascii="Arial" w:hAnsi="Arial" w:cs="Arial" w:hint="eastAsia"/>
          <w:sz w:val="21"/>
          <w:szCs w:val="21"/>
        </w:rPr>
        <w:t xml:space="preserve"> (</w:t>
      </w:r>
      <w:r>
        <w:rPr>
          <w:rFonts w:ascii="Arial" w:hAnsi="Arial" w:cs="Arial" w:hint="eastAsia"/>
          <w:sz w:val="21"/>
          <w:szCs w:val="21"/>
        </w:rPr>
        <w:t>见表</w:t>
      </w:r>
      <w:r>
        <w:rPr>
          <w:rFonts w:ascii="Arial" w:hAnsi="Arial" w:cs="Arial" w:hint="eastAsia"/>
          <w:sz w:val="21"/>
          <w:szCs w:val="21"/>
        </w:rPr>
        <w:t>3)</w:t>
      </w:r>
      <w:r>
        <w:rPr>
          <w:rFonts w:ascii="Arial" w:hAnsi="Arial" w:cs="Arial" w:hint="eastAsia"/>
          <w:sz w:val="21"/>
          <w:szCs w:val="21"/>
        </w:rPr>
        <w:t>：</w:t>
      </w:r>
    </w:p>
    <w:p w:rsidR="00184596" w:rsidRDefault="00FD048A">
      <w:pPr>
        <w:jc w:val="center"/>
        <w:rPr>
          <w:rFonts w:ascii="Arial" w:eastAsia="方正黑体简体" w:hAnsi="Arial" w:cs="Arial"/>
          <w:bCs/>
          <w:szCs w:val="24"/>
        </w:rPr>
      </w:pPr>
      <w:r>
        <w:rPr>
          <w:rFonts w:ascii="Arial" w:eastAsia="方正黑体简体" w:hAnsi="Arial" w:cs="Arial" w:hint="eastAsia"/>
          <w:bCs/>
          <w:szCs w:val="24"/>
        </w:rPr>
        <w:t>表</w:t>
      </w:r>
      <w:r>
        <w:rPr>
          <w:rFonts w:ascii="Arial" w:eastAsia="方正黑体简体" w:hAnsi="Arial" w:cs="Arial" w:hint="eastAsia"/>
          <w:bCs/>
          <w:szCs w:val="24"/>
        </w:rPr>
        <w:t>3</w:t>
      </w:r>
      <w:r>
        <w:rPr>
          <w:rFonts w:ascii="Arial" w:eastAsia="方正黑体简体" w:hAnsi="Arial" w:cs="Arial" w:hint="eastAsia"/>
          <w:bCs/>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35"/>
        <w:gridCol w:w="2386"/>
        <w:gridCol w:w="524"/>
        <w:gridCol w:w="1456"/>
        <w:gridCol w:w="451"/>
        <w:gridCol w:w="1461"/>
        <w:gridCol w:w="441"/>
        <w:gridCol w:w="1445"/>
      </w:tblGrid>
      <w:tr w:rsidR="00184596">
        <w:trPr>
          <w:cantSplit/>
          <w:tblHeader/>
          <w:jc w:val="center"/>
        </w:trPr>
        <w:tc>
          <w:tcPr>
            <w:tcW w:w="3521" w:type="dxa"/>
            <w:gridSpan w:val="2"/>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比较因素</w:t>
            </w:r>
          </w:p>
        </w:tc>
        <w:tc>
          <w:tcPr>
            <w:tcW w:w="1980" w:type="dxa"/>
            <w:gridSpan w:val="2"/>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案例：</w:t>
            </w:r>
            <w:r>
              <w:rPr>
                <w:rFonts w:ascii="Arial" w:eastAsia="华文细黑" w:hAnsi="Arial" w:cs="Arial"/>
                <w:sz w:val="18"/>
                <w:szCs w:val="18"/>
              </w:rPr>
              <w:t>A</w:t>
            </w:r>
          </w:p>
        </w:tc>
        <w:tc>
          <w:tcPr>
            <w:tcW w:w="1912" w:type="dxa"/>
            <w:gridSpan w:val="2"/>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案例：</w:t>
            </w:r>
            <w:r>
              <w:rPr>
                <w:rFonts w:ascii="Arial" w:eastAsia="华文细黑" w:hAnsi="Arial" w:cs="Arial"/>
                <w:sz w:val="18"/>
                <w:szCs w:val="18"/>
              </w:rPr>
              <w:t>B</w:t>
            </w:r>
          </w:p>
        </w:tc>
        <w:tc>
          <w:tcPr>
            <w:tcW w:w="1886" w:type="dxa"/>
            <w:gridSpan w:val="2"/>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案例：</w:t>
            </w:r>
            <w:r>
              <w:rPr>
                <w:rFonts w:ascii="Arial" w:eastAsia="华文细黑" w:hAnsi="Arial" w:cs="Arial"/>
                <w:sz w:val="18"/>
                <w:szCs w:val="18"/>
              </w:rPr>
              <w:t>C</w:t>
            </w:r>
          </w:p>
        </w:tc>
      </w:tr>
      <w:tr w:rsidR="00184596">
        <w:trPr>
          <w:jc w:val="center"/>
        </w:trPr>
        <w:tc>
          <w:tcPr>
            <w:tcW w:w="3521" w:type="dxa"/>
            <w:gridSpan w:val="2"/>
            <w:noWrap/>
            <w:vAlign w:val="bottom"/>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交易情况</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w:t>
            </w:r>
            <w:r>
              <w:rPr>
                <w:rFonts w:ascii="Arial" w:eastAsia="华文细黑" w:hAnsi="Arial" w:cs="Arial" w:hint="eastAsia"/>
                <w:sz w:val="18"/>
                <w:szCs w:val="18"/>
              </w:rPr>
              <w:t>12</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w:t>
            </w:r>
            <w:r>
              <w:rPr>
                <w:rFonts w:ascii="Arial" w:eastAsia="华文细黑" w:hAnsi="Arial" w:cs="Arial" w:hint="eastAsia"/>
                <w:sz w:val="18"/>
                <w:szCs w:val="18"/>
              </w:rPr>
              <w:t>12</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w:t>
            </w:r>
            <w:r>
              <w:rPr>
                <w:rFonts w:ascii="Arial" w:eastAsia="华文细黑" w:hAnsi="Arial" w:cs="Arial" w:hint="eastAsia"/>
                <w:sz w:val="18"/>
                <w:szCs w:val="18"/>
              </w:rPr>
              <w:t>12</w:t>
            </w:r>
          </w:p>
        </w:tc>
      </w:tr>
      <w:tr w:rsidR="00184596">
        <w:trPr>
          <w:jc w:val="center"/>
        </w:trPr>
        <w:tc>
          <w:tcPr>
            <w:tcW w:w="3521" w:type="dxa"/>
            <w:gridSpan w:val="2"/>
            <w:noWrap/>
            <w:vAlign w:val="bottom"/>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市场状况</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r>
      <w:tr w:rsidR="00184596">
        <w:trPr>
          <w:jc w:val="center"/>
        </w:trPr>
        <w:tc>
          <w:tcPr>
            <w:tcW w:w="1135" w:type="dxa"/>
            <w:vMerge w:val="restart"/>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权益状况</w:t>
            </w:r>
          </w:p>
        </w:tc>
        <w:tc>
          <w:tcPr>
            <w:tcW w:w="2386" w:type="dxa"/>
            <w:noWrap/>
            <w:tcMar>
              <w:left w:w="57" w:type="dxa"/>
              <w:right w:w="57" w:type="dxa"/>
            </w:tcMar>
            <w:vAlign w:val="bottom"/>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用途</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r>
      <w:tr w:rsidR="00184596">
        <w:trPr>
          <w:jc w:val="center"/>
        </w:trPr>
        <w:tc>
          <w:tcPr>
            <w:tcW w:w="1135" w:type="dxa"/>
            <w:vMerge/>
            <w:vAlign w:val="center"/>
          </w:tcPr>
          <w:p w:rsidR="00184596" w:rsidRDefault="00184596">
            <w:pPr>
              <w:widowControl/>
              <w:spacing w:line="240" w:lineRule="exact"/>
              <w:rPr>
                <w:rFonts w:ascii="华文细黑" w:eastAsia="华文细黑" w:hAnsi="华文细黑" w:cs="Arial"/>
                <w:sz w:val="18"/>
                <w:szCs w:val="18"/>
              </w:rPr>
            </w:pPr>
          </w:p>
        </w:tc>
        <w:tc>
          <w:tcPr>
            <w:tcW w:w="2386" w:type="dxa"/>
            <w:noWrap/>
            <w:tcMar>
              <w:left w:w="57" w:type="dxa"/>
              <w:right w:w="57" w:type="dxa"/>
            </w:tcMar>
            <w:vAlign w:val="bottom"/>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权利限制</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r>
      <w:tr w:rsidR="00184596">
        <w:trPr>
          <w:jc w:val="center"/>
        </w:trPr>
        <w:tc>
          <w:tcPr>
            <w:tcW w:w="1135" w:type="dxa"/>
            <w:vMerge w:val="restart"/>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区位状况</w:t>
            </w:r>
          </w:p>
        </w:tc>
        <w:tc>
          <w:tcPr>
            <w:tcW w:w="2386"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商业繁华度</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r>
      <w:tr w:rsidR="00184596">
        <w:trPr>
          <w:jc w:val="center"/>
        </w:trPr>
        <w:tc>
          <w:tcPr>
            <w:tcW w:w="1135" w:type="dxa"/>
            <w:vMerge/>
            <w:vAlign w:val="center"/>
          </w:tcPr>
          <w:p w:rsidR="00184596" w:rsidRDefault="00184596">
            <w:pPr>
              <w:widowControl/>
              <w:spacing w:line="240" w:lineRule="exact"/>
              <w:rPr>
                <w:rFonts w:ascii="华文细黑" w:eastAsia="华文细黑" w:hAnsi="华文细黑" w:cs="Arial"/>
                <w:sz w:val="18"/>
                <w:szCs w:val="18"/>
              </w:rPr>
            </w:pPr>
          </w:p>
        </w:tc>
        <w:tc>
          <w:tcPr>
            <w:tcW w:w="2386"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交通便捷度</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r>
      <w:tr w:rsidR="00184596">
        <w:trPr>
          <w:jc w:val="center"/>
        </w:trPr>
        <w:tc>
          <w:tcPr>
            <w:tcW w:w="1135" w:type="dxa"/>
            <w:vMerge/>
            <w:vAlign w:val="center"/>
          </w:tcPr>
          <w:p w:rsidR="00184596" w:rsidRDefault="00184596">
            <w:pPr>
              <w:widowControl/>
              <w:spacing w:line="240" w:lineRule="exact"/>
              <w:rPr>
                <w:rFonts w:ascii="华文细黑" w:eastAsia="华文细黑" w:hAnsi="华文细黑" w:cs="Arial"/>
                <w:sz w:val="18"/>
                <w:szCs w:val="18"/>
              </w:rPr>
            </w:pPr>
          </w:p>
        </w:tc>
        <w:tc>
          <w:tcPr>
            <w:tcW w:w="2386"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公共配套设施</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r>
      <w:tr w:rsidR="00184596">
        <w:trPr>
          <w:jc w:val="center"/>
        </w:trPr>
        <w:tc>
          <w:tcPr>
            <w:tcW w:w="1135" w:type="dxa"/>
            <w:vMerge/>
            <w:vAlign w:val="center"/>
          </w:tcPr>
          <w:p w:rsidR="00184596" w:rsidRDefault="00184596">
            <w:pPr>
              <w:widowControl/>
              <w:spacing w:line="240" w:lineRule="exact"/>
              <w:rPr>
                <w:rFonts w:ascii="华文细黑" w:eastAsia="华文细黑" w:hAnsi="华文细黑" w:cs="Arial"/>
                <w:sz w:val="18"/>
                <w:szCs w:val="18"/>
              </w:rPr>
            </w:pPr>
          </w:p>
        </w:tc>
        <w:tc>
          <w:tcPr>
            <w:tcW w:w="2386"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基础设施水平</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r>
      <w:tr w:rsidR="00184596">
        <w:trPr>
          <w:jc w:val="center"/>
        </w:trPr>
        <w:tc>
          <w:tcPr>
            <w:tcW w:w="1135" w:type="dxa"/>
            <w:vMerge/>
            <w:vAlign w:val="center"/>
          </w:tcPr>
          <w:p w:rsidR="00184596" w:rsidRDefault="00184596">
            <w:pPr>
              <w:widowControl/>
              <w:spacing w:line="240" w:lineRule="exact"/>
              <w:rPr>
                <w:rFonts w:ascii="华文细黑" w:eastAsia="华文细黑" w:hAnsi="华文细黑" w:cs="Arial"/>
                <w:sz w:val="18"/>
                <w:szCs w:val="18"/>
              </w:rPr>
            </w:pPr>
          </w:p>
        </w:tc>
        <w:tc>
          <w:tcPr>
            <w:tcW w:w="2386"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自然及人文环境</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r>
      <w:tr w:rsidR="00184596">
        <w:trPr>
          <w:jc w:val="center"/>
        </w:trPr>
        <w:tc>
          <w:tcPr>
            <w:tcW w:w="1135" w:type="dxa"/>
            <w:vMerge/>
            <w:vAlign w:val="center"/>
          </w:tcPr>
          <w:p w:rsidR="00184596" w:rsidRDefault="00184596">
            <w:pPr>
              <w:widowControl/>
              <w:spacing w:line="240" w:lineRule="exact"/>
              <w:rPr>
                <w:rFonts w:ascii="华文细黑" w:eastAsia="华文细黑" w:hAnsi="华文细黑" w:cs="Arial"/>
                <w:sz w:val="18"/>
                <w:szCs w:val="18"/>
              </w:rPr>
            </w:pPr>
          </w:p>
        </w:tc>
        <w:tc>
          <w:tcPr>
            <w:tcW w:w="2386"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临街状况</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r>
      <w:tr w:rsidR="00184596">
        <w:trPr>
          <w:jc w:val="center"/>
        </w:trPr>
        <w:tc>
          <w:tcPr>
            <w:tcW w:w="1135" w:type="dxa"/>
            <w:vMerge/>
            <w:vAlign w:val="center"/>
          </w:tcPr>
          <w:p w:rsidR="00184596" w:rsidRDefault="00184596">
            <w:pPr>
              <w:widowControl/>
              <w:spacing w:line="240" w:lineRule="exact"/>
              <w:rPr>
                <w:rFonts w:ascii="华文细黑" w:eastAsia="华文细黑" w:hAnsi="华文细黑" w:cs="Arial"/>
                <w:sz w:val="18"/>
                <w:szCs w:val="18"/>
              </w:rPr>
            </w:pPr>
          </w:p>
        </w:tc>
        <w:tc>
          <w:tcPr>
            <w:tcW w:w="2386"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人流量</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color w:val="E36C0A"/>
                <w:sz w:val="18"/>
                <w:szCs w:val="18"/>
              </w:rPr>
            </w:pPr>
            <w:r>
              <w:rPr>
                <w:rFonts w:ascii="Arial" w:eastAsia="华文细黑" w:hAnsi="Arial" w:cs="Arial"/>
                <w:sz w:val="18"/>
                <w:szCs w:val="18"/>
              </w:rPr>
              <w:t>100</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color w:val="E36C0A"/>
                <w:sz w:val="18"/>
                <w:szCs w:val="18"/>
              </w:rPr>
            </w:pPr>
            <w:r>
              <w:rPr>
                <w:rFonts w:ascii="Arial" w:eastAsia="华文细黑" w:hAnsi="Arial" w:cs="Arial"/>
                <w:sz w:val="18"/>
                <w:szCs w:val="18"/>
              </w:rPr>
              <w:t>100</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color w:val="E36C0A"/>
                <w:sz w:val="18"/>
                <w:szCs w:val="18"/>
              </w:rPr>
            </w:pPr>
            <w:r>
              <w:rPr>
                <w:rFonts w:ascii="Arial" w:eastAsia="华文细黑" w:hAnsi="Arial" w:cs="Arial"/>
                <w:sz w:val="18"/>
                <w:szCs w:val="18"/>
              </w:rPr>
              <w:t>100</w:t>
            </w:r>
          </w:p>
        </w:tc>
      </w:tr>
      <w:tr w:rsidR="00184596">
        <w:trPr>
          <w:jc w:val="center"/>
        </w:trPr>
        <w:tc>
          <w:tcPr>
            <w:tcW w:w="1135" w:type="dxa"/>
            <w:vMerge/>
            <w:vAlign w:val="center"/>
          </w:tcPr>
          <w:p w:rsidR="00184596" w:rsidRDefault="00184596">
            <w:pPr>
              <w:widowControl/>
              <w:spacing w:line="240" w:lineRule="exact"/>
              <w:rPr>
                <w:rFonts w:ascii="华文细黑" w:eastAsia="华文细黑" w:hAnsi="华文细黑" w:cs="Arial"/>
                <w:sz w:val="18"/>
                <w:szCs w:val="18"/>
              </w:rPr>
            </w:pPr>
          </w:p>
        </w:tc>
        <w:tc>
          <w:tcPr>
            <w:tcW w:w="2386"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楼层</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color w:val="E36C0A"/>
                <w:sz w:val="18"/>
                <w:szCs w:val="18"/>
              </w:rPr>
            </w:pPr>
            <w:r>
              <w:rPr>
                <w:rFonts w:ascii="Arial" w:eastAsia="华文细黑" w:hAnsi="Arial" w:cs="Arial"/>
                <w:sz w:val="18"/>
                <w:szCs w:val="18"/>
              </w:rPr>
              <w:t>100</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color w:val="E36C0A"/>
                <w:sz w:val="18"/>
                <w:szCs w:val="18"/>
              </w:rPr>
            </w:pPr>
            <w:r>
              <w:rPr>
                <w:rFonts w:ascii="Arial" w:eastAsia="华文细黑" w:hAnsi="Arial" w:cs="Arial"/>
                <w:sz w:val="18"/>
                <w:szCs w:val="18"/>
              </w:rPr>
              <w:t>100</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color w:val="E36C0A"/>
                <w:sz w:val="18"/>
                <w:szCs w:val="18"/>
              </w:rPr>
            </w:pPr>
            <w:r>
              <w:rPr>
                <w:rFonts w:ascii="Arial" w:eastAsia="华文细黑" w:hAnsi="Arial" w:cs="Arial"/>
                <w:sz w:val="18"/>
                <w:szCs w:val="18"/>
              </w:rPr>
              <w:t>100</w:t>
            </w:r>
          </w:p>
        </w:tc>
      </w:tr>
      <w:tr w:rsidR="00184596">
        <w:trPr>
          <w:trHeight w:val="265"/>
          <w:jc w:val="center"/>
        </w:trPr>
        <w:tc>
          <w:tcPr>
            <w:tcW w:w="1135" w:type="dxa"/>
            <w:vMerge w:val="restart"/>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实物状况</w:t>
            </w:r>
          </w:p>
        </w:tc>
        <w:tc>
          <w:tcPr>
            <w:tcW w:w="2386"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商业类型</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hint="eastAsia"/>
                <w:sz w:val="18"/>
                <w:szCs w:val="18"/>
              </w:rPr>
              <w:t>94</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hint="eastAsia"/>
                <w:sz w:val="18"/>
                <w:szCs w:val="18"/>
              </w:rPr>
              <w:t>94</w:t>
            </w:r>
          </w:p>
        </w:tc>
      </w:tr>
      <w:tr w:rsidR="00184596">
        <w:trPr>
          <w:jc w:val="center"/>
        </w:trPr>
        <w:tc>
          <w:tcPr>
            <w:tcW w:w="1135" w:type="dxa"/>
            <w:vMerge/>
            <w:textDirection w:val="tbRlV"/>
            <w:vAlign w:val="center"/>
          </w:tcPr>
          <w:p w:rsidR="00184596" w:rsidRDefault="00184596">
            <w:pPr>
              <w:widowControl/>
              <w:spacing w:line="240" w:lineRule="exact"/>
              <w:rPr>
                <w:rFonts w:ascii="华文细黑" w:eastAsia="华文细黑" w:hAnsi="华文细黑" w:cs="Arial"/>
                <w:sz w:val="18"/>
                <w:szCs w:val="18"/>
              </w:rPr>
            </w:pPr>
          </w:p>
        </w:tc>
        <w:tc>
          <w:tcPr>
            <w:tcW w:w="2386"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建筑面积</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w:t>
            </w:r>
            <w:r>
              <w:rPr>
                <w:rFonts w:ascii="Arial" w:eastAsia="华文细黑" w:hAnsi="Arial" w:cs="Arial" w:hint="eastAsia"/>
                <w:sz w:val="18"/>
                <w:szCs w:val="18"/>
              </w:rPr>
              <w:t>2</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w:t>
            </w:r>
            <w:r>
              <w:rPr>
                <w:rFonts w:ascii="Arial" w:eastAsia="华文细黑" w:hAnsi="Arial" w:cs="Arial" w:hint="eastAsia"/>
                <w:sz w:val="18"/>
                <w:szCs w:val="18"/>
              </w:rPr>
              <w:t>4</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w:t>
            </w:r>
            <w:r>
              <w:rPr>
                <w:rFonts w:ascii="Arial" w:eastAsia="华文细黑" w:hAnsi="Arial" w:cs="Arial" w:hint="eastAsia"/>
                <w:sz w:val="18"/>
                <w:szCs w:val="18"/>
              </w:rPr>
              <w:t>2</w:t>
            </w:r>
          </w:p>
        </w:tc>
      </w:tr>
      <w:tr w:rsidR="00184596">
        <w:trPr>
          <w:jc w:val="center"/>
        </w:trPr>
        <w:tc>
          <w:tcPr>
            <w:tcW w:w="1135" w:type="dxa"/>
            <w:vMerge/>
            <w:textDirection w:val="tbRlV"/>
            <w:vAlign w:val="center"/>
          </w:tcPr>
          <w:p w:rsidR="00184596" w:rsidRDefault="00184596">
            <w:pPr>
              <w:widowControl/>
              <w:spacing w:line="240" w:lineRule="exact"/>
              <w:rPr>
                <w:rFonts w:ascii="华文细黑" w:eastAsia="华文细黑" w:hAnsi="华文细黑" w:cs="Arial"/>
                <w:sz w:val="18"/>
                <w:szCs w:val="18"/>
              </w:rPr>
            </w:pPr>
          </w:p>
        </w:tc>
        <w:tc>
          <w:tcPr>
            <w:tcW w:w="2386"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建筑结构</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w:t>
            </w:r>
            <w:r>
              <w:rPr>
                <w:rFonts w:ascii="Arial" w:eastAsia="华文细黑" w:hAnsi="Arial" w:cs="Arial" w:hint="eastAsia"/>
                <w:sz w:val="18"/>
                <w:szCs w:val="18"/>
              </w:rPr>
              <w:t>0</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r>
      <w:tr w:rsidR="00184596">
        <w:trPr>
          <w:jc w:val="center"/>
        </w:trPr>
        <w:tc>
          <w:tcPr>
            <w:tcW w:w="1135" w:type="dxa"/>
            <w:vMerge/>
            <w:textDirection w:val="tbRlV"/>
            <w:vAlign w:val="center"/>
          </w:tcPr>
          <w:p w:rsidR="00184596" w:rsidRDefault="00184596">
            <w:pPr>
              <w:widowControl/>
              <w:spacing w:line="240" w:lineRule="exact"/>
              <w:rPr>
                <w:rFonts w:ascii="华文细黑" w:eastAsia="华文细黑" w:hAnsi="华文细黑" w:cs="Arial"/>
                <w:sz w:val="18"/>
                <w:szCs w:val="18"/>
              </w:rPr>
            </w:pPr>
          </w:p>
        </w:tc>
        <w:tc>
          <w:tcPr>
            <w:tcW w:w="2386"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内部装修</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hint="eastAsia"/>
                <w:sz w:val="18"/>
                <w:szCs w:val="18"/>
              </w:rPr>
              <w:t>105</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w:t>
            </w:r>
            <w:r>
              <w:rPr>
                <w:rFonts w:ascii="Arial" w:eastAsia="华文细黑" w:hAnsi="Arial" w:cs="Arial" w:hint="eastAsia"/>
                <w:sz w:val="18"/>
                <w:szCs w:val="18"/>
              </w:rPr>
              <w:t>5</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w:t>
            </w:r>
            <w:r>
              <w:rPr>
                <w:rFonts w:ascii="Arial" w:eastAsia="华文细黑" w:hAnsi="Arial" w:cs="Arial" w:hint="eastAsia"/>
                <w:sz w:val="18"/>
                <w:szCs w:val="18"/>
              </w:rPr>
              <w:t>5</w:t>
            </w:r>
          </w:p>
        </w:tc>
      </w:tr>
      <w:tr w:rsidR="00184596">
        <w:trPr>
          <w:jc w:val="center"/>
        </w:trPr>
        <w:tc>
          <w:tcPr>
            <w:tcW w:w="1135" w:type="dxa"/>
            <w:vMerge/>
            <w:vAlign w:val="center"/>
          </w:tcPr>
          <w:p w:rsidR="00184596" w:rsidRDefault="00184596">
            <w:pPr>
              <w:widowControl/>
              <w:spacing w:line="240" w:lineRule="exact"/>
              <w:rPr>
                <w:rFonts w:ascii="华文细黑" w:eastAsia="华文细黑" w:hAnsi="华文细黑" w:cs="Arial"/>
                <w:sz w:val="18"/>
                <w:szCs w:val="18"/>
              </w:rPr>
            </w:pPr>
          </w:p>
        </w:tc>
        <w:tc>
          <w:tcPr>
            <w:tcW w:w="2386" w:type="dxa"/>
            <w:noWrap/>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成新度</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hint="eastAsia"/>
                <w:sz w:val="18"/>
                <w:szCs w:val="18"/>
              </w:rPr>
              <w:t>95</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hint="eastAsia"/>
                <w:sz w:val="18"/>
                <w:szCs w:val="18"/>
              </w:rPr>
              <w:t>95</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hint="eastAsia"/>
                <w:sz w:val="18"/>
                <w:szCs w:val="18"/>
              </w:rPr>
              <w:t>95</w:t>
            </w:r>
          </w:p>
        </w:tc>
      </w:tr>
      <w:tr w:rsidR="00184596">
        <w:trPr>
          <w:jc w:val="center"/>
        </w:trPr>
        <w:tc>
          <w:tcPr>
            <w:tcW w:w="1135" w:type="dxa"/>
            <w:vMerge/>
            <w:vAlign w:val="center"/>
          </w:tcPr>
          <w:p w:rsidR="00184596" w:rsidRDefault="00184596">
            <w:pPr>
              <w:widowControl/>
              <w:spacing w:line="240" w:lineRule="exact"/>
              <w:rPr>
                <w:rFonts w:ascii="华文细黑" w:eastAsia="华文细黑" w:hAnsi="华文细黑" w:cs="Arial"/>
                <w:sz w:val="18"/>
                <w:szCs w:val="18"/>
              </w:rPr>
            </w:pPr>
          </w:p>
        </w:tc>
        <w:tc>
          <w:tcPr>
            <w:tcW w:w="2386" w:type="dxa"/>
            <w:noWrap/>
          </w:tcPr>
          <w:p w:rsidR="00184596" w:rsidRDefault="00FD048A">
            <w:pPr>
              <w:wordWrap w:val="0"/>
              <w:overflowPunct w:val="0"/>
              <w:spacing w:line="240" w:lineRule="exact"/>
              <w:rPr>
                <w:rFonts w:ascii="华文细黑" w:eastAsia="华文细黑" w:hAnsi="华文细黑" w:cs="Arial"/>
                <w:sz w:val="18"/>
                <w:szCs w:val="18"/>
              </w:rPr>
            </w:pPr>
            <w:r>
              <w:rPr>
                <w:rFonts w:ascii="Arial" w:eastAsia="华文细黑" w:hAnsi="Arial" w:hint="eastAsia"/>
                <w:sz w:val="18"/>
              </w:rPr>
              <w:t>物业管理</w:t>
            </w:r>
          </w:p>
        </w:tc>
        <w:tc>
          <w:tcPr>
            <w:tcW w:w="524"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56"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5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61"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441" w:type="dxa"/>
            <w:tcBorders>
              <w:righ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c>
          <w:tcPr>
            <w:tcW w:w="1445" w:type="dxa"/>
            <w:tcBorders>
              <w:left w:val="nil"/>
            </w:tcBorders>
            <w:vAlign w:val="center"/>
          </w:tcPr>
          <w:p w:rsidR="00184596" w:rsidRDefault="00FD048A">
            <w:pPr>
              <w:spacing w:line="240" w:lineRule="exact"/>
              <w:rPr>
                <w:rFonts w:ascii="Arial" w:eastAsia="华文细黑" w:hAnsi="Arial" w:cs="Arial"/>
                <w:sz w:val="18"/>
                <w:szCs w:val="18"/>
              </w:rPr>
            </w:pPr>
            <w:r>
              <w:rPr>
                <w:rFonts w:ascii="Arial" w:eastAsia="华文细黑" w:hAnsi="Arial" w:cs="Arial"/>
                <w:sz w:val="18"/>
                <w:szCs w:val="18"/>
              </w:rPr>
              <w:t>100</w:t>
            </w:r>
          </w:p>
        </w:tc>
      </w:tr>
      <w:tr w:rsidR="00184596">
        <w:trPr>
          <w:jc w:val="center"/>
        </w:trPr>
        <w:tc>
          <w:tcPr>
            <w:tcW w:w="3521" w:type="dxa"/>
            <w:gridSpan w:val="2"/>
            <w:vAlign w:val="center"/>
          </w:tcPr>
          <w:p w:rsidR="00184596" w:rsidRDefault="00FD048A">
            <w:pPr>
              <w:widowControl/>
              <w:spacing w:line="240" w:lineRule="exact"/>
              <w:rPr>
                <w:rFonts w:ascii="华文细黑" w:eastAsia="华文细黑" w:hAnsi="华文细黑" w:cs="Arial"/>
                <w:sz w:val="18"/>
                <w:szCs w:val="18"/>
              </w:rPr>
            </w:pPr>
            <w:commentRangeStart w:id="63"/>
            <w:r>
              <w:rPr>
                <w:rFonts w:ascii="华文细黑" w:eastAsia="华文细黑" w:hAnsi="华文细黑" w:cs="Arial" w:hint="eastAsia"/>
                <w:sz w:val="18"/>
                <w:szCs w:val="18"/>
              </w:rPr>
              <w:t>交易</w:t>
            </w:r>
            <w:r>
              <w:rPr>
                <w:rFonts w:ascii="华文细黑" w:eastAsia="华文细黑" w:hAnsi="华文细黑" w:cs="Arial"/>
                <w:sz w:val="18"/>
                <w:szCs w:val="18"/>
              </w:rPr>
              <w:t>价格（元/平方米）</w:t>
            </w:r>
          </w:p>
        </w:tc>
        <w:tc>
          <w:tcPr>
            <w:tcW w:w="1980" w:type="dxa"/>
            <w:gridSpan w:val="2"/>
            <w:noWrap/>
            <w:tcMar>
              <w:left w:w="85" w:type="dxa"/>
              <w:right w:w="85" w:type="dxa"/>
            </w:tcMar>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3.80</w:t>
            </w:r>
          </w:p>
        </w:tc>
        <w:tc>
          <w:tcPr>
            <w:tcW w:w="1912" w:type="dxa"/>
            <w:gridSpan w:val="2"/>
            <w:noWrap/>
            <w:tcMar>
              <w:left w:w="85" w:type="dxa"/>
              <w:right w:w="85" w:type="dxa"/>
            </w:tcMar>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3.50</w:t>
            </w:r>
          </w:p>
        </w:tc>
        <w:tc>
          <w:tcPr>
            <w:tcW w:w="1886" w:type="dxa"/>
            <w:gridSpan w:val="2"/>
            <w:noWrap/>
            <w:tcMar>
              <w:left w:w="85" w:type="dxa"/>
              <w:right w:w="85" w:type="dxa"/>
            </w:tcMar>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3.56</w:t>
            </w:r>
            <w:bookmarkStart w:id="64" w:name="_GoBack"/>
            <w:bookmarkEnd w:id="64"/>
            <w:commentRangeEnd w:id="63"/>
            <w:r w:rsidR="00461451">
              <w:rPr>
                <w:rStyle w:val="af5"/>
              </w:rPr>
              <w:commentReference w:id="63"/>
            </w:r>
          </w:p>
        </w:tc>
      </w:tr>
      <w:tr w:rsidR="00184596">
        <w:trPr>
          <w:jc w:val="center"/>
        </w:trPr>
        <w:tc>
          <w:tcPr>
            <w:tcW w:w="3521" w:type="dxa"/>
            <w:gridSpan w:val="2"/>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sz w:val="18"/>
                <w:szCs w:val="18"/>
              </w:rPr>
              <w:t>比较价值（元/平方米）</w:t>
            </w:r>
          </w:p>
        </w:tc>
        <w:tc>
          <w:tcPr>
            <w:tcW w:w="1980" w:type="dxa"/>
            <w:gridSpan w:val="2"/>
            <w:noWrap/>
            <w:tcMar>
              <w:left w:w="85" w:type="dxa"/>
              <w:right w:w="85" w:type="dxa"/>
            </w:tcMar>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3.50</w:t>
            </w:r>
          </w:p>
        </w:tc>
        <w:tc>
          <w:tcPr>
            <w:tcW w:w="1912" w:type="dxa"/>
            <w:gridSpan w:val="2"/>
            <w:noWrap/>
            <w:tcMar>
              <w:left w:w="85" w:type="dxa"/>
              <w:right w:w="85" w:type="dxa"/>
            </w:tcMar>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3.00</w:t>
            </w:r>
          </w:p>
        </w:tc>
        <w:tc>
          <w:tcPr>
            <w:tcW w:w="1886" w:type="dxa"/>
            <w:gridSpan w:val="2"/>
            <w:noWrap/>
            <w:tcMar>
              <w:left w:w="85" w:type="dxa"/>
              <w:right w:w="85" w:type="dxa"/>
            </w:tcMar>
            <w:vAlign w:val="center"/>
          </w:tcPr>
          <w:p w:rsidR="00184596" w:rsidRDefault="00FD048A">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3.30</w:t>
            </w:r>
          </w:p>
        </w:tc>
      </w:tr>
    </w:tbl>
    <w:p w:rsidR="00184596" w:rsidRDefault="00184596">
      <w:pPr>
        <w:widowControl/>
        <w:spacing w:line="240" w:lineRule="exact"/>
        <w:rPr>
          <w:rFonts w:ascii="华文细黑" w:eastAsia="华文细黑" w:hAnsi="华文细黑" w:cs="Arial"/>
          <w:sz w:val="18"/>
          <w:szCs w:val="18"/>
        </w:rPr>
      </w:pP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7.</w:t>
      </w:r>
      <w:r>
        <w:rPr>
          <w:rFonts w:ascii="Arial" w:hAnsi="Arial" w:cs="Arial" w:hint="eastAsia"/>
          <w:sz w:val="21"/>
          <w:szCs w:val="21"/>
        </w:rPr>
        <w:t>估价对象的比较价值</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本次评估所选取的各可比案例与估价对象相似程度接近；通过前述各因素的修正及调整，各可比案例比较价值差异程度较小。因此，本次评估取三个比较价值的简单算术平均值作为估价对象的最终结果。</w:t>
      </w:r>
    </w:p>
    <w:p w:rsidR="00184596" w:rsidRDefault="00FD048A" w:rsidP="00FD048A">
      <w:pPr>
        <w:spacing w:line="480" w:lineRule="auto"/>
        <w:ind w:firstLineChars="196" w:firstLine="412"/>
        <w:jc w:val="both"/>
        <w:rPr>
          <w:rFonts w:ascii="Arial" w:hAnsi="Arial" w:cs="Arial"/>
          <w:sz w:val="21"/>
          <w:szCs w:val="21"/>
        </w:rPr>
      </w:pPr>
      <w:r>
        <w:rPr>
          <w:rFonts w:ascii="Arial" w:hAnsi="Arial" w:cs="Arial" w:hint="eastAsia"/>
          <w:sz w:val="21"/>
          <w:szCs w:val="21"/>
        </w:rPr>
        <w:t>楼面单价＝（</w:t>
      </w:r>
      <w:r>
        <w:rPr>
          <w:rFonts w:ascii="Arial" w:hAnsi="Arial" w:cs="Arial" w:hint="eastAsia"/>
          <w:sz w:val="21"/>
          <w:szCs w:val="21"/>
        </w:rPr>
        <w:t>3.50</w:t>
      </w:r>
      <w:r>
        <w:rPr>
          <w:rFonts w:ascii="Arial" w:hAnsi="Arial" w:cs="Arial" w:hint="eastAsia"/>
          <w:sz w:val="21"/>
          <w:szCs w:val="21"/>
        </w:rPr>
        <w:t>＋</w:t>
      </w:r>
      <w:r>
        <w:rPr>
          <w:rFonts w:ascii="Arial" w:hAnsi="Arial" w:cs="Arial" w:hint="eastAsia"/>
          <w:sz w:val="21"/>
          <w:szCs w:val="21"/>
        </w:rPr>
        <w:t>3.00</w:t>
      </w:r>
      <w:r>
        <w:rPr>
          <w:rFonts w:ascii="Arial" w:hAnsi="Arial" w:cs="Arial" w:hint="eastAsia"/>
          <w:sz w:val="21"/>
          <w:szCs w:val="21"/>
        </w:rPr>
        <w:t>＋</w:t>
      </w:r>
      <w:r>
        <w:rPr>
          <w:rFonts w:ascii="Arial" w:hAnsi="Arial" w:cs="Arial" w:hint="eastAsia"/>
          <w:sz w:val="21"/>
          <w:szCs w:val="21"/>
        </w:rPr>
        <w:t>3.30</w:t>
      </w: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hint="eastAsia"/>
          <w:sz w:val="21"/>
          <w:szCs w:val="21"/>
        </w:rPr>
        <w:t>3.30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w:t>
      </w:r>
    </w:p>
    <w:p w:rsidR="00184596" w:rsidRDefault="00FD048A">
      <w:pPr>
        <w:spacing w:line="480" w:lineRule="auto"/>
        <w:ind w:firstLineChars="200" w:firstLine="422"/>
        <w:jc w:val="both"/>
        <w:rPr>
          <w:rFonts w:ascii="Arial" w:hAnsi="Arial" w:cs="Arial"/>
          <w:b/>
          <w:bCs/>
          <w:kern w:val="2"/>
          <w:sz w:val="21"/>
          <w:szCs w:val="21"/>
        </w:rPr>
      </w:pPr>
      <w:r>
        <w:rPr>
          <w:rFonts w:ascii="Calibri" w:hAnsi="Calibri" w:cs="Calibri" w:hint="eastAsia"/>
          <w:b/>
          <w:bCs/>
          <w:kern w:val="2"/>
          <w:sz w:val="21"/>
          <w:szCs w:val="21"/>
        </w:rPr>
        <w:br w:type="page"/>
      </w:r>
      <w:r>
        <w:rPr>
          <w:rFonts w:ascii="Calibri" w:hAnsi="Calibri" w:cs="Calibri" w:hint="eastAsia"/>
          <w:b/>
          <w:bCs/>
          <w:kern w:val="2"/>
          <w:sz w:val="21"/>
          <w:szCs w:val="21"/>
        </w:rPr>
        <w:lastRenderedPageBreak/>
        <w:t>（二）</w:t>
      </w:r>
      <w:r>
        <w:rPr>
          <w:rFonts w:ascii="Arial" w:hAnsi="Arial" w:cs="Arial" w:hint="eastAsia"/>
          <w:b/>
          <w:bCs/>
          <w:kern w:val="2"/>
          <w:sz w:val="21"/>
          <w:szCs w:val="21"/>
        </w:rPr>
        <w:t>求取估价对象各楼层商业用房市场租金水平</w:t>
      </w:r>
    </w:p>
    <w:p w:rsidR="00184596" w:rsidRDefault="00FD048A">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估价</w:t>
      </w:r>
      <w:r>
        <w:rPr>
          <w:rFonts w:ascii="Arial" w:hAnsi="Arial" w:hint="eastAsia"/>
          <w:kern w:val="2"/>
          <w:sz w:val="21"/>
        </w:rPr>
        <w:t>对象为</w:t>
      </w:r>
      <w:r>
        <w:rPr>
          <w:rFonts w:ascii="Arial" w:hAnsi="Arial"/>
          <w:kern w:val="2"/>
          <w:sz w:val="21"/>
        </w:rPr>
        <w:t>北京市房山区阜盛西街</w:t>
      </w:r>
      <w:r>
        <w:rPr>
          <w:rFonts w:ascii="Arial" w:hAnsi="Arial"/>
          <w:kern w:val="2"/>
          <w:sz w:val="21"/>
        </w:rPr>
        <w:t>11</w:t>
      </w:r>
      <w:r>
        <w:rPr>
          <w:rFonts w:ascii="Arial" w:hAnsi="Arial"/>
          <w:kern w:val="2"/>
          <w:sz w:val="21"/>
        </w:rPr>
        <w:t>号院</w:t>
      </w:r>
      <w:r>
        <w:rPr>
          <w:rFonts w:ascii="Arial" w:hAnsi="Arial"/>
          <w:kern w:val="2"/>
          <w:sz w:val="21"/>
        </w:rPr>
        <w:t>3</w:t>
      </w:r>
      <w:r>
        <w:rPr>
          <w:rFonts w:ascii="Arial" w:hAnsi="Arial" w:hint="eastAsia"/>
          <w:kern w:val="2"/>
          <w:sz w:val="21"/>
        </w:rPr>
        <w:t>号楼</w:t>
      </w:r>
      <w:r>
        <w:rPr>
          <w:rFonts w:ascii="Arial" w:hAnsi="Arial"/>
          <w:kern w:val="2"/>
          <w:sz w:val="21"/>
        </w:rPr>
        <w:t>地上</w:t>
      </w:r>
      <w:r>
        <w:rPr>
          <w:rFonts w:ascii="Arial" w:hAnsi="Arial"/>
          <w:kern w:val="2"/>
          <w:sz w:val="21"/>
        </w:rPr>
        <w:t>1</w:t>
      </w:r>
      <w:r>
        <w:rPr>
          <w:rFonts w:ascii="Arial" w:hAnsi="Arial" w:hint="eastAsia"/>
          <w:kern w:val="2"/>
          <w:sz w:val="21"/>
        </w:rPr>
        <w:t>层</w:t>
      </w:r>
      <w:r>
        <w:rPr>
          <w:rFonts w:ascii="Arial" w:hAnsi="Arial" w:hint="eastAsia"/>
          <w:kern w:val="2"/>
          <w:sz w:val="21"/>
        </w:rPr>
        <w:t>101</w:t>
      </w:r>
      <w:r>
        <w:rPr>
          <w:rFonts w:ascii="Arial" w:hAnsi="Arial" w:hint="eastAsia"/>
          <w:kern w:val="2"/>
          <w:sz w:val="21"/>
        </w:rPr>
        <w:t>号等</w:t>
      </w:r>
      <w:r>
        <w:rPr>
          <w:rFonts w:ascii="Arial" w:hAnsi="Arial" w:hint="eastAsia"/>
          <w:kern w:val="2"/>
          <w:sz w:val="21"/>
        </w:rPr>
        <w:t>29</w:t>
      </w:r>
      <w:r>
        <w:rPr>
          <w:rFonts w:ascii="Arial" w:hAnsi="Arial" w:hint="eastAsia"/>
          <w:kern w:val="2"/>
          <w:sz w:val="21"/>
        </w:rPr>
        <w:t>套商业用房，评估专业人</w:t>
      </w:r>
      <w:r>
        <w:rPr>
          <w:rFonts w:ascii="Arial" w:hAnsi="Arial" w:cs="Arial"/>
          <w:sz w:val="21"/>
          <w:szCs w:val="21"/>
        </w:rPr>
        <w:t>员根据实际情况，以</w:t>
      </w:r>
      <w:r>
        <w:rPr>
          <w:rFonts w:ascii="Arial" w:hAnsi="Arial" w:hint="eastAsia"/>
          <w:kern w:val="2"/>
          <w:sz w:val="21"/>
        </w:rPr>
        <w:t>估价对象</w:t>
      </w:r>
      <w:r>
        <w:rPr>
          <w:rFonts w:ascii="Arial" w:hAnsi="Arial" w:hint="eastAsia"/>
          <w:kern w:val="2"/>
          <w:sz w:val="21"/>
        </w:rPr>
        <w:t>1</w:t>
      </w:r>
      <w:r>
        <w:rPr>
          <w:rFonts w:ascii="Arial" w:hAnsi="Arial" w:hint="eastAsia"/>
          <w:kern w:val="2"/>
          <w:sz w:val="21"/>
        </w:rPr>
        <w:t>层商业用房市场租金</w:t>
      </w:r>
      <w:r>
        <w:rPr>
          <w:rFonts w:ascii="Arial" w:hAnsi="Arial" w:cs="Arial"/>
          <w:sz w:val="21"/>
        </w:rPr>
        <w:t>为基准，</w:t>
      </w:r>
      <w:r>
        <w:rPr>
          <w:rFonts w:ascii="Arial" w:hAnsi="Arial" w:cs="Arial" w:hint="eastAsia"/>
          <w:sz w:val="21"/>
        </w:rPr>
        <w:t>根据各楼栋、楼层</w:t>
      </w:r>
      <w:r>
        <w:rPr>
          <w:rFonts w:ascii="Arial" w:hAnsi="Arial" w:hint="eastAsia"/>
          <w:kern w:val="2"/>
          <w:sz w:val="21"/>
        </w:rPr>
        <w:t>因素不同，</w:t>
      </w:r>
      <w:r>
        <w:rPr>
          <w:rFonts w:ascii="Arial" w:hAnsi="Arial" w:cs="Arial"/>
          <w:sz w:val="21"/>
        </w:rPr>
        <w:t>对</w:t>
      </w:r>
      <w:r>
        <w:rPr>
          <w:rFonts w:ascii="Arial" w:hAnsi="Arial" w:hint="eastAsia"/>
          <w:kern w:val="2"/>
          <w:sz w:val="21"/>
        </w:rPr>
        <w:t>估价对象其他楼层</w:t>
      </w:r>
      <w:r>
        <w:rPr>
          <w:rFonts w:ascii="Arial" w:hAnsi="Arial" w:cs="Arial"/>
          <w:sz w:val="21"/>
          <w:szCs w:val="21"/>
        </w:rPr>
        <w:t>进行调整，确定估价对象</w:t>
      </w:r>
      <w:r>
        <w:rPr>
          <w:rFonts w:ascii="Arial" w:hAnsi="Arial" w:cs="Arial" w:hint="eastAsia"/>
          <w:sz w:val="21"/>
          <w:szCs w:val="21"/>
        </w:rPr>
        <w:t>商业用房</w:t>
      </w:r>
      <w:r>
        <w:rPr>
          <w:rFonts w:ascii="Arial" w:hAnsi="Arial" w:cs="Arial"/>
          <w:sz w:val="21"/>
          <w:szCs w:val="21"/>
        </w:rPr>
        <w:t>的房地产</w:t>
      </w:r>
      <w:r>
        <w:rPr>
          <w:rFonts w:ascii="Arial" w:hAnsi="Arial" w:cs="Arial" w:hint="eastAsia"/>
          <w:sz w:val="21"/>
          <w:szCs w:val="21"/>
        </w:rPr>
        <w:t>市场租金水平</w:t>
      </w:r>
      <w:r>
        <w:rPr>
          <w:rFonts w:ascii="Arial" w:hAnsi="Arial" w:cs="Arial"/>
          <w:sz w:val="21"/>
          <w:szCs w:val="21"/>
        </w:rPr>
        <w:t>。具体</w:t>
      </w:r>
      <w:r>
        <w:rPr>
          <w:rFonts w:ascii="Arial" w:hAnsi="Arial" w:cs="Arial" w:hint="eastAsia"/>
          <w:sz w:val="21"/>
          <w:szCs w:val="21"/>
        </w:rPr>
        <w:t>分析如下</w:t>
      </w:r>
      <w:r>
        <w:rPr>
          <w:rFonts w:ascii="Arial" w:hAnsi="Arial" w:cs="Arial"/>
          <w:sz w:val="21"/>
          <w:szCs w:val="21"/>
        </w:rPr>
        <w:t>：</w:t>
      </w:r>
    </w:p>
    <w:p w:rsidR="00184596" w:rsidRDefault="00FD048A">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号楼地上</w:t>
      </w:r>
      <w:r>
        <w:rPr>
          <w:rFonts w:ascii="Arial" w:hAnsi="Arial" w:cs="Arial" w:hint="eastAsia"/>
          <w:kern w:val="2"/>
          <w:sz w:val="21"/>
          <w:szCs w:val="21"/>
        </w:rPr>
        <w:t>1-2</w:t>
      </w:r>
      <w:r>
        <w:rPr>
          <w:rFonts w:ascii="Arial" w:hAnsi="Arial" w:cs="Arial" w:hint="eastAsia"/>
          <w:kern w:val="2"/>
          <w:sz w:val="21"/>
          <w:szCs w:val="21"/>
        </w:rPr>
        <w:t>层共</w:t>
      </w:r>
      <w:r>
        <w:rPr>
          <w:rFonts w:ascii="Arial" w:hAnsi="Arial" w:cs="Arial" w:hint="eastAsia"/>
          <w:kern w:val="2"/>
          <w:sz w:val="21"/>
          <w:szCs w:val="21"/>
        </w:rPr>
        <w:t>7</w:t>
      </w:r>
      <w:r>
        <w:rPr>
          <w:rFonts w:ascii="Arial" w:hAnsi="Arial" w:cs="Arial" w:hint="eastAsia"/>
          <w:kern w:val="2"/>
          <w:sz w:val="21"/>
          <w:szCs w:val="21"/>
        </w:rPr>
        <w:t>套商业用房，位于</w:t>
      </w:r>
      <w:r>
        <w:rPr>
          <w:rFonts w:ascii="Arial" w:hAnsi="Arial" w:cs="Arial" w:hint="eastAsia"/>
          <w:kern w:val="2"/>
          <w:sz w:val="21"/>
          <w:szCs w:val="21"/>
        </w:rPr>
        <w:t>042</w:t>
      </w:r>
      <w:r>
        <w:rPr>
          <w:rFonts w:ascii="Arial" w:hAnsi="Arial" w:cs="Arial" w:hint="eastAsia"/>
          <w:kern w:val="2"/>
          <w:sz w:val="21"/>
          <w:szCs w:val="21"/>
        </w:rPr>
        <w:t>地块，西侧紧邻城市主干道——长于大街，南侧面向</w:t>
      </w:r>
      <w:proofErr w:type="gramStart"/>
      <w:r>
        <w:rPr>
          <w:rFonts w:ascii="Arial" w:hAnsi="Arial" w:cs="Arial" w:hint="eastAsia"/>
          <w:kern w:val="2"/>
          <w:sz w:val="21"/>
          <w:szCs w:val="21"/>
        </w:rPr>
        <w:t>熙悦天</w:t>
      </w:r>
      <w:proofErr w:type="gramEnd"/>
      <w:r>
        <w:rPr>
          <w:rFonts w:ascii="Arial" w:hAnsi="Arial" w:cs="Arial" w:hint="eastAsia"/>
          <w:kern w:val="2"/>
          <w:sz w:val="21"/>
          <w:szCs w:val="21"/>
        </w:rPr>
        <w:t>街</w:t>
      </w:r>
      <w:r>
        <w:rPr>
          <w:rFonts w:ascii="Arial" w:hAnsi="Arial" w:cs="Arial" w:hint="eastAsia"/>
          <w:kern w:val="2"/>
          <w:sz w:val="21"/>
          <w:szCs w:val="21"/>
        </w:rPr>
        <w:t>B</w:t>
      </w:r>
      <w:r>
        <w:rPr>
          <w:rFonts w:ascii="Arial" w:hAnsi="Arial" w:cs="Arial" w:hint="eastAsia"/>
          <w:kern w:val="2"/>
          <w:sz w:val="21"/>
          <w:szCs w:val="21"/>
        </w:rPr>
        <w:t>馆，紧邻城市支路——水碾屯北路，可视性较好，</w:t>
      </w:r>
      <w:r>
        <w:rPr>
          <w:rFonts w:ascii="Arial" w:hAnsi="Arial" w:cs="Arial" w:hint="eastAsia"/>
          <w:kern w:val="2"/>
          <w:sz w:val="21"/>
          <w:szCs w:val="21"/>
        </w:rPr>
        <w:t>1</w:t>
      </w:r>
      <w:r>
        <w:rPr>
          <w:rFonts w:ascii="Arial" w:hAnsi="Arial" w:cs="Arial" w:hint="eastAsia"/>
          <w:kern w:val="2"/>
          <w:sz w:val="21"/>
          <w:szCs w:val="21"/>
        </w:rPr>
        <w:t>层层高</w:t>
      </w:r>
      <w:r>
        <w:rPr>
          <w:rFonts w:ascii="Arial" w:hAnsi="Arial" w:cs="Arial" w:hint="eastAsia"/>
          <w:kern w:val="2"/>
          <w:sz w:val="21"/>
          <w:szCs w:val="21"/>
        </w:rPr>
        <w:t>6</w:t>
      </w:r>
      <w:r>
        <w:rPr>
          <w:rFonts w:ascii="Arial" w:hAnsi="Arial" w:cs="Arial" w:hint="eastAsia"/>
          <w:kern w:val="2"/>
          <w:sz w:val="21"/>
          <w:szCs w:val="21"/>
        </w:rPr>
        <w:t>米，</w:t>
      </w:r>
      <w:r>
        <w:rPr>
          <w:rFonts w:ascii="Arial" w:hAnsi="Arial" w:cs="Arial" w:hint="eastAsia"/>
          <w:kern w:val="2"/>
          <w:sz w:val="21"/>
          <w:szCs w:val="21"/>
        </w:rPr>
        <w:t>2</w:t>
      </w:r>
      <w:r>
        <w:rPr>
          <w:rFonts w:ascii="Arial" w:hAnsi="Arial" w:cs="Arial" w:hint="eastAsia"/>
          <w:kern w:val="2"/>
          <w:sz w:val="21"/>
          <w:szCs w:val="21"/>
        </w:rPr>
        <w:t>层层高</w:t>
      </w:r>
      <w:r>
        <w:rPr>
          <w:rFonts w:ascii="Arial" w:hAnsi="Arial" w:cs="Arial" w:hint="eastAsia"/>
          <w:kern w:val="2"/>
          <w:sz w:val="21"/>
          <w:szCs w:val="21"/>
        </w:rPr>
        <w:t>5.4</w:t>
      </w:r>
      <w:r>
        <w:rPr>
          <w:rFonts w:ascii="Arial" w:hAnsi="Arial" w:cs="Arial" w:hint="eastAsia"/>
          <w:kern w:val="2"/>
          <w:sz w:val="21"/>
          <w:szCs w:val="21"/>
        </w:rPr>
        <w:t>米，开敞空间，</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层上下独立，可自由分割，通达性较好，内部平面布局较规整，建筑面积</w:t>
      </w:r>
      <w:r>
        <w:rPr>
          <w:rFonts w:ascii="Arial" w:hAnsi="Arial" w:cs="Arial" w:hint="eastAsia"/>
          <w:kern w:val="2"/>
          <w:sz w:val="21"/>
          <w:szCs w:val="21"/>
        </w:rPr>
        <w:t>5287.83</w:t>
      </w:r>
      <w:r>
        <w:rPr>
          <w:rFonts w:ascii="Arial" w:hAnsi="Arial" w:cs="Arial" w:hint="eastAsia"/>
          <w:kern w:val="2"/>
          <w:sz w:val="21"/>
          <w:szCs w:val="21"/>
        </w:rPr>
        <w:t>平方米，套内建筑面积</w:t>
      </w:r>
      <w:r>
        <w:rPr>
          <w:rFonts w:ascii="Arial" w:hAnsi="Arial" w:cs="Arial" w:hint="eastAsia"/>
          <w:kern w:val="2"/>
          <w:sz w:val="21"/>
          <w:szCs w:val="21"/>
        </w:rPr>
        <w:t>4052.97</w:t>
      </w:r>
      <w:r>
        <w:rPr>
          <w:rFonts w:ascii="Arial" w:hAnsi="Arial" w:cs="Arial" w:hint="eastAsia"/>
          <w:kern w:val="2"/>
          <w:sz w:val="21"/>
          <w:szCs w:val="21"/>
        </w:rPr>
        <w:t>平方米，使用率</w:t>
      </w:r>
      <w:r>
        <w:rPr>
          <w:rFonts w:ascii="Arial" w:hAnsi="Arial" w:cs="Arial" w:hint="eastAsia"/>
          <w:kern w:val="2"/>
          <w:sz w:val="21"/>
          <w:szCs w:val="21"/>
        </w:rPr>
        <w:t>77%</w:t>
      </w:r>
      <w:r>
        <w:rPr>
          <w:rFonts w:ascii="Arial" w:hAnsi="Arial" w:cs="Arial" w:hint="eastAsia"/>
          <w:kern w:val="2"/>
          <w:sz w:val="21"/>
          <w:szCs w:val="21"/>
        </w:rPr>
        <w:t>。</w:t>
      </w:r>
    </w:p>
    <w:p w:rsidR="00184596" w:rsidRDefault="00FD048A">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w:t>
      </w:r>
      <w:r>
        <w:rPr>
          <w:rFonts w:ascii="Arial" w:hAnsi="Arial" w:cs="Arial" w:hint="eastAsia"/>
          <w:kern w:val="2"/>
          <w:sz w:val="21"/>
          <w:szCs w:val="21"/>
        </w:rPr>
        <w:t>11</w:t>
      </w:r>
      <w:r>
        <w:rPr>
          <w:rFonts w:ascii="Arial" w:hAnsi="Arial" w:cs="Arial" w:hint="eastAsia"/>
          <w:kern w:val="2"/>
          <w:sz w:val="21"/>
          <w:szCs w:val="21"/>
        </w:rPr>
        <w:t>号院</w:t>
      </w:r>
      <w:r>
        <w:rPr>
          <w:rFonts w:ascii="Arial" w:hAnsi="Arial" w:cs="Arial" w:hint="eastAsia"/>
          <w:kern w:val="2"/>
          <w:sz w:val="21"/>
          <w:szCs w:val="21"/>
        </w:rPr>
        <w:t>6</w:t>
      </w:r>
      <w:r>
        <w:rPr>
          <w:rFonts w:ascii="Arial" w:hAnsi="Arial" w:cs="Arial" w:hint="eastAsia"/>
          <w:kern w:val="2"/>
          <w:sz w:val="21"/>
          <w:szCs w:val="21"/>
        </w:rPr>
        <w:t>号楼地下</w:t>
      </w:r>
      <w:r>
        <w:rPr>
          <w:rFonts w:ascii="Arial" w:hAnsi="Arial" w:cs="Arial" w:hint="eastAsia"/>
          <w:kern w:val="2"/>
          <w:sz w:val="21"/>
          <w:szCs w:val="21"/>
        </w:rPr>
        <w:t>1</w:t>
      </w:r>
      <w:r>
        <w:rPr>
          <w:rFonts w:ascii="Arial" w:hAnsi="Arial" w:cs="Arial" w:hint="eastAsia"/>
          <w:kern w:val="2"/>
          <w:sz w:val="21"/>
          <w:szCs w:val="21"/>
        </w:rPr>
        <w:t>层共</w:t>
      </w:r>
      <w:r>
        <w:rPr>
          <w:rFonts w:ascii="Arial" w:hAnsi="Arial" w:cs="Arial" w:hint="eastAsia"/>
          <w:kern w:val="2"/>
          <w:sz w:val="21"/>
          <w:szCs w:val="21"/>
        </w:rPr>
        <w:t>9</w:t>
      </w:r>
      <w:r>
        <w:rPr>
          <w:rFonts w:ascii="Arial" w:hAnsi="Arial" w:cs="Arial" w:hint="eastAsia"/>
          <w:kern w:val="2"/>
          <w:sz w:val="21"/>
          <w:szCs w:val="21"/>
        </w:rPr>
        <w:t>套商业用房，位于</w:t>
      </w:r>
      <w:r>
        <w:rPr>
          <w:rFonts w:ascii="Arial" w:hAnsi="Arial" w:cs="Arial" w:hint="eastAsia"/>
          <w:kern w:val="2"/>
          <w:sz w:val="21"/>
          <w:szCs w:val="21"/>
        </w:rPr>
        <w:t>042</w:t>
      </w:r>
      <w:r>
        <w:rPr>
          <w:rFonts w:ascii="Arial" w:hAnsi="Arial" w:cs="Arial" w:hint="eastAsia"/>
          <w:kern w:val="2"/>
          <w:sz w:val="21"/>
          <w:szCs w:val="21"/>
        </w:rPr>
        <w:t>地块，属于地下封闭式商业用房，不临街，通往地下仅有一个楼梯入口，货物运输受限，可视性差，通达性差，层高受限，内部平面布局</w:t>
      </w:r>
      <w:proofErr w:type="gramStart"/>
      <w:r>
        <w:rPr>
          <w:rFonts w:ascii="Arial" w:hAnsi="Arial" w:cs="Arial" w:hint="eastAsia"/>
          <w:kern w:val="2"/>
          <w:sz w:val="21"/>
          <w:szCs w:val="21"/>
        </w:rPr>
        <w:t>不</w:t>
      </w:r>
      <w:proofErr w:type="gramEnd"/>
      <w:r>
        <w:rPr>
          <w:rFonts w:ascii="Arial" w:hAnsi="Arial" w:cs="Arial" w:hint="eastAsia"/>
          <w:kern w:val="2"/>
          <w:sz w:val="21"/>
          <w:szCs w:val="21"/>
        </w:rPr>
        <w:t>规整，建筑面积</w:t>
      </w:r>
      <w:r>
        <w:rPr>
          <w:rFonts w:ascii="Arial" w:hAnsi="Arial" w:cs="Arial" w:hint="eastAsia"/>
          <w:kern w:val="2"/>
          <w:sz w:val="21"/>
          <w:szCs w:val="21"/>
        </w:rPr>
        <w:t>8822.48</w:t>
      </w:r>
      <w:r>
        <w:rPr>
          <w:rFonts w:ascii="Arial" w:hAnsi="Arial" w:cs="Arial" w:hint="eastAsia"/>
          <w:kern w:val="2"/>
          <w:sz w:val="21"/>
          <w:szCs w:val="21"/>
        </w:rPr>
        <w:t>平方米，套内建筑面积</w:t>
      </w:r>
      <w:r>
        <w:rPr>
          <w:rFonts w:ascii="Arial" w:hAnsi="Arial" w:cs="Arial" w:hint="eastAsia"/>
          <w:kern w:val="2"/>
          <w:sz w:val="21"/>
          <w:szCs w:val="21"/>
        </w:rPr>
        <w:t>5253.44</w:t>
      </w:r>
      <w:r>
        <w:rPr>
          <w:rFonts w:ascii="Arial" w:hAnsi="Arial" w:cs="Arial" w:hint="eastAsia"/>
          <w:kern w:val="2"/>
          <w:sz w:val="21"/>
          <w:szCs w:val="21"/>
        </w:rPr>
        <w:t>平方米，使用率</w:t>
      </w:r>
      <w:r>
        <w:rPr>
          <w:rFonts w:ascii="Arial" w:hAnsi="Arial" w:cs="Arial" w:hint="eastAsia"/>
          <w:kern w:val="2"/>
          <w:sz w:val="21"/>
          <w:szCs w:val="21"/>
        </w:rPr>
        <w:t>60%</w:t>
      </w:r>
      <w:r>
        <w:rPr>
          <w:rFonts w:ascii="Arial" w:hAnsi="Arial" w:cs="Arial" w:hint="eastAsia"/>
          <w:kern w:val="2"/>
          <w:sz w:val="21"/>
          <w:szCs w:val="21"/>
        </w:rPr>
        <w:t>。</w:t>
      </w:r>
    </w:p>
    <w:p w:rsidR="00184596" w:rsidRDefault="00FD048A">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Pr>
          <w:rFonts w:ascii="Arial" w:hAnsi="Arial" w:hint="eastAsia"/>
          <w:color w:val="000000"/>
          <w:kern w:val="2"/>
          <w:sz w:val="21"/>
        </w:rPr>
        <w:t>长阳镇</w:t>
      </w:r>
      <w:r>
        <w:rPr>
          <w:rFonts w:ascii="Arial" w:hAnsi="Arial" w:hint="eastAsia"/>
          <w:color w:val="000000"/>
          <w:kern w:val="2"/>
          <w:sz w:val="21"/>
        </w:rPr>
        <w:t>FS00-LX10-0044</w:t>
      </w:r>
      <w:r>
        <w:rPr>
          <w:rFonts w:ascii="Arial" w:hAnsi="Arial" w:hint="eastAsia"/>
          <w:color w:val="000000"/>
          <w:kern w:val="2"/>
          <w:sz w:val="21"/>
        </w:rPr>
        <w:t>地块</w:t>
      </w:r>
      <w:r>
        <w:rPr>
          <w:rFonts w:ascii="Arial" w:hAnsi="Arial" w:hint="eastAsia"/>
          <w:color w:val="000000"/>
          <w:kern w:val="2"/>
          <w:sz w:val="21"/>
        </w:rPr>
        <w:t>6</w:t>
      </w:r>
      <w:r>
        <w:rPr>
          <w:rFonts w:ascii="Arial" w:hAnsi="Arial" w:hint="eastAsia"/>
          <w:color w:val="000000"/>
          <w:kern w:val="2"/>
          <w:sz w:val="21"/>
        </w:rPr>
        <w:t>号商业楼地上</w:t>
      </w:r>
      <w:r>
        <w:rPr>
          <w:rFonts w:ascii="Arial" w:hAnsi="Arial" w:hint="eastAsia"/>
          <w:color w:val="000000"/>
          <w:kern w:val="2"/>
          <w:sz w:val="21"/>
        </w:rPr>
        <w:t>1-2</w:t>
      </w:r>
      <w:r>
        <w:rPr>
          <w:rFonts w:ascii="Arial" w:hAnsi="Arial" w:hint="eastAsia"/>
          <w:color w:val="000000"/>
          <w:kern w:val="2"/>
          <w:sz w:val="21"/>
        </w:rPr>
        <w:t>层共</w:t>
      </w:r>
      <w:r>
        <w:rPr>
          <w:rFonts w:ascii="Arial" w:hAnsi="Arial" w:hint="eastAsia"/>
          <w:color w:val="000000"/>
          <w:kern w:val="2"/>
          <w:sz w:val="21"/>
        </w:rPr>
        <w:t>6</w:t>
      </w:r>
      <w:r>
        <w:rPr>
          <w:rFonts w:ascii="Arial" w:hAnsi="Arial" w:hint="eastAsia"/>
          <w:color w:val="000000"/>
          <w:kern w:val="2"/>
          <w:sz w:val="21"/>
        </w:rPr>
        <w:t>套商业用房，</w:t>
      </w:r>
      <w:r>
        <w:rPr>
          <w:rFonts w:ascii="Arial" w:hAnsi="Arial" w:cs="Arial" w:hint="eastAsia"/>
          <w:kern w:val="2"/>
          <w:sz w:val="21"/>
          <w:szCs w:val="21"/>
        </w:rPr>
        <w:t>东侧临近城市次干道——</w:t>
      </w:r>
      <w:proofErr w:type="gramStart"/>
      <w:r>
        <w:rPr>
          <w:rFonts w:ascii="Arial" w:hAnsi="Arial" w:cs="Arial" w:hint="eastAsia"/>
          <w:kern w:val="2"/>
          <w:sz w:val="21"/>
          <w:szCs w:val="21"/>
        </w:rPr>
        <w:t>阜</w:t>
      </w:r>
      <w:proofErr w:type="gramEnd"/>
      <w:r>
        <w:rPr>
          <w:rFonts w:ascii="Arial" w:hAnsi="Arial" w:cs="Arial" w:hint="eastAsia"/>
          <w:kern w:val="2"/>
          <w:sz w:val="21"/>
          <w:szCs w:val="21"/>
        </w:rPr>
        <w:t>盛西街，西侧紧邻</w:t>
      </w:r>
      <w:proofErr w:type="gramStart"/>
      <w:r>
        <w:rPr>
          <w:rFonts w:ascii="Arial" w:hAnsi="Arial" w:cs="Arial" w:hint="eastAsia"/>
          <w:kern w:val="2"/>
          <w:sz w:val="21"/>
          <w:szCs w:val="21"/>
        </w:rPr>
        <w:t>熙悦天</w:t>
      </w:r>
      <w:proofErr w:type="gramEnd"/>
      <w:r>
        <w:rPr>
          <w:rFonts w:ascii="Arial" w:hAnsi="Arial" w:cs="Arial" w:hint="eastAsia"/>
          <w:kern w:val="2"/>
          <w:sz w:val="21"/>
          <w:szCs w:val="21"/>
        </w:rPr>
        <w:t>街</w:t>
      </w:r>
      <w:r>
        <w:rPr>
          <w:rFonts w:ascii="Arial" w:hAnsi="Arial" w:cs="Arial" w:hint="eastAsia"/>
          <w:kern w:val="2"/>
          <w:sz w:val="21"/>
          <w:szCs w:val="21"/>
        </w:rPr>
        <w:t>B</w:t>
      </w:r>
      <w:r>
        <w:rPr>
          <w:rFonts w:ascii="Arial" w:hAnsi="Arial" w:cs="Arial" w:hint="eastAsia"/>
          <w:kern w:val="2"/>
          <w:sz w:val="21"/>
          <w:szCs w:val="21"/>
        </w:rPr>
        <w:t>馆，可视性一般，</w:t>
      </w:r>
      <w:r>
        <w:rPr>
          <w:rFonts w:ascii="Arial" w:hAnsi="Arial" w:cs="Arial" w:hint="eastAsia"/>
          <w:kern w:val="2"/>
          <w:sz w:val="21"/>
          <w:szCs w:val="21"/>
        </w:rPr>
        <w:t>1</w:t>
      </w:r>
      <w:r>
        <w:rPr>
          <w:rFonts w:ascii="Arial" w:hAnsi="Arial" w:cs="Arial" w:hint="eastAsia"/>
          <w:kern w:val="2"/>
          <w:sz w:val="21"/>
          <w:szCs w:val="21"/>
        </w:rPr>
        <w:t>层层高</w:t>
      </w:r>
      <w:r>
        <w:rPr>
          <w:rFonts w:ascii="Arial" w:hAnsi="Arial" w:cs="Arial" w:hint="eastAsia"/>
          <w:kern w:val="2"/>
          <w:sz w:val="21"/>
          <w:szCs w:val="21"/>
        </w:rPr>
        <w:t>6</w:t>
      </w:r>
      <w:r>
        <w:rPr>
          <w:rFonts w:ascii="Arial" w:hAnsi="Arial" w:cs="Arial" w:hint="eastAsia"/>
          <w:kern w:val="2"/>
          <w:sz w:val="21"/>
          <w:szCs w:val="21"/>
        </w:rPr>
        <w:t>米，</w:t>
      </w:r>
      <w:r>
        <w:rPr>
          <w:rFonts w:ascii="Arial" w:hAnsi="Arial" w:cs="Arial" w:hint="eastAsia"/>
          <w:kern w:val="2"/>
          <w:sz w:val="21"/>
          <w:szCs w:val="21"/>
        </w:rPr>
        <w:t>2</w:t>
      </w:r>
      <w:r>
        <w:rPr>
          <w:rFonts w:ascii="Arial" w:hAnsi="Arial" w:cs="Arial" w:hint="eastAsia"/>
          <w:kern w:val="2"/>
          <w:sz w:val="21"/>
          <w:szCs w:val="21"/>
        </w:rPr>
        <w:t>层层高</w:t>
      </w:r>
      <w:r>
        <w:rPr>
          <w:rFonts w:ascii="Arial" w:hAnsi="Arial" w:cs="Arial" w:hint="eastAsia"/>
          <w:kern w:val="2"/>
          <w:sz w:val="21"/>
          <w:szCs w:val="21"/>
        </w:rPr>
        <w:t>5.4</w:t>
      </w:r>
      <w:r>
        <w:rPr>
          <w:rFonts w:ascii="Arial" w:hAnsi="Arial" w:cs="Arial" w:hint="eastAsia"/>
          <w:kern w:val="2"/>
          <w:sz w:val="21"/>
          <w:szCs w:val="21"/>
        </w:rPr>
        <w:t>米，开敞空间，</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层上下独立，可自由分割，通达性一般，内部平面布局较规整，建筑面积</w:t>
      </w:r>
      <w:r>
        <w:rPr>
          <w:rFonts w:ascii="Arial" w:hAnsi="Arial" w:cs="Arial" w:hint="eastAsia"/>
          <w:kern w:val="2"/>
          <w:sz w:val="21"/>
          <w:szCs w:val="21"/>
        </w:rPr>
        <w:t>4785.09</w:t>
      </w:r>
      <w:r>
        <w:rPr>
          <w:rFonts w:ascii="Arial" w:hAnsi="Arial" w:cs="Arial" w:hint="eastAsia"/>
          <w:kern w:val="2"/>
          <w:sz w:val="21"/>
          <w:szCs w:val="21"/>
        </w:rPr>
        <w:t>平方米，套内建筑面积</w:t>
      </w:r>
      <w:r>
        <w:rPr>
          <w:rFonts w:ascii="Arial" w:hAnsi="Arial" w:cs="Arial" w:hint="eastAsia"/>
          <w:kern w:val="2"/>
          <w:sz w:val="21"/>
          <w:szCs w:val="21"/>
        </w:rPr>
        <w:t>4054.05</w:t>
      </w:r>
      <w:r>
        <w:rPr>
          <w:rFonts w:ascii="Arial" w:hAnsi="Arial" w:cs="Arial" w:hint="eastAsia"/>
          <w:kern w:val="2"/>
          <w:sz w:val="21"/>
          <w:szCs w:val="21"/>
        </w:rPr>
        <w:t>平方米，使用率</w:t>
      </w:r>
      <w:r>
        <w:rPr>
          <w:rFonts w:ascii="Arial" w:hAnsi="Arial" w:cs="Arial" w:hint="eastAsia"/>
          <w:kern w:val="2"/>
          <w:sz w:val="21"/>
          <w:szCs w:val="21"/>
        </w:rPr>
        <w:t>85%</w:t>
      </w:r>
      <w:r>
        <w:rPr>
          <w:rFonts w:ascii="Arial" w:hAnsi="Arial" w:cs="Arial" w:hint="eastAsia"/>
          <w:kern w:val="2"/>
          <w:sz w:val="21"/>
          <w:szCs w:val="21"/>
        </w:rPr>
        <w:t>。</w:t>
      </w:r>
    </w:p>
    <w:p w:rsidR="00184596" w:rsidRDefault="00FD048A">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）长于大街</w:t>
      </w:r>
      <w:r>
        <w:rPr>
          <w:rFonts w:ascii="Arial" w:hAnsi="Arial" w:cs="Arial" w:hint="eastAsia"/>
          <w:kern w:val="2"/>
          <w:sz w:val="21"/>
          <w:szCs w:val="21"/>
        </w:rPr>
        <w:t>28</w:t>
      </w:r>
      <w:r>
        <w:rPr>
          <w:rFonts w:ascii="Arial" w:hAnsi="Arial" w:cs="Arial" w:hint="eastAsia"/>
          <w:kern w:val="2"/>
          <w:sz w:val="21"/>
          <w:szCs w:val="21"/>
        </w:rPr>
        <w:t>号院</w:t>
      </w:r>
      <w:r>
        <w:rPr>
          <w:rFonts w:ascii="Arial" w:hAnsi="Arial" w:cs="Arial" w:hint="eastAsia"/>
          <w:kern w:val="2"/>
          <w:sz w:val="21"/>
          <w:szCs w:val="21"/>
        </w:rPr>
        <w:t>100</w:t>
      </w:r>
      <w:r>
        <w:rPr>
          <w:rFonts w:ascii="Arial" w:hAnsi="Arial" w:cs="Arial" w:hint="eastAsia"/>
          <w:kern w:val="2"/>
          <w:sz w:val="21"/>
          <w:szCs w:val="21"/>
        </w:rPr>
        <w:t>幢地下</w:t>
      </w:r>
      <w:r>
        <w:rPr>
          <w:rFonts w:ascii="Arial" w:hAnsi="Arial" w:cs="Arial" w:hint="eastAsia"/>
          <w:kern w:val="2"/>
          <w:sz w:val="21"/>
          <w:szCs w:val="21"/>
        </w:rPr>
        <w:t>1</w:t>
      </w:r>
      <w:r>
        <w:rPr>
          <w:rFonts w:ascii="Arial" w:hAnsi="Arial" w:cs="Arial" w:hint="eastAsia"/>
          <w:kern w:val="2"/>
          <w:sz w:val="21"/>
          <w:szCs w:val="21"/>
        </w:rPr>
        <w:t>层共</w:t>
      </w:r>
      <w:r>
        <w:rPr>
          <w:rFonts w:ascii="Arial" w:hAnsi="Arial" w:cs="Arial" w:hint="eastAsia"/>
          <w:kern w:val="2"/>
          <w:sz w:val="21"/>
          <w:szCs w:val="21"/>
        </w:rPr>
        <w:t>7</w:t>
      </w:r>
      <w:r>
        <w:rPr>
          <w:rFonts w:ascii="Arial" w:hAnsi="Arial" w:cs="Arial" w:hint="eastAsia"/>
          <w:kern w:val="2"/>
          <w:sz w:val="21"/>
          <w:szCs w:val="21"/>
        </w:rPr>
        <w:t>套商业用房，位于</w:t>
      </w:r>
      <w:r>
        <w:rPr>
          <w:rFonts w:ascii="Arial" w:hAnsi="Arial" w:cs="Arial" w:hint="eastAsia"/>
          <w:kern w:val="2"/>
          <w:sz w:val="21"/>
          <w:szCs w:val="21"/>
        </w:rPr>
        <w:t>044</w:t>
      </w:r>
      <w:r>
        <w:rPr>
          <w:rFonts w:ascii="Arial" w:hAnsi="Arial" w:cs="Arial" w:hint="eastAsia"/>
          <w:kern w:val="2"/>
          <w:sz w:val="21"/>
          <w:szCs w:val="21"/>
        </w:rPr>
        <w:t>地块下沉广场，不临街，可视性较差，通达性较差，内部平面布局</w:t>
      </w:r>
      <w:proofErr w:type="gramStart"/>
      <w:r>
        <w:rPr>
          <w:rFonts w:ascii="Arial" w:hAnsi="Arial" w:cs="Arial" w:hint="eastAsia"/>
          <w:kern w:val="2"/>
          <w:sz w:val="21"/>
          <w:szCs w:val="21"/>
        </w:rPr>
        <w:t>不</w:t>
      </w:r>
      <w:proofErr w:type="gramEnd"/>
      <w:r>
        <w:rPr>
          <w:rFonts w:ascii="Arial" w:hAnsi="Arial" w:cs="Arial" w:hint="eastAsia"/>
          <w:kern w:val="2"/>
          <w:sz w:val="21"/>
          <w:szCs w:val="21"/>
        </w:rPr>
        <w:t>规整，建筑面积</w:t>
      </w:r>
      <w:r>
        <w:rPr>
          <w:rFonts w:ascii="Arial" w:hAnsi="Arial" w:cs="Arial" w:hint="eastAsia"/>
          <w:kern w:val="2"/>
          <w:sz w:val="21"/>
          <w:szCs w:val="21"/>
        </w:rPr>
        <w:t>5976.27</w:t>
      </w:r>
      <w:r>
        <w:rPr>
          <w:rFonts w:ascii="Arial" w:hAnsi="Arial" w:cs="Arial" w:hint="eastAsia"/>
          <w:kern w:val="2"/>
          <w:sz w:val="21"/>
          <w:szCs w:val="21"/>
        </w:rPr>
        <w:t>平方米，套内建筑面积</w:t>
      </w:r>
      <w:r>
        <w:rPr>
          <w:rFonts w:ascii="Arial" w:hAnsi="Arial" w:cs="Arial" w:hint="eastAsia"/>
          <w:kern w:val="2"/>
          <w:sz w:val="21"/>
          <w:szCs w:val="21"/>
        </w:rPr>
        <w:t>3830.01</w:t>
      </w:r>
      <w:r>
        <w:rPr>
          <w:rFonts w:ascii="Arial" w:hAnsi="Arial" w:cs="Arial" w:hint="eastAsia"/>
          <w:kern w:val="2"/>
          <w:sz w:val="21"/>
          <w:szCs w:val="21"/>
        </w:rPr>
        <w:t>平方米，使用率</w:t>
      </w:r>
      <w:r>
        <w:rPr>
          <w:rFonts w:ascii="Arial" w:hAnsi="Arial" w:cs="Arial" w:hint="eastAsia"/>
          <w:kern w:val="2"/>
          <w:sz w:val="21"/>
          <w:szCs w:val="21"/>
        </w:rPr>
        <w:t>64%</w:t>
      </w:r>
      <w:r>
        <w:rPr>
          <w:rFonts w:ascii="Arial" w:hAnsi="Arial" w:cs="Arial" w:hint="eastAsia"/>
          <w:kern w:val="2"/>
          <w:sz w:val="21"/>
          <w:szCs w:val="21"/>
        </w:rPr>
        <w:t>。</w:t>
      </w:r>
    </w:p>
    <w:tbl>
      <w:tblPr>
        <w:tblW w:w="4995" w:type="pct"/>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509"/>
        <w:gridCol w:w="1201"/>
        <w:gridCol w:w="1020"/>
        <w:gridCol w:w="1045"/>
        <w:gridCol w:w="1116"/>
        <w:gridCol w:w="1092"/>
        <w:gridCol w:w="1044"/>
        <w:gridCol w:w="923"/>
        <w:gridCol w:w="1454"/>
      </w:tblGrid>
      <w:tr w:rsidR="00184596">
        <w:trPr>
          <w:cantSplit/>
          <w:tblHeader/>
          <w:jc w:val="center"/>
        </w:trPr>
        <w:tc>
          <w:tcPr>
            <w:tcW w:w="270"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楼层</w:t>
            </w:r>
          </w:p>
        </w:tc>
        <w:tc>
          <w:tcPr>
            <w:tcW w:w="638"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楼号</w:t>
            </w:r>
            <w:r>
              <w:rPr>
                <w:rFonts w:ascii="Arial" w:eastAsia="华文细黑" w:hAnsi="Arial" w:cs="Arial" w:hint="eastAsia"/>
                <w:color w:val="000000"/>
                <w:sz w:val="18"/>
                <w:szCs w:val="18"/>
              </w:rPr>
              <w:t>/</w:t>
            </w:r>
            <w:r>
              <w:rPr>
                <w:rFonts w:ascii="Arial" w:eastAsia="华文细黑" w:hAnsi="Arial" w:cs="Arial" w:hint="eastAsia"/>
                <w:color w:val="000000"/>
                <w:sz w:val="18"/>
                <w:szCs w:val="18"/>
              </w:rPr>
              <w:t>地块</w:t>
            </w:r>
          </w:p>
        </w:tc>
        <w:tc>
          <w:tcPr>
            <w:tcW w:w="542"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可视性修正系数</w:t>
            </w:r>
          </w:p>
        </w:tc>
        <w:tc>
          <w:tcPr>
            <w:tcW w:w="555"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通达性修正系数</w:t>
            </w:r>
          </w:p>
        </w:tc>
        <w:tc>
          <w:tcPr>
            <w:tcW w:w="593"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层高修正系数</w:t>
            </w:r>
          </w:p>
        </w:tc>
        <w:tc>
          <w:tcPr>
            <w:tcW w:w="580"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平面布局修正系数</w:t>
            </w:r>
          </w:p>
        </w:tc>
        <w:tc>
          <w:tcPr>
            <w:tcW w:w="555"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使用率修正系数</w:t>
            </w:r>
          </w:p>
        </w:tc>
        <w:tc>
          <w:tcPr>
            <w:tcW w:w="491"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楼层修正系数</w:t>
            </w:r>
          </w:p>
        </w:tc>
        <w:tc>
          <w:tcPr>
            <w:tcW w:w="773"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调整后建筑面积租金单价</w:t>
            </w:r>
          </w:p>
        </w:tc>
      </w:tr>
      <w:tr w:rsidR="00184596">
        <w:trPr>
          <w:cantSplit/>
          <w:jc w:val="center"/>
        </w:trPr>
        <w:tc>
          <w:tcPr>
            <w:tcW w:w="270" w:type="pct"/>
            <w:vMerge w:val="restart"/>
            <w:noWrap/>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p>
        </w:tc>
        <w:tc>
          <w:tcPr>
            <w:tcW w:w="638" w:type="pct"/>
            <w:noWrap/>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542" w:type="pct"/>
            <w:noWrap/>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55"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93"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0"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1.00</w:t>
            </w:r>
          </w:p>
        </w:tc>
        <w:tc>
          <w:tcPr>
            <w:tcW w:w="555"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491"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773"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3.30</w:t>
            </w:r>
          </w:p>
        </w:tc>
      </w:tr>
      <w:tr w:rsidR="00184596">
        <w:trPr>
          <w:cantSplit/>
          <w:jc w:val="center"/>
        </w:trPr>
        <w:tc>
          <w:tcPr>
            <w:tcW w:w="270" w:type="pct"/>
            <w:vMerge/>
            <w:noWrap/>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638" w:type="pct"/>
            <w:noWrap/>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542" w:type="pct"/>
            <w:noWrap/>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55"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93"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0"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1.0</w:t>
            </w:r>
            <w:r>
              <w:rPr>
                <w:rFonts w:ascii="Arial" w:eastAsia="华文细黑" w:hAnsi="Arial" w:cs="Arial" w:hint="eastAsia"/>
                <w:color w:val="000000"/>
                <w:sz w:val="18"/>
                <w:szCs w:val="18"/>
              </w:rPr>
              <w:t>0</w:t>
            </w:r>
          </w:p>
        </w:tc>
        <w:tc>
          <w:tcPr>
            <w:tcW w:w="555"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491"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773"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3.14</w:t>
            </w:r>
          </w:p>
        </w:tc>
      </w:tr>
      <w:tr w:rsidR="00184596">
        <w:trPr>
          <w:cantSplit/>
          <w:trHeight w:val="248"/>
          <w:jc w:val="center"/>
        </w:trPr>
        <w:tc>
          <w:tcPr>
            <w:tcW w:w="270" w:type="pct"/>
            <w:vMerge w:val="restart"/>
            <w:noWrap/>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w:t>
            </w:r>
          </w:p>
        </w:tc>
        <w:tc>
          <w:tcPr>
            <w:tcW w:w="638" w:type="pct"/>
            <w:noWrap/>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542" w:type="pct"/>
            <w:noWrap/>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55"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93"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80"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55"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491"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0.80</w:t>
            </w:r>
          </w:p>
        </w:tc>
        <w:tc>
          <w:tcPr>
            <w:tcW w:w="773"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2.15</w:t>
            </w:r>
          </w:p>
        </w:tc>
      </w:tr>
      <w:tr w:rsidR="00184596">
        <w:trPr>
          <w:cantSplit/>
          <w:jc w:val="center"/>
        </w:trPr>
        <w:tc>
          <w:tcPr>
            <w:tcW w:w="270" w:type="pct"/>
            <w:vMerge/>
            <w:noWrap/>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638" w:type="pct"/>
            <w:noWrap/>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542" w:type="pct"/>
            <w:noWrap/>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55"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93"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80"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55"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491"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0.80</w:t>
            </w:r>
          </w:p>
        </w:tc>
        <w:tc>
          <w:tcPr>
            <w:tcW w:w="773"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2.04</w:t>
            </w:r>
          </w:p>
        </w:tc>
      </w:tr>
      <w:tr w:rsidR="00184596">
        <w:trPr>
          <w:cantSplit/>
          <w:jc w:val="center"/>
        </w:trPr>
        <w:tc>
          <w:tcPr>
            <w:tcW w:w="270" w:type="pct"/>
            <w:vMerge w:val="restart"/>
            <w:noWrap/>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p>
        </w:tc>
        <w:tc>
          <w:tcPr>
            <w:tcW w:w="638" w:type="pct"/>
            <w:noWrap/>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p>
        </w:tc>
        <w:tc>
          <w:tcPr>
            <w:tcW w:w="542" w:type="pct"/>
            <w:noWrap/>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0.85</w:t>
            </w:r>
          </w:p>
        </w:tc>
        <w:tc>
          <w:tcPr>
            <w:tcW w:w="555"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0.85</w:t>
            </w:r>
          </w:p>
        </w:tc>
        <w:tc>
          <w:tcPr>
            <w:tcW w:w="593"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0.90</w:t>
            </w:r>
          </w:p>
        </w:tc>
        <w:tc>
          <w:tcPr>
            <w:tcW w:w="580"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55"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0.85</w:t>
            </w:r>
          </w:p>
        </w:tc>
        <w:tc>
          <w:tcPr>
            <w:tcW w:w="491"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0.60</w:t>
            </w:r>
          </w:p>
        </w:tc>
        <w:tc>
          <w:tcPr>
            <w:tcW w:w="773"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1.04</w:t>
            </w:r>
          </w:p>
        </w:tc>
      </w:tr>
      <w:tr w:rsidR="00184596">
        <w:trPr>
          <w:cantSplit/>
          <w:jc w:val="center"/>
        </w:trPr>
        <w:tc>
          <w:tcPr>
            <w:tcW w:w="270" w:type="pct"/>
            <w:vMerge/>
            <w:noWrap/>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638" w:type="pct"/>
            <w:noWrap/>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p>
        </w:tc>
        <w:tc>
          <w:tcPr>
            <w:tcW w:w="542" w:type="pct"/>
            <w:noWrap/>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0.90</w:t>
            </w:r>
          </w:p>
        </w:tc>
        <w:tc>
          <w:tcPr>
            <w:tcW w:w="555"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0.90</w:t>
            </w:r>
          </w:p>
        </w:tc>
        <w:tc>
          <w:tcPr>
            <w:tcW w:w="593"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0.90</w:t>
            </w:r>
          </w:p>
        </w:tc>
        <w:tc>
          <w:tcPr>
            <w:tcW w:w="580"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0.95</w:t>
            </w:r>
          </w:p>
        </w:tc>
        <w:tc>
          <w:tcPr>
            <w:tcW w:w="555"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0.85</w:t>
            </w:r>
          </w:p>
        </w:tc>
        <w:tc>
          <w:tcPr>
            <w:tcW w:w="491"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0.60</w:t>
            </w:r>
          </w:p>
        </w:tc>
        <w:tc>
          <w:tcPr>
            <w:tcW w:w="773" w:type="pct"/>
            <w:noWrap/>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1.17</w:t>
            </w:r>
          </w:p>
        </w:tc>
      </w:tr>
    </w:tbl>
    <w:p w:rsidR="00184596" w:rsidRDefault="00FD048A">
      <w:pPr>
        <w:spacing w:line="360" w:lineRule="auto"/>
        <w:ind w:right="17"/>
        <w:rPr>
          <w:rFonts w:ascii="Arial" w:eastAsia="华文细黑" w:hAnsi="Arial" w:cs="Arial"/>
          <w:sz w:val="18"/>
          <w:szCs w:val="18"/>
        </w:rPr>
      </w:pPr>
      <w:r>
        <w:rPr>
          <w:rFonts w:ascii="Arial" w:eastAsia="华文细黑" w:hAnsi="Arial" w:hint="eastAsia"/>
          <w:sz w:val="18"/>
          <w:szCs w:val="18"/>
        </w:rPr>
        <w:t xml:space="preserve">      </w:t>
      </w:r>
      <w:r>
        <w:rPr>
          <w:rFonts w:ascii="Arial" w:eastAsia="华文细黑" w:hAnsi="Arial" w:hint="eastAsia"/>
          <w:sz w:val="18"/>
          <w:szCs w:val="18"/>
        </w:rPr>
        <w:t>单位：</w:t>
      </w:r>
      <w:r>
        <w:rPr>
          <w:rFonts w:ascii="Arial" w:eastAsia="华文细黑" w:hAnsi="Arial" w:cs="宋体" w:hint="eastAsia"/>
          <w:sz w:val="18"/>
          <w:szCs w:val="18"/>
        </w:rPr>
        <w:t>元</w:t>
      </w:r>
      <w:r>
        <w:rPr>
          <w:rFonts w:ascii="Arial" w:eastAsia="华文细黑" w:hAnsi="Arial" w:cs="宋体" w:hint="eastAsia"/>
          <w:sz w:val="18"/>
          <w:szCs w:val="18"/>
        </w:rPr>
        <w:t>/</w:t>
      </w:r>
      <w:r>
        <w:rPr>
          <w:rFonts w:ascii="Arial" w:eastAsia="华文细黑" w:hAnsi="Arial" w:cs="宋体" w:hint="eastAsia"/>
          <w:sz w:val="18"/>
          <w:szCs w:val="18"/>
        </w:rPr>
        <w:t>建筑面积平方米·天</w:t>
      </w:r>
      <w:r>
        <w:rPr>
          <w:rFonts w:ascii="Arial" w:eastAsia="华文细黑" w:hAnsi="Arial" w:cs="Arial"/>
          <w:sz w:val="18"/>
          <w:szCs w:val="18"/>
        </w:rPr>
        <w:t>（币种：人民币）</w:t>
      </w:r>
    </w:p>
    <w:p w:rsidR="00184596" w:rsidRDefault="00FD048A">
      <w:pPr>
        <w:spacing w:beforeLines="50" w:before="120" w:line="480" w:lineRule="auto"/>
        <w:ind w:firstLineChars="200" w:firstLine="420"/>
        <w:rPr>
          <w:rFonts w:ascii="Arial" w:hAnsi="Arial" w:cs="Arial"/>
          <w:sz w:val="21"/>
          <w:szCs w:val="21"/>
        </w:rPr>
      </w:pPr>
      <w:r>
        <w:rPr>
          <w:rFonts w:ascii="Arial" w:hAnsi="Arial" w:cs="Arial" w:hint="eastAsia"/>
          <w:sz w:val="21"/>
          <w:szCs w:val="21"/>
        </w:rPr>
        <w:lastRenderedPageBreak/>
        <w:t>根据上述情况，各楼层商业用房市场租金水平如下表：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13"/>
        <w:gridCol w:w="2597"/>
        <w:gridCol w:w="2557"/>
        <w:gridCol w:w="2846"/>
      </w:tblGrid>
      <w:tr w:rsidR="00184596">
        <w:trPr>
          <w:cantSplit/>
          <w:trHeight w:val="291"/>
          <w:jc w:val="center"/>
        </w:trPr>
        <w:tc>
          <w:tcPr>
            <w:tcW w:w="751"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楼层</w:t>
            </w:r>
          </w:p>
        </w:tc>
        <w:tc>
          <w:tcPr>
            <w:tcW w:w="1379"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楼号</w:t>
            </w:r>
            <w:r>
              <w:rPr>
                <w:rFonts w:ascii="Arial" w:eastAsia="华文细黑" w:hAnsi="Arial" w:cs="Arial" w:hint="eastAsia"/>
                <w:color w:val="000000"/>
                <w:sz w:val="18"/>
                <w:szCs w:val="18"/>
              </w:rPr>
              <w:t>/</w:t>
            </w:r>
            <w:r>
              <w:rPr>
                <w:rFonts w:ascii="Arial" w:eastAsia="华文细黑" w:hAnsi="Arial" w:cs="Arial" w:hint="eastAsia"/>
                <w:color w:val="000000"/>
                <w:sz w:val="18"/>
                <w:szCs w:val="18"/>
              </w:rPr>
              <w:t>地块</w:t>
            </w:r>
          </w:p>
        </w:tc>
        <w:tc>
          <w:tcPr>
            <w:tcW w:w="1357"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建筑面积</w:t>
            </w:r>
          </w:p>
        </w:tc>
        <w:tc>
          <w:tcPr>
            <w:tcW w:w="1511"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平均租金单价</w:t>
            </w:r>
          </w:p>
        </w:tc>
      </w:tr>
      <w:tr w:rsidR="00184596">
        <w:trPr>
          <w:cantSplit/>
          <w:trHeight w:val="291"/>
          <w:jc w:val="center"/>
        </w:trPr>
        <w:tc>
          <w:tcPr>
            <w:tcW w:w="751" w:type="pct"/>
            <w:vMerge w:val="restar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p>
        </w:tc>
        <w:tc>
          <w:tcPr>
            <w:tcW w:w="2597" w:type="dxa"/>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1357"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2591.43 </w:t>
            </w:r>
          </w:p>
        </w:tc>
        <w:tc>
          <w:tcPr>
            <w:tcW w:w="1511"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3.30</w:t>
            </w:r>
          </w:p>
        </w:tc>
      </w:tr>
      <w:tr w:rsidR="00184596">
        <w:trPr>
          <w:cantSplit/>
          <w:trHeight w:val="297"/>
          <w:jc w:val="center"/>
        </w:trPr>
        <w:tc>
          <w:tcPr>
            <w:tcW w:w="751" w:type="pct"/>
            <w:vMerge/>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2597" w:type="dxa"/>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1357"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2385.48 </w:t>
            </w:r>
          </w:p>
        </w:tc>
        <w:tc>
          <w:tcPr>
            <w:tcW w:w="1511"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3.14</w:t>
            </w:r>
          </w:p>
        </w:tc>
      </w:tr>
      <w:tr w:rsidR="00184596">
        <w:trPr>
          <w:cantSplit/>
          <w:trHeight w:val="317"/>
          <w:jc w:val="center"/>
        </w:trPr>
        <w:tc>
          <w:tcPr>
            <w:tcW w:w="751" w:type="pct"/>
            <w:vMerge w:val="restar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w:t>
            </w:r>
          </w:p>
        </w:tc>
        <w:tc>
          <w:tcPr>
            <w:tcW w:w="2597" w:type="dxa"/>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1357"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2696.40 </w:t>
            </w:r>
          </w:p>
        </w:tc>
        <w:tc>
          <w:tcPr>
            <w:tcW w:w="1511"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2.15</w:t>
            </w:r>
          </w:p>
        </w:tc>
      </w:tr>
      <w:tr w:rsidR="00184596">
        <w:trPr>
          <w:cantSplit/>
          <w:trHeight w:val="295"/>
          <w:jc w:val="center"/>
        </w:trPr>
        <w:tc>
          <w:tcPr>
            <w:tcW w:w="751" w:type="pct"/>
            <w:vMerge/>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2597" w:type="dxa"/>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1357"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2399.61 </w:t>
            </w:r>
          </w:p>
        </w:tc>
        <w:tc>
          <w:tcPr>
            <w:tcW w:w="1511"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2.04</w:t>
            </w:r>
          </w:p>
        </w:tc>
      </w:tr>
      <w:tr w:rsidR="00184596">
        <w:trPr>
          <w:cantSplit/>
          <w:trHeight w:val="315"/>
          <w:jc w:val="center"/>
        </w:trPr>
        <w:tc>
          <w:tcPr>
            <w:tcW w:w="751" w:type="pct"/>
            <w:vMerge w:val="restar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p>
        </w:tc>
        <w:tc>
          <w:tcPr>
            <w:tcW w:w="2597" w:type="dxa"/>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p>
        </w:tc>
        <w:tc>
          <w:tcPr>
            <w:tcW w:w="1357"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8822.48 </w:t>
            </w:r>
          </w:p>
        </w:tc>
        <w:tc>
          <w:tcPr>
            <w:tcW w:w="1511"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1.04</w:t>
            </w:r>
          </w:p>
        </w:tc>
      </w:tr>
      <w:tr w:rsidR="00184596">
        <w:trPr>
          <w:cantSplit/>
          <w:trHeight w:val="315"/>
          <w:jc w:val="center"/>
        </w:trPr>
        <w:tc>
          <w:tcPr>
            <w:tcW w:w="751" w:type="pct"/>
            <w:vMerge/>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2597" w:type="dxa"/>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p>
        </w:tc>
        <w:tc>
          <w:tcPr>
            <w:tcW w:w="1357"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5976.27 </w:t>
            </w:r>
          </w:p>
        </w:tc>
        <w:tc>
          <w:tcPr>
            <w:tcW w:w="1511" w:type="pct"/>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1.17</w:t>
            </w:r>
          </w:p>
        </w:tc>
      </w:tr>
      <w:tr w:rsidR="00184596">
        <w:trPr>
          <w:cantSplit/>
          <w:trHeight w:val="315"/>
          <w:jc w:val="center"/>
        </w:trPr>
        <w:tc>
          <w:tcPr>
            <w:tcW w:w="751" w:type="pct"/>
            <w:vAlign w:val="center"/>
          </w:tcPr>
          <w:p w:rsidR="00184596" w:rsidRDefault="00FD048A">
            <w:pPr>
              <w:widowControl/>
              <w:adjustRightInd/>
              <w:spacing w:line="240" w:lineRule="auto"/>
              <w:jc w:val="center"/>
              <w:textAlignment w:val="auto"/>
              <w:rPr>
                <w:rFonts w:ascii="Arial" w:eastAsia="华文细黑" w:hAnsi="Arial" w:cs="宋体"/>
                <w:sz w:val="20"/>
              </w:rPr>
            </w:pPr>
            <w:r>
              <w:rPr>
                <w:rFonts w:ascii="Arial" w:eastAsia="华文细黑" w:hAnsi="Arial" w:cs="宋体" w:hint="eastAsia"/>
                <w:sz w:val="20"/>
              </w:rPr>
              <w:t>合计</w:t>
            </w:r>
          </w:p>
        </w:tc>
        <w:tc>
          <w:tcPr>
            <w:tcW w:w="1379" w:type="pct"/>
            <w:vAlign w:val="center"/>
          </w:tcPr>
          <w:p w:rsidR="00184596" w:rsidRDefault="00FD048A">
            <w:pPr>
              <w:widowControl/>
              <w:adjustRightInd/>
              <w:spacing w:line="240" w:lineRule="auto"/>
              <w:jc w:val="center"/>
              <w:textAlignment w:val="auto"/>
              <w:rPr>
                <w:rFonts w:ascii="Arial" w:eastAsia="华文细黑" w:hAnsi="Arial" w:cs="宋体"/>
                <w:sz w:val="20"/>
              </w:rPr>
            </w:pPr>
            <w:r>
              <w:rPr>
                <w:rFonts w:ascii="Arial" w:eastAsia="华文细黑" w:hAnsi="Arial" w:cs="宋体" w:hint="eastAsia"/>
                <w:sz w:val="20"/>
              </w:rPr>
              <w:t>-</w:t>
            </w:r>
          </w:p>
        </w:tc>
        <w:tc>
          <w:tcPr>
            <w:tcW w:w="1357" w:type="pct"/>
            <w:vAlign w:val="center"/>
          </w:tcPr>
          <w:p w:rsidR="00184596" w:rsidRDefault="00FD048A">
            <w:pPr>
              <w:widowControl/>
              <w:adjustRightInd/>
              <w:spacing w:line="240" w:lineRule="exact"/>
              <w:jc w:val="center"/>
              <w:textAlignment w:val="auto"/>
              <w:rPr>
                <w:rFonts w:ascii="Arial" w:eastAsia="华文细黑" w:hAnsi="Arial" w:cs="宋体"/>
                <w:sz w:val="20"/>
              </w:rPr>
            </w:pPr>
            <w:r>
              <w:rPr>
                <w:rFonts w:ascii="Arial" w:eastAsia="华文细黑" w:hAnsi="Arial" w:cs="Arial" w:hint="eastAsia"/>
                <w:color w:val="000000"/>
                <w:sz w:val="18"/>
                <w:szCs w:val="18"/>
              </w:rPr>
              <w:t xml:space="preserve">24871.67 </w:t>
            </w:r>
          </w:p>
        </w:tc>
        <w:tc>
          <w:tcPr>
            <w:tcW w:w="1511" w:type="pct"/>
            <w:vAlign w:val="center"/>
          </w:tcPr>
          <w:p w:rsidR="00184596" w:rsidRDefault="00FD048A">
            <w:pPr>
              <w:widowControl/>
              <w:adjustRightInd/>
              <w:spacing w:line="240" w:lineRule="auto"/>
              <w:jc w:val="center"/>
              <w:textAlignment w:val="auto"/>
              <w:rPr>
                <w:rFonts w:ascii="Arial" w:eastAsia="华文细黑" w:hAnsi="Arial" w:cs="宋体"/>
                <w:sz w:val="20"/>
              </w:rPr>
            </w:pPr>
            <w:r>
              <w:rPr>
                <w:rFonts w:ascii="Arial" w:eastAsia="华文细黑" w:hAnsi="Arial" w:cs="宋体" w:hint="eastAsia"/>
                <w:sz w:val="20"/>
              </w:rPr>
              <w:t>-</w:t>
            </w:r>
          </w:p>
        </w:tc>
      </w:tr>
    </w:tbl>
    <w:p w:rsidR="00184596" w:rsidRDefault="00FD048A">
      <w:pPr>
        <w:widowControl/>
        <w:adjustRightInd/>
        <w:spacing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单位：平方米、元</w:t>
      </w:r>
      <w:r>
        <w:rPr>
          <w:rFonts w:ascii="Arial" w:eastAsia="华文细黑" w:hAnsi="Arial" w:cs="宋体" w:hint="eastAsia"/>
          <w:sz w:val="18"/>
          <w:szCs w:val="18"/>
        </w:rPr>
        <w:t>/</w:t>
      </w:r>
      <w:r>
        <w:rPr>
          <w:rFonts w:ascii="Arial" w:eastAsia="华文细黑" w:hAnsi="Arial" w:cs="宋体" w:hint="eastAsia"/>
          <w:sz w:val="18"/>
          <w:szCs w:val="18"/>
        </w:rPr>
        <w:t>建筑面积平方米·天</w:t>
      </w:r>
    </w:p>
    <w:p w:rsidR="00184596" w:rsidRDefault="00184596">
      <w:pPr>
        <w:spacing w:line="480" w:lineRule="auto"/>
        <w:ind w:firstLineChars="200" w:firstLine="422"/>
        <w:jc w:val="both"/>
        <w:rPr>
          <w:rFonts w:ascii="Arial" w:hAnsi="Arial" w:cs="Arial"/>
          <w:b/>
          <w:sz w:val="21"/>
          <w:szCs w:val="21"/>
        </w:rPr>
      </w:pPr>
    </w:p>
    <w:p w:rsidR="00184596" w:rsidRDefault="00FD048A">
      <w:pPr>
        <w:pStyle w:val="2"/>
        <w:numPr>
          <w:ilvl w:val="0"/>
          <w:numId w:val="0"/>
        </w:numPr>
        <w:spacing w:line="480" w:lineRule="auto"/>
        <w:ind w:left="358" w:hangingChars="170" w:hanging="358"/>
        <w:jc w:val="both"/>
        <w:rPr>
          <w:rFonts w:eastAsia="宋体"/>
          <w:kern w:val="2"/>
          <w:sz w:val="21"/>
          <w:szCs w:val="21"/>
        </w:rPr>
      </w:pPr>
      <w:bookmarkStart w:id="65" w:name="_Toc477252463"/>
      <w:r>
        <w:rPr>
          <w:rFonts w:eastAsia="宋体"/>
          <w:kern w:val="2"/>
          <w:sz w:val="21"/>
          <w:szCs w:val="21"/>
        </w:rPr>
        <w:br w:type="page"/>
      </w:r>
      <w:r>
        <w:rPr>
          <w:rFonts w:eastAsia="宋体"/>
          <w:kern w:val="2"/>
          <w:sz w:val="21"/>
          <w:szCs w:val="21"/>
        </w:rPr>
        <w:lastRenderedPageBreak/>
        <w:t>六、估价结果确定</w:t>
      </w:r>
      <w:bookmarkEnd w:id="65"/>
    </w:p>
    <w:p w:rsidR="00184596" w:rsidRDefault="00FD048A">
      <w:pPr>
        <w:spacing w:line="480" w:lineRule="auto"/>
        <w:ind w:firstLineChars="200" w:firstLine="420"/>
        <w:rPr>
          <w:rFonts w:ascii="Arial" w:hAnsi="Arial" w:cs="Arial"/>
          <w:sz w:val="21"/>
          <w:szCs w:val="21"/>
        </w:rPr>
      </w:pPr>
      <w:r>
        <w:rPr>
          <w:rFonts w:ascii="Arial" w:hAnsi="Arial" w:cs="Arial"/>
          <w:sz w:val="21"/>
          <w:szCs w:val="21"/>
        </w:rPr>
        <w:t>评估专业人员根据估价的目的，按照估价的程序，采用科学的估价方法，在认真分析现有资料的基础上，结合</w:t>
      </w:r>
      <w:r>
        <w:rPr>
          <w:rFonts w:ascii="Arial" w:hAnsi="Arial" w:cs="Arial"/>
          <w:sz w:val="21"/>
          <w:szCs w:val="28"/>
        </w:rPr>
        <w:t>本次评估的要求，通过仔细测算和认真分析各种影响房地产价格的因素，确定估价对象于价值时</w:t>
      </w:r>
      <w:r>
        <w:rPr>
          <w:rFonts w:ascii="Arial" w:hAnsi="Arial" w:cs="Arial"/>
          <w:sz w:val="21"/>
          <w:szCs w:val="21"/>
        </w:rPr>
        <w:t>点的房地产评估价格，详见估价结果一览表（币种：人民币）。</w:t>
      </w:r>
    </w:p>
    <w:p w:rsidR="00184596" w:rsidRDefault="00FD048A">
      <w:pPr>
        <w:spacing w:line="240" w:lineRule="auto"/>
        <w:jc w:val="center"/>
        <w:rPr>
          <w:rFonts w:ascii="Arial" w:eastAsia="方正黑体简体" w:hAnsi="Arial" w:cs="Arial"/>
          <w:szCs w:val="24"/>
        </w:rPr>
      </w:pPr>
      <w:r>
        <w:rPr>
          <w:rFonts w:ascii="Arial" w:eastAsia="方正黑体简体" w:hAnsi="Arial" w:cs="Arial" w:hint="eastAsia"/>
          <w:szCs w:val="24"/>
        </w:rPr>
        <w:t>估价结果一览表</w:t>
      </w:r>
    </w:p>
    <w:p w:rsidR="00184596" w:rsidRDefault="00FD048A">
      <w:pPr>
        <w:spacing w:line="240" w:lineRule="auto"/>
        <w:jc w:val="center"/>
        <w:rPr>
          <w:rFonts w:ascii="Arial" w:eastAsia="方正黑体简体" w:hAnsi="Arial" w:cs="Arial"/>
          <w:szCs w:val="24"/>
        </w:rPr>
      </w:pPr>
      <w:r>
        <w:rPr>
          <w:rFonts w:ascii="Arial" w:eastAsia="方正黑体简体" w:hAnsi="Arial" w:cs="Arial" w:hint="eastAsia"/>
          <w:szCs w:val="24"/>
        </w:rPr>
        <w:t>结果表</w:t>
      </w:r>
      <w:r>
        <w:rPr>
          <w:rFonts w:ascii="Arial" w:eastAsia="方正黑体简体" w:hAnsi="Arial" w:cs="Arial" w:hint="eastAsia"/>
          <w:szCs w:val="24"/>
        </w:rPr>
        <w:t>-1</w:t>
      </w:r>
    </w:p>
    <w:tbl>
      <w:tblPr>
        <w:tblW w:w="5000" w:type="pct"/>
        <w:jc w:val="center"/>
        <w:tblCellMar>
          <w:top w:w="57" w:type="dxa"/>
          <w:left w:w="57" w:type="dxa"/>
          <w:bottom w:w="57" w:type="dxa"/>
          <w:right w:w="57" w:type="dxa"/>
        </w:tblCellMar>
        <w:tblLook w:val="04A0" w:firstRow="1" w:lastRow="0" w:firstColumn="1" w:lastColumn="0" w:noHBand="0" w:noVBand="1"/>
      </w:tblPr>
      <w:tblGrid>
        <w:gridCol w:w="4612"/>
        <w:gridCol w:w="4801"/>
      </w:tblGrid>
      <w:tr w:rsidR="00184596">
        <w:trPr>
          <w:cantSplit/>
          <w:trHeight w:val="567"/>
          <w:jc w:val="center"/>
        </w:trPr>
        <w:tc>
          <w:tcPr>
            <w:tcW w:w="2450" w:type="pct"/>
            <w:tcBorders>
              <w:top w:val="thinThickThinSmallGap" w:sz="12" w:space="0" w:color="auto"/>
              <w:left w:val="dotted" w:sz="2" w:space="0" w:color="auto"/>
              <w:bottom w:val="dotted" w:sz="2" w:space="0" w:color="auto"/>
              <w:right w:val="dotted" w:sz="2" w:space="0" w:color="auto"/>
              <w:tl2br w:val="single" w:sz="4" w:space="0" w:color="auto"/>
            </w:tcBorders>
            <w:vAlign w:val="center"/>
          </w:tcPr>
          <w:p w:rsidR="00184596" w:rsidRDefault="00FD048A">
            <w:pPr>
              <w:widowControl/>
              <w:adjustRightInd/>
              <w:spacing w:line="240" w:lineRule="exact"/>
              <w:jc w:val="righ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                                 </w:t>
            </w:r>
            <w:r>
              <w:rPr>
                <w:rFonts w:ascii="Arial" w:eastAsia="华文细黑" w:hAnsi="Arial" w:cs="Arial" w:hint="eastAsia"/>
                <w:color w:val="000000"/>
                <w:sz w:val="18"/>
                <w:szCs w:val="18"/>
              </w:rPr>
              <w:t>租金水平</w:t>
            </w:r>
          </w:p>
          <w:p w:rsidR="00184596" w:rsidRDefault="00FD048A">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相关结果</w:t>
            </w:r>
          </w:p>
        </w:tc>
        <w:tc>
          <w:tcPr>
            <w:tcW w:w="2550" w:type="pct"/>
            <w:tcBorders>
              <w:top w:val="thinThickThinSmallGap" w:sz="1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房山区阜盛西街</w:t>
            </w:r>
            <w:r>
              <w:rPr>
                <w:rFonts w:ascii="Arial" w:eastAsia="华文细黑" w:hAnsi="Arial" w:cs="Arial" w:hint="eastAsia"/>
                <w:color w:val="000000"/>
                <w:sz w:val="18"/>
                <w:szCs w:val="18"/>
              </w:rPr>
              <w:t>11</w:t>
            </w:r>
            <w:r>
              <w:rPr>
                <w:rFonts w:ascii="Arial" w:eastAsia="华文细黑" w:hAnsi="Arial" w:cs="Arial" w:hint="eastAsia"/>
                <w:color w:val="000000"/>
                <w:sz w:val="18"/>
                <w:szCs w:val="18"/>
              </w:rPr>
              <w:t>号院</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号楼</w:t>
            </w:r>
            <w:r>
              <w:rPr>
                <w:rFonts w:ascii="Arial" w:eastAsia="华文细黑" w:hAnsi="Arial" w:cs="Arial" w:hint="eastAsia"/>
                <w:color w:val="000000"/>
                <w:sz w:val="18"/>
                <w:szCs w:val="18"/>
              </w:rPr>
              <w:t>101</w:t>
            </w:r>
            <w:r>
              <w:rPr>
                <w:rFonts w:ascii="Arial" w:eastAsia="华文细黑" w:hAnsi="Arial" w:cs="Arial" w:hint="eastAsia"/>
                <w:color w:val="000000"/>
                <w:sz w:val="18"/>
                <w:szCs w:val="18"/>
              </w:rPr>
              <w:t>号</w:t>
            </w:r>
          </w:p>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商业用房市场租金水平</w:t>
            </w:r>
          </w:p>
        </w:tc>
      </w:tr>
      <w:tr w:rsidR="00184596">
        <w:trPr>
          <w:cantSplit/>
          <w:trHeight w:val="567"/>
          <w:jc w:val="center"/>
        </w:trPr>
        <w:tc>
          <w:tcPr>
            <w:tcW w:w="2450" w:type="pct"/>
            <w:tcBorders>
              <w:top w:val="dotted" w:sz="2" w:space="0" w:color="auto"/>
              <w:left w:val="dotted" w:sz="2" w:space="0" w:color="auto"/>
              <w:bottom w:val="thinThickThinSmallGap" w:sz="1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评估结果</w:t>
            </w:r>
          </w:p>
        </w:tc>
        <w:tc>
          <w:tcPr>
            <w:tcW w:w="2550" w:type="pct"/>
            <w:tcBorders>
              <w:top w:val="dotted" w:sz="2" w:space="0" w:color="auto"/>
              <w:left w:val="dotted" w:sz="2" w:space="0" w:color="auto"/>
              <w:bottom w:val="thinThickThinSmallGap" w:sz="1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3.30</w:t>
            </w:r>
          </w:p>
        </w:tc>
      </w:tr>
    </w:tbl>
    <w:p w:rsidR="00184596" w:rsidRDefault="00FD048A">
      <w:pPr>
        <w:widowControl/>
        <w:adjustRightInd/>
        <w:spacing w:line="240" w:lineRule="auto"/>
        <w:jc w:val="both"/>
        <w:textAlignment w:val="auto"/>
        <w:rPr>
          <w:rFonts w:ascii="Arial" w:eastAsia="华文细黑" w:hAnsi="Arial" w:cs="宋体"/>
          <w:sz w:val="18"/>
          <w:szCs w:val="18"/>
        </w:rPr>
      </w:pPr>
      <w:r>
        <w:rPr>
          <w:rFonts w:ascii="Arial" w:eastAsia="华文细黑" w:hAnsi="Arial" w:cs="宋体" w:hint="eastAsia"/>
          <w:sz w:val="18"/>
          <w:szCs w:val="18"/>
        </w:rPr>
        <w:t>单位：元</w:t>
      </w:r>
      <w:r>
        <w:rPr>
          <w:rFonts w:ascii="Arial" w:eastAsia="华文细黑" w:hAnsi="Arial" w:cs="宋体" w:hint="eastAsia"/>
          <w:sz w:val="18"/>
          <w:szCs w:val="18"/>
        </w:rPr>
        <w:t>/</w:t>
      </w:r>
      <w:r>
        <w:rPr>
          <w:rFonts w:ascii="Arial" w:eastAsia="华文细黑" w:hAnsi="Arial" w:cs="宋体" w:hint="eastAsia"/>
          <w:sz w:val="18"/>
          <w:szCs w:val="18"/>
        </w:rPr>
        <w:t>建筑</w:t>
      </w:r>
      <w:r>
        <w:rPr>
          <w:rFonts w:ascii="Arial" w:eastAsia="华文细黑" w:hAnsi="Arial" w:cs="宋体"/>
          <w:sz w:val="18"/>
          <w:szCs w:val="18"/>
        </w:rPr>
        <w:t>面积</w:t>
      </w:r>
      <w:r>
        <w:rPr>
          <w:rFonts w:ascii="Arial" w:eastAsia="华文细黑" w:hAnsi="Arial" w:cs="宋体" w:hint="eastAsia"/>
          <w:sz w:val="18"/>
          <w:szCs w:val="18"/>
        </w:rPr>
        <w:t>平方米·天</w:t>
      </w:r>
    </w:p>
    <w:p w:rsidR="00184596" w:rsidRDefault="00FD048A">
      <w:pPr>
        <w:spacing w:line="240" w:lineRule="auto"/>
        <w:jc w:val="center"/>
        <w:outlineLvl w:val="0"/>
        <w:rPr>
          <w:rFonts w:ascii="Arial" w:eastAsia="方正黑体简体" w:hAnsi="Arial"/>
          <w:szCs w:val="24"/>
        </w:rPr>
      </w:pPr>
      <w:r>
        <w:rPr>
          <w:rFonts w:ascii="Arial" w:eastAsia="方正黑体简体" w:hAnsi="Arial" w:hint="eastAsia"/>
          <w:szCs w:val="24"/>
        </w:rPr>
        <w:t>结果表</w:t>
      </w:r>
      <w:r>
        <w:rPr>
          <w:rFonts w:ascii="Arial" w:eastAsia="方正黑体简体" w:hAnsi="Arial" w:hint="eastAsia"/>
          <w:szCs w:val="24"/>
        </w:rPr>
        <w:t>-2</w:t>
      </w:r>
    </w:p>
    <w:tbl>
      <w:tblPr>
        <w:tblW w:w="5000" w:type="pct"/>
        <w:jc w:val="center"/>
        <w:tblCellMar>
          <w:top w:w="57" w:type="dxa"/>
          <w:left w:w="57" w:type="dxa"/>
          <w:bottom w:w="57" w:type="dxa"/>
          <w:right w:w="57" w:type="dxa"/>
        </w:tblCellMar>
        <w:tblLook w:val="04A0" w:firstRow="1" w:lastRow="0" w:firstColumn="1" w:lastColumn="0" w:noHBand="0" w:noVBand="1"/>
      </w:tblPr>
      <w:tblGrid>
        <w:gridCol w:w="2751"/>
        <w:gridCol w:w="876"/>
        <w:gridCol w:w="1887"/>
        <w:gridCol w:w="2065"/>
        <w:gridCol w:w="1834"/>
      </w:tblGrid>
      <w:tr w:rsidR="00184596">
        <w:trPr>
          <w:cantSplit/>
          <w:trHeight w:val="567"/>
          <w:jc w:val="center"/>
        </w:trPr>
        <w:tc>
          <w:tcPr>
            <w:tcW w:w="1461" w:type="pct"/>
            <w:tcBorders>
              <w:top w:val="thinThickThinSmallGap" w:sz="12" w:space="0" w:color="auto"/>
              <w:left w:val="dotted" w:sz="2" w:space="0" w:color="auto"/>
              <w:bottom w:val="dotted" w:sz="2" w:space="0" w:color="auto"/>
              <w:right w:val="dotted" w:sz="2" w:space="0" w:color="auto"/>
              <w:tl2br w:val="single" w:sz="4" w:space="0" w:color="auto"/>
            </w:tcBorders>
            <w:vAlign w:val="center"/>
          </w:tcPr>
          <w:p w:rsidR="00184596" w:rsidRDefault="00FD048A">
            <w:pPr>
              <w:widowControl/>
              <w:adjustRightInd/>
              <w:spacing w:line="240" w:lineRule="exact"/>
              <w:jc w:val="righ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分层租金明细</w:t>
            </w:r>
          </w:p>
          <w:p w:rsidR="00184596" w:rsidRDefault="00FD048A">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估价对象</w:t>
            </w:r>
          </w:p>
        </w:tc>
        <w:tc>
          <w:tcPr>
            <w:tcW w:w="465" w:type="pct"/>
            <w:tcBorders>
              <w:top w:val="thinThickThinSmallGap" w:sz="1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楼层</w:t>
            </w:r>
          </w:p>
        </w:tc>
        <w:tc>
          <w:tcPr>
            <w:tcW w:w="1000" w:type="pct"/>
            <w:tcBorders>
              <w:top w:val="thinThickThinSmallGap" w:sz="1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楼号</w:t>
            </w:r>
            <w:r>
              <w:rPr>
                <w:rFonts w:ascii="Arial" w:eastAsia="华文细黑" w:hAnsi="Arial" w:cs="Arial" w:hint="eastAsia"/>
                <w:color w:val="000000"/>
                <w:sz w:val="18"/>
                <w:szCs w:val="18"/>
              </w:rPr>
              <w:t>/</w:t>
            </w:r>
            <w:r>
              <w:rPr>
                <w:rFonts w:ascii="Arial" w:eastAsia="华文细黑" w:hAnsi="Arial" w:cs="Arial" w:hint="eastAsia"/>
                <w:color w:val="000000"/>
                <w:sz w:val="18"/>
                <w:szCs w:val="18"/>
              </w:rPr>
              <w:t>地块</w:t>
            </w:r>
          </w:p>
        </w:tc>
        <w:tc>
          <w:tcPr>
            <w:tcW w:w="1097" w:type="pct"/>
            <w:tcBorders>
              <w:top w:val="thinThickThinSmallGap" w:sz="1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建筑面积</w:t>
            </w:r>
          </w:p>
        </w:tc>
        <w:tc>
          <w:tcPr>
            <w:tcW w:w="974" w:type="pct"/>
            <w:tcBorders>
              <w:top w:val="thinThickThinSmallGap" w:sz="1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平均租金单价</w:t>
            </w:r>
          </w:p>
        </w:tc>
      </w:tr>
      <w:tr w:rsidR="00184596">
        <w:trPr>
          <w:cantSplit/>
          <w:trHeight w:val="291"/>
          <w:jc w:val="center"/>
        </w:trPr>
        <w:tc>
          <w:tcPr>
            <w:tcW w:w="1461" w:type="pct"/>
            <w:vMerge w:val="restart"/>
            <w:tcBorders>
              <w:top w:val="dotted" w:sz="2" w:space="0" w:color="auto"/>
              <w:left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北京市房山区阜盛西街</w:t>
            </w:r>
            <w:r>
              <w:rPr>
                <w:rFonts w:ascii="Arial" w:eastAsia="华文细黑" w:hAnsi="Arial" w:cs="Arial" w:hint="eastAsia"/>
                <w:color w:val="000000"/>
                <w:sz w:val="18"/>
                <w:szCs w:val="18"/>
              </w:rPr>
              <w:t>11</w:t>
            </w:r>
            <w:r>
              <w:rPr>
                <w:rFonts w:ascii="Arial" w:eastAsia="华文细黑" w:hAnsi="Arial" w:cs="Arial" w:hint="eastAsia"/>
                <w:color w:val="000000"/>
                <w:sz w:val="18"/>
                <w:szCs w:val="18"/>
              </w:rPr>
              <w:t>号院</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号楼地上</w:t>
            </w:r>
            <w:r>
              <w:rPr>
                <w:rFonts w:ascii="Arial" w:eastAsia="华文细黑" w:hAnsi="Arial" w:cs="Arial" w:hint="eastAsia"/>
                <w:color w:val="000000"/>
                <w:sz w:val="18"/>
                <w:szCs w:val="18"/>
              </w:rPr>
              <w:t>1</w:t>
            </w:r>
            <w:r>
              <w:rPr>
                <w:rFonts w:ascii="Arial" w:eastAsia="华文细黑" w:hAnsi="Arial" w:cs="Arial" w:hint="eastAsia"/>
                <w:color w:val="000000"/>
                <w:sz w:val="18"/>
                <w:szCs w:val="18"/>
              </w:rPr>
              <w:t>层</w:t>
            </w:r>
            <w:r>
              <w:rPr>
                <w:rFonts w:ascii="Arial" w:eastAsia="华文细黑" w:hAnsi="Arial" w:cs="Arial" w:hint="eastAsia"/>
                <w:color w:val="000000"/>
                <w:sz w:val="18"/>
                <w:szCs w:val="18"/>
              </w:rPr>
              <w:t>101</w:t>
            </w:r>
            <w:r>
              <w:rPr>
                <w:rFonts w:ascii="Arial" w:eastAsia="华文细黑" w:hAnsi="Arial" w:cs="Arial" w:hint="eastAsia"/>
                <w:color w:val="000000"/>
                <w:sz w:val="18"/>
                <w:szCs w:val="18"/>
              </w:rPr>
              <w:t>号等</w:t>
            </w:r>
            <w:r>
              <w:rPr>
                <w:rFonts w:ascii="Arial" w:eastAsia="华文细黑" w:hAnsi="Arial" w:cs="Arial" w:hint="eastAsia"/>
                <w:color w:val="000000"/>
                <w:sz w:val="18"/>
                <w:szCs w:val="18"/>
              </w:rPr>
              <w:t>29</w:t>
            </w:r>
            <w:r>
              <w:rPr>
                <w:rFonts w:ascii="Arial" w:eastAsia="华文细黑" w:hAnsi="Arial" w:cs="Arial" w:hint="eastAsia"/>
                <w:color w:val="000000"/>
                <w:sz w:val="18"/>
                <w:szCs w:val="18"/>
              </w:rPr>
              <w:t>套商业用房</w:t>
            </w:r>
          </w:p>
        </w:tc>
        <w:tc>
          <w:tcPr>
            <w:tcW w:w="465" w:type="pct"/>
            <w:vMerge w:val="restart"/>
            <w:tcBorders>
              <w:top w:val="dotted" w:sz="2" w:space="0" w:color="auto"/>
              <w:left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p>
        </w:tc>
        <w:tc>
          <w:tcPr>
            <w:tcW w:w="1887"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2066"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2591.43 </w:t>
            </w:r>
          </w:p>
        </w:tc>
        <w:tc>
          <w:tcPr>
            <w:tcW w:w="1834"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3.30</w:t>
            </w:r>
          </w:p>
        </w:tc>
      </w:tr>
      <w:tr w:rsidR="00184596">
        <w:trPr>
          <w:cantSplit/>
          <w:trHeight w:val="297"/>
          <w:jc w:val="center"/>
        </w:trPr>
        <w:tc>
          <w:tcPr>
            <w:tcW w:w="1461" w:type="pct"/>
            <w:vMerge/>
            <w:tcBorders>
              <w:left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465" w:type="pct"/>
            <w:vMerge/>
            <w:tcBorders>
              <w:left w:val="dotted" w:sz="2" w:space="0" w:color="auto"/>
              <w:bottom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1887"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2066"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2385.48 </w:t>
            </w:r>
          </w:p>
        </w:tc>
        <w:tc>
          <w:tcPr>
            <w:tcW w:w="1834"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3.14</w:t>
            </w:r>
          </w:p>
        </w:tc>
      </w:tr>
      <w:tr w:rsidR="00184596">
        <w:trPr>
          <w:cantSplit/>
          <w:trHeight w:val="317"/>
          <w:jc w:val="center"/>
        </w:trPr>
        <w:tc>
          <w:tcPr>
            <w:tcW w:w="1461" w:type="pct"/>
            <w:vMerge/>
            <w:tcBorders>
              <w:left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465" w:type="pct"/>
            <w:vMerge w:val="restart"/>
            <w:tcBorders>
              <w:top w:val="dotted" w:sz="2" w:space="0" w:color="auto"/>
              <w:left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w:t>
            </w:r>
          </w:p>
        </w:tc>
        <w:tc>
          <w:tcPr>
            <w:tcW w:w="1887"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3#</w:t>
            </w:r>
          </w:p>
        </w:tc>
        <w:tc>
          <w:tcPr>
            <w:tcW w:w="2066"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2696.40 </w:t>
            </w:r>
          </w:p>
        </w:tc>
        <w:tc>
          <w:tcPr>
            <w:tcW w:w="1834"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2.15</w:t>
            </w:r>
          </w:p>
        </w:tc>
      </w:tr>
      <w:tr w:rsidR="00184596">
        <w:trPr>
          <w:cantSplit/>
          <w:trHeight w:val="295"/>
          <w:jc w:val="center"/>
        </w:trPr>
        <w:tc>
          <w:tcPr>
            <w:tcW w:w="1461" w:type="pct"/>
            <w:vMerge/>
            <w:tcBorders>
              <w:left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465" w:type="pct"/>
            <w:vMerge/>
            <w:tcBorders>
              <w:left w:val="dotted" w:sz="2" w:space="0" w:color="auto"/>
              <w:bottom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1887"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r>
              <w:rPr>
                <w:rFonts w:ascii="Arial" w:eastAsia="华文细黑" w:hAnsi="Arial" w:cs="Arial" w:hint="eastAsia"/>
                <w:color w:val="000000"/>
                <w:sz w:val="18"/>
                <w:szCs w:val="18"/>
              </w:rPr>
              <w:t>6#</w:t>
            </w:r>
            <w:r>
              <w:rPr>
                <w:rFonts w:ascii="Arial" w:eastAsia="华文细黑" w:hAnsi="Arial" w:cs="Arial" w:hint="eastAsia"/>
                <w:color w:val="000000"/>
                <w:sz w:val="18"/>
                <w:szCs w:val="18"/>
              </w:rPr>
              <w:t>商业楼</w:t>
            </w:r>
          </w:p>
        </w:tc>
        <w:tc>
          <w:tcPr>
            <w:tcW w:w="2066"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2399.61 </w:t>
            </w:r>
          </w:p>
        </w:tc>
        <w:tc>
          <w:tcPr>
            <w:tcW w:w="1834"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2.04</w:t>
            </w:r>
          </w:p>
        </w:tc>
      </w:tr>
      <w:tr w:rsidR="00184596">
        <w:trPr>
          <w:cantSplit/>
          <w:trHeight w:val="315"/>
          <w:jc w:val="center"/>
        </w:trPr>
        <w:tc>
          <w:tcPr>
            <w:tcW w:w="1461" w:type="pct"/>
            <w:vMerge/>
            <w:tcBorders>
              <w:left w:val="dotted" w:sz="2" w:space="0" w:color="auto"/>
              <w:bottom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465" w:type="pct"/>
            <w:vMerge w:val="restart"/>
            <w:tcBorders>
              <w:top w:val="dotted" w:sz="2" w:space="0" w:color="auto"/>
              <w:left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p>
        </w:tc>
        <w:tc>
          <w:tcPr>
            <w:tcW w:w="1887"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042</w:t>
            </w:r>
            <w:r>
              <w:rPr>
                <w:rFonts w:ascii="Arial" w:eastAsia="华文细黑" w:hAnsi="Arial" w:cs="Arial" w:hint="eastAsia"/>
                <w:color w:val="000000"/>
                <w:sz w:val="18"/>
                <w:szCs w:val="18"/>
              </w:rPr>
              <w:t>地块</w:t>
            </w:r>
          </w:p>
        </w:tc>
        <w:tc>
          <w:tcPr>
            <w:tcW w:w="2066"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8822.48 </w:t>
            </w:r>
          </w:p>
        </w:tc>
        <w:tc>
          <w:tcPr>
            <w:tcW w:w="1834"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1.04</w:t>
            </w:r>
          </w:p>
        </w:tc>
      </w:tr>
      <w:tr w:rsidR="00184596">
        <w:trPr>
          <w:cantSplit/>
          <w:trHeight w:val="315"/>
          <w:jc w:val="center"/>
        </w:trPr>
        <w:tc>
          <w:tcPr>
            <w:tcW w:w="1461" w:type="pct"/>
            <w:vMerge/>
            <w:tcBorders>
              <w:left w:val="dotted" w:sz="2" w:space="0" w:color="auto"/>
              <w:bottom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465" w:type="pct"/>
            <w:vMerge/>
            <w:tcBorders>
              <w:left w:val="dotted" w:sz="2" w:space="0" w:color="auto"/>
              <w:bottom w:val="dotted" w:sz="2" w:space="0" w:color="auto"/>
              <w:right w:val="dotted" w:sz="2" w:space="0" w:color="auto"/>
            </w:tcBorders>
            <w:vAlign w:val="center"/>
          </w:tcPr>
          <w:p w:rsidR="00184596" w:rsidRDefault="00184596">
            <w:pPr>
              <w:widowControl/>
              <w:adjustRightInd/>
              <w:spacing w:line="240" w:lineRule="exact"/>
              <w:jc w:val="center"/>
              <w:textAlignment w:val="auto"/>
              <w:rPr>
                <w:rFonts w:ascii="Arial" w:eastAsia="华文细黑" w:hAnsi="Arial" w:cs="Arial"/>
                <w:color w:val="000000"/>
                <w:sz w:val="18"/>
                <w:szCs w:val="18"/>
              </w:rPr>
            </w:pPr>
          </w:p>
        </w:tc>
        <w:tc>
          <w:tcPr>
            <w:tcW w:w="1887"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044</w:t>
            </w:r>
            <w:r>
              <w:rPr>
                <w:rFonts w:ascii="Arial" w:eastAsia="华文细黑" w:hAnsi="Arial" w:cs="Arial" w:hint="eastAsia"/>
                <w:color w:val="000000"/>
                <w:sz w:val="18"/>
                <w:szCs w:val="18"/>
              </w:rPr>
              <w:t>地块</w:t>
            </w:r>
          </w:p>
        </w:tc>
        <w:tc>
          <w:tcPr>
            <w:tcW w:w="2066"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5976.27 </w:t>
            </w:r>
          </w:p>
        </w:tc>
        <w:tc>
          <w:tcPr>
            <w:tcW w:w="1834" w:type="dxa"/>
            <w:tcBorders>
              <w:top w:val="dotted" w:sz="2" w:space="0" w:color="auto"/>
              <w:left w:val="dotted" w:sz="2" w:space="0" w:color="auto"/>
              <w:bottom w:val="dotted" w:sz="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1.17</w:t>
            </w:r>
          </w:p>
        </w:tc>
      </w:tr>
      <w:tr w:rsidR="00184596">
        <w:trPr>
          <w:cantSplit/>
          <w:trHeight w:val="307"/>
          <w:jc w:val="center"/>
        </w:trPr>
        <w:tc>
          <w:tcPr>
            <w:tcW w:w="2928" w:type="pct"/>
            <w:gridSpan w:val="3"/>
            <w:tcBorders>
              <w:top w:val="dotted" w:sz="2" w:space="0" w:color="auto"/>
              <w:left w:val="dotted" w:sz="2" w:space="0" w:color="auto"/>
              <w:bottom w:val="thinThickThinSmallGap" w:sz="1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合计</w:t>
            </w:r>
          </w:p>
        </w:tc>
        <w:tc>
          <w:tcPr>
            <w:tcW w:w="2066" w:type="dxa"/>
            <w:tcBorders>
              <w:top w:val="dotted" w:sz="2" w:space="0" w:color="auto"/>
              <w:left w:val="dotted" w:sz="2" w:space="0" w:color="auto"/>
              <w:bottom w:val="thinThickThinSmallGap" w:sz="1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 xml:space="preserve">24871.67 </w:t>
            </w:r>
          </w:p>
        </w:tc>
        <w:tc>
          <w:tcPr>
            <w:tcW w:w="974" w:type="pct"/>
            <w:tcBorders>
              <w:top w:val="dotted" w:sz="2" w:space="0" w:color="auto"/>
              <w:left w:val="dotted" w:sz="2" w:space="0" w:color="auto"/>
              <w:bottom w:val="thinThickThinSmallGap" w:sz="12" w:space="0" w:color="auto"/>
              <w:right w:val="dotted" w:sz="2" w:space="0" w:color="auto"/>
            </w:tcBorders>
            <w:vAlign w:val="center"/>
          </w:tcPr>
          <w:p w:rsidR="00184596" w:rsidRDefault="00FD048A">
            <w:pPr>
              <w:widowControl/>
              <w:adjustRightInd/>
              <w:spacing w:line="240" w:lineRule="exac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w:t>
            </w:r>
          </w:p>
        </w:tc>
      </w:tr>
    </w:tbl>
    <w:p w:rsidR="00184596" w:rsidRDefault="00FD048A">
      <w:pPr>
        <w:widowControl/>
        <w:adjustRightInd/>
        <w:spacing w:line="240" w:lineRule="auto"/>
        <w:ind w:firstLineChars="100" w:firstLine="180"/>
        <w:jc w:val="both"/>
        <w:textAlignment w:val="auto"/>
        <w:rPr>
          <w:rFonts w:ascii="Arial" w:eastAsia="华文细黑" w:hAnsi="Arial"/>
          <w:sz w:val="18"/>
        </w:rPr>
      </w:pPr>
      <w:r>
        <w:rPr>
          <w:rFonts w:ascii="Arial" w:eastAsia="华文细黑" w:hAnsi="Arial" w:hint="eastAsia"/>
          <w:sz w:val="18"/>
        </w:rPr>
        <w:t>单位：</w:t>
      </w:r>
      <w:r>
        <w:rPr>
          <w:rFonts w:ascii="Arial" w:eastAsia="华文细黑" w:hAnsi="Arial" w:cs="宋体" w:hint="eastAsia"/>
          <w:sz w:val="18"/>
          <w:szCs w:val="18"/>
        </w:rPr>
        <w:t>平方米、元</w:t>
      </w:r>
      <w:r>
        <w:rPr>
          <w:rFonts w:ascii="Arial" w:eastAsia="华文细黑" w:hAnsi="Arial" w:cs="宋体" w:hint="eastAsia"/>
          <w:sz w:val="18"/>
          <w:szCs w:val="18"/>
        </w:rPr>
        <w:t>/</w:t>
      </w:r>
      <w:r>
        <w:rPr>
          <w:rFonts w:ascii="Arial" w:eastAsia="华文细黑" w:hAnsi="Arial" w:cs="宋体" w:hint="eastAsia"/>
          <w:sz w:val="18"/>
          <w:szCs w:val="18"/>
        </w:rPr>
        <w:t>建筑</w:t>
      </w:r>
      <w:r>
        <w:rPr>
          <w:rFonts w:ascii="Arial" w:eastAsia="华文细黑" w:hAnsi="Arial" w:cs="宋体"/>
          <w:sz w:val="18"/>
          <w:szCs w:val="18"/>
        </w:rPr>
        <w:t>面积</w:t>
      </w:r>
      <w:r>
        <w:rPr>
          <w:rFonts w:ascii="Arial" w:eastAsia="华文细黑" w:hAnsi="Arial" w:cs="宋体" w:hint="eastAsia"/>
          <w:sz w:val="18"/>
          <w:szCs w:val="18"/>
        </w:rPr>
        <w:t>平方米·天</w:t>
      </w:r>
      <w:r>
        <w:rPr>
          <w:rFonts w:ascii="Arial" w:eastAsia="华文细黑" w:hAnsi="Arial" w:hint="eastAsia"/>
          <w:sz w:val="18"/>
        </w:rPr>
        <w:t>（币种：人民币）</w:t>
      </w:r>
    </w:p>
    <w:p w:rsidR="00184596" w:rsidRDefault="00FD048A">
      <w:pPr>
        <w:widowControl/>
        <w:adjustRightInd/>
        <w:spacing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备注：因市场情况复杂，实际签订价格将受交易双方对项目心理预期的影响，会在估价结果的基础上出现一定范围内的上下浮动。</w:t>
      </w:r>
    </w:p>
    <w:p w:rsidR="00184596" w:rsidRDefault="00184596">
      <w:pPr>
        <w:widowControl/>
        <w:adjustRightInd/>
        <w:spacing w:line="240" w:lineRule="auto"/>
        <w:jc w:val="both"/>
        <w:textAlignment w:val="auto"/>
        <w:rPr>
          <w:rFonts w:ascii="Arial" w:eastAsia="华文细黑" w:hAnsi="Arial" w:cs="宋体"/>
          <w:sz w:val="18"/>
          <w:szCs w:val="18"/>
        </w:rPr>
      </w:pPr>
    </w:p>
    <w:p w:rsidR="00184596" w:rsidRDefault="00FD048A">
      <w:pPr>
        <w:spacing w:line="480" w:lineRule="auto"/>
        <w:jc w:val="both"/>
        <w:rPr>
          <w:rFonts w:ascii="Arial" w:hAnsi="Arial" w:cs="Arial"/>
          <w:b/>
          <w:bCs/>
          <w:sz w:val="21"/>
          <w:szCs w:val="21"/>
        </w:rPr>
      </w:pPr>
      <w:r>
        <w:rPr>
          <w:rFonts w:ascii="Arial" w:hAnsi="Arial" w:cs="Arial"/>
          <w:b/>
          <w:bCs/>
          <w:sz w:val="21"/>
          <w:szCs w:val="21"/>
        </w:rPr>
        <w:t>特别提示：</w:t>
      </w:r>
    </w:p>
    <w:p w:rsidR="00184596" w:rsidRDefault="00FD048A">
      <w:pPr>
        <w:spacing w:line="480" w:lineRule="auto"/>
        <w:jc w:val="both"/>
        <w:rPr>
          <w:rFonts w:ascii="Arial" w:hAnsi="Arial" w:cs="Arial"/>
          <w:color w:val="E36C0A"/>
          <w:sz w:val="21"/>
          <w:szCs w:val="21"/>
        </w:rPr>
      </w:pPr>
      <w:r>
        <w:rPr>
          <w:rFonts w:ascii="Arial" w:hAnsi="Arial" w:cs="Arial"/>
          <w:bCs/>
          <w:sz w:val="21"/>
          <w:szCs w:val="21"/>
        </w:rPr>
        <w:t>1.</w:t>
      </w:r>
      <w:r>
        <w:rPr>
          <w:rFonts w:ascii="Arial" w:hAnsi="Arial" w:hint="eastAsia"/>
          <w:bCs/>
          <w:sz w:val="21"/>
          <w:szCs w:val="21"/>
        </w:rPr>
        <w:t>本次评估设定估价对象权属清晰、合法、无争议，未被查封或者以其他形式限制其房地产权利，不涉及第三方权利义务。</w:t>
      </w:r>
    </w:p>
    <w:p w:rsidR="00184596" w:rsidRDefault="00FD048A">
      <w:pPr>
        <w:spacing w:line="480" w:lineRule="auto"/>
        <w:jc w:val="both"/>
        <w:rPr>
          <w:rFonts w:ascii="Arial" w:hAnsi="Arial" w:cs="Arial"/>
          <w:bCs/>
          <w:sz w:val="21"/>
          <w:szCs w:val="21"/>
        </w:rPr>
      </w:pPr>
      <w:r>
        <w:rPr>
          <w:rFonts w:ascii="Arial" w:hAnsi="Arial" w:cs="Arial" w:hint="eastAsia"/>
          <w:bCs/>
          <w:sz w:val="21"/>
          <w:szCs w:val="21"/>
        </w:rPr>
        <w:t>2</w:t>
      </w:r>
      <w:r>
        <w:rPr>
          <w:rFonts w:ascii="Arial" w:hAnsi="Arial" w:cs="Arial"/>
          <w:bCs/>
          <w:sz w:val="21"/>
          <w:szCs w:val="21"/>
        </w:rPr>
        <w:t>.</w:t>
      </w:r>
      <w:r>
        <w:rPr>
          <w:rFonts w:ascii="Arial" w:hAnsi="Arial" w:cs="Arial"/>
          <w:sz w:val="21"/>
          <w:szCs w:val="21"/>
        </w:rPr>
        <w:t>本估价结果同时受本估价报告正文中</w:t>
      </w:r>
      <w:r>
        <w:rPr>
          <w:rFonts w:ascii="Arial" w:hAnsi="Arial" w:cs="Arial" w:hint="eastAsia"/>
          <w:bCs/>
          <w:sz w:val="21"/>
          <w:szCs w:val="21"/>
        </w:rPr>
        <w:t>“</w:t>
      </w:r>
      <w:r>
        <w:rPr>
          <w:rFonts w:ascii="Arial" w:hAnsi="Arial" w:cs="Arial"/>
          <w:bCs/>
          <w:sz w:val="21"/>
          <w:szCs w:val="21"/>
        </w:rPr>
        <w:t>估价的假设和限制条件</w:t>
      </w:r>
      <w:r>
        <w:rPr>
          <w:rFonts w:ascii="Arial" w:hAnsi="Arial" w:cs="Arial" w:hint="eastAsia"/>
          <w:bCs/>
          <w:sz w:val="21"/>
          <w:szCs w:val="21"/>
        </w:rPr>
        <w:t>”</w:t>
      </w:r>
      <w:r>
        <w:rPr>
          <w:rFonts w:ascii="Arial" w:hAnsi="Arial" w:cs="Arial"/>
          <w:bCs/>
          <w:sz w:val="21"/>
          <w:szCs w:val="21"/>
        </w:rPr>
        <w:t>限制。</w:t>
      </w:r>
    </w:p>
    <w:p w:rsidR="00184596" w:rsidRDefault="00184596">
      <w:pPr>
        <w:spacing w:line="480" w:lineRule="auto"/>
        <w:jc w:val="both"/>
        <w:rPr>
          <w:rFonts w:ascii="Arial" w:hAnsi="Arial" w:cs="Arial"/>
          <w:b/>
          <w:bCs/>
          <w:sz w:val="21"/>
          <w:szCs w:val="21"/>
        </w:rPr>
      </w:pPr>
    </w:p>
    <w:p w:rsidR="00184596" w:rsidRDefault="00184596">
      <w:pPr>
        <w:spacing w:line="480" w:lineRule="auto"/>
        <w:ind w:firstLineChars="200" w:firstLine="420"/>
        <w:rPr>
          <w:rFonts w:ascii="Arial" w:hAnsi="Arial" w:cs="Arial"/>
          <w:sz w:val="21"/>
          <w:szCs w:val="21"/>
        </w:rPr>
        <w:sectPr w:rsidR="00184596">
          <w:footerReference w:type="default" r:id="rId48"/>
          <w:pgSz w:w="11907" w:h="16840"/>
          <w:pgMar w:top="1843" w:right="1304" w:bottom="1134" w:left="1304" w:header="1134" w:footer="907" w:gutter="0"/>
          <w:cols w:space="720"/>
          <w:docGrid w:linePitch="326"/>
        </w:sectPr>
      </w:pPr>
    </w:p>
    <w:p w:rsidR="00184596" w:rsidRDefault="00184596">
      <w:pPr>
        <w:spacing w:line="240" w:lineRule="auto"/>
        <w:jc w:val="center"/>
        <w:rPr>
          <w:rFonts w:ascii="Arial" w:eastAsia="方正黑体简体" w:hAnsi="Arial" w:cs="Arial"/>
          <w:szCs w:val="21"/>
        </w:rPr>
      </w:pPr>
    </w:p>
    <w:p w:rsidR="00184596" w:rsidRDefault="00FD048A">
      <w:pPr>
        <w:pStyle w:val="1"/>
        <w:spacing w:line="480" w:lineRule="auto"/>
        <w:jc w:val="center"/>
        <w:rPr>
          <w:rFonts w:eastAsia="方正黑体简体"/>
          <w:b w:val="0"/>
          <w:kern w:val="2"/>
          <w:sz w:val="32"/>
          <w:szCs w:val="32"/>
        </w:rPr>
      </w:pPr>
      <w:bookmarkStart w:id="66" w:name="_Toc477252467"/>
      <w:r>
        <w:rPr>
          <w:rFonts w:eastAsia="方正黑体简体" w:hint="eastAsia"/>
          <w:b w:val="0"/>
          <w:kern w:val="2"/>
          <w:sz w:val="32"/>
          <w:szCs w:val="32"/>
        </w:rPr>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66"/>
    </w:p>
    <w:p w:rsidR="00184596" w:rsidRDefault="00FD048A">
      <w:pPr>
        <w:numPr>
          <w:ilvl w:val="0"/>
          <w:numId w:val="11"/>
        </w:numPr>
        <w:spacing w:line="480" w:lineRule="auto"/>
        <w:jc w:val="both"/>
        <w:rPr>
          <w:rFonts w:ascii="Arial" w:hAnsi="Arial" w:cs="Arial"/>
          <w:sz w:val="21"/>
          <w:szCs w:val="21"/>
        </w:rPr>
      </w:pPr>
      <w:r>
        <w:rPr>
          <w:rFonts w:ascii="Arial" w:hAnsi="Arial" w:cs="Arial"/>
          <w:sz w:val="21"/>
          <w:szCs w:val="21"/>
        </w:rPr>
        <w:t>《估价委托书》</w:t>
      </w:r>
      <w:r>
        <w:rPr>
          <w:rFonts w:ascii="Arial" w:hAnsi="Arial" w:cs="Arial" w:hint="eastAsia"/>
          <w:sz w:val="21"/>
          <w:szCs w:val="21"/>
        </w:rPr>
        <w:t>复印件</w:t>
      </w:r>
    </w:p>
    <w:p w:rsidR="00184596" w:rsidRDefault="00FD048A">
      <w:pPr>
        <w:numPr>
          <w:ilvl w:val="0"/>
          <w:numId w:val="11"/>
        </w:numPr>
        <w:spacing w:line="480" w:lineRule="auto"/>
        <w:jc w:val="both"/>
        <w:rPr>
          <w:rFonts w:ascii="Arial" w:hAnsi="Arial" w:cs="Arial"/>
          <w:sz w:val="21"/>
          <w:szCs w:val="21"/>
        </w:rPr>
      </w:pPr>
      <w:r>
        <w:rPr>
          <w:rFonts w:ascii="Arial" w:hAnsi="Arial" w:cs="Arial"/>
          <w:sz w:val="21"/>
          <w:szCs w:val="21"/>
        </w:rPr>
        <w:t>估价对象所在位置示意图</w:t>
      </w:r>
    </w:p>
    <w:p w:rsidR="00184596" w:rsidRDefault="00FD048A">
      <w:pPr>
        <w:numPr>
          <w:ilvl w:val="0"/>
          <w:numId w:val="11"/>
        </w:numPr>
        <w:spacing w:line="480" w:lineRule="auto"/>
        <w:jc w:val="both"/>
        <w:rPr>
          <w:rFonts w:ascii="Arial" w:hAnsi="Arial" w:cs="Arial"/>
          <w:sz w:val="21"/>
          <w:szCs w:val="21"/>
        </w:rPr>
      </w:pPr>
      <w:r>
        <w:rPr>
          <w:rFonts w:ascii="Arial" w:hAnsi="Arial" w:cs="Arial"/>
          <w:sz w:val="21"/>
          <w:szCs w:val="21"/>
        </w:rPr>
        <w:t>估价对象实地查勘情况和相关照片</w:t>
      </w:r>
    </w:p>
    <w:p w:rsidR="00184596" w:rsidRDefault="00FD048A">
      <w:pPr>
        <w:numPr>
          <w:ilvl w:val="0"/>
          <w:numId w:val="11"/>
        </w:numPr>
        <w:spacing w:line="480" w:lineRule="auto"/>
        <w:jc w:val="both"/>
        <w:rPr>
          <w:rFonts w:ascii="Arial" w:hAnsi="Arial" w:cs="Arial"/>
          <w:sz w:val="21"/>
          <w:szCs w:val="21"/>
        </w:rPr>
      </w:pP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2021</w:t>
      </w:r>
      <w:r>
        <w:rPr>
          <w:rFonts w:ascii="Arial" w:hAnsi="Arial" w:hint="eastAsia"/>
          <w:bCs/>
          <w:sz w:val="21"/>
        </w:rPr>
        <w:t>）房不动产权第</w:t>
      </w:r>
      <w:r>
        <w:rPr>
          <w:rFonts w:ascii="Arial" w:hAnsi="Arial" w:hint="eastAsia"/>
          <w:bCs/>
          <w:sz w:val="21"/>
        </w:rPr>
        <w:t>0024765</w:t>
      </w:r>
      <w:r>
        <w:rPr>
          <w:rFonts w:ascii="Arial" w:hAnsi="Arial" w:hint="eastAsia"/>
          <w:bCs/>
          <w:sz w:val="21"/>
        </w:rPr>
        <w:t>号</w:t>
      </w:r>
      <w:r>
        <w:rPr>
          <w:rFonts w:ascii="Arial" w:hAnsi="Arial" w:hint="eastAsia"/>
          <w:bCs/>
          <w:sz w:val="21"/>
        </w:rPr>
        <w:t>]</w:t>
      </w:r>
      <w:r>
        <w:rPr>
          <w:rFonts w:ascii="Arial" w:hAnsi="Arial" w:cs="Arial" w:hint="eastAsia"/>
          <w:sz w:val="21"/>
          <w:szCs w:val="21"/>
        </w:rPr>
        <w:t>复印件</w:t>
      </w:r>
    </w:p>
    <w:p w:rsidR="00184596" w:rsidRDefault="00FD048A">
      <w:pPr>
        <w:numPr>
          <w:ilvl w:val="0"/>
          <w:numId w:val="11"/>
        </w:numPr>
        <w:spacing w:line="480" w:lineRule="auto"/>
        <w:jc w:val="both"/>
        <w:rPr>
          <w:rFonts w:ascii="Arial" w:hAnsi="Arial" w:cs="Arial"/>
          <w:sz w:val="21"/>
          <w:szCs w:val="21"/>
        </w:rPr>
      </w:pPr>
      <w:r>
        <w:rPr>
          <w:rFonts w:ascii="Arial" w:hAnsi="Arial" w:hint="eastAsia"/>
          <w:bCs/>
          <w:sz w:val="21"/>
        </w:rPr>
        <w:t>《不动产权证书》</w:t>
      </w:r>
      <w:r>
        <w:rPr>
          <w:rFonts w:ascii="Arial" w:hAnsi="Arial" w:hint="eastAsia"/>
          <w:bCs/>
          <w:sz w:val="21"/>
        </w:rPr>
        <w:t>[</w:t>
      </w:r>
      <w:r>
        <w:rPr>
          <w:rFonts w:ascii="Arial" w:hAnsi="Arial" w:hint="eastAsia"/>
          <w:bCs/>
          <w:sz w:val="21"/>
        </w:rPr>
        <w:t>京（</w:t>
      </w:r>
      <w:r>
        <w:rPr>
          <w:rFonts w:ascii="Arial" w:hAnsi="Arial" w:hint="eastAsia"/>
          <w:bCs/>
          <w:sz w:val="21"/>
        </w:rPr>
        <w:t>2022</w:t>
      </w:r>
      <w:r>
        <w:rPr>
          <w:rFonts w:ascii="Arial" w:hAnsi="Arial" w:hint="eastAsia"/>
          <w:bCs/>
          <w:sz w:val="21"/>
        </w:rPr>
        <w:t>）房不动产权第</w:t>
      </w:r>
      <w:r>
        <w:rPr>
          <w:rFonts w:ascii="Arial" w:hAnsi="Arial" w:hint="eastAsia"/>
          <w:bCs/>
          <w:sz w:val="21"/>
        </w:rPr>
        <w:t>0001792</w:t>
      </w:r>
      <w:r>
        <w:rPr>
          <w:rFonts w:ascii="Arial" w:hAnsi="Arial" w:hint="eastAsia"/>
          <w:bCs/>
          <w:sz w:val="21"/>
        </w:rPr>
        <w:t>、</w:t>
      </w:r>
      <w:r>
        <w:rPr>
          <w:rFonts w:ascii="Arial" w:hAnsi="Arial" w:hint="eastAsia"/>
          <w:bCs/>
          <w:sz w:val="21"/>
        </w:rPr>
        <w:t>0001795</w:t>
      </w:r>
      <w:r>
        <w:rPr>
          <w:rFonts w:ascii="Arial" w:hAnsi="Arial" w:hint="eastAsia"/>
          <w:bCs/>
          <w:sz w:val="21"/>
        </w:rPr>
        <w:t>号</w:t>
      </w:r>
      <w:r>
        <w:rPr>
          <w:rFonts w:ascii="Arial" w:hAnsi="Arial" w:hint="eastAsia"/>
          <w:bCs/>
          <w:sz w:val="21"/>
        </w:rPr>
        <w:t>]</w:t>
      </w:r>
      <w:r>
        <w:rPr>
          <w:rFonts w:ascii="Arial" w:hAnsi="Arial" w:cs="Arial" w:hint="eastAsia"/>
          <w:sz w:val="21"/>
          <w:szCs w:val="21"/>
        </w:rPr>
        <w:t>复印件</w:t>
      </w:r>
    </w:p>
    <w:p w:rsidR="00184596" w:rsidRDefault="00FD048A">
      <w:pPr>
        <w:numPr>
          <w:ilvl w:val="0"/>
          <w:numId w:val="11"/>
        </w:numPr>
        <w:spacing w:line="480" w:lineRule="auto"/>
        <w:jc w:val="both"/>
        <w:rPr>
          <w:rFonts w:ascii="Arial" w:hAnsi="Arial" w:cs="Arial"/>
          <w:sz w:val="21"/>
          <w:szCs w:val="21"/>
        </w:rPr>
      </w:pPr>
      <w:r>
        <w:rPr>
          <w:rFonts w:ascii="Arial" w:hAnsi="Arial" w:hint="eastAsia"/>
          <w:bCs/>
          <w:sz w:val="21"/>
        </w:rPr>
        <w:t>《房屋面积测算技术报告书（商品房类使用）》</w:t>
      </w:r>
      <w:r>
        <w:rPr>
          <w:rFonts w:ascii="Arial" w:hAnsi="Arial" w:cs="Arial" w:hint="eastAsia"/>
          <w:sz w:val="21"/>
          <w:szCs w:val="21"/>
        </w:rPr>
        <w:t>复印件</w:t>
      </w:r>
    </w:p>
    <w:p w:rsidR="00184596" w:rsidRDefault="00FD048A">
      <w:pPr>
        <w:numPr>
          <w:ilvl w:val="0"/>
          <w:numId w:val="11"/>
        </w:numPr>
        <w:spacing w:line="480" w:lineRule="auto"/>
        <w:jc w:val="both"/>
        <w:rPr>
          <w:rFonts w:ascii="Arial" w:hAnsi="Arial" w:cs="Arial"/>
          <w:sz w:val="21"/>
          <w:szCs w:val="21"/>
        </w:rPr>
      </w:pPr>
      <w:r>
        <w:rPr>
          <w:rFonts w:ascii="Arial" w:hAnsi="Arial" w:cs="Arial" w:hint="eastAsia"/>
          <w:sz w:val="21"/>
          <w:szCs w:val="21"/>
        </w:rPr>
        <w:t>专业帮助情况及相关专业意见</w:t>
      </w:r>
    </w:p>
    <w:p w:rsidR="00184596" w:rsidRDefault="00FD048A">
      <w:pPr>
        <w:numPr>
          <w:ilvl w:val="0"/>
          <w:numId w:val="11"/>
        </w:numPr>
        <w:spacing w:line="480" w:lineRule="auto"/>
        <w:jc w:val="both"/>
        <w:rPr>
          <w:rFonts w:ascii="Arial" w:hAnsi="Arial" w:cs="Arial"/>
          <w:sz w:val="21"/>
          <w:szCs w:val="21"/>
        </w:rPr>
      </w:pPr>
      <w:r>
        <w:rPr>
          <w:rFonts w:ascii="Arial" w:hAnsi="Arial" w:cs="Arial"/>
          <w:sz w:val="21"/>
          <w:szCs w:val="21"/>
        </w:rPr>
        <w:t>估价委托人《营业执照（副本）》复印件</w:t>
      </w:r>
    </w:p>
    <w:p w:rsidR="00184596" w:rsidRDefault="00FD048A">
      <w:pPr>
        <w:numPr>
          <w:ilvl w:val="0"/>
          <w:numId w:val="11"/>
        </w:numPr>
        <w:spacing w:line="480" w:lineRule="auto"/>
        <w:jc w:val="both"/>
        <w:rPr>
          <w:rFonts w:ascii="Arial" w:hAnsi="Arial" w:cs="Arial"/>
          <w:sz w:val="21"/>
          <w:szCs w:val="21"/>
        </w:rPr>
      </w:pPr>
      <w:r>
        <w:rPr>
          <w:rFonts w:ascii="Arial" w:hAnsi="Arial" w:cs="Arial"/>
          <w:sz w:val="21"/>
          <w:szCs w:val="21"/>
        </w:rPr>
        <w:t>房地产估价机构《营业执照（副本）》复印件</w:t>
      </w:r>
    </w:p>
    <w:p w:rsidR="00184596" w:rsidRDefault="00FD048A">
      <w:pPr>
        <w:numPr>
          <w:ilvl w:val="0"/>
          <w:numId w:val="11"/>
        </w:numPr>
        <w:spacing w:line="480" w:lineRule="auto"/>
        <w:jc w:val="both"/>
        <w:rPr>
          <w:rFonts w:ascii="Arial" w:hAnsi="Arial" w:cs="Arial"/>
          <w:sz w:val="21"/>
          <w:szCs w:val="21"/>
        </w:rPr>
      </w:pPr>
      <w:r>
        <w:rPr>
          <w:rFonts w:ascii="Arial" w:hAnsi="Arial" w:cs="Arial" w:hint="eastAsia"/>
          <w:sz w:val="21"/>
          <w:szCs w:val="21"/>
        </w:rPr>
        <w:t>房地产估价机构估价资质证书</w:t>
      </w:r>
      <w:r>
        <w:rPr>
          <w:rFonts w:ascii="Arial" w:hAnsi="Arial" w:cs="Arial"/>
          <w:sz w:val="21"/>
          <w:szCs w:val="21"/>
        </w:rPr>
        <w:t>复印件</w:t>
      </w:r>
    </w:p>
    <w:p w:rsidR="00184596" w:rsidRDefault="00FD048A">
      <w:pPr>
        <w:numPr>
          <w:ilvl w:val="0"/>
          <w:numId w:val="11"/>
        </w:numPr>
        <w:spacing w:line="480" w:lineRule="auto"/>
        <w:jc w:val="both"/>
        <w:rPr>
          <w:rFonts w:ascii="Arial" w:hAnsi="Arial" w:cs="Arial"/>
          <w:sz w:val="21"/>
          <w:szCs w:val="21"/>
        </w:rPr>
      </w:pPr>
      <w:r>
        <w:rPr>
          <w:rFonts w:ascii="Arial" w:hAnsi="Arial" w:cs="Arial"/>
          <w:sz w:val="21"/>
          <w:szCs w:val="21"/>
        </w:rPr>
        <w:t>评估专业人员执业证书复印件</w:t>
      </w:r>
    </w:p>
    <w:sectPr w:rsidR="00184596">
      <w:headerReference w:type="default" r:id="rId49"/>
      <w:footerReference w:type="default" r:id="rId50"/>
      <w:pgSz w:w="11907" w:h="16840"/>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win10B" w:date="2026-01-27T15:47:00Z" w:initials="w">
    <w:p w:rsidR="00FD048A" w:rsidRDefault="00FD048A">
      <w:pPr>
        <w:pStyle w:val="a5"/>
      </w:pPr>
      <w:r>
        <w:rPr>
          <w:rStyle w:val="af5"/>
        </w:rPr>
        <w:annotationRef/>
      </w:r>
      <w:r>
        <w:t>税费呢</w:t>
      </w:r>
    </w:p>
  </w:comment>
  <w:comment w:id="3" w:author="win10B" w:date="2026-01-27T15:50:00Z" w:initials="w">
    <w:p w:rsidR="008E0F88" w:rsidRDefault="008E0F88">
      <w:pPr>
        <w:pStyle w:val="a5"/>
      </w:pPr>
      <w:r>
        <w:rPr>
          <w:rStyle w:val="af5"/>
        </w:rPr>
        <w:annotationRef/>
      </w:r>
      <w:r>
        <w:t>在哪个地块上</w:t>
      </w:r>
    </w:p>
  </w:comment>
  <w:comment w:id="27" w:author="win10B" w:date="2026-01-27T16:15:00Z" w:initials="w">
    <w:p w:rsidR="00F21149" w:rsidRDefault="00F21149">
      <w:pPr>
        <w:pStyle w:val="a5"/>
      </w:pPr>
      <w:r>
        <w:rPr>
          <w:rStyle w:val="af5"/>
        </w:rPr>
        <w:annotationRef/>
      </w:r>
      <w:r>
        <w:t>排版</w:t>
      </w:r>
      <w:r>
        <w:rPr>
          <w:rFonts w:hint="eastAsia"/>
        </w:rPr>
        <w:t xml:space="preserve"> </w:t>
      </w:r>
    </w:p>
  </w:comment>
  <w:comment w:id="32" w:author="win10B" w:date="2026-01-27T16:21:00Z" w:initials="w">
    <w:p w:rsidR="00F21149" w:rsidRDefault="00F21149">
      <w:pPr>
        <w:pStyle w:val="a5"/>
      </w:pPr>
      <w:r>
        <w:rPr>
          <w:rStyle w:val="af5"/>
        </w:rPr>
        <w:annotationRef/>
      </w:r>
    </w:p>
  </w:comment>
  <w:comment w:id="52" w:author="win10B" w:date="2026-01-27T16:31:00Z" w:initials="w">
    <w:p w:rsidR="006B311D" w:rsidRDefault="006B311D">
      <w:pPr>
        <w:pStyle w:val="a5"/>
      </w:pPr>
      <w:r>
        <w:rPr>
          <w:rStyle w:val="af5"/>
        </w:rPr>
        <w:annotationRef/>
      </w:r>
      <w:r>
        <w:t>换下位置</w:t>
      </w:r>
    </w:p>
  </w:comment>
  <w:comment w:id="61" w:author="win10B" w:date="2026-01-27T16:34:00Z" w:initials="w">
    <w:p w:rsidR="006B311D" w:rsidRDefault="006B311D">
      <w:pPr>
        <w:pStyle w:val="a5"/>
      </w:pPr>
      <w:r>
        <w:rPr>
          <w:rStyle w:val="af5"/>
        </w:rPr>
        <w:annotationRef/>
      </w:r>
      <w:r>
        <w:t>单位</w:t>
      </w:r>
    </w:p>
  </w:comment>
  <w:comment w:id="62" w:author="win10B" w:date="2026-01-27T16:36:00Z" w:initials="w">
    <w:p w:rsidR="00461451" w:rsidRDefault="00461451">
      <w:pPr>
        <w:pStyle w:val="a5"/>
      </w:pPr>
      <w:r>
        <w:rPr>
          <w:rStyle w:val="af5"/>
        </w:rPr>
        <w:annotationRef/>
      </w:r>
      <w:r>
        <w:t>还有个以下？</w:t>
      </w:r>
    </w:p>
  </w:comment>
  <w:comment w:id="63" w:author="win10B" w:date="2026-01-27T16:38:00Z" w:initials="w">
    <w:p w:rsidR="00461451" w:rsidRDefault="00461451">
      <w:pPr>
        <w:pStyle w:val="a5"/>
      </w:pPr>
      <w:r>
        <w:rPr>
          <w:rStyle w:val="af5"/>
        </w:rPr>
        <w:annotationRef/>
      </w:r>
      <w:r>
        <w:t>再加一行，修正系数</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04F" w:rsidRDefault="00A9004F">
      <w:pPr>
        <w:spacing w:line="240" w:lineRule="auto"/>
      </w:pPr>
      <w:r>
        <w:separator/>
      </w:r>
    </w:p>
  </w:endnote>
  <w:endnote w:type="continuationSeparator" w:id="0">
    <w:p w:rsidR="00A9004F" w:rsidRDefault="00A900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default"/>
    <w:sig w:usb0="00000000" w:usb1="00000000" w:usb2="00000000" w:usb3="00000000" w:csb0="00040000" w:csb1="00000000"/>
  </w:font>
  <w:font w:name="GungsuhChe">
    <w:altName w:val="Malgun Gothic"/>
    <w:charset w:val="81"/>
    <w:family w:val="modern"/>
    <w:pitch w:val="default"/>
    <w:sig w:usb0="00000000" w:usb1="00000000"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b"/>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FD048A" w:rsidRDefault="00FD048A">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b"/>
      <w:pBdr>
        <w:top w:val="single" w:sz="4" w:space="1" w:color="auto"/>
      </w:pBdr>
      <w:tabs>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61451" w:rsidRPr="00461451">
      <w:rPr>
        <w:rFonts w:ascii="Arial" w:hAnsi="Arial" w:cs="Arial"/>
        <w:noProof/>
        <w:lang w:val="zh-CN"/>
      </w:rPr>
      <w:t>22</w:t>
    </w:r>
    <w:r>
      <w:rPr>
        <w:rFonts w:ascii="Arial" w:hAnsi="Arial" w:cs="Ari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b"/>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61451" w:rsidRPr="00461451">
      <w:rPr>
        <w:rFonts w:ascii="Arial" w:hAnsi="Arial" w:cs="Arial"/>
        <w:noProof/>
        <w:lang w:val="zh-CN"/>
      </w:rPr>
      <w:t>49</w:t>
    </w:r>
    <w:r>
      <w:rPr>
        <w:rFonts w:ascii="Arial" w:hAnsi="Arial" w:cs="Aria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b"/>
      <w:pBdr>
        <w:top w:val="single" w:sz="4" w:space="1" w:color="auto"/>
      </w:pBdr>
      <w:tabs>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61451" w:rsidRPr="00461451">
      <w:rPr>
        <w:rFonts w:ascii="Arial" w:hAnsi="Arial" w:cs="Arial"/>
        <w:noProof/>
        <w:lang w:val="zh-CN"/>
      </w:rPr>
      <w:t>53</w:t>
    </w:r>
    <w:r>
      <w:rPr>
        <w:rFonts w:ascii="Arial" w:hAnsi="Arial" w:cs="Arial"/>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b"/>
      <w:pBdr>
        <w:top w:val="single" w:sz="4" w:space="1" w:color="auto"/>
      </w:pBdr>
      <w:tabs>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61451" w:rsidRPr="00461451">
      <w:rPr>
        <w:rFonts w:ascii="Arial" w:hAnsi="Arial" w:cs="Arial"/>
        <w:noProof/>
        <w:lang w:val="zh-CN"/>
      </w:rPr>
      <w:t>57</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b"/>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b"/>
      <w:pBdr>
        <w:top w:val="single" w:sz="4" w:space="0" w:color="404040"/>
      </w:pBdr>
      <w:tabs>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61451" w:rsidRPr="00461451">
      <w:rPr>
        <w:rFonts w:ascii="Arial" w:hAnsi="Arial" w:cs="Arial"/>
        <w:noProof/>
        <w:lang w:val="zh-CN"/>
      </w:rPr>
      <w:t>4</w:t>
    </w:r>
    <w:r>
      <w:rP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b"/>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61451" w:rsidRPr="00461451">
      <w:rPr>
        <w:rFonts w:ascii="Arial" w:hAnsi="Arial" w:cs="Arial"/>
        <w:noProof/>
        <w:lang w:val="zh-CN"/>
      </w:rPr>
      <w:t>11</w:t>
    </w:r>
    <w:r>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b"/>
      <w:jc w:val="center"/>
    </w:pPr>
    <w:r>
      <w:fldChar w:fldCharType="begin"/>
    </w:r>
    <w:r>
      <w:instrText>PAGE   \* MERGEFORMAT</w:instrText>
    </w:r>
    <w:r>
      <w:fldChar w:fldCharType="separate"/>
    </w:r>
    <w:r>
      <w:rPr>
        <w:rFonts w:ascii="Arial" w:hAnsi="Arial"/>
        <w:lang w:val="zh-CN"/>
      </w:rPr>
      <w:t>12</w:t>
    </w:r>
    <w:r>
      <w:fldChar w:fldCharType="end"/>
    </w:r>
  </w:p>
  <w:p w:rsidR="00FD048A" w:rsidRDefault="00FD048A">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b"/>
      <w:pBdr>
        <w:top w:val="single" w:sz="4" w:space="1" w:color="auto"/>
      </w:pBdr>
      <w:tabs>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61451" w:rsidRPr="00461451">
      <w:rPr>
        <w:rFonts w:ascii="Arial" w:hAnsi="Arial" w:cs="Arial"/>
        <w:noProof/>
        <w:lang w:val="zh-CN"/>
      </w:rPr>
      <w:t>16</w:t>
    </w:r>
    <w:r>
      <w:rPr>
        <w:rFonts w:ascii="Arial" w:hAnsi="Arial" w:cs="Aria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b"/>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FD048A" w:rsidRDefault="00FD048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04F" w:rsidRDefault="00A9004F">
      <w:pPr>
        <w:spacing w:line="240" w:lineRule="auto"/>
      </w:pPr>
      <w:r>
        <w:separator/>
      </w:r>
    </w:p>
  </w:footnote>
  <w:footnote w:type="continuationSeparator" w:id="0">
    <w:p w:rsidR="00A9004F" w:rsidRDefault="00A9004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c"/>
      <w:pBdr>
        <w:bottom w:val="none" w:sz="0" w:space="0" w:color="auto"/>
      </w:pBdr>
    </w:pPr>
    <w:r>
      <w:rPr>
        <w:noProof/>
      </w:rPr>
      <w:drawing>
        <wp:inline distT="0" distB="0" distL="0" distR="0">
          <wp:extent cx="5901690" cy="286385"/>
          <wp:effectExtent l="0" t="0" r="0" b="0"/>
          <wp:docPr id="20"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c"/>
      <w:pBdr>
        <w:bottom w:val="none" w:sz="0" w:space="0" w:color="auto"/>
      </w:pBdr>
      <w:jc w:val="both"/>
      <w:rPr>
        <w:rFonts w:ascii="楷体_GB2312" w:eastAsia="楷体_GB2312"/>
        <w:color w:val="FF0000"/>
        <w:spacing w:val="-20"/>
        <w:sz w:val="21"/>
      </w:rPr>
    </w:pPr>
    <w:r>
      <w:rPr>
        <w:noProof/>
      </w:rPr>
      <w:drawing>
        <wp:inline distT="0" distB="0" distL="0" distR="0">
          <wp:extent cx="5901690" cy="286385"/>
          <wp:effectExtent l="0" t="0" r="0" b="0"/>
          <wp:docPr id="10"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c"/>
      <w:pBdr>
        <w:bottom w:val="none" w:sz="0" w:space="0" w:color="auto"/>
      </w:pBdr>
    </w:pPr>
    <w:r>
      <w:rPr>
        <w:noProof/>
      </w:rPr>
      <w:drawing>
        <wp:inline distT="0" distB="0" distL="0" distR="0">
          <wp:extent cx="5895975" cy="280670"/>
          <wp:effectExtent l="0" t="0" r="0" b="0"/>
          <wp:docPr id="11" name="图片 36"/>
          <wp:cNvGraphicFramePr/>
          <a:graphic xmlns:a="http://schemas.openxmlformats.org/drawingml/2006/main">
            <a:graphicData uri="http://schemas.openxmlformats.org/drawingml/2006/picture">
              <pic:pic xmlns:pic="http://schemas.openxmlformats.org/drawingml/2006/picture">
                <pic:nvPicPr>
                  <pic:cNvPr id="11" name="图片 3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5975" cy="28067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c"/>
      <w:pBdr>
        <w:bottom w:val="none" w:sz="0" w:space="0" w:color="auto"/>
      </w:pBdr>
    </w:pPr>
    <w:r>
      <w:rPr>
        <w:noProof/>
      </w:rPr>
      <w:drawing>
        <wp:inline distT="0" distB="0" distL="0" distR="0">
          <wp:extent cx="5901690" cy="286385"/>
          <wp:effectExtent l="0" t="0" r="0" b="0"/>
          <wp:docPr id="19"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9"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c"/>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c"/>
      <w:pBdr>
        <w:bottom w:val="none" w:sz="0" w:space="0" w:color="auto"/>
      </w:pBdr>
      <w:jc w:val="both"/>
      <w:rPr>
        <w:rFonts w:ascii="楷体_GB2312" w:eastAsia="楷体_GB2312"/>
        <w:color w:val="FF0000"/>
        <w:spacing w:val="-20"/>
        <w:sz w:val="21"/>
      </w:rPr>
    </w:pPr>
    <w:r>
      <w:rPr>
        <w:noProof/>
      </w:rPr>
      <w:drawing>
        <wp:inline distT="0" distB="0" distL="0" distR="0">
          <wp:extent cx="5901690" cy="286385"/>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c"/>
      <w:pBdr>
        <w:bottom w:val="none" w:sz="0" w:space="0" w:color="auto"/>
      </w:pBdr>
      <w:jc w:val="both"/>
      <w:rPr>
        <w:rFonts w:ascii="楷体_GB2312" w:eastAsia="楷体_GB2312"/>
        <w:color w:val="FF0000"/>
        <w:spacing w:val="-20"/>
        <w:sz w:val="21"/>
      </w:rPr>
    </w:pPr>
    <w:r>
      <w:rPr>
        <w:noProof/>
      </w:rPr>
      <w:drawing>
        <wp:inline distT="0" distB="0" distL="0" distR="0">
          <wp:extent cx="5901690" cy="286385"/>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p w:rsidR="00FD048A" w:rsidRDefault="00FD048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c"/>
      <w:pBdr>
        <w:bottom w:val="none" w:sz="0" w:space="0" w:color="auto"/>
      </w:pBdr>
      <w:jc w:val="both"/>
      <w:rPr>
        <w:rFonts w:ascii="楷体_GB2312" w:eastAsia="楷体_GB2312"/>
        <w:color w:val="FF0000"/>
        <w:spacing w:val="-20"/>
        <w:sz w:val="21"/>
      </w:rPr>
    </w:pPr>
    <w:r>
      <w:rPr>
        <w:noProof/>
      </w:rPr>
      <w:drawing>
        <wp:inline distT="0" distB="0" distL="0" distR="0">
          <wp:extent cx="5901690" cy="286385"/>
          <wp:effectExtent l="0" t="0" r="0" b="0"/>
          <wp:docPr id="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690" cy="28638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8A" w:rsidRDefault="00FD048A">
    <w:pPr>
      <w:pStyle w:val="ac"/>
    </w:pPr>
    <w:r>
      <w:rPr>
        <w:noProof/>
      </w:rPr>
      <w:drawing>
        <wp:inline distT="0" distB="0" distL="0" distR="0">
          <wp:extent cx="5503545" cy="286385"/>
          <wp:effectExtent l="0" t="0" r="0" b="0"/>
          <wp:docPr id="2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354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05B78"/>
    <w:multiLevelType w:val="multilevel"/>
    <w:tmpl w:val="0DF05B78"/>
    <w:lvl w:ilvl="0">
      <w:start w:val="1"/>
      <w:numFmt w:val="decimal"/>
      <w:lvlText w:val="%1."/>
      <w:lvlJc w:val="left"/>
      <w:pPr>
        <w:ind w:left="846" w:hanging="420"/>
      </w:pPr>
      <w:rPr>
        <w:snapToGrid w:val="0"/>
        <w:spacing w:val="0"/>
        <w:kern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34224C1A"/>
    <w:multiLevelType w:val="multilevel"/>
    <w:tmpl w:val="34224C1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6">
    <w:nsid w:val="557F39EB"/>
    <w:multiLevelType w:val="multilevel"/>
    <w:tmpl w:val="557F39EB"/>
    <w:lvl w:ilvl="0">
      <w:start w:val="1"/>
      <w:numFmt w:val="decimal"/>
      <w:lvlText w:val="%1."/>
      <w:lvlJc w:val="left"/>
      <w:pPr>
        <w:ind w:left="842" w:hanging="420"/>
      </w:p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7">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9">
    <w:nsid w:val="733B7460"/>
    <w:multiLevelType w:val="multilevel"/>
    <w:tmpl w:val="733B7460"/>
    <w:lvl w:ilvl="0">
      <w:start w:val="1"/>
      <w:numFmt w:val="decimal"/>
      <w:lvlText w:val="%1."/>
      <w:lvlJc w:val="left"/>
      <w:pPr>
        <w:ind w:left="704"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0"/>
  </w:num>
  <w:num w:numId="2">
    <w:abstractNumId w:val="1"/>
  </w:num>
  <w:num w:numId="3">
    <w:abstractNumId w:val="8"/>
  </w:num>
  <w:num w:numId="4">
    <w:abstractNumId w:val="7"/>
  </w:num>
  <w:num w:numId="5">
    <w:abstractNumId w:val="5"/>
  </w:num>
  <w:num w:numId="6">
    <w:abstractNumId w:val="0"/>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50"/>
  <w:doNotHyphenateCaps/>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4952"/>
    <w:rsid w:val="00004CA5"/>
    <w:rsid w:val="00004D42"/>
    <w:rsid w:val="0001031A"/>
    <w:rsid w:val="00011EE1"/>
    <w:rsid w:val="0001237C"/>
    <w:rsid w:val="00012E86"/>
    <w:rsid w:val="0001354F"/>
    <w:rsid w:val="00014F2D"/>
    <w:rsid w:val="0001714F"/>
    <w:rsid w:val="00022827"/>
    <w:rsid w:val="00027D53"/>
    <w:rsid w:val="00030519"/>
    <w:rsid w:val="00031A0B"/>
    <w:rsid w:val="000345BA"/>
    <w:rsid w:val="00035392"/>
    <w:rsid w:val="00037642"/>
    <w:rsid w:val="0003783C"/>
    <w:rsid w:val="00037D7C"/>
    <w:rsid w:val="00041390"/>
    <w:rsid w:val="000421EB"/>
    <w:rsid w:val="0004288D"/>
    <w:rsid w:val="00042DC2"/>
    <w:rsid w:val="0004627B"/>
    <w:rsid w:val="00046421"/>
    <w:rsid w:val="00050104"/>
    <w:rsid w:val="00052348"/>
    <w:rsid w:val="000527EE"/>
    <w:rsid w:val="00053031"/>
    <w:rsid w:val="000552B7"/>
    <w:rsid w:val="00057D66"/>
    <w:rsid w:val="000639A8"/>
    <w:rsid w:val="000647E7"/>
    <w:rsid w:val="00065379"/>
    <w:rsid w:val="000677C9"/>
    <w:rsid w:val="000728BE"/>
    <w:rsid w:val="00076979"/>
    <w:rsid w:val="00077930"/>
    <w:rsid w:val="00081E6A"/>
    <w:rsid w:val="00081F03"/>
    <w:rsid w:val="00082C75"/>
    <w:rsid w:val="00084265"/>
    <w:rsid w:val="00085690"/>
    <w:rsid w:val="00090ADF"/>
    <w:rsid w:val="00092F3C"/>
    <w:rsid w:val="0009464C"/>
    <w:rsid w:val="00094856"/>
    <w:rsid w:val="000A1B10"/>
    <w:rsid w:val="000A3B50"/>
    <w:rsid w:val="000A4345"/>
    <w:rsid w:val="000A5752"/>
    <w:rsid w:val="000B0322"/>
    <w:rsid w:val="000B060E"/>
    <w:rsid w:val="000B7C3D"/>
    <w:rsid w:val="000B7E14"/>
    <w:rsid w:val="000C1CAA"/>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E695F"/>
    <w:rsid w:val="000F55C7"/>
    <w:rsid w:val="000F5732"/>
    <w:rsid w:val="000F5D1B"/>
    <w:rsid w:val="000F746A"/>
    <w:rsid w:val="00102861"/>
    <w:rsid w:val="00103AC3"/>
    <w:rsid w:val="00106495"/>
    <w:rsid w:val="001070F4"/>
    <w:rsid w:val="00110932"/>
    <w:rsid w:val="00112C6B"/>
    <w:rsid w:val="0011651C"/>
    <w:rsid w:val="001201A8"/>
    <w:rsid w:val="00121EB7"/>
    <w:rsid w:val="00121F4B"/>
    <w:rsid w:val="00123526"/>
    <w:rsid w:val="00124891"/>
    <w:rsid w:val="0012550C"/>
    <w:rsid w:val="001267C9"/>
    <w:rsid w:val="00126809"/>
    <w:rsid w:val="001300C8"/>
    <w:rsid w:val="001308A9"/>
    <w:rsid w:val="0013092A"/>
    <w:rsid w:val="001309C4"/>
    <w:rsid w:val="001310D8"/>
    <w:rsid w:val="00134710"/>
    <w:rsid w:val="00137B2B"/>
    <w:rsid w:val="00143163"/>
    <w:rsid w:val="001433AC"/>
    <w:rsid w:val="00146B62"/>
    <w:rsid w:val="00150A2F"/>
    <w:rsid w:val="0015101C"/>
    <w:rsid w:val="00152C21"/>
    <w:rsid w:val="00153D34"/>
    <w:rsid w:val="0015637F"/>
    <w:rsid w:val="00162718"/>
    <w:rsid w:val="0016376A"/>
    <w:rsid w:val="00170B7A"/>
    <w:rsid w:val="00170FF7"/>
    <w:rsid w:val="0017152E"/>
    <w:rsid w:val="00171F28"/>
    <w:rsid w:val="0017359A"/>
    <w:rsid w:val="00174015"/>
    <w:rsid w:val="00174FED"/>
    <w:rsid w:val="001752EA"/>
    <w:rsid w:val="00181B68"/>
    <w:rsid w:val="0018215B"/>
    <w:rsid w:val="00182645"/>
    <w:rsid w:val="00183C97"/>
    <w:rsid w:val="0018410F"/>
    <w:rsid w:val="00184596"/>
    <w:rsid w:val="00185D76"/>
    <w:rsid w:val="00186416"/>
    <w:rsid w:val="00186584"/>
    <w:rsid w:val="00190A23"/>
    <w:rsid w:val="0019484B"/>
    <w:rsid w:val="00194E5F"/>
    <w:rsid w:val="00197502"/>
    <w:rsid w:val="00197D26"/>
    <w:rsid w:val="001A13ED"/>
    <w:rsid w:val="001A2C77"/>
    <w:rsid w:val="001A326D"/>
    <w:rsid w:val="001A5444"/>
    <w:rsid w:val="001A59C1"/>
    <w:rsid w:val="001A6F1B"/>
    <w:rsid w:val="001A7B50"/>
    <w:rsid w:val="001A7FA2"/>
    <w:rsid w:val="001B1B96"/>
    <w:rsid w:val="001B3319"/>
    <w:rsid w:val="001B427F"/>
    <w:rsid w:val="001B64A0"/>
    <w:rsid w:val="001B72D0"/>
    <w:rsid w:val="001B730A"/>
    <w:rsid w:val="001B79C7"/>
    <w:rsid w:val="001B7B1D"/>
    <w:rsid w:val="001C20AE"/>
    <w:rsid w:val="001C2A98"/>
    <w:rsid w:val="001C2C79"/>
    <w:rsid w:val="001C2DF8"/>
    <w:rsid w:val="001C44F5"/>
    <w:rsid w:val="001C577A"/>
    <w:rsid w:val="001C6964"/>
    <w:rsid w:val="001C6AF2"/>
    <w:rsid w:val="001C7458"/>
    <w:rsid w:val="001C75B0"/>
    <w:rsid w:val="001C788E"/>
    <w:rsid w:val="001C7AAD"/>
    <w:rsid w:val="001D4FBC"/>
    <w:rsid w:val="001D650B"/>
    <w:rsid w:val="001D7D7A"/>
    <w:rsid w:val="001E0925"/>
    <w:rsid w:val="001E425D"/>
    <w:rsid w:val="001E53E3"/>
    <w:rsid w:val="001E5E1C"/>
    <w:rsid w:val="001E758A"/>
    <w:rsid w:val="001F0458"/>
    <w:rsid w:val="001F0888"/>
    <w:rsid w:val="001F6090"/>
    <w:rsid w:val="002002BD"/>
    <w:rsid w:val="00200E28"/>
    <w:rsid w:val="00201A37"/>
    <w:rsid w:val="00202895"/>
    <w:rsid w:val="00203314"/>
    <w:rsid w:val="00205D6F"/>
    <w:rsid w:val="00206854"/>
    <w:rsid w:val="002106F0"/>
    <w:rsid w:val="0021285B"/>
    <w:rsid w:val="00212AAF"/>
    <w:rsid w:val="00212AEE"/>
    <w:rsid w:val="002157AC"/>
    <w:rsid w:val="00221C8C"/>
    <w:rsid w:val="00222265"/>
    <w:rsid w:val="0022545A"/>
    <w:rsid w:val="00225481"/>
    <w:rsid w:val="002278A9"/>
    <w:rsid w:val="0023344F"/>
    <w:rsid w:val="00233C6E"/>
    <w:rsid w:val="002347B1"/>
    <w:rsid w:val="00234CB5"/>
    <w:rsid w:val="00235EFE"/>
    <w:rsid w:val="002361E9"/>
    <w:rsid w:val="00237F00"/>
    <w:rsid w:val="00241409"/>
    <w:rsid w:val="002422F5"/>
    <w:rsid w:val="0024323F"/>
    <w:rsid w:val="002437E0"/>
    <w:rsid w:val="00243D67"/>
    <w:rsid w:val="0024429E"/>
    <w:rsid w:val="00244311"/>
    <w:rsid w:val="00244F91"/>
    <w:rsid w:val="002455C6"/>
    <w:rsid w:val="00247052"/>
    <w:rsid w:val="00250828"/>
    <w:rsid w:val="00252130"/>
    <w:rsid w:val="00252E12"/>
    <w:rsid w:val="0025385C"/>
    <w:rsid w:val="002539C2"/>
    <w:rsid w:val="00253F04"/>
    <w:rsid w:val="002547BD"/>
    <w:rsid w:val="00256148"/>
    <w:rsid w:val="00264322"/>
    <w:rsid w:val="00264B8C"/>
    <w:rsid w:val="002671FD"/>
    <w:rsid w:val="00267E50"/>
    <w:rsid w:val="00270C1D"/>
    <w:rsid w:val="0027408F"/>
    <w:rsid w:val="00277CA3"/>
    <w:rsid w:val="0028042D"/>
    <w:rsid w:val="00280B27"/>
    <w:rsid w:val="00282EC8"/>
    <w:rsid w:val="002832F1"/>
    <w:rsid w:val="002856FC"/>
    <w:rsid w:val="002944D0"/>
    <w:rsid w:val="002960DC"/>
    <w:rsid w:val="00296579"/>
    <w:rsid w:val="002975A8"/>
    <w:rsid w:val="00297B55"/>
    <w:rsid w:val="002A136E"/>
    <w:rsid w:val="002A24B2"/>
    <w:rsid w:val="002A4036"/>
    <w:rsid w:val="002A4C30"/>
    <w:rsid w:val="002A53A9"/>
    <w:rsid w:val="002A59ED"/>
    <w:rsid w:val="002B1195"/>
    <w:rsid w:val="002B35F7"/>
    <w:rsid w:val="002B384D"/>
    <w:rsid w:val="002B4B70"/>
    <w:rsid w:val="002B711A"/>
    <w:rsid w:val="002B71B8"/>
    <w:rsid w:val="002C00B5"/>
    <w:rsid w:val="002C1627"/>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E1286"/>
    <w:rsid w:val="002E261C"/>
    <w:rsid w:val="002E58B3"/>
    <w:rsid w:val="002E6BD0"/>
    <w:rsid w:val="002E7F97"/>
    <w:rsid w:val="002F41E0"/>
    <w:rsid w:val="002F6783"/>
    <w:rsid w:val="002F6A0D"/>
    <w:rsid w:val="002F6A3A"/>
    <w:rsid w:val="0030112B"/>
    <w:rsid w:val="00301946"/>
    <w:rsid w:val="00303006"/>
    <w:rsid w:val="00306AEA"/>
    <w:rsid w:val="0030795F"/>
    <w:rsid w:val="003103AE"/>
    <w:rsid w:val="00312486"/>
    <w:rsid w:val="00312D2B"/>
    <w:rsid w:val="00313F9A"/>
    <w:rsid w:val="00315B9E"/>
    <w:rsid w:val="00315E58"/>
    <w:rsid w:val="00316467"/>
    <w:rsid w:val="003211B6"/>
    <w:rsid w:val="00323163"/>
    <w:rsid w:val="00323C56"/>
    <w:rsid w:val="00330243"/>
    <w:rsid w:val="00330E9E"/>
    <w:rsid w:val="00332156"/>
    <w:rsid w:val="00333BD4"/>
    <w:rsid w:val="003362D2"/>
    <w:rsid w:val="003405BD"/>
    <w:rsid w:val="00340790"/>
    <w:rsid w:val="0034102A"/>
    <w:rsid w:val="00342D27"/>
    <w:rsid w:val="00346A47"/>
    <w:rsid w:val="0035067C"/>
    <w:rsid w:val="00351B58"/>
    <w:rsid w:val="00351CBA"/>
    <w:rsid w:val="00352066"/>
    <w:rsid w:val="00353A29"/>
    <w:rsid w:val="00353B3D"/>
    <w:rsid w:val="00355D98"/>
    <w:rsid w:val="00357EEC"/>
    <w:rsid w:val="003636C1"/>
    <w:rsid w:val="0036385B"/>
    <w:rsid w:val="00363F17"/>
    <w:rsid w:val="00364041"/>
    <w:rsid w:val="00364D0E"/>
    <w:rsid w:val="00364ED6"/>
    <w:rsid w:val="00371EA7"/>
    <w:rsid w:val="0037309D"/>
    <w:rsid w:val="00374847"/>
    <w:rsid w:val="00375183"/>
    <w:rsid w:val="00376596"/>
    <w:rsid w:val="0037667F"/>
    <w:rsid w:val="00381636"/>
    <w:rsid w:val="003826D8"/>
    <w:rsid w:val="003843D8"/>
    <w:rsid w:val="00384C51"/>
    <w:rsid w:val="00385340"/>
    <w:rsid w:val="003871E5"/>
    <w:rsid w:val="003879AE"/>
    <w:rsid w:val="00390D6F"/>
    <w:rsid w:val="00391276"/>
    <w:rsid w:val="003920B1"/>
    <w:rsid w:val="003922BA"/>
    <w:rsid w:val="003958DE"/>
    <w:rsid w:val="0039646A"/>
    <w:rsid w:val="003972AF"/>
    <w:rsid w:val="003A15DC"/>
    <w:rsid w:val="003A38A4"/>
    <w:rsid w:val="003A44A4"/>
    <w:rsid w:val="003A4D8E"/>
    <w:rsid w:val="003A6366"/>
    <w:rsid w:val="003B0E4C"/>
    <w:rsid w:val="003B1BD5"/>
    <w:rsid w:val="003B30CE"/>
    <w:rsid w:val="003B6989"/>
    <w:rsid w:val="003C235C"/>
    <w:rsid w:val="003C3914"/>
    <w:rsid w:val="003C405D"/>
    <w:rsid w:val="003C413A"/>
    <w:rsid w:val="003C497C"/>
    <w:rsid w:val="003C4E7F"/>
    <w:rsid w:val="003D27EF"/>
    <w:rsid w:val="003D33D6"/>
    <w:rsid w:val="003D4A89"/>
    <w:rsid w:val="003D53D3"/>
    <w:rsid w:val="003E258C"/>
    <w:rsid w:val="003E611B"/>
    <w:rsid w:val="003E64BD"/>
    <w:rsid w:val="003E748F"/>
    <w:rsid w:val="003E7E84"/>
    <w:rsid w:val="003F0BAC"/>
    <w:rsid w:val="003F17E9"/>
    <w:rsid w:val="003F42B3"/>
    <w:rsid w:val="003F7F99"/>
    <w:rsid w:val="004004FE"/>
    <w:rsid w:val="00403BC4"/>
    <w:rsid w:val="00404396"/>
    <w:rsid w:val="00405CBD"/>
    <w:rsid w:val="004109A6"/>
    <w:rsid w:val="0041133E"/>
    <w:rsid w:val="00413A98"/>
    <w:rsid w:val="004150E4"/>
    <w:rsid w:val="0041611B"/>
    <w:rsid w:val="0042034C"/>
    <w:rsid w:val="00420AA6"/>
    <w:rsid w:val="004213EA"/>
    <w:rsid w:val="004218B1"/>
    <w:rsid w:val="00423270"/>
    <w:rsid w:val="0042778C"/>
    <w:rsid w:val="00432405"/>
    <w:rsid w:val="00432BA4"/>
    <w:rsid w:val="00433765"/>
    <w:rsid w:val="00434F74"/>
    <w:rsid w:val="00436D80"/>
    <w:rsid w:val="00440A23"/>
    <w:rsid w:val="0044389D"/>
    <w:rsid w:val="00444961"/>
    <w:rsid w:val="00447F02"/>
    <w:rsid w:val="00450DCF"/>
    <w:rsid w:val="00452F36"/>
    <w:rsid w:val="00456EBD"/>
    <w:rsid w:val="00461451"/>
    <w:rsid w:val="00463B6D"/>
    <w:rsid w:val="00463D86"/>
    <w:rsid w:val="00464612"/>
    <w:rsid w:val="00464B8C"/>
    <w:rsid w:val="00466C77"/>
    <w:rsid w:val="00471598"/>
    <w:rsid w:val="00471DA7"/>
    <w:rsid w:val="00472B83"/>
    <w:rsid w:val="00472BCD"/>
    <w:rsid w:val="00473217"/>
    <w:rsid w:val="00476958"/>
    <w:rsid w:val="00477395"/>
    <w:rsid w:val="0047754E"/>
    <w:rsid w:val="00477DD3"/>
    <w:rsid w:val="00480709"/>
    <w:rsid w:val="004810F5"/>
    <w:rsid w:val="00481308"/>
    <w:rsid w:val="00481CDF"/>
    <w:rsid w:val="0048204B"/>
    <w:rsid w:val="00483265"/>
    <w:rsid w:val="00483F19"/>
    <w:rsid w:val="004855EC"/>
    <w:rsid w:val="004863CD"/>
    <w:rsid w:val="00491DF0"/>
    <w:rsid w:val="00496EDE"/>
    <w:rsid w:val="004970B5"/>
    <w:rsid w:val="00497C55"/>
    <w:rsid w:val="004A0176"/>
    <w:rsid w:val="004A1300"/>
    <w:rsid w:val="004A42DB"/>
    <w:rsid w:val="004A5026"/>
    <w:rsid w:val="004A541C"/>
    <w:rsid w:val="004A548D"/>
    <w:rsid w:val="004A61D8"/>
    <w:rsid w:val="004B0FC7"/>
    <w:rsid w:val="004B2641"/>
    <w:rsid w:val="004B312F"/>
    <w:rsid w:val="004B60D1"/>
    <w:rsid w:val="004C0043"/>
    <w:rsid w:val="004C0C6A"/>
    <w:rsid w:val="004C294D"/>
    <w:rsid w:val="004C3B6F"/>
    <w:rsid w:val="004C4FC0"/>
    <w:rsid w:val="004C6E54"/>
    <w:rsid w:val="004C7D88"/>
    <w:rsid w:val="004D0EE4"/>
    <w:rsid w:val="004D4D55"/>
    <w:rsid w:val="004D62BB"/>
    <w:rsid w:val="004E16A1"/>
    <w:rsid w:val="004E21FE"/>
    <w:rsid w:val="004E3F45"/>
    <w:rsid w:val="004E73CF"/>
    <w:rsid w:val="004F0C1D"/>
    <w:rsid w:val="004F14D2"/>
    <w:rsid w:val="004F3C6B"/>
    <w:rsid w:val="004F3DA1"/>
    <w:rsid w:val="004F5293"/>
    <w:rsid w:val="004F7676"/>
    <w:rsid w:val="004F7C8A"/>
    <w:rsid w:val="005033AC"/>
    <w:rsid w:val="00505563"/>
    <w:rsid w:val="00505F77"/>
    <w:rsid w:val="005072D7"/>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43844"/>
    <w:rsid w:val="00543F6A"/>
    <w:rsid w:val="0054495D"/>
    <w:rsid w:val="00544C45"/>
    <w:rsid w:val="0054546A"/>
    <w:rsid w:val="00545BF4"/>
    <w:rsid w:val="00546458"/>
    <w:rsid w:val="005523C3"/>
    <w:rsid w:val="00552741"/>
    <w:rsid w:val="005540F2"/>
    <w:rsid w:val="00560BCE"/>
    <w:rsid w:val="005610B7"/>
    <w:rsid w:val="0056169A"/>
    <w:rsid w:val="00561D46"/>
    <w:rsid w:val="00565CBC"/>
    <w:rsid w:val="00566084"/>
    <w:rsid w:val="0056658C"/>
    <w:rsid w:val="005671FF"/>
    <w:rsid w:val="00573359"/>
    <w:rsid w:val="005734E9"/>
    <w:rsid w:val="00575B58"/>
    <w:rsid w:val="005770A9"/>
    <w:rsid w:val="005774F5"/>
    <w:rsid w:val="00577B2B"/>
    <w:rsid w:val="00584E27"/>
    <w:rsid w:val="0058526A"/>
    <w:rsid w:val="00585457"/>
    <w:rsid w:val="005925BC"/>
    <w:rsid w:val="005934D2"/>
    <w:rsid w:val="005964B4"/>
    <w:rsid w:val="00597BD4"/>
    <w:rsid w:val="005A2C8D"/>
    <w:rsid w:val="005A33D9"/>
    <w:rsid w:val="005A4848"/>
    <w:rsid w:val="005A679E"/>
    <w:rsid w:val="005B0290"/>
    <w:rsid w:val="005B30DC"/>
    <w:rsid w:val="005B3601"/>
    <w:rsid w:val="005B3974"/>
    <w:rsid w:val="005B3FFD"/>
    <w:rsid w:val="005B4A91"/>
    <w:rsid w:val="005B4FAB"/>
    <w:rsid w:val="005B741B"/>
    <w:rsid w:val="005C2098"/>
    <w:rsid w:val="005C22B7"/>
    <w:rsid w:val="005C6DEB"/>
    <w:rsid w:val="005C7CD3"/>
    <w:rsid w:val="005C7E9A"/>
    <w:rsid w:val="005D1758"/>
    <w:rsid w:val="005D262F"/>
    <w:rsid w:val="005D4241"/>
    <w:rsid w:val="005D4276"/>
    <w:rsid w:val="005D4B6E"/>
    <w:rsid w:val="005D5C55"/>
    <w:rsid w:val="005D785A"/>
    <w:rsid w:val="005D7924"/>
    <w:rsid w:val="005E15B0"/>
    <w:rsid w:val="005E4A75"/>
    <w:rsid w:val="005E6E39"/>
    <w:rsid w:val="005E708A"/>
    <w:rsid w:val="005F00BB"/>
    <w:rsid w:val="005F29B8"/>
    <w:rsid w:val="005F3A08"/>
    <w:rsid w:val="005F4469"/>
    <w:rsid w:val="00602105"/>
    <w:rsid w:val="006023C6"/>
    <w:rsid w:val="006033C4"/>
    <w:rsid w:val="0060386C"/>
    <w:rsid w:val="00604345"/>
    <w:rsid w:val="0060539C"/>
    <w:rsid w:val="00605600"/>
    <w:rsid w:val="00605EB6"/>
    <w:rsid w:val="00606A14"/>
    <w:rsid w:val="00607FFD"/>
    <w:rsid w:val="0061090D"/>
    <w:rsid w:val="00611F0A"/>
    <w:rsid w:val="006206EC"/>
    <w:rsid w:val="00620E9C"/>
    <w:rsid w:val="00621CB2"/>
    <w:rsid w:val="0062248F"/>
    <w:rsid w:val="006231D4"/>
    <w:rsid w:val="00623662"/>
    <w:rsid w:val="00626468"/>
    <w:rsid w:val="00627C4D"/>
    <w:rsid w:val="006305A1"/>
    <w:rsid w:val="0063086A"/>
    <w:rsid w:val="006315B9"/>
    <w:rsid w:val="006340BC"/>
    <w:rsid w:val="00635366"/>
    <w:rsid w:val="00637B4B"/>
    <w:rsid w:val="00637CD9"/>
    <w:rsid w:val="00640F31"/>
    <w:rsid w:val="006448ED"/>
    <w:rsid w:val="006470B4"/>
    <w:rsid w:val="00651984"/>
    <w:rsid w:val="00652DD1"/>
    <w:rsid w:val="006531F5"/>
    <w:rsid w:val="00653EBF"/>
    <w:rsid w:val="00654BA2"/>
    <w:rsid w:val="00655331"/>
    <w:rsid w:val="00656A9C"/>
    <w:rsid w:val="0066156E"/>
    <w:rsid w:val="006630E0"/>
    <w:rsid w:val="00664273"/>
    <w:rsid w:val="00670B9F"/>
    <w:rsid w:val="006715BF"/>
    <w:rsid w:val="006717DA"/>
    <w:rsid w:val="00674FB9"/>
    <w:rsid w:val="00676850"/>
    <w:rsid w:val="00676E29"/>
    <w:rsid w:val="00680B97"/>
    <w:rsid w:val="00681A24"/>
    <w:rsid w:val="006827BC"/>
    <w:rsid w:val="00683DFE"/>
    <w:rsid w:val="006863BC"/>
    <w:rsid w:val="00686AFE"/>
    <w:rsid w:val="00687629"/>
    <w:rsid w:val="00687990"/>
    <w:rsid w:val="00690E7D"/>
    <w:rsid w:val="00691BD3"/>
    <w:rsid w:val="006950DF"/>
    <w:rsid w:val="00695ED8"/>
    <w:rsid w:val="006969CE"/>
    <w:rsid w:val="006A0A03"/>
    <w:rsid w:val="006A4A4B"/>
    <w:rsid w:val="006A738A"/>
    <w:rsid w:val="006A7A5B"/>
    <w:rsid w:val="006B311D"/>
    <w:rsid w:val="006B4A2F"/>
    <w:rsid w:val="006C188F"/>
    <w:rsid w:val="006C30AC"/>
    <w:rsid w:val="006C547E"/>
    <w:rsid w:val="006C6400"/>
    <w:rsid w:val="006C6921"/>
    <w:rsid w:val="006C78C8"/>
    <w:rsid w:val="006D0D42"/>
    <w:rsid w:val="006D256C"/>
    <w:rsid w:val="006D280A"/>
    <w:rsid w:val="006D2C3C"/>
    <w:rsid w:val="006D51AE"/>
    <w:rsid w:val="006D56D6"/>
    <w:rsid w:val="006D71F3"/>
    <w:rsid w:val="006E7B93"/>
    <w:rsid w:val="006F04B9"/>
    <w:rsid w:val="006F0E4B"/>
    <w:rsid w:val="006F2864"/>
    <w:rsid w:val="006F3C78"/>
    <w:rsid w:val="006F4CB0"/>
    <w:rsid w:val="006F5FC1"/>
    <w:rsid w:val="006F73D4"/>
    <w:rsid w:val="006F7717"/>
    <w:rsid w:val="006F7B16"/>
    <w:rsid w:val="0070221C"/>
    <w:rsid w:val="00704230"/>
    <w:rsid w:val="00707492"/>
    <w:rsid w:val="00707500"/>
    <w:rsid w:val="00711456"/>
    <w:rsid w:val="00711779"/>
    <w:rsid w:val="00713746"/>
    <w:rsid w:val="0071465E"/>
    <w:rsid w:val="00715E2D"/>
    <w:rsid w:val="0071645F"/>
    <w:rsid w:val="00717B19"/>
    <w:rsid w:val="00720778"/>
    <w:rsid w:val="00721447"/>
    <w:rsid w:val="0072195E"/>
    <w:rsid w:val="00724FFE"/>
    <w:rsid w:val="00727849"/>
    <w:rsid w:val="00727C26"/>
    <w:rsid w:val="00730863"/>
    <w:rsid w:val="00730A48"/>
    <w:rsid w:val="00731C63"/>
    <w:rsid w:val="00733A9F"/>
    <w:rsid w:val="007353FF"/>
    <w:rsid w:val="0073750D"/>
    <w:rsid w:val="00737EFD"/>
    <w:rsid w:val="0074097E"/>
    <w:rsid w:val="00740BA3"/>
    <w:rsid w:val="00740F8B"/>
    <w:rsid w:val="00741ABC"/>
    <w:rsid w:val="00741FEB"/>
    <w:rsid w:val="00743FAD"/>
    <w:rsid w:val="00744CC2"/>
    <w:rsid w:val="00750298"/>
    <w:rsid w:val="0075192C"/>
    <w:rsid w:val="00754393"/>
    <w:rsid w:val="00754E0D"/>
    <w:rsid w:val="007551AD"/>
    <w:rsid w:val="00755B6B"/>
    <w:rsid w:val="00760C34"/>
    <w:rsid w:val="00762219"/>
    <w:rsid w:val="00762810"/>
    <w:rsid w:val="00763696"/>
    <w:rsid w:val="0076716E"/>
    <w:rsid w:val="0076737B"/>
    <w:rsid w:val="007676CC"/>
    <w:rsid w:val="00771556"/>
    <w:rsid w:val="00773CAE"/>
    <w:rsid w:val="007775FF"/>
    <w:rsid w:val="007778D5"/>
    <w:rsid w:val="007813C6"/>
    <w:rsid w:val="0078149A"/>
    <w:rsid w:val="0078330B"/>
    <w:rsid w:val="00783AA9"/>
    <w:rsid w:val="0078750D"/>
    <w:rsid w:val="007917D9"/>
    <w:rsid w:val="007926F2"/>
    <w:rsid w:val="00792A75"/>
    <w:rsid w:val="00792E8C"/>
    <w:rsid w:val="00793630"/>
    <w:rsid w:val="0079439C"/>
    <w:rsid w:val="00795623"/>
    <w:rsid w:val="007A15BA"/>
    <w:rsid w:val="007A1A98"/>
    <w:rsid w:val="007A4132"/>
    <w:rsid w:val="007A4C79"/>
    <w:rsid w:val="007A539D"/>
    <w:rsid w:val="007A6766"/>
    <w:rsid w:val="007B00E2"/>
    <w:rsid w:val="007B07C8"/>
    <w:rsid w:val="007B2169"/>
    <w:rsid w:val="007B25CA"/>
    <w:rsid w:val="007B2D59"/>
    <w:rsid w:val="007B2FBA"/>
    <w:rsid w:val="007B35AC"/>
    <w:rsid w:val="007B3698"/>
    <w:rsid w:val="007B64C9"/>
    <w:rsid w:val="007B6C55"/>
    <w:rsid w:val="007C1AED"/>
    <w:rsid w:val="007C72BC"/>
    <w:rsid w:val="007D0FED"/>
    <w:rsid w:val="007D28AD"/>
    <w:rsid w:val="007D28F2"/>
    <w:rsid w:val="007D46D9"/>
    <w:rsid w:val="007D4826"/>
    <w:rsid w:val="007E0C41"/>
    <w:rsid w:val="007E2B40"/>
    <w:rsid w:val="007E41B0"/>
    <w:rsid w:val="007E490C"/>
    <w:rsid w:val="007E590D"/>
    <w:rsid w:val="007E665F"/>
    <w:rsid w:val="007F1537"/>
    <w:rsid w:val="007F301E"/>
    <w:rsid w:val="007F3107"/>
    <w:rsid w:val="007F4EC2"/>
    <w:rsid w:val="007F542D"/>
    <w:rsid w:val="007F6DE3"/>
    <w:rsid w:val="007F77CA"/>
    <w:rsid w:val="007F7F5B"/>
    <w:rsid w:val="008016EA"/>
    <w:rsid w:val="00802CBB"/>
    <w:rsid w:val="00802D0E"/>
    <w:rsid w:val="00803847"/>
    <w:rsid w:val="00803D8E"/>
    <w:rsid w:val="00803E4D"/>
    <w:rsid w:val="00805D2A"/>
    <w:rsid w:val="00810BDC"/>
    <w:rsid w:val="0081232A"/>
    <w:rsid w:val="00813970"/>
    <w:rsid w:val="00814FF4"/>
    <w:rsid w:val="00815372"/>
    <w:rsid w:val="00816771"/>
    <w:rsid w:val="0081686B"/>
    <w:rsid w:val="00817AF9"/>
    <w:rsid w:val="00820C78"/>
    <w:rsid w:val="00823E5E"/>
    <w:rsid w:val="00826BDE"/>
    <w:rsid w:val="00830E5D"/>
    <w:rsid w:val="00831441"/>
    <w:rsid w:val="00831E03"/>
    <w:rsid w:val="00834451"/>
    <w:rsid w:val="008348C4"/>
    <w:rsid w:val="00836842"/>
    <w:rsid w:val="00836ECC"/>
    <w:rsid w:val="008424C4"/>
    <w:rsid w:val="0084556C"/>
    <w:rsid w:val="008459C0"/>
    <w:rsid w:val="008464F8"/>
    <w:rsid w:val="00850B9E"/>
    <w:rsid w:val="00855B88"/>
    <w:rsid w:val="00855C34"/>
    <w:rsid w:val="00856390"/>
    <w:rsid w:val="00860C9A"/>
    <w:rsid w:val="0086126B"/>
    <w:rsid w:val="00862045"/>
    <w:rsid w:val="00863B62"/>
    <w:rsid w:val="00864E6C"/>
    <w:rsid w:val="00865D58"/>
    <w:rsid w:val="00867524"/>
    <w:rsid w:val="00867534"/>
    <w:rsid w:val="008708AC"/>
    <w:rsid w:val="00870CBA"/>
    <w:rsid w:val="00871697"/>
    <w:rsid w:val="00873ED8"/>
    <w:rsid w:val="008741A3"/>
    <w:rsid w:val="00876CE7"/>
    <w:rsid w:val="008803D1"/>
    <w:rsid w:val="00882574"/>
    <w:rsid w:val="008878FD"/>
    <w:rsid w:val="00892817"/>
    <w:rsid w:val="0089390A"/>
    <w:rsid w:val="00893CCD"/>
    <w:rsid w:val="00894BE1"/>
    <w:rsid w:val="00895C80"/>
    <w:rsid w:val="008A1AB9"/>
    <w:rsid w:val="008A4342"/>
    <w:rsid w:val="008A4368"/>
    <w:rsid w:val="008A4707"/>
    <w:rsid w:val="008A4A5F"/>
    <w:rsid w:val="008A65BE"/>
    <w:rsid w:val="008A6EC3"/>
    <w:rsid w:val="008B2FD7"/>
    <w:rsid w:val="008B6380"/>
    <w:rsid w:val="008B72D0"/>
    <w:rsid w:val="008B7307"/>
    <w:rsid w:val="008C02C5"/>
    <w:rsid w:val="008C1C36"/>
    <w:rsid w:val="008C25A1"/>
    <w:rsid w:val="008C31D9"/>
    <w:rsid w:val="008C32C5"/>
    <w:rsid w:val="008C4F88"/>
    <w:rsid w:val="008C58DC"/>
    <w:rsid w:val="008C6DA7"/>
    <w:rsid w:val="008D1FC8"/>
    <w:rsid w:val="008D408F"/>
    <w:rsid w:val="008E0F88"/>
    <w:rsid w:val="008E1B0B"/>
    <w:rsid w:val="008E326C"/>
    <w:rsid w:val="008E5AC6"/>
    <w:rsid w:val="008F0BEE"/>
    <w:rsid w:val="008F0FB1"/>
    <w:rsid w:val="008F160E"/>
    <w:rsid w:val="008F1645"/>
    <w:rsid w:val="008F1BD6"/>
    <w:rsid w:val="008F5C53"/>
    <w:rsid w:val="008F61D6"/>
    <w:rsid w:val="008F746F"/>
    <w:rsid w:val="008F7B2B"/>
    <w:rsid w:val="0090112D"/>
    <w:rsid w:val="00905D6A"/>
    <w:rsid w:val="00907CFC"/>
    <w:rsid w:val="00911103"/>
    <w:rsid w:val="00913645"/>
    <w:rsid w:val="0091524F"/>
    <w:rsid w:val="009157E5"/>
    <w:rsid w:val="00916936"/>
    <w:rsid w:val="009173A0"/>
    <w:rsid w:val="00920CF1"/>
    <w:rsid w:val="00921FB4"/>
    <w:rsid w:val="0093248F"/>
    <w:rsid w:val="00933F19"/>
    <w:rsid w:val="009359E2"/>
    <w:rsid w:val="00936A0C"/>
    <w:rsid w:val="009410E0"/>
    <w:rsid w:val="00942BAA"/>
    <w:rsid w:val="009437C5"/>
    <w:rsid w:val="00947511"/>
    <w:rsid w:val="00950BB5"/>
    <w:rsid w:val="00952592"/>
    <w:rsid w:val="00952C49"/>
    <w:rsid w:val="0095411F"/>
    <w:rsid w:val="00955F94"/>
    <w:rsid w:val="00956025"/>
    <w:rsid w:val="009563D4"/>
    <w:rsid w:val="00956659"/>
    <w:rsid w:val="009566A0"/>
    <w:rsid w:val="009574AF"/>
    <w:rsid w:val="009606E9"/>
    <w:rsid w:val="00960D77"/>
    <w:rsid w:val="009615C3"/>
    <w:rsid w:val="00962326"/>
    <w:rsid w:val="0096490C"/>
    <w:rsid w:val="009660AD"/>
    <w:rsid w:val="00966EEF"/>
    <w:rsid w:val="00967AE9"/>
    <w:rsid w:val="00971743"/>
    <w:rsid w:val="00972581"/>
    <w:rsid w:val="009734E0"/>
    <w:rsid w:val="00981C08"/>
    <w:rsid w:val="00981C3C"/>
    <w:rsid w:val="00984015"/>
    <w:rsid w:val="0098426C"/>
    <w:rsid w:val="00986186"/>
    <w:rsid w:val="009948B6"/>
    <w:rsid w:val="009975F9"/>
    <w:rsid w:val="009A032A"/>
    <w:rsid w:val="009A2A1F"/>
    <w:rsid w:val="009A7283"/>
    <w:rsid w:val="009A7C28"/>
    <w:rsid w:val="009B0AF5"/>
    <w:rsid w:val="009B42AB"/>
    <w:rsid w:val="009B5AF8"/>
    <w:rsid w:val="009B5FD8"/>
    <w:rsid w:val="009B6FE9"/>
    <w:rsid w:val="009C5027"/>
    <w:rsid w:val="009C5287"/>
    <w:rsid w:val="009C530D"/>
    <w:rsid w:val="009C6A20"/>
    <w:rsid w:val="009D30C4"/>
    <w:rsid w:val="009D44C3"/>
    <w:rsid w:val="009D5E06"/>
    <w:rsid w:val="009E1A87"/>
    <w:rsid w:val="009E3C3F"/>
    <w:rsid w:val="009E424F"/>
    <w:rsid w:val="009E464E"/>
    <w:rsid w:val="009E669B"/>
    <w:rsid w:val="009E6A66"/>
    <w:rsid w:val="009E7AF8"/>
    <w:rsid w:val="009F02C8"/>
    <w:rsid w:val="009F660F"/>
    <w:rsid w:val="009F76AD"/>
    <w:rsid w:val="00A0033C"/>
    <w:rsid w:val="00A02CA7"/>
    <w:rsid w:val="00A03E05"/>
    <w:rsid w:val="00A03F45"/>
    <w:rsid w:val="00A04D14"/>
    <w:rsid w:val="00A0661D"/>
    <w:rsid w:val="00A06A7D"/>
    <w:rsid w:val="00A10059"/>
    <w:rsid w:val="00A1572B"/>
    <w:rsid w:val="00A15B12"/>
    <w:rsid w:val="00A2091B"/>
    <w:rsid w:val="00A21DE3"/>
    <w:rsid w:val="00A24F4F"/>
    <w:rsid w:val="00A26B76"/>
    <w:rsid w:val="00A30CD9"/>
    <w:rsid w:val="00A32C16"/>
    <w:rsid w:val="00A36326"/>
    <w:rsid w:val="00A37F22"/>
    <w:rsid w:val="00A40067"/>
    <w:rsid w:val="00A415C5"/>
    <w:rsid w:val="00A4306E"/>
    <w:rsid w:val="00A4388D"/>
    <w:rsid w:val="00A44C9A"/>
    <w:rsid w:val="00A44EE2"/>
    <w:rsid w:val="00A46370"/>
    <w:rsid w:val="00A51664"/>
    <w:rsid w:val="00A52BF7"/>
    <w:rsid w:val="00A531CE"/>
    <w:rsid w:val="00A55054"/>
    <w:rsid w:val="00A56CC7"/>
    <w:rsid w:val="00A60821"/>
    <w:rsid w:val="00A64450"/>
    <w:rsid w:val="00A65F84"/>
    <w:rsid w:val="00A67848"/>
    <w:rsid w:val="00A7380D"/>
    <w:rsid w:val="00A75D5D"/>
    <w:rsid w:val="00A76FFB"/>
    <w:rsid w:val="00A77273"/>
    <w:rsid w:val="00A80609"/>
    <w:rsid w:val="00A825F4"/>
    <w:rsid w:val="00A83630"/>
    <w:rsid w:val="00A83869"/>
    <w:rsid w:val="00A9004F"/>
    <w:rsid w:val="00A9026C"/>
    <w:rsid w:val="00A90CE1"/>
    <w:rsid w:val="00A91B3F"/>
    <w:rsid w:val="00A931C3"/>
    <w:rsid w:val="00A935CF"/>
    <w:rsid w:val="00A937DC"/>
    <w:rsid w:val="00A96773"/>
    <w:rsid w:val="00AA1156"/>
    <w:rsid w:val="00AA1715"/>
    <w:rsid w:val="00AA1C8C"/>
    <w:rsid w:val="00AA29C5"/>
    <w:rsid w:val="00AA3276"/>
    <w:rsid w:val="00AA363D"/>
    <w:rsid w:val="00AA50DA"/>
    <w:rsid w:val="00AB22BE"/>
    <w:rsid w:val="00AB2F7C"/>
    <w:rsid w:val="00AB2FB9"/>
    <w:rsid w:val="00AB6047"/>
    <w:rsid w:val="00AB667C"/>
    <w:rsid w:val="00AB6FB1"/>
    <w:rsid w:val="00AC09D8"/>
    <w:rsid w:val="00AC1219"/>
    <w:rsid w:val="00AC14FE"/>
    <w:rsid w:val="00AC4564"/>
    <w:rsid w:val="00AC4C71"/>
    <w:rsid w:val="00AC4DED"/>
    <w:rsid w:val="00AC53DE"/>
    <w:rsid w:val="00AC7372"/>
    <w:rsid w:val="00AD1B9B"/>
    <w:rsid w:val="00AD31D5"/>
    <w:rsid w:val="00AD3AB8"/>
    <w:rsid w:val="00AD418C"/>
    <w:rsid w:val="00AE0FCC"/>
    <w:rsid w:val="00AE2B5C"/>
    <w:rsid w:val="00AE3A4D"/>
    <w:rsid w:val="00AE47DA"/>
    <w:rsid w:val="00AE4E53"/>
    <w:rsid w:val="00AE69C8"/>
    <w:rsid w:val="00AE7DC8"/>
    <w:rsid w:val="00AF027B"/>
    <w:rsid w:val="00AF0DFD"/>
    <w:rsid w:val="00AF1935"/>
    <w:rsid w:val="00AF3FA6"/>
    <w:rsid w:val="00AF4C5B"/>
    <w:rsid w:val="00AF577B"/>
    <w:rsid w:val="00AF597D"/>
    <w:rsid w:val="00AF5BA6"/>
    <w:rsid w:val="00AF681D"/>
    <w:rsid w:val="00AF7058"/>
    <w:rsid w:val="00AF79A7"/>
    <w:rsid w:val="00AF7AB5"/>
    <w:rsid w:val="00B0054C"/>
    <w:rsid w:val="00B0155C"/>
    <w:rsid w:val="00B0369F"/>
    <w:rsid w:val="00B04D69"/>
    <w:rsid w:val="00B06BB3"/>
    <w:rsid w:val="00B07EB9"/>
    <w:rsid w:val="00B07F9E"/>
    <w:rsid w:val="00B10026"/>
    <w:rsid w:val="00B10C96"/>
    <w:rsid w:val="00B11AEE"/>
    <w:rsid w:val="00B13564"/>
    <w:rsid w:val="00B13D8E"/>
    <w:rsid w:val="00B15AE4"/>
    <w:rsid w:val="00B15D7C"/>
    <w:rsid w:val="00B17126"/>
    <w:rsid w:val="00B17705"/>
    <w:rsid w:val="00B1797E"/>
    <w:rsid w:val="00B20F1A"/>
    <w:rsid w:val="00B24040"/>
    <w:rsid w:val="00B258C4"/>
    <w:rsid w:val="00B322CC"/>
    <w:rsid w:val="00B34913"/>
    <w:rsid w:val="00B374FF"/>
    <w:rsid w:val="00B37D83"/>
    <w:rsid w:val="00B415BD"/>
    <w:rsid w:val="00B422D7"/>
    <w:rsid w:val="00B430F1"/>
    <w:rsid w:val="00B447D8"/>
    <w:rsid w:val="00B462BE"/>
    <w:rsid w:val="00B47208"/>
    <w:rsid w:val="00B50FF2"/>
    <w:rsid w:val="00B519E6"/>
    <w:rsid w:val="00B52A74"/>
    <w:rsid w:val="00B53D64"/>
    <w:rsid w:val="00B6015C"/>
    <w:rsid w:val="00B6090E"/>
    <w:rsid w:val="00B63BF4"/>
    <w:rsid w:val="00B648DA"/>
    <w:rsid w:val="00B65014"/>
    <w:rsid w:val="00B6579D"/>
    <w:rsid w:val="00B6656F"/>
    <w:rsid w:val="00B67B44"/>
    <w:rsid w:val="00B714C0"/>
    <w:rsid w:val="00B72F6F"/>
    <w:rsid w:val="00B7320A"/>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15B5"/>
    <w:rsid w:val="00BA1650"/>
    <w:rsid w:val="00BA2FCA"/>
    <w:rsid w:val="00BA3829"/>
    <w:rsid w:val="00BA695A"/>
    <w:rsid w:val="00BA7681"/>
    <w:rsid w:val="00BB3058"/>
    <w:rsid w:val="00BB3D92"/>
    <w:rsid w:val="00BB54EF"/>
    <w:rsid w:val="00BB6032"/>
    <w:rsid w:val="00BC2D66"/>
    <w:rsid w:val="00BC5E46"/>
    <w:rsid w:val="00BC63E9"/>
    <w:rsid w:val="00BC6E4A"/>
    <w:rsid w:val="00BC7B93"/>
    <w:rsid w:val="00BD0ED6"/>
    <w:rsid w:val="00BD28FA"/>
    <w:rsid w:val="00BD3EF7"/>
    <w:rsid w:val="00BD41A5"/>
    <w:rsid w:val="00BD4DB9"/>
    <w:rsid w:val="00BD501C"/>
    <w:rsid w:val="00BD666F"/>
    <w:rsid w:val="00BD774B"/>
    <w:rsid w:val="00BD7E28"/>
    <w:rsid w:val="00BE362E"/>
    <w:rsid w:val="00BE4971"/>
    <w:rsid w:val="00BE5A8A"/>
    <w:rsid w:val="00BF03C0"/>
    <w:rsid w:val="00BF167A"/>
    <w:rsid w:val="00BF1ECF"/>
    <w:rsid w:val="00BF217B"/>
    <w:rsid w:val="00BF46F5"/>
    <w:rsid w:val="00BF4F89"/>
    <w:rsid w:val="00C00651"/>
    <w:rsid w:val="00C00DFB"/>
    <w:rsid w:val="00C00FAB"/>
    <w:rsid w:val="00C02744"/>
    <w:rsid w:val="00C0378B"/>
    <w:rsid w:val="00C03D85"/>
    <w:rsid w:val="00C055CF"/>
    <w:rsid w:val="00C06C2A"/>
    <w:rsid w:val="00C10573"/>
    <w:rsid w:val="00C118B1"/>
    <w:rsid w:val="00C126D4"/>
    <w:rsid w:val="00C159F8"/>
    <w:rsid w:val="00C17843"/>
    <w:rsid w:val="00C179DD"/>
    <w:rsid w:val="00C20527"/>
    <w:rsid w:val="00C24073"/>
    <w:rsid w:val="00C30BD1"/>
    <w:rsid w:val="00C31A7F"/>
    <w:rsid w:val="00C336AA"/>
    <w:rsid w:val="00C33C5D"/>
    <w:rsid w:val="00C345A6"/>
    <w:rsid w:val="00C348A7"/>
    <w:rsid w:val="00C406A7"/>
    <w:rsid w:val="00C40CDD"/>
    <w:rsid w:val="00C40FA9"/>
    <w:rsid w:val="00C42081"/>
    <w:rsid w:val="00C43B42"/>
    <w:rsid w:val="00C45108"/>
    <w:rsid w:val="00C46703"/>
    <w:rsid w:val="00C50BF5"/>
    <w:rsid w:val="00C540FB"/>
    <w:rsid w:val="00C550F5"/>
    <w:rsid w:val="00C5746C"/>
    <w:rsid w:val="00C57913"/>
    <w:rsid w:val="00C57B7C"/>
    <w:rsid w:val="00C604F8"/>
    <w:rsid w:val="00C60AF7"/>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50DB"/>
    <w:rsid w:val="00C76810"/>
    <w:rsid w:val="00C80823"/>
    <w:rsid w:val="00C81C23"/>
    <w:rsid w:val="00C83360"/>
    <w:rsid w:val="00C8359E"/>
    <w:rsid w:val="00C83E15"/>
    <w:rsid w:val="00C84144"/>
    <w:rsid w:val="00C8580E"/>
    <w:rsid w:val="00C86F6F"/>
    <w:rsid w:val="00C917FB"/>
    <w:rsid w:val="00C92F5F"/>
    <w:rsid w:val="00C93A31"/>
    <w:rsid w:val="00C93EF0"/>
    <w:rsid w:val="00C97E4A"/>
    <w:rsid w:val="00CA0E7A"/>
    <w:rsid w:val="00CA0FB4"/>
    <w:rsid w:val="00CA2952"/>
    <w:rsid w:val="00CA2ECB"/>
    <w:rsid w:val="00CA3285"/>
    <w:rsid w:val="00CA52EC"/>
    <w:rsid w:val="00CB25CB"/>
    <w:rsid w:val="00CB34C0"/>
    <w:rsid w:val="00CB6937"/>
    <w:rsid w:val="00CC28D4"/>
    <w:rsid w:val="00CC30FE"/>
    <w:rsid w:val="00CC356D"/>
    <w:rsid w:val="00CC37C8"/>
    <w:rsid w:val="00CC4ABE"/>
    <w:rsid w:val="00CC5AC7"/>
    <w:rsid w:val="00CC6119"/>
    <w:rsid w:val="00CC7449"/>
    <w:rsid w:val="00CD1323"/>
    <w:rsid w:val="00CD1407"/>
    <w:rsid w:val="00CD412F"/>
    <w:rsid w:val="00CD6B05"/>
    <w:rsid w:val="00CD74C4"/>
    <w:rsid w:val="00CE0A5D"/>
    <w:rsid w:val="00CE401A"/>
    <w:rsid w:val="00CE60D0"/>
    <w:rsid w:val="00CE629B"/>
    <w:rsid w:val="00CE6327"/>
    <w:rsid w:val="00CF3D0E"/>
    <w:rsid w:val="00CF51C3"/>
    <w:rsid w:val="00CF7548"/>
    <w:rsid w:val="00D0717F"/>
    <w:rsid w:val="00D1465F"/>
    <w:rsid w:val="00D149BF"/>
    <w:rsid w:val="00D21B38"/>
    <w:rsid w:val="00D3185F"/>
    <w:rsid w:val="00D3604C"/>
    <w:rsid w:val="00D3626D"/>
    <w:rsid w:val="00D44793"/>
    <w:rsid w:val="00D44FA7"/>
    <w:rsid w:val="00D45D76"/>
    <w:rsid w:val="00D461B9"/>
    <w:rsid w:val="00D4652D"/>
    <w:rsid w:val="00D50577"/>
    <w:rsid w:val="00D51EAD"/>
    <w:rsid w:val="00D52899"/>
    <w:rsid w:val="00D52C10"/>
    <w:rsid w:val="00D54A0D"/>
    <w:rsid w:val="00D56B23"/>
    <w:rsid w:val="00D57950"/>
    <w:rsid w:val="00D60040"/>
    <w:rsid w:val="00D61272"/>
    <w:rsid w:val="00D612BC"/>
    <w:rsid w:val="00D62E4E"/>
    <w:rsid w:val="00D64014"/>
    <w:rsid w:val="00D65D6A"/>
    <w:rsid w:val="00D725DB"/>
    <w:rsid w:val="00D740CC"/>
    <w:rsid w:val="00D74494"/>
    <w:rsid w:val="00D87DDB"/>
    <w:rsid w:val="00D916A1"/>
    <w:rsid w:val="00D921AE"/>
    <w:rsid w:val="00D93E44"/>
    <w:rsid w:val="00D94E21"/>
    <w:rsid w:val="00D957E9"/>
    <w:rsid w:val="00D95AD0"/>
    <w:rsid w:val="00D97943"/>
    <w:rsid w:val="00DA5110"/>
    <w:rsid w:val="00DA7E21"/>
    <w:rsid w:val="00DB016D"/>
    <w:rsid w:val="00DB1814"/>
    <w:rsid w:val="00DB1913"/>
    <w:rsid w:val="00DB3208"/>
    <w:rsid w:val="00DB5462"/>
    <w:rsid w:val="00DC0CA4"/>
    <w:rsid w:val="00DC1B47"/>
    <w:rsid w:val="00DC2354"/>
    <w:rsid w:val="00DC43AC"/>
    <w:rsid w:val="00DC4429"/>
    <w:rsid w:val="00DC560F"/>
    <w:rsid w:val="00DC5704"/>
    <w:rsid w:val="00DD0BEA"/>
    <w:rsid w:val="00DD282B"/>
    <w:rsid w:val="00DD2EB0"/>
    <w:rsid w:val="00DD36CF"/>
    <w:rsid w:val="00DD3E33"/>
    <w:rsid w:val="00DD497E"/>
    <w:rsid w:val="00DE11DC"/>
    <w:rsid w:val="00DE4166"/>
    <w:rsid w:val="00DE614D"/>
    <w:rsid w:val="00DE618B"/>
    <w:rsid w:val="00DE761C"/>
    <w:rsid w:val="00DE7A95"/>
    <w:rsid w:val="00DF05D8"/>
    <w:rsid w:val="00DF2127"/>
    <w:rsid w:val="00DF324D"/>
    <w:rsid w:val="00DF35A9"/>
    <w:rsid w:val="00DF3E33"/>
    <w:rsid w:val="00DF5244"/>
    <w:rsid w:val="00DF5758"/>
    <w:rsid w:val="00E0273F"/>
    <w:rsid w:val="00E061EF"/>
    <w:rsid w:val="00E06AEA"/>
    <w:rsid w:val="00E1001F"/>
    <w:rsid w:val="00E10FBF"/>
    <w:rsid w:val="00E13EEC"/>
    <w:rsid w:val="00E14E05"/>
    <w:rsid w:val="00E222D9"/>
    <w:rsid w:val="00E23AE8"/>
    <w:rsid w:val="00E243D7"/>
    <w:rsid w:val="00E25B59"/>
    <w:rsid w:val="00E273EF"/>
    <w:rsid w:val="00E30567"/>
    <w:rsid w:val="00E31865"/>
    <w:rsid w:val="00E34634"/>
    <w:rsid w:val="00E34E88"/>
    <w:rsid w:val="00E370BD"/>
    <w:rsid w:val="00E405C7"/>
    <w:rsid w:val="00E40DA2"/>
    <w:rsid w:val="00E418A5"/>
    <w:rsid w:val="00E41E87"/>
    <w:rsid w:val="00E41EFA"/>
    <w:rsid w:val="00E42FD2"/>
    <w:rsid w:val="00E45B12"/>
    <w:rsid w:val="00E50E1F"/>
    <w:rsid w:val="00E54034"/>
    <w:rsid w:val="00E6043C"/>
    <w:rsid w:val="00E60B40"/>
    <w:rsid w:val="00E64696"/>
    <w:rsid w:val="00E64D23"/>
    <w:rsid w:val="00E65928"/>
    <w:rsid w:val="00E65DB2"/>
    <w:rsid w:val="00E66630"/>
    <w:rsid w:val="00E67EA2"/>
    <w:rsid w:val="00E70B02"/>
    <w:rsid w:val="00E717A2"/>
    <w:rsid w:val="00E71B45"/>
    <w:rsid w:val="00E72DCD"/>
    <w:rsid w:val="00E75B4C"/>
    <w:rsid w:val="00E760B0"/>
    <w:rsid w:val="00E801F0"/>
    <w:rsid w:val="00E80F99"/>
    <w:rsid w:val="00E8184D"/>
    <w:rsid w:val="00E837E6"/>
    <w:rsid w:val="00E85540"/>
    <w:rsid w:val="00E858D6"/>
    <w:rsid w:val="00E8633C"/>
    <w:rsid w:val="00E91B19"/>
    <w:rsid w:val="00E9313A"/>
    <w:rsid w:val="00E93ADB"/>
    <w:rsid w:val="00E96700"/>
    <w:rsid w:val="00EA1693"/>
    <w:rsid w:val="00EA3469"/>
    <w:rsid w:val="00EA377B"/>
    <w:rsid w:val="00EA53E6"/>
    <w:rsid w:val="00EB0E19"/>
    <w:rsid w:val="00EB1105"/>
    <w:rsid w:val="00EB624F"/>
    <w:rsid w:val="00EB64DB"/>
    <w:rsid w:val="00EC09A8"/>
    <w:rsid w:val="00EC5844"/>
    <w:rsid w:val="00EC6283"/>
    <w:rsid w:val="00ED2978"/>
    <w:rsid w:val="00ED619A"/>
    <w:rsid w:val="00ED657F"/>
    <w:rsid w:val="00ED749D"/>
    <w:rsid w:val="00EE05EE"/>
    <w:rsid w:val="00EE0D72"/>
    <w:rsid w:val="00EE14D1"/>
    <w:rsid w:val="00EE5E3D"/>
    <w:rsid w:val="00EF22EB"/>
    <w:rsid w:val="00EF30D4"/>
    <w:rsid w:val="00EF3570"/>
    <w:rsid w:val="00EF3B9C"/>
    <w:rsid w:val="00EF4826"/>
    <w:rsid w:val="00F0030A"/>
    <w:rsid w:val="00F024F6"/>
    <w:rsid w:val="00F05030"/>
    <w:rsid w:val="00F05A92"/>
    <w:rsid w:val="00F11BFB"/>
    <w:rsid w:val="00F11EF5"/>
    <w:rsid w:val="00F130A9"/>
    <w:rsid w:val="00F13231"/>
    <w:rsid w:val="00F14772"/>
    <w:rsid w:val="00F155E8"/>
    <w:rsid w:val="00F156A8"/>
    <w:rsid w:val="00F16BF8"/>
    <w:rsid w:val="00F20A59"/>
    <w:rsid w:val="00F21149"/>
    <w:rsid w:val="00F22B81"/>
    <w:rsid w:val="00F22FB8"/>
    <w:rsid w:val="00F23A1F"/>
    <w:rsid w:val="00F2417F"/>
    <w:rsid w:val="00F243D3"/>
    <w:rsid w:val="00F24B82"/>
    <w:rsid w:val="00F271B5"/>
    <w:rsid w:val="00F2738C"/>
    <w:rsid w:val="00F27BE6"/>
    <w:rsid w:val="00F30540"/>
    <w:rsid w:val="00F34098"/>
    <w:rsid w:val="00F3622B"/>
    <w:rsid w:val="00F43247"/>
    <w:rsid w:val="00F43570"/>
    <w:rsid w:val="00F46671"/>
    <w:rsid w:val="00F47637"/>
    <w:rsid w:val="00F5281C"/>
    <w:rsid w:val="00F557E0"/>
    <w:rsid w:val="00F61B76"/>
    <w:rsid w:val="00F630D1"/>
    <w:rsid w:val="00F66151"/>
    <w:rsid w:val="00F71F29"/>
    <w:rsid w:val="00F73D46"/>
    <w:rsid w:val="00F74FB5"/>
    <w:rsid w:val="00F756BC"/>
    <w:rsid w:val="00F776C8"/>
    <w:rsid w:val="00F80796"/>
    <w:rsid w:val="00F84A08"/>
    <w:rsid w:val="00F85D27"/>
    <w:rsid w:val="00F86A25"/>
    <w:rsid w:val="00F86ADA"/>
    <w:rsid w:val="00F92CCE"/>
    <w:rsid w:val="00F94FCC"/>
    <w:rsid w:val="00FA0279"/>
    <w:rsid w:val="00FA2FF8"/>
    <w:rsid w:val="00FA6FAD"/>
    <w:rsid w:val="00FA759D"/>
    <w:rsid w:val="00FB0C72"/>
    <w:rsid w:val="00FB0F73"/>
    <w:rsid w:val="00FB2169"/>
    <w:rsid w:val="00FB22A8"/>
    <w:rsid w:val="00FB2787"/>
    <w:rsid w:val="00FB389A"/>
    <w:rsid w:val="00FB4C68"/>
    <w:rsid w:val="00FB5C67"/>
    <w:rsid w:val="00FB64E3"/>
    <w:rsid w:val="00FB6F13"/>
    <w:rsid w:val="00FC1D97"/>
    <w:rsid w:val="00FC297E"/>
    <w:rsid w:val="00FC2E46"/>
    <w:rsid w:val="00FC3D5A"/>
    <w:rsid w:val="00FC4345"/>
    <w:rsid w:val="00FD048A"/>
    <w:rsid w:val="00FD115F"/>
    <w:rsid w:val="00FD1E7A"/>
    <w:rsid w:val="00FD2047"/>
    <w:rsid w:val="00FD4B28"/>
    <w:rsid w:val="00FD549F"/>
    <w:rsid w:val="00FD5726"/>
    <w:rsid w:val="00FD6804"/>
    <w:rsid w:val="00FD72A9"/>
    <w:rsid w:val="00FE0B94"/>
    <w:rsid w:val="00FE1935"/>
    <w:rsid w:val="00FE1CEE"/>
    <w:rsid w:val="00FE2710"/>
    <w:rsid w:val="00FE4260"/>
    <w:rsid w:val="00FE4618"/>
    <w:rsid w:val="00FE51FE"/>
    <w:rsid w:val="00FE53D2"/>
    <w:rsid w:val="00FE542D"/>
    <w:rsid w:val="00FE6669"/>
    <w:rsid w:val="00FE669E"/>
    <w:rsid w:val="00FE68B2"/>
    <w:rsid w:val="00FE7E03"/>
    <w:rsid w:val="00FF0963"/>
    <w:rsid w:val="00FF32E2"/>
    <w:rsid w:val="00FF3527"/>
    <w:rsid w:val="00FF3DD4"/>
    <w:rsid w:val="00FF4845"/>
    <w:rsid w:val="00FF6085"/>
    <w:rsid w:val="00FF7393"/>
    <w:rsid w:val="01536528"/>
    <w:rsid w:val="02421D02"/>
    <w:rsid w:val="05E933F5"/>
    <w:rsid w:val="05F23A3F"/>
    <w:rsid w:val="067A5F0E"/>
    <w:rsid w:val="069B7C33"/>
    <w:rsid w:val="07BE007D"/>
    <w:rsid w:val="099A0675"/>
    <w:rsid w:val="0A5151D8"/>
    <w:rsid w:val="0B5B1E16"/>
    <w:rsid w:val="0B744B0C"/>
    <w:rsid w:val="0BEB6F66"/>
    <w:rsid w:val="0C791B80"/>
    <w:rsid w:val="0C955188"/>
    <w:rsid w:val="0F225395"/>
    <w:rsid w:val="0FAD1102"/>
    <w:rsid w:val="103764A9"/>
    <w:rsid w:val="121A5E17"/>
    <w:rsid w:val="12C363B1"/>
    <w:rsid w:val="132711CC"/>
    <w:rsid w:val="13286CF2"/>
    <w:rsid w:val="13FB7F63"/>
    <w:rsid w:val="147A357D"/>
    <w:rsid w:val="14A34882"/>
    <w:rsid w:val="15521099"/>
    <w:rsid w:val="159D5775"/>
    <w:rsid w:val="169D3553"/>
    <w:rsid w:val="16FE39CC"/>
    <w:rsid w:val="17667DE9"/>
    <w:rsid w:val="18115FA7"/>
    <w:rsid w:val="19777080"/>
    <w:rsid w:val="1A952EBF"/>
    <w:rsid w:val="1B680783"/>
    <w:rsid w:val="1DCA7323"/>
    <w:rsid w:val="1DEC16E8"/>
    <w:rsid w:val="1E122A78"/>
    <w:rsid w:val="1E8C347C"/>
    <w:rsid w:val="1ED13DFB"/>
    <w:rsid w:val="1F313FDF"/>
    <w:rsid w:val="1F6B0692"/>
    <w:rsid w:val="21C4408A"/>
    <w:rsid w:val="224B72CB"/>
    <w:rsid w:val="23571659"/>
    <w:rsid w:val="244D0366"/>
    <w:rsid w:val="24577437"/>
    <w:rsid w:val="24D740D4"/>
    <w:rsid w:val="27930A0C"/>
    <w:rsid w:val="27DB3EDB"/>
    <w:rsid w:val="2816018C"/>
    <w:rsid w:val="29E70AEF"/>
    <w:rsid w:val="2A1831C5"/>
    <w:rsid w:val="2A3F4BF5"/>
    <w:rsid w:val="2B6C2944"/>
    <w:rsid w:val="2C3246E9"/>
    <w:rsid w:val="2CAB3B93"/>
    <w:rsid w:val="2D485B6F"/>
    <w:rsid w:val="2DDE64D3"/>
    <w:rsid w:val="2E30091E"/>
    <w:rsid w:val="2E424CB4"/>
    <w:rsid w:val="2F0361F1"/>
    <w:rsid w:val="2FCC0CD9"/>
    <w:rsid w:val="3058256D"/>
    <w:rsid w:val="30CE282F"/>
    <w:rsid w:val="31CC516B"/>
    <w:rsid w:val="31F862AE"/>
    <w:rsid w:val="340E7B7F"/>
    <w:rsid w:val="342310E4"/>
    <w:rsid w:val="34A02734"/>
    <w:rsid w:val="35DE2B48"/>
    <w:rsid w:val="36FC6348"/>
    <w:rsid w:val="37052D23"/>
    <w:rsid w:val="398E6FFF"/>
    <w:rsid w:val="3A86417A"/>
    <w:rsid w:val="3ACF78CF"/>
    <w:rsid w:val="3AE8460D"/>
    <w:rsid w:val="3BA1126C"/>
    <w:rsid w:val="3CF67395"/>
    <w:rsid w:val="3E4405D4"/>
    <w:rsid w:val="3F6031EC"/>
    <w:rsid w:val="401D3FD3"/>
    <w:rsid w:val="40442B0E"/>
    <w:rsid w:val="413801F6"/>
    <w:rsid w:val="416F5F0D"/>
    <w:rsid w:val="41C2018E"/>
    <w:rsid w:val="41EE0F83"/>
    <w:rsid w:val="42D15B1E"/>
    <w:rsid w:val="43A35D9D"/>
    <w:rsid w:val="44160645"/>
    <w:rsid w:val="44765407"/>
    <w:rsid w:val="448D5140"/>
    <w:rsid w:val="45A1557E"/>
    <w:rsid w:val="45A81344"/>
    <w:rsid w:val="45C85647"/>
    <w:rsid w:val="47315848"/>
    <w:rsid w:val="480B1BC8"/>
    <w:rsid w:val="49277031"/>
    <w:rsid w:val="4B180E1F"/>
    <w:rsid w:val="4CA0731E"/>
    <w:rsid w:val="4D446617"/>
    <w:rsid w:val="4D6E11CA"/>
    <w:rsid w:val="4DB409F0"/>
    <w:rsid w:val="4DD40F69"/>
    <w:rsid w:val="4F860EAD"/>
    <w:rsid w:val="50483F54"/>
    <w:rsid w:val="545804DE"/>
    <w:rsid w:val="57A53A3A"/>
    <w:rsid w:val="5C634E4E"/>
    <w:rsid w:val="5C6B34A4"/>
    <w:rsid w:val="5D4D4958"/>
    <w:rsid w:val="5D595968"/>
    <w:rsid w:val="5E565A8E"/>
    <w:rsid w:val="5E641D71"/>
    <w:rsid w:val="5E9428E3"/>
    <w:rsid w:val="5EDF1D3E"/>
    <w:rsid w:val="60B45075"/>
    <w:rsid w:val="670C5884"/>
    <w:rsid w:val="6876329A"/>
    <w:rsid w:val="696F0C5D"/>
    <w:rsid w:val="6A681023"/>
    <w:rsid w:val="6AEB57B0"/>
    <w:rsid w:val="6C040F28"/>
    <w:rsid w:val="6CC938CF"/>
    <w:rsid w:val="6CE4695B"/>
    <w:rsid w:val="6D1006A0"/>
    <w:rsid w:val="6D4162FB"/>
    <w:rsid w:val="6E7361E8"/>
    <w:rsid w:val="703E276F"/>
    <w:rsid w:val="7104137A"/>
    <w:rsid w:val="71E53F7A"/>
    <w:rsid w:val="73293FFE"/>
    <w:rsid w:val="733D46F8"/>
    <w:rsid w:val="741C1FBD"/>
    <w:rsid w:val="769C07B3"/>
    <w:rsid w:val="76C53359"/>
    <w:rsid w:val="770A6B55"/>
    <w:rsid w:val="78880AE2"/>
    <w:rsid w:val="7A3D2A94"/>
    <w:rsid w:val="7AAD7D37"/>
    <w:rsid w:val="7B1B3E90"/>
    <w:rsid w:val="7BBD6DD7"/>
    <w:rsid w:val="7D2D1C58"/>
    <w:rsid w:val="7FBD72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color="#385d8a">
      <v:fill color="white"/>
      <v:stroke color="#385d8a" weight="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qFormat="1"/>
    <w:lsdException w:name="toc 4" w:uiPriority="0" w:qFormat="1"/>
    <w:lsdException w:name="toc 5" w:uiPriority="0"/>
    <w:lsdException w:name="toc 6" w:uiPriority="0" w:qFormat="1"/>
    <w:lsdException w:name="toc 7" w:uiPriority="0"/>
    <w:lsdException w:name="toc 8" w:uiPriority="0"/>
    <w:lsdException w:name="toc 9" w:uiPriority="0"/>
    <w:lsdException w:name="Normal Indent" w:uiPriority="0" w:qFormat="1"/>
    <w:lsdException w:name="footnote text" w:unhideWhenUsed="1"/>
    <w:lsdException w:name="annotation text" w:qFormat="1"/>
    <w:lsdException w:name="header" w:semiHidden="0" w:qFormat="1"/>
    <w:lsdException w:name="footer" w:semiHidden="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qFormat="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qFormat="1"/>
    <w:lsdException w:name="Body Text 3" w:unhideWhenUsed="1"/>
    <w:lsdException w:name="Body Text Indent 2" w:uiPriority="0" w:qFormat="1"/>
    <w:lsdException w:name="Body Text Indent 3" w:uiPriority="0"/>
    <w:lsdException w:name="Block Text" w:unhideWhenUsed="1"/>
    <w:lsdException w:name="Hyperlink" w:semiHidden="0" w:qFormat="1"/>
    <w:lsdException w:name="FollowedHyperlink" w:uiPriority="0"/>
    <w:lsdException w:name="Strong" w:semiHidden="0" w:uiPriority="0" w:qFormat="1"/>
    <w:lsdException w:name="Emphasis" w:semiHidden="0" w:uiPriority="20" w:qFormat="1"/>
    <w:lsdException w:name="Document Map" w:uiPriority="0"/>
    <w:lsdException w:name="Plain Text" w:uiPriority="0" w:qFormat="1"/>
    <w:lsdException w:name="E-mail Signature" w:unhideWhenUsed="1"/>
    <w:lsdException w:name="HTML Top of Form" w:unhideWhenUsed="1"/>
    <w:lsdException w:name="HTML Bottom of Form" w:unhideWhenUsed="1"/>
    <w:lsdException w:name="Normal (Web)"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unhideWhenUsed="1" w:qFormat="1"/>
    <w:lsdException w:name="annotation subject" w:uiPriority="0" w:qFormat="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pPr>
      <w:ind w:leftChars="1200" w:left="2520"/>
    </w:pPr>
  </w:style>
  <w:style w:type="paragraph" w:styleId="a3">
    <w:name w:val="Normal Indent"/>
    <w:basedOn w:val="a"/>
    <w:semiHidden/>
    <w:qFormat/>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Char"/>
    <w:semiHidden/>
    <w:pPr>
      <w:shd w:val="clear" w:color="auto" w:fill="000080"/>
    </w:pPr>
  </w:style>
  <w:style w:type="paragraph" w:styleId="a5">
    <w:name w:val="annotation text"/>
    <w:basedOn w:val="a"/>
    <w:link w:val="Char0"/>
    <w:uiPriority w:val="99"/>
    <w:semiHidden/>
    <w:qFormat/>
  </w:style>
  <w:style w:type="paragraph" w:styleId="a6">
    <w:name w:val="Body Text"/>
    <w:basedOn w:val="a"/>
    <w:semiHidden/>
    <w:rPr>
      <w:rFonts w:eastAsia="隶书"/>
      <w:sz w:val="52"/>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50">
    <w:name w:val="toc 5"/>
    <w:basedOn w:val="a"/>
    <w:next w:val="a"/>
    <w:semiHidden/>
    <w:pPr>
      <w:ind w:leftChars="800" w:left="1680"/>
    </w:pPr>
  </w:style>
  <w:style w:type="paragraph" w:styleId="30">
    <w:name w:val="toc 3"/>
    <w:basedOn w:val="a"/>
    <w:next w:val="a"/>
    <w:semiHidden/>
    <w:qFormat/>
    <w:pPr>
      <w:ind w:leftChars="400" w:left="840"/>
    </w:pPr>
  </w:style>
  <w:style w:type="paragraph" w:styleId="a8">
    <w:name w:val="Plain Text"/>
    <w:basedOn w:val="a"/>
    <w:semiHidden/>
    <w:qFormat/>
    <w:pPr>
      <w:adjustRightInd/>
      <w:spacing w:line="240" w:lineRule="auto"/>
      <w:jc w:val="both"/>
      <w:textAlignment w:val="auto"/>
    </w:pPr>
    <w:rPr>
      <w:rFonts w:ascii="宋体" w:hAnsi="Courier New"/>
      <w:kern w:val="2"/>
      <w:sz w:val="21"/>
    </w:rPr>
  </w:style>
  <w:style w:type="paragraph" w:styleId="8">
    <w:name w:val="toc 8"/>
    <w:basedOn w:val="a"/>
    <w:next w:val="a"/>
    <w:semiHidden/>
    <w:pPr>
      <w:ind w:leftChars="1400" w:left="2940"/>
    </w:pPr>
  </w:style>
  <w:style w:type="paragraph" w:styleId="a9">
    <w:name w:val="Date"/>
    <w:basedOn w:val="a"/>
    <w:next w:val="a"/>
    <w:semiHidden/>
    <w:pPr>
      <w:jc w:val="both"/>
    </w:pPr>
    <w:rPr>
      <w:rFonts w:ascii="楷体_GB2312" w:eastAsia="楷体_GB2312"/>
      <w:b/>
      <w:sz w:val="28"/>
    </w:rPr>
  </w:style>
  <w:style w:type="paragraph" w:styleId="20">
    <w:name w:val="Body Text Indent 2"/>
    <w:basedOn w:val="a"/>
    <w:semiHidden/>
    <w:qFormat/>
    <w:pPr>
      <w:spacing w:before="120" w:line="360" w:lineRule="auto"/>
      <w:ind w:left="600" w:firstLine="480"/>
    </w:pPr>
    <w:rPr>
      <w:rFonts w:ascii="楷体_GB2312" w:eastAsia="楷体_GB2312"/>
      <w:kern w:val="2"/>
      <w:sz w:val="28"/>
    </w:rPr>
  </w:style>
  <w:style w:type="paragraph" w:styleId="aa">
    <w:name w:val="Balloon Text"/>
    <w:basedOn w:val="a"/>
    <w:semiHidden/>
    <w:rPr>
      <w:sz w:val="18"/>
      <w:szCs w:val="18"/>
    </w:rPr>
  </w:style>
  <w:style w:type="paragraph" w:styleId="ab">
    <w:name w:val="footer"/>
    <w:basedOn w:val="a"/>
    <w:link w:val="Char1"/>
    <w:uiPriority w:val="99"/>
    <w:pPr>
      <w:tabs>
        <w:tab w:val="center" w:pos="4153"/>
        <w:tab w:val="right" w:pos="8306"/>
      </w:tabs>
      <w:spacing w:line="240" w:lineRule="atLeast"/>
    </w:pPr>
    <w:rPr>
      <w:sz w:val="18"/>
    </w:rPr>
  </w:style>
  <w:style w:type="paragraph" w:styleId="ac">
    <w:name w:val="header"/>
    <w:basedOn w:val="a"/>
    <w:link w:val="Char2"/>
    <w:uiPriority w:val="99"/>
    <w:qFormat/>
    <w:pPr>
      <w:pBdr>
        <w:bottom w:val="single" w:sz="6" w:space="1" w:color="auto"/>
      </w:pBdr>
      <w:tabs>
        <w:tab w:val="center" w:pos="4153"/>
        <w:tab w:val="right" w:pos="8306"/>
      </w:tabs>
      <w:snapToGrid w:val="0"/>
      <w:spacing w:line="240" w:lineRule="atLeast"/>
      <w:jc w:val="center"/>
    </w:pPr>
    <w:rPr>
      <w:sz w:val="18"/>
    </w:rPr>
  </w:style>
  <w:style w:type="paragraph" w:styleId="10">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40">
    <w:name w:val="toc 4"/>
    <w:basedOn w:val="a"/>
    <w:next w:val="a"/>
    <w:semiHidden/>
    <w:qFormat/>
    <w:pPr>
      <w:ind w:leftChars="600" w:left="1260"/>
    </w:pPr>
  </w:style>
  <w:style w:type="paragraph" w:styleId="6">
    <w:name w:val="toc 6"/>
    <w:basedOn w:val="a"/>
    <w:next w:val="a"/>
    <w:semiHidden/>
    <w:qFormat/>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semiHidden/>
    <w:qFormat/>
    <w:pPr>
      <w:spacing w:line="360" w:lineRule="auto"/>
      <w:ind w:right="2"/>
    </w:pPr>
    <w:rPr>
      <w:rFonts w:eastAsia="仿宋_GB2312"/>
      <w:sz w:val="28"/>
    </w:rPr>
  </w:style>
  <w:style w:type="paragraph" w:styleId="ad">
    <w:name w:val="Normal (Web)"/>
    <w:basedOn w:val="a"/>
    <w:uiPriority w:val="99"/>
    <w:pPr>
      <w:widowControl/>
      <w:adjustRightInd/>
      <w:spacing w:line="360" w:lineRule="auto"/>
      <w:textAlignment w:val="auto"/>
    </w:pPr>
    <w:rPr>
      <w:rFonts w:ascii="宋体" w:hAnsi="宋体"/>
      <w:sz w:val="18"/>
      <w:szCs w:val="18"/>
    </w:rPr>
  </w:style>
  <w:style w:type="paragraph" w:styleId="ae">
    <w:name w:val="annotation subject"/>
    <w:basedOn w:val="a5"/>
    <w:next w:val="a5"/>
    <w:semiHidden/>
    <w:qFormat/>
    <w:rPr>
      <w:b/>
      <w:bCs/>
    </w:rPr>
  </w:style>
  <w:style w:type="paragraph" w:styleId="af">
    <w:name w:val="Body Text First Indent"/>
    <w:basedOn w:val="a6"/>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qFormat/>
    <w:rPr>
      <w:b/>
      <w:bCs/>
    </w:rPr>
  </w:style>
  <w:style w:type="character" w:styleId="af2">
    <w:name w:val="page number"/>
    <w:basedOn w:val="a0"/>
  </w:style>
  <w:style w:type="character" w:styleId="af3">
    <w:name w:val="FollowedHyperlink"/>
    <w:semiHidden/>
    <w:rPr>
      <w:color w:val="800080"/>
      <w:u w:val="single"/>
    </w:rPr>
  </w:style>
  <w:style w:type="character" w:styleId="af4">
    <w:name w:val="Hyperlink"/>
    <w:uiPriority w:val="99"/>
    <w:qFormat/>
    <w:rPr>
      <w:color w:val="0000FF"/>
      <w:u w:val="single"/>
    </w:rPr>
  </w:style>
  <w:style w:type="character" w:styleId="af5">
    <w:name w:val="annotation reference"/>
    <w:uiPriority w:val="99"/>
    <w:semiHidden/>
    <w:qFormat/>
    <w:rPr>
      <w:sz w:val="21"/>
      <w:szCs w:val="21"/>
    </w:rPr>
  </w:style>
  <w:style w:type="character" w:customStyle="1" w:styleId="Char">
    <w:name w:val="文档结构图 Char"/>
    <w:link w:val="a4"/>
    <w:semiHidden/>
    <w:rPr>
      <w:sz w:val="24"/>
      <w:shd w:val="clear" w:color="auto" w:fill="000080"/>
    </w:rPr>
  </w:style>
  <w:style w:type="character" w:customStyle="1" w:styleId="Char0">
    <w:name w:val="批注文字 Char"/>
    <w:link w:val="a5"/>
    <w:uiPriority w:val="99"/>
    <w:semiHidden/>
    <w:rPr>
      <w:sz w:val="24"/>
    </w:rPr>
  </w:style>
  <w:style w:type="character" w:customStyle="1" w:styleId="Char1">
    <w:name w:val="页脚 Char"/>
    <w:link w:val="ab"/>
    <w:uiPriority w:val="99"/>
    <w:qFormat/>
    <w:rPr>
      <w:sz w:val="18"/>
    </w:rPr>
  </w:style>
  <w:style w:type="character" w:customStyle="1" w:styleId="Char2">
    <w:name w:val="页眉 Char"/>
    <w:link w:val="ac"/>
    <w:uiPriority w:val="99"/>
    <w:qFormat/>
    <w:rPr>
      <w:sz w:val="18"/>
    </w:rPr>
  </w:style>
  <w:style w:type="paragraph" w:customStyle="1" w:styleId="11">
    <w:name w:val="正文1"/>
    <w:qFormat/>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qFormat/>
    <w:rPr>
      <w:rFonts w:ascii="宋体" w:eastAsia="宋体" w:hAnsi="宋体" w:hint="eastAsia"/>
      <w:color w:val="000000"/>
      <w:sz w:val="18"/>
      <w:szCs w:val="18"/>
      <w:u w:val="none"/>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styleId="af6">
    <w:name w:val="List Paragraph"/>
    <w:basedOn w:val="a"/>
    <w:uiPriority w:val="34"/>
    <w:qFormat/>
    <w:pPr>
      <w:ind w:firstLineChars="200" w:firstLine="420"/>
    </w:pPr>
  </w:style>
  <w:style w:type="paragraph" w:styleId="af7">
    <w:name w:val="No Spacing"/>
    <w:link w:val="Char3"/>
    <w:uiPriority w:val="1"/>
    <w:qFormat/>
    <w:rPr>
      <w:rFonts w:ascii="Calibri" w:hAnsi="Calibri"/>
      <w:sz w:val="22"/>
      <w:szCs w:val="22"/>
    </w:rPr>
  </w:style>
  <w:style w:type="character" w:customStyle="1" w:styleId="Char3">
    <w:name w:val="无间隔 Char"/>
    <w:link w:val="af7"/>
    <w:uiPriority w:val="1"/>
    <w:rPr>
      <w:rFonts w:ascii="Calibri" w:hAnsi="Calibri"/>
      <w:sz w:val="22"/>
      <w:szCs w:val="22"/>
    </w:rPr>
  </w:style>
  <w:style w:type="paragraph" w:customStyle="1" w:styleId="12">
    <w:name w:val="正文1"/>
    <w:pPr>
      <w:widowControl w:val="0"/>
      <w:adjustRightInd w:val="0"/>
      <w:spacing w:line="360" w:lineRule="atLeast"/>
      <w:jc w:val="center"/>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qFormat="1"/>
    <w:lsdException w:name="toc 4" w:uiPriority="0" w:qFormat="1"/>
    <w:lsdException w:name="toc 5" w:uiPriority="0"/>
    <w:lsdException w:name="toc 6" w:uiPriority="0" w:qFormat="1"/>
    <w:lsdException w:name="toc 7" w:uiPriority="0"/>
    <w:lsdException w:name="toc 8" w:uiPriority="0"/>
    <w:lsdException w:name="toc 9" w:uiPriority="0"/>
    <w:lsdException w:name="Normal Indent" w:uiPriority="0" w:qFormat="1"/>
    <w:lsdException w:name="footnote text" w:unhideWhenUsed="1"/>
    <w:lsdException w:name="annotation text" w:qFormat="1"/>
    <w:lsdException w:name="header" w:semiHidden="0" w:qFormat="1"/>
    <w:lsdException w:name="footer" w:semiHidden="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qFormat="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qFormat="1"/>
    <w:lsdException w:name="Body Text 3" w:unhideWhenUsed="1"/>
    <w:lsdException w:name="Body Text Indent 2" w:uiPriority="0" w:qFormat="1"/>
    <w:lsdException w:name="Body Text Indent 3" w:uiPriority="0"/>
    <w:lsdException w:name="Block Text" w:unhideWhenUsed="1"/>
    <w:lsdException w:name="Hyperlink" w:semiHidden="0" w:qFormat="1"/>
    <w:lsdException w:name="FollowedHyperlink" w:uiPriority="0"/>
    <w:lsdException w:name="Strong" w:semiHidden="0" w:uiPriority="0" w:qFormat="1"/>
    <w:lsdException w:name="Emphasis" w:semiHidden="0" w:uiPriority="20" w:qFormat="1"/>
    <w:lsdException w:name="Document Map" w:uiPriority="0"/>
    <w:lsdException w:name="Plain Text" w:uiPriority="0" w:qFormat="1"/>
    <w:lsdException w:name="E-mail Signature" w:unhideWhenUsed="1"/>
    <w:lsdException w:name="HTML Top of Form" w:unhideWhenUsed="1"/>
    <w:lsdException w:name="HTML Bottom of Form" w:unhideWhenUsed="1"/>
    <w:lsdException w:name="Normal (Web)"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unhideWhenUsed="1" w:qFormat="1"/>
    <w:lsdException w:name="annotation subject" w:uiPriority="0" w:qFormat="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pPr>
      <w:ind w:leftChars="1200" w:left="2520"/>
    </w:pPr>
  </w:style>
  <w:style w:type="paragraph" w:styleId="a3">
    <w:name w:val="Normal Indent"/>
    <w:basedOn w:val="a"/>
    <w:semiHidden/>
    <w:qFormat/>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Char"/>
    <w:semiHidden/>
    <w:pPr>
      <w:shd w:val="clear" w:color="auto" w:fill="000080"/>
    </w:pPr>
  </w:style>
  <w:style w:type="paragraph" w:styleId="a5">
    <w:name w:val="annotation text"/>
    <w:basedOn w:val="a"/>
    <w:link w:val="Char0"/>
    <w:uiPriority w:val="99"/>
    <w:semiHidden/>
    <w:qFormat/>
  </w:style>
  <w:style w:type="paragraph" w:styleId="a6">
    <w:name w:val="Body Text"/>
    <w:basedOn w:val="a"/>
    <w:semiHidden/>
    <w:rPr>
      <w:rFonts w:eastAsia="隶书"/>
      <w:sz w:val="52"/>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50">
    <w:name w:val="toc 5"/>
    <w:basedOn w:val="a"/>
    <w:next w:val="a"/>
    <w:semiHidden/>
    <w:pPr>
      <w:ind w:leftChars="800" w:left="1680"/>
    </w:pPr>
  </w:style>
  <w:style w:type="paragraph" w:styleId="30">
    <w:name w:val="toc 3"/>
    <w:basedOn w:val="a"/>
    <w:next w:val="a"/>
    <w:semiHidden/>
    <w:qFormat/>
    <w:pPr>
      <w:ind w:leftChars="400" w:left="840"/>
    </w:pPr>
  </w:style>
  <w:style w:type="paragraph" w:styleId="a8">
    <w:name w:val="Plain Text"/>
    <w:basedOn w:val="a"/>
    <w:semiHidden/>
    <w:qFormat/>
    <w:pPr>
      <w:adjustRightInd/>
      <w:spacing w:line="240" w:lineRule="auto"/>
      <w:jc w:val="both"/>
      <w:textAlignment w:val="auto"/>
    </w:pPr>
    <w:rPr>
      <w:rFonts w:ascii="宋体" w:hAnsi="Courier New"/>
      <w:kern w:val="2"/>
      <w:sz w:val="21"/>
    </w:rPr>
  </w:style>
  <w:style w:type="paragraph" w:styleId="8">
    <w:name w:val="toc 8"/>
    <w:basedOn w:val="a"/>
    <w:next w:val="a"/>
    <w:semiHidden/>
    <w:pPr>
      <w:ind w:leftChars="1400" w:left="2940"/>
    </w:pPr>
  </w:style>
  <w:style w:type="paragraph" w:styleId="a9">
    <w:name w:val="Date"/>
    <w:basedOn w:val="a"/>
    <w:next w:val="a"/>
    <w:semiHidden/>
    <w:pPr>
      <w:jc w:val="both"/>
    </w:pPr>
    <w:rPr>
      <w:rFonts w:ascii="楷体_GB2312" w:eastAsia="楷体_GB2312"/>
      <w:b/>
      <w:sz w:val="28"/>
    </w:rPr>
  </w:style>
  <w:style w:type="paragraph" w:styleId="20">
    <w:name w:val="Body Text Indent 2"/>
    <w:basedOn w:val="a"/>
    <w:semiHidden/>
    <w:qFormat/>
    <w:pPr>
      <w:spacing w:before="120" w:line="360" w:lineRule="auto"/>
      <w:ind w:left="600" w:firstLine="480"/>
    </w:pPr>
    <w:rPr>
      <w:rFonts w:ascii="楷体_GB2312" w:eastAsia="楷体_GB2312"/>
      <w:kern w:val="2"/>
      <w:sz w:val="28"/>
    </w:rPr>
  </w:style>
  <w:style w:type="paragraph" w:styleId="aa">
    <w:name w:val="Balloon Text"/>
    <w:basedOn w:val="a"/>
    <w:semiHidden/>
    <w:rPr>
      <w:sz w:val="18"/>
      <w:szCs w:val="18"/>
    </w:rPr>
  </w:style>
  <w:style w:type="paragraph" w:styleId="ab">
    <w:name w:val="footer"/>
    <w:basedOn w:val="a"/>
    <w:link w:val="Char1"/>
    <w:uiPriority w:val="99"/>
    <w:pPr>
      <w:tabs>
        <w:tab w:val="center" w:pos="4153"/>
        <w:tab w:val="right" w:pos="8306"/>
      </w:tabs>
      <w:spacing w:line="240" w:lineRule="atLeast"/>
    </w:pPr>
    <w:rPr>
      <w:sz w:val="18"/>
    </w:rPr>
  </w:style>
  <w:style w:type="paragraph" w:styleId="ac">
    <w:name w:val="header"/>
    <w:basedOn w:val="a"/>
    <w:link w:val="Char2"/>
    <w:uiPriority w:val="99"/>
    <w:qFormat/>
    <w:pPr>
      <w:pBdr>
        <w:bottom w:val="single" w:sz="6" w:space="1" w:color="auto"/>
      </w:pBdr>
      <w:tabs>
        <w:tab w:val="center" w:pos="4153"/>
        <w:tab w:val="right" w:pos="8306"/>
      </w:tabs>
      <w:snapToGrid w:val="0"/>
      <w:spacing w:line="240" w:lineRule="atLeast"/>
      <w:jc w:val="center"/>
    </w:pPr>
    <w:rPr>
      <w:sz w:val="18"/>
    </w:rPr>
  </w:style>
  <w:style w:type="paragraph" w:styleId="10">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40">
    <w:name w:val="toc 4"/>
    <w:basedOn w:val="a"/>
    <w:next w:val="a"/>
    <w:semiHidden/>
    <w:qFormat/>
    <w:pPr>
      <w:ind w:leftChars="600" w:left="1260"/>
    </w:pPr>
  </w:style>
  <w:style w:type="paragraph" w:styleId="6">
    <w:name w:val="toc 6"/>
    <w:basedOn w:val="a"/>
    <w:next w:val="a"/>
    <w:semiHidden/>
    <w:qFormat/>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semiHidden/>
    <w:qFormat/>
    <w:pPr>
      <w:spacing w:line="360" w:lineRule="auto"/>
      <w:ind w:right="2"/>
    </w:pPr>
    <w:rPr>
      <w:rFonts w:eastAsia="仿宋_GB2312"/>
      <w:sz w:val="28"/>
    </w:rPr>
  </w:style>
  <w:style w:type="paragraph" w:styleId="ad">
    <w:name w:val="Normal (Web)"/>
    <w:basedOn w:val="a"/>
    <w:uiPriority w:val="99"/>
    <w:pPr>
      <w:widowControl/>
      <w:adjustRightInd/>
      <w:spacing w:line="360" w:lineRule="auto"/>
      <w:textAlignment w:val="auto"/>
    </w:pPr>
    <w:rPr>
      <w:rFonts w:ascii="宋体" w:hAnsi="宋体"/>
      <w:sz w:val="18"/>
      <w:szCs w:val="18"/>
    </w:rPr>
  </w:style>
  <w:style w:type="paragraph" w:styleId="ae">
    <w:name w:val="annotation subject"/>
    <w:basedOn w:val="a5"/>
    <w:next w:val="a5"/>
    <w:semiHidden/>
    <w:qFormat/>
    <w:rPr>
      <w:b/>
      <w:bCs/>
    </w:rPr>
  </w:style>
  <w:style w:type="paragraph" w:styleId="af">
    <w:name w:val="Body Text First Indent"/>
    <w:basedOn w:val="a6"/>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qFormat/>
    <w:rPr>
      <w:b/>
      <w:bCs/>
    </w:rPr>
  </w:style>
  <w:style w:type="character" w:styleId="af2">
    <w:name w:val="page number"/>
    <w:basedOn w:val="a0"/>
  </w:style>
  <w:style w:type="character" w:styleId="af3">
    <w:name w:val="FollowedHyperlink"/>
    <w:semiHidden/>
    <w:rPr>
      <w:color w:val="800080"/>
      <w:u w:val="single"/>
    </w:rPr>
  </w:style>
  <w:style w:type="character" w:styleId="af4">
    <w:name w:val="Hyperlink"/>
    <w:uiPriority w:val="99"/>
    <w:qFormat/>
    <w:rPr>
      <w:color w:val="0000FF"/>
      <w:u w:val="single"/>
    </w:rPr>
  </w:style>
  <w:style w:type="character" w:styleId="af5">
    <w:name w:val="annotation reference"/>
    <w:uiPriority w:val="99"/>
    <w:semiHidden/>
    <w:qFormat/>
    <w:rPr>
      <w:sz w:val="21"/>
      <w:szCs w:val="21"/>
    </w:rPr>
  </w:style>
  <w:style w:type="character" w:customStyle="1" w:styleId="Char">
    <w:name w:val="文档结构图 Char"/>
    <w:link w:val="a4"/>
    <w:semiHidden/>
    <w:rPr>
      <w:sz w:val="24"/>
      <w:shd w:val="clear" w:color="auto" w:fill="000080"/>
    </w:rPr>
  </w:style>
  <w:style w:type="character" w:customStyle="1" w:styleId="Char0">
    <w:name w:val="批注文字 Char"/>
    <w:link w:val="a5"/>
    <w:uiPriority w:val="99"/>
    <w:semiHidden/>
    <w:rPr>
      <w:sz w:val="24"/>
    </w:rPr>
  </w:style>
  <w:style w:type="character" w:customStyle="1" w:styleId="Char1">
    <w:name w:val="页脚 Char"/>
    <w:link w:val="ab"/>
    <w:uiPriority w:val="99"/>
    <w:qFormat/>
    <w:rPr>
      <w:sz w:val="18"/>
    </w:rPr>
  </w:style>
  <w:style w:type="character" w:customStyle="1" w:styleId="Char2">
    <w:name w:val="页眉 Char"/>
    <w:link w:val="ac"/>
    <w:uiPriority w:val="99"/>
    <w:qFormat/>
    <w:rPr>
      <w:sz w:val="18"/>
    </w:rPr>
  </w:style>
  <w:style w:type="paragraph" w:customStyle="1" w:styleId="11">
    <w:name w:val="正文1"/>
    <w:qFormat/>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qFormat/>
    <w:rPr>
      <w:rFonts w:ascii="宋体" w:eastAsia="宋体" w:hAnsi="宋体" w:hint="eastAsia"/>
      <w:color w:val="000000"/>
      <w:sz w:val="18"/>
      <w:szCs w:val="18"/>
      <w:u w:val="none"/>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styleId="af6">
    <w:name w:val="List Paragraph"/>
    <w:basedOn w:val="a"/>
    <w:uiPriority w:val="34"/>
    <w:qFormat/>
    <w:pPr>
      <w:ind w:firstLineChars="200" w:firstLine="420"/>
    </w:pPr>
  </w:style>
  <w:style w:type="paragraph" w:styleId="af7">
    <w:name w:val="No Spacing"/>
    <w:link w:val="Char3"/>
    <w:uiPriority w:val="1"/>
    <w:qFormat/>
    <w:rPr>
      <w:rFonts w:ascii="Calibri" w:hAnsi="Calibri"/>
      <w:sz w:val="22"/>
      <w:szCs w:val="22"/>
    </w:rPr>
  </w:style>
  <w:style w:type="character" w:customStyle="1" w:styleId="Char3">
    <w:name w:val="无间隔 Char"/>
    <w:link w:val="af7"/>
    <w:uiPriority w:val="1"/>
    <w:rPr>
      <w:rFonts w:ascii="Calibri" w:hAnsi="Calibri"/>
      <w:sz w:val="22"/>
      <w:szCs w:val="22"/>
    </w:rPr>
  </w:style>
  <w:style w:type="paragraph" w:customStyle="1" w:styleId="12">
    <w:name w:val="正文1"/>
    <w:pPr>
      <w:widowControl w:val="0"/>
      <w:adjustRightInd w:val="0"/>
      <w:spacing w:line="360" w:lineRule="atLeast"/>
      <w:jc w:val="center"/>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footer" Target="footer4.xml"/><Relationship Id="rId26" Type="http://schemas.openxmlformats.org/officeDocument/2006/relationships/image" Target="media/image2.png"/><Relationship Id="rId39" Type="http://schemas.openxmlformats.org/officeDocument/2006/relationships/hyperlink" Target="javascript:"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chart" Target="charts/chart3.xml"/><Relationship Id="rId42" Type="http://schemas.openxmlformats.org/officeDocument/2006/relationships/image" Target="media/image7.png"/><Relationship Id="rId47" Type="http://schemas.openxmlformats.org/officeDocument/2006/relationships/footer" Target="footer11.xml"/><Relationship Id="rId50"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chart" Target="charts/chart2.xml"/><Relationship Id="rId38" Type="http://schemas.openxmlformats.org/officeDocument/2006/relationships/image" Target="media/image5.png"/><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chart" Target="charts/chart1.xml"/><Relationship Id="rId37" Type="http://schemas.openxmlformats.org/officeDocument/2006/relationships/image" Target="media/image4.png"/><Relationship Id="rId40" Type="http://schemas.openxmlformats.org/officeDocument/2006/relationships/hyperlink" Target="javascript:" TargetMode="External"/><Relationship Id="rId45"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oter" Target="footer8.xml"/><Relationship Id="rId36" Type="http://schemas.openxmlformats.org/officeDocument/2006/relationships/chart" Target="charts/chart5.xml"/><Relationship Id="rId49"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0.xml"/><Relationship Id="rId44" Type="http://schemas.openxmlformats.org/officeDocument/2006/relationships/image" Target="media/image9.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3.png"/><Relationship Id="rId30" Type="http://schemas.openxmlformats.org/officeDocument/2006/relationships/footer" Target="footer9.xml"/><Relationship Id="rId35" Type="http://schemas.openxmlformats.org/officeDocument/2006/relationships/chart" Target="charts/chart4.xml"/><Relationship Id="rId43" Type="http://schemas.openxmlformats.org/officeDocument/2006/relationships/image" Target="media/image8.jpeg"/><Relationship Id="rId48"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1382;&#24180;&#22303;&#22320;&#25104;&#20132;&#21450;&#20844;&#21578;&#21830;&#21150;2025&#24180;4&#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1382;&#24180;&#22303;&#22320;&#25104;&#20132;&#21450;&#20844;&#21578;&#21830;&#21150;2025&#24180;4&#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5968;&#25454;&#27719;&#38598;&#20998;&#26512;-&#21830;&#21150;-2025&#24180;4&#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5968;&#25454;&#27719;&#38598;&#20998;&#26512;-&#21830;&#21150;-2025&#24180;4&#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ser>
        <c:dLbls>
          <c:showLegendKey val="0"/>
          <c:showVal val="0"/>
          <c:showCatName val="0"/>
          <c:showSerName val="0"/>
          <c:showPercent val="0"/>
          <c:showBubbleSize val="0"/>
        </c:dLbls>
        <c:gapWidth val="150"/>
        <c:axId val="267167232"/>
        <c:axId val="26716876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ser>
        <c:dLbls>
          <c:showLegendKey val="0"/>
          <c:showVal val="0"/>
          <c:showCatName val="0"/>
          <c:showSerName val="0"/>
          <c:showPercent val="0"/>
          <c:showBubbleSize val="0"/>
        </c:dLbls>
        <c:marker val="1"/>
        <c:smooth val="0"/>
        <c:axId val="267174656"/>
        <c:axId val="267176192"/>
      </c:lineChart>
      <c:catAx>
        <c:axId val="26716723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7168768"/>
        <c:crosses val="autoZero"/>
        <c:auto val="1"/>
        <c:lblAlgn val="ctr"/>
        <c:lblOffset val="100"/>
        <c:noMultiLvlLbl val="0"/>
      </c:catAx>
      <c:valAx>
        <c:axId val="26716876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7167232"/>
        <c:crosses val="autoZero"/>
        <c:crossBetween val="between"/>
        <c:majorUnit val="500"/>
      </c:valAx>
      <c:catAx>
        <c:axId val="267174656"/>
        <c:scaling>
          <c:orientation val="minMax"/>
        </c:scaling>
        <c:delete val="1"/>
        <c:axPos val="b"/>
        <c:numFmt formatCode="General" sourceLinked="1"/>
        <c:majorTickMark val="out"/>
        <c:minorTickMark val="none"/>
        <c:tickLblPos val="nextTo"/>
        <c:crossAx val="267176192"/>
        <c:crosses val="autoZero"/>
        <c:auto val="1"/>
        <c:lblAlgn val="ctr"/>
        <c:lblOffset val="100"/>
        <c:noMultiLvlLbl val="0"/>
      </c:catAx>
      <c:valAx>
        <c:axId val="267176192"/>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717465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extLst>
      <c:ext uri="{0b15fc19-7d7d-44ad-8c2d-2c3a37ce22c3}">
        <chartProps xmlns="https://web.wps.cn/et/2018/main" chartId="{e7dfb00b-723c-4e3a-be8e-fe05b7a732a8}"/>
      </c:ext>
    </c:extLst>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2.97823596792667E-2"/>
                  <c:y val="-3.703703703703709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公告和成交建面!$B$4:$B$9</c:f>
              <c:numCache>
                <c:formatCode>General</c:formatCode>
                <c:ptCount val="6"/>
                <c:pt idx="0">
                  <c:v>127.4</c:v>
                </c:pt>
                <c:pt idx="1">
                  <c:v>107.96</c:v>
                </c:pt>
                <c:pt idx="2">
                  <c:v>81.36</c:v>
                </c:pt>
                <c:pt idx="3">
                  <c:v>178.96</c:v>
                </c:pt>
                <c:pt idx="4">
                  <c:v>68.73</c:v>
                </c:pt>
                <c:pt idx="5" formatCode="0.00">
                  <c:v>78.75</c:v>
                </c:pt>
              </c:numCache>
            </c:numRef>
          </c:val>
        </c:ser>
        <c:ser>
          <c:idx val="1"/>
          <c:order val="1"/>
          <c:tx>
            <c:strRef>
              <c:f>公告和成交建面!$C$2</c:f>
              <c:strCache>
                <c:ptCount val="1"/>
                <c:pt idx="0">
                  <c:v>成交规划建面（万㎡）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1.6800111383779E-16"/>
                  <c:y val="-3.703703703703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公告和成交建面!$C$4:$C$9</c:f>
              <c:numCache>
                <c:formatCode>General</c:formatCode>
                <c:ptCount val="6"/>
                <c:pt idx="0">
                  <c:v>127.33</c:v>
                </c:pt>
                <c:pt idx="1">
                  <c:v>70.36</c:v>
                </c:pt>
                <c:pt idx="2">
                  <c:v>78.680000000000007</c:v>
                </c:pt>
                <c:pt idx="3">
                  <c:v>158.1</c:v>
                </c:pt>
                <c:pt idx="4">
                  <c:v>102.78</c:v>
                </c:pt>
                <c:pt idx="5">
                  <c:v>78.75</c:v>
                </c:pt>
              </c:numCache>
            </c:numRef>
          </c:val>
        </c:ser>
        <c:dLbls>
          <c:showLegendKey val="0"/>
          <c:showVal val="0"/>
          <c:showCatName val="0"/>
          <c:showSerName val="0"/>
          <c:showPercent val="0"/>
          <c:showBubbleSize val="0"/>
        </c:dLbls>
        <c:gapWidth val="150"/>
        <c:axId val="267350400"/>
        <c:axId val="267351936"/>
      </c:barChart>
      <c:catAx>
        <c:axId val="26735040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67351936"/>
        <c:crosses val="autoZero"/>
        <c:auto val="1"/>
        <c:lblAlgn val="ctr"/>
        <c:lblOffset val="100"/>
        <c:noMultiLvlLbl val="0"/>
      </c:catAx>
      <c:valAx>
        <c:axId val="26735193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67350400"/>
        <c:crosses val="autoZero"/>
        <c:crossBetween val="between"/>
        <c:majorUnit val="20"/>
        <c:minorUnit val="4"/>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extLst>
      <c:ext uri="{0b15fc19-7d7d-44ad-8c2d-2c3a37ce22c3}">
        <chartProps xmlns="https://web.wps.cn/et/2018/main" chartId="{e8189ea8-7de8-4d30-8a69-a72fe26a4e87}"/>
      </c:ext>
    </c:extLst>
  </c:chart>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14986</c:v>
                </c:pt>
              </c:numCache>
            </c:numRef>
          </c:val>
          <c:smooth val="0"/>
        </c:ser>
        <c:dLbls>
          <c:showLegendKey val="0"/>
          <c:showVal val="0"/>
          <c:showCatName val="0"/>
          <c:showSerName val="0"/>
          <c:showPercent val="0"/>
          <c:showBubbleSize val="0"/>
        </c:dLbls>
        <c:marker val="1"/>
        <c:smooth val="0"/>
        <c:axId val="304357376"/>
        <c:axId val="304358912"/>
      </c:lineChart>
      <c:lineChart>
        <c:grouping val="standard"/>
        <c:varyColors val="0"/>
        <c:ser>
          <c:idx val="1"/>
          <c:order val="1"/>
          <c:tx>
            <c:strRef>
              <c:f>成交楼面单价!$C$1</c:f>
              <c:strCache>
                <c:ptCount val="1"/>
                <c:pt idx="0">
                  <c:v>溢价率</c:v>
                </c:pt>
              </c:strCache>
            </c:strRef>
          </c:tx>
          <c:spPr>
            <a:ln w="31750" cap="rnd" cmpd="sng" algn="ctr">
              <a:solidFill>
                <a:schemeClr val="accent1">
                  <a:tint val="76667"/>
                </a:schemeClr>
              </a:solidFill>
              <a:prstDash val="dash"/>
              <a:round/>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ser>
        <c:dLbls>
          <c:showLegendKey val="0"/>
          <c:showVal val="0"/>
          <c:showCatName val="0"/>
          <c:showSerName val="0"/>
          <c:showPercent val="0"/>
          <c:showBubbleSize val="0"/>
        </c:dLbls>
        <c:marker val="1"/>
        <c:smooth val="0"/>
        <c:axId val="304360448"/>
        <c:axId val="304366336"/>
      </c:lineChart>
      <c:catAx>
        <c:axId val="30435737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04358912"/>
        <c:crosses val="autoZero"/>
        <c:auto val="1"/>
        <c:lblAlgn val="ctr"/>
        <c:lblOffset val="100"/>
        <c:noMultiLvlLbl val="0"/>
      </c:catAx>
      <c:valAx>
        <c:axId val="3043589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04357376"/>
        <c:crosses val="autoZero"/>
        <c:crossBetween val="between"/>
      </c:valAx>
      <c:catAx>
        <c:axId val="304360448"/>
        <c:scaling>
          <c:orientation val="minMax"/>
        </c:scaling>
        <c:delete val="1"/>
        <c:axPos val="b"/>
        <c:numFmt formatCode="General" sourceLinked="1"/>
        <c:majorTickMark val="out"/>
        <c:minorTickMark val="none"/>
        <c:tickLblPos val="nextTo"/>
        <c:crossAx val="304366336"/>
        <c:crosses val="autoZero"/>
        <c:auto val="1"/>
        <c:lblAlgn val="ctr"/>
        <c:lblOffset val="100"/>
        <c:noMultiLvlLbl val="0"/>
      </c:catAx>
      <c:valAx>
        <c:axId val="304366336"/>
        <c:scaling>
          <c:orientation val="minMax"/>
          <c:max val="5.0000000000000001E-3"/>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04360448"/>
        <c:crosses val="max"/>
        <c:crossBetween val="between"/>
        <c:majorUnit val="1E-3"/>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extLst>
      <c:ext uri="{0b15fc19-7d7d-44ad-8c2d-2c3a37ce22c3}">
        <chartProps xmlns="https://web.wps.cn/et/2018/main" chartId="{c0c3aa26-f885-4049-b7ba-e7381067caa1}"/>
      </c:ext>
    </c:extLst>
  </c:chart>
  <c:txPr>
    <a:bodyPr/>
    <a:lstStyle/>
    <a:p>
      <a:pPr>
        <a:defRPr lang="zh-CN"/>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charset="-122"/>
                <a:ea typeface="华文细黑" panose="02010600040101010101" charset="-122"/>
              </a:rPr>
              <a:t>北京</a:t>
            </a:r>
            <a:r>
              <a:rPr lang="zh-CN" altLang="en-US" sz="1100">
                <a:latin typeface="华文细黑" panose="02010600040101010101" charset="-122"/>
                <a:ea typeface="华文细黑" panose="02010600040101010101" charset="-122"/>
              </a:rPr>
              <a:t>地价增长率</a:t>
            </a:r>
          </a:p>
        </c:rich>
      </c:tx>
      <c:layout>
        <c:manualLayout>
          <c:xMode val="edge"/>
          <c:yMode val="edge"/>
          <c:x val="1.26644777581761E-2"/>
          <c:y val="3.2725572697522201E-2"/>
        </c:manualLayout>
      </c:layout>
      <c:overlay val="0"/>
    </c:title>
    <c:autoTitleDeleted val="0"/>
    <c:plotArea>
      <c:layout>
        <c:manualLayout>
          <c:layoutTarget val="inner"/>
          <c:xMode val="edge"/>
          <c:yMode val="edge"/>
          <c:x val="9.73688145675254E-2"/>
          <c:y val="0.19932229719531899"/>
          <c:w val="0.86068780899067099"/>
          <c:h val="0.63284226568453095"/>
        </c:manualLayout>
      </c:layout>
      <c:lineChart>
        <c:grouping val="standard"/>
        <c:varyColors val="0"/>
        <c:ser>
          <c:idx val="1"/>
          <c:order val="0"/>
          <c:tx>
            <c:strRef>
              <c:f>'2025年地价监测结果'!$D$4</c:f>
              <c:strCache>
                <c:ptCount val="1"/>
                <c:pt idx="0">
                  <c:v>商业（中心城区）</c:v>
                </c:pt>
              </c:strCache>
            </c:strRef>
          </c:tx>
          <c:spPr>
            <a:ln w="19050" cap="rnd" cmpd="sng" algn="ctr">
              <a:solidFill>
                <a:schemeClr val="accent1"/>
              </a:solidFill>
              <a:prstDash val="dash"/>
              <a:round/>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'2025年地价监测结果'!$D$15:$D$24</c:f>
              <c:numCache>
                <c:formatCode>0.00%</c:formatCode>
                <c:ptCount val="10"/>
                <c:pt idx="0">
                  <c:v>5.0000000000000001E-3</c:v>
                </c:pt>
                <c:pt idx="1">
                  <c:v>2.3999999999999998E-3</c:v>
                </c:pt>
                <c:pt idx="2">
                  <c:v>4.5999999999999999E-3</c:v>
                </c:pt>
                <c:pt idx="3">
                  <c:v>-2.0999999999999999E-3</c:v>
                </c:pt>
                <c:pt idx="4">
                  <c:v>-4.7000000000000002E-3</c:v>
                </c:pt>
                <c:pt idx="5">
                  <c:v>-4.7999999999999996E-3</c:v>
                </c:pt>
                <c:pt idx="6">
                  <c:v>-5.7000000000000002E-3</c:v>
                </c:pt>
                <c:pt idx="7">
                  <c:v>-6.1999999999999998E-3</c:v>
                </c:pt>
                <c:pt idx="8">
                  <c:v>-2.2000000000000001E-3</c:v>
                </c:pt>
                <c:pt idx="9">
                  <c:v>-8.9999999999999993E-3</c:v>
                </c:pt>
              </c:numCache>
            </c:numRef>
          </c:val>
          <c:smooth val="0"/>
        </c:ser>
        <c:ser>
          <c:idx val="2"/>
          <c:order val="1"/>
          <c:tx>
            <c:strRef>
              <c:f>'2025年地价监测结果'!$J$4</c:f>
              <c:strCache>
                <c:ptCount val="1"/>
                <c:pt idx="0">
                  <c:v>办公（中心城区）</c:v>
                </c:pt>
              </c:strCache>
            </c:strRef>
          </c:tx>
          <c:spPr>
            <a:ln w="22225" cap="rnd" cmpd="sng" algn="ctr">
              <a:solidFill>
                <a:schemeClr val="accent3"/>
              </a:solidFill>
              <a:prstDash val="solid"/>
              <a:round/>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'2025年地价监测结果'!$J$15:$J$24</c:f>
              <c:numCache>
                <c:formatCode>0.00%</c:formatCode>
                <c:ptCount val="10"/>
                <c:pt idx="0">
                  <c:v>3.0999999999999999E-3</c:v>
                </c:pt>
                <c:pt idx="1">
                  <c:v>-1.6000000000000001E-3</c:v>
                </c:pt>
                <c:pt idx="2">
                  <c:v>-1.6000000000000001E-3</c:v>
                </c:pt>
                <c:pt idx="3">
                  <c:v>-1.38E-2</c:v>
                </c:pt>
                <c:pt idx="4">
                  <c:v>-2.8999999999999998E-3</c:v>
                </c:pt>
                <c:pt idx="5">
                  <c:v>-7.4999999999999997E-3</c:v>
                </c:pt>
                <c:pt idx="6">
                  <c:v>-8.9999999999999993E-3</c:v>
                </c:pt>
                <c:pt idx="7">
                  <c:v>-1.0500000000000001E-2</c:v>
                </c:pt>
                <c:pt idx="8">
                  <c:v>-8.2000000000000007E-3</c:v>
                </c:pt>
                <c:pt idx="9">
                  <c:v>-4.7000000000000002E-3</c:v>
                </c:pt>
              </c:numCache>
            </c:numRef>
          </c:val>
          <c:smooth val="0"/>
        </c:ser>
        <c:dLbls>
          <c:showLegendKey val="0"/>
          <c:showVal val="0"/>
          <c:showCatName val="0"/>
          <c:showSerName val="0"/>
          <c:showPercent val="0"/>
          <c:showBubbleSize val="0"/>
        </c:dLbls>
        <c:marker val="1"/>
        <c:smooth val="0"/>
        <c:axId val="304850432"/>
        <c:axId val="304851968"/>
      </c:lineChart>
      <c:catAx>
        <c:axId val="30485043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04851968"/>
        <c:crosses val="autoZero"/>
        <c:auto val="1"/>
        <c:lblAlgn val="ctr"/>
        <c:lblOffset val="100"/>
        <c:noMultiLvlLbl val="0"/>
      </c:catAx>
      <c:valAx>
        <c:axId val="304851968"/>
        <c:scaling>
          <c:orientation val="minMax"/>
          <c:max val="0.01"/>
          <c:min val="-0.02"/>
        </c:scaling>
        <c:delete val="0"/>
        <c:axPos val="l"/>
        <c:majorGridlines>
          <c:spPr>
            <a:ln w="6350"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04850432"/>
        <c:crosses val="autoZero"/>
        <c:crossBetween val="midCat"/>
        <c:majorUnit val="2.5000000000000001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797"/>
          <c:y val="7.4801309022907894E-2"/>
          <c:w val="0.65618082255621601"/>
          <c:h val="6.4983637213651205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extLst>
      <c:ext uri="{0b15fc19-7d7d-44ad-8c2d-2c3a37ce22c3}">
        <chartProps xmlns="https://web.wps.cn/et/2018/main" chartId="{7dc9a34b-0c11-4eae-86c2-0af24f5f4a37}"/>
      </c:ext>
    </c:extLst>
  </c:chart>
  <c:spPr>
    <a:solidFill>
      <a:srgbClr val="FFFFFF"/>
    </a:solidFill>
  </c:spPr>
  <c:txPr>
    <a:bodyPr/>
    <a:lstStyle/>
    <a:p>
      <a:pPr>
        <a:defRPr lang="zh-CN"/>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charset="-122"/>
                <a:ea typeface="华文细黑" panose="02010600040101010101" charset="-122"/>
              </a:rPr>
              <a:t>北京</a:t>
            </a:r>
            <a:r>
              <a:rPr lang="zh-CN" altLang="en-US" sz="1100">
                <a:latin typeface="华文细黑" panose="02010600040101010101" charset="-122"/>
                <a:ea typeface="华文细黑" panose="02010600040101010101" charset="-122"/>
              </a:rPr>
              <a:t>地价增长率</a:t>
            </a:r>
          </a:p>
        </c:rich>
      </c:tx>
      <c:layout>
        <c:manualLayout>
          <c:xMode val="edge"/>
          <c:yMode val="edge"/>
          <c:x val="2.4299240081900798E-2"/>
          <c:y val="2.7724253898120301E-2"/>
        </c:manualLayout>
      </c:layout>
      <c:overlay val="0"/>
    </c:title>
    <c:autoTitleDeleted val="0"/>
    <c:plotArea>
      <c:layout>
        <c:manualLayout>
          <c:layoutTarget val="inner"/>
          <c:xMode val="edge"/>
          <c:yMode val="edge"/>
          <c:x val="9.7232872069001802E-2"/>
          <c:y val="0.213706081484133"/>
          <c:w val="0.86068780899067099"/>
          <c:h val="0.63284226568453095"/>
        </c:manualLayout>
      </c:layout>
      <c:lineChart>
        <c:grouping val="standard"/>
        <c:varyColors val="0"/>
        <c:ser>
          <c:idx val="0"/>
          <c:order val="0"/>
          <c:tx>
            <c:strRef>
              <c:f>'2025年地价监测结果'!$G$4</c:f>
              <c:strCache>
                <c:ptCount val="1"/>
                <c:pt idx="0">
                  <c:v>商业（规划新城）</c:v>
                </c:pt>
              </c:strCache>
            </c:strRef>
          </c:tx>
          <c:spPr>
            <a:ln w="19050" cap="rnd" cmpd="sng" algn="ctr">
              <a:solidFill>
                <a:schemeClr val="accent1"/>
              </a:solidFill>
              <a:prstDash val="dash"/>
              <a:round/>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'2025年地价监测结果'!$G$15:$G$24</c:f>
              <c:numCache>
                <c:formatCode>0.00%</c:formatCode>
                <c:ptCount val="10"/>
                <c:pt idx="0">
                  <c:v>3.5000000000000001E-3</c:v>
                </c:pt>
                <c:pt idx="1">
                  <c:v>6.9999999999999999E-4</c:v>
                </c:pt>
                <c:pt idx="2">
                  <c:v>2.5000000000000001E-3</c:v>
                </c:pt>
                <c:pt idx="3">
                  <c:v>-3.0999999999999999E-3</c:v>
                </c:pt>
                <c:pt idx="4">
                  <c:v>-6.6E-3</c:v>
                </c:pt>
                <c:pt idx="5">
                  <c:v>-6.1000000000000004E-3</c:v>
                </c:pt>
                <c:pt idx="6">
                  <c:v>-1.47E-2</c:v>
                </c:pt>
                <c:pt idx="7">
                  <c:v>-3.0999999999999999E-3</c:v>
                </c:pt>
                <c:pt idx="8">
                  <c:v>-8.0000000000000002E-3</c:v>
                </c:pt>
                <c:pt idx="9">
                  <c:v>-2.0500000000000001E-2</c:v>
                </c:pt>
              </c:numCache>
            </c:numRef>
          </c:val>
          <c:smooth val="0"/>
        </c:ser>
        <c:ser>
          <c:idx val="3"/>
          <c:order val="1"/>
          <c:tx>
            <c:strRef>
              <c:f>'2025年地价监测结果'!$I$4</c:f>
              <c:strCache>
                <c:ptCount val="1"/>
                <c:pt idx="0">
                  <c:v>办公（规划新城）</c:v>
                </c:pt>
              </c:strCache>
            </c:strRef>
          </c:tx>
          <c:spPr>
            <a:ln w="22225" cap="rnd" cmpd="sng" algn="ctr">
              <a:solidFill>
                <a:srgbClr val="92D050"/>
              </a:solidFill>
              <a:prstDash val="solid"/>
              <a:round/>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'2025年地价监测结果'!$I$15:$I$24</c:f>
              <c:numCache>
                <c:formatCode>0.00%</c:formatCode>
                <c:ptCount val="10"/>
                <c:pt idx="0">
                  <c:v>1.6999999999999999E-3</c:v>
                </c:pt>
                <c:pt idx="1">
                  <c:v>8.9999999999999998E-4</c:v>
                </c:pt>
                <c:pt idx="2">
                  <c:v>4.0000000000000001E-3</c:v>
                </c:pt>
                <c:pt idx="3">
                  <c:v>-3.8999999999999998E-3</c:v>
                </c:pt>
                <c:pt idx="4">
                  <c:v>-5.1999999999999998E-3</c:v>
                </c:pt>
                <c:pt idx="5">
                  <c:v>-7.1000000000000004E-3</c:v>
                </c:pt>
                <c:pt idx="6">
                  <c:v>-9.7999999999999997E-3</c:v>
                </c:pt>
                <c:pt idx="7">
                  <c:v>-1.03E-2</c:v>
                </c:pt>
                <c:pt idx="8">
                  <c:v>-1.4500000000000001E-2</c:v>
                </c:pt>
                <c:pt idx="9">
                  <c:v>-3.6799999999999999E-2</c:v>
                </c:pt>
              </c:numCache>
            </c:numRef>
          </c:val>
          <c:smooth val="0"/>
        </c:ser>
        <c:dLbls>
          <c:showLegendKey val="0"/>
          <c:showVal val="0"/>
          <c:showCatName val="0"/>
          <c:showSerName val="0"/>
          <c:showPercent val="0"/>
          <c:showBubbleSize val="0"/>
        </c:dLbls>
        <c:marker val="1"/>
        <c:smooth val="0"/>
        <c:axId val="305435008"/>
        <c:axId val="305436544"/>
      </c:lineChart>
      <c:catAx>
        <c:axId val="30543500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05436544"/>
        <c:crosses val="autoZero"/>
        <c:auto val="1"/>
        <c:lblAlgn val="ctr"/>
        <c:lblOffset val="100"/>
        <c:noMultiLvlLbl val="0"/>
      </c:catAx>
      <c:valAx>
        <c:axId val="305436544"/>
        <c:scaling>
          <c:orientation val="minMax"/>
          <c:max val="0.01"/>
          <c:min val="-0.04"/>
        </c:scaling>
        <c:delete val="0"/>
        <c:axPos val="l"/>
        <c:majorGridlines>
          <c:spPr>
            <a:ln w="6350"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05435008"/>
        <c:crosses val="autoZero"/>
        <c:crossBetween val="midCat"/>
        <c:majorUnit val="5.0000000000000001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797"/>
          <c:y val="7.4801309022907894E-2"/>
          <c:w val="0.65618082255621601"/>
          <c:h val="6.4983637213651205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extLst>
      <c:ext uri="{0b15fc19-7d7d-44ad-8c2d-2c3a37ce22c3}">
        <chartProps xmlns="https://web.wps.cn/et/2018/main" chartId="{4ef8eb2a-1609-47aa-b4f8-b859c9275de5}"/>
      </c:ext>
    </c:extLst>
  </c:chart>
  <c:spPr>
    <a:solidFill>
      <a:srgbClr val="FFFFFF"/>
    </a:solidFill>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5992</Words>
  <Characters>34159</Characters>
  <Application>Microsoft Office Word</Application>
  <DocSecurity>0</DocSecurity>
  <Lines>284</Lines>
  <Paragraphs>80</Paragraphs>
  <ScaleCrop>false</ScaleCrop>
  <Company>Microsoft</Company>
  <LinksUpToDate>false</LinksUpToDate>
  <CharactersWithSpaces>40071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win10B</cp:lastModifiedBy>
  <cp:revision>6</cp:revision>
  <cp:lastPrinted>2019-04-08T03:25:00Z</cp:lastPrinted>
  <dcterms:created xsi:type="dcterms:W3CDTF">2026-01-27T06:12:00Z</dcterms:created>
  <dcterms:modified xsi:type="dcterms:W3CDTF">2026-01-27T08:43:00Z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eyJoZGlkIjoiOTcwMTMwZTgwZjBhOWY5ZDIzMzA3YjZmYWI3ZGQ5NjUiLCJ1c2VySWQiOiIyMDkxMDc5NzUifQ==</vt:lpwstr>
  </property>
  <property fmtid="{D5CDD505-2E9C-101B-9397-08002B2CF9AE}" pid="3" name="KSOProductBuildVer">
    <vt:lpwstr>2052-12.1.0.24657</vt:lpwstr>
  </property>
  <property fmtid="{D5CDD505-2E9C-101B-9397-08002B2CF9AE}" pid="4" name="ICV">
    <vt:lpwstr>41BF4D40FBA245F9B56003C4131AF19F_13</vt:lpwstr>
  </property>
</Properties>
</file>